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F7718" w14:textId="77777777" w:rsidR="008B0757" w:rsidRPr="00681CB9" w:rsidRDefault="008B0757" w:rsidP="009D7578">
      <w:pPr>
        <w:jc w:val="center"/>
        <w:rPr>
          <w:rFonts w:ascii="ITC Avant Garde" w:hAnsi="ITC Avant Garde"/>
          <w:b/>
          <w:sz w:val="24"/>
        </w:rPr>
      </w:pPr>
      <w:bookmarkStart w:id="0" w:name="_GoBack"/>
      <w:bookmarkEnd w:id="0"/>
    </w:p>
    <w:p w14:paraId="3EB14413" w14:textId="77777777" w:rsidR="008B0757" w:rsidRPr="00681CB9" w:rsidRDefault="008B0757" w:rsidP="009D7578">
      <w:pPr>
        <w:jc w:val="center"/>
        <w:rPr>
          <w:rFonts w:ascii="ITC Avant Garde" w:hAnsi="ITC Avant Garde"/>
          <w:b/>
          <w:sz w:val="24"/>
        </w:rPr>
      </w:pPr>
    </w:p>
    <w:p w14:paraId="19241344" w14:textId="77777777" w:rsidR="008B0757" w:rsidRPr="00681CB9" w:rsidRDefault="008B0757" w:rsidP="009D7578">
      <w:pPr>
        <w:jc w:val="center"/>
        <w:rPr>
          <w:rFonts w:ascii="ITC Avant Garde" w:hAnsi="ITC Avant Garde"/>
          <w:b/>
          <w:sz w:val="24"/>
        </w:rPr>
      </w:pPr>
    </w:p>
    <w:p w14:paraId="6753D5D3" w14:textId="77777777" w:rsidR="008B0757" w:rsidRPr="00681CB9" w:rsidRDefault="008B0757" w:rsidP="009D7578">
      <w:pPr>
        <w:jc w:val="center"/>
        <w:rPr>
          <w:rFonts w:ascii="ITC Avant Garde" w:hAnsi="ITC Avant Garde"/>
          <w:b/>
          <w:sz w:val="24"/>
        </w:rPr>
      </w:pPr>
    </w:p>
    <w:p w14:paraId="02464F2A" w14:textId="591CDC57" w:rsidR="008B0757" w:rsidRPr="00681CB9" w:rsidRDefault="00FE0D86" w:rsidP="007A7CFF">
      <w:pPr>
        <w:pStyle w:val="Ttulo"/>
        <w:spacing w:before="240" w:after="120"/>
        <w:contextualSpacing w:val="0"/>
        <w:jc w:val="left"/>
        <w:rPr>
          <w:rFonts w:ascii="ITC Avant Garde" w:hAnsi="ITC Avant Garde"/>
          <w:lang w:val="es-MX"/>
        </w:rPr>
      </w:pPr>
      <w:r w:rsidRPr="00681CB9">
        <w:rPr>
          <w:rFonts w:ascii="ITC Avant Garde" w:hAnsi="ITC Avant Garde"/>
          <w:lang w:val="es-MX"/>
        </w:rPr>
        <w:t>Actualizaciones del Modelo de Acceso a Torres para Servicios de la Oferta de Referencia para la prestación del Servicio de Acceso y Uso Compartido de Infraestructura Pasiva Fija</w:t>
      </w:r>
    </w:p>
    <w:p w14:paraId="433DDA16" w14:textId="77777777" w:rsidR="00FE0D86" w:rsidRPr="00681CB9" w:rsidRDefault="00FE0D86" w:rsidP="00FE0D86">
      <w:pPr>
        <w:rPr>
          <w:rFonts w:ascii="ITC Avant Garde" w:hAnsi="ITC Avant Garde"/>
        </w:rPr>
      </w:pPr>
    </w:p>
    <w:p w14:paraId="5E57AC43" w14:textId="77777777" w:rsidR="008B0757" w:rsidRPr="00681CB9" w:rsidRDefault="008B0757" w:rsidP="008B0757">
      <w:pPr>
        <w:rPr>
          <w:rFonts w:ascii="ITC Avant Garde" w:hAnsi="ITC Avant Garde"/>
          <w:sz w:val="36"/>
          <w:szCs w:val="36"/>
        </w:rPr>
      </w:pPr>
      <w:r w:rsidRPr="00681CB9">
        <w:rPr>
          <w:rFonts w:ascii="ITC Avant Garde" w:hAnsi="ITC Avant Garde"/>
          <w:sz w:val="36"/>
          <w:szCs w:val="36"/>
        </w:rPr>
        <w:t xml:space="preserve">Documento metodológico </w:t>
      </w:r>
    </w:p>
    <w:p w14:paraId="64787469" w14:textId="673E621D" w:rsidR="008B0757" w:rsidRPr="00681CB9" w:rsidRDefault="002A4B3C" w:rsidP="008B0757">
      <w:pPr>
        <w:rPr>
          <w:rFonts w:ascii="ITC Avant Garde" w:hAnsi="ITC Avant Garde"/>
        </w:rPr>
      </w:pPr>
      <w:r>
        <w:rPr>
          <w:rFonts w:ascii="ITC Avant Garde" w:hAnsi="ITC Avant Garde"/>
        </w:rPr>
        <w:t>13</w:t>
      </w:r>
      <w:r w:rsidR="008B0757" w:rsidRPr="00681CB9">
        <w:rPr>
          <w:rFonts w:ascii="ITC Avant Garde" w:hAnsi="ITC Avant Garde"/>
        </w:rPr>
        <w:t xml:space="preserve"> de </w:t>
      </w:r>
      <w:r>
        <w:rPr>
          <w:rFonts w:ascii="ITC Avant Garde" w:hAnsi="ITC Avant Garde"/>
        </w:rPr>
        <w:t>julio</w:t>
      </w:r>
      <w:r w:rsidR="008B0757" w:rsidRPr="00681CB9">
        <w:rPr>
          <w:rFonts w:ascii="ITC Avant Garde" w:hAnsi="ITC Avant Garde"/>
        </w:rPr>
        <w:t xml:space="preserve"> de 202</w:t>
      </w:r>
      <w:r w:rsidR="00FE0D86" w:rsidRPr="00681CB9">
        <w:rPr>
          <w:rFonts w:ascii="ITC Avant Garde" w:hAnsi="ITC Avant Garde"/>
        </w:rPr>
        <w:t>2</w:t>
      </w:r>
    </w:p>
    <w:p w14:paraId="08A294FA" w14:textId="77777777" w:rsidR="008B0757" w:rsidRPr="00681CB9" w:rsidRDefault="008B0757" w:rsidP="009D7578">
      <w:pPr>
        <w:jc w:val="center"/>
        <w:rPr>
          <w:rFonts w:ascii="ITC Avant Garde" w:hAnsi="ITC Avant Garde"/>
          <w:b/>
          <w:sz w:val="24"/>
        </w:rPr>
      </w:pPr>
    </w:p>
    <w:p w14:paraId="2AD09BC4" w14:textId="77777777" w:rsidR="008B0757" w:rsidRPr="00681CB9" w:rsidRDefault="008B0757" w:rsidP="009D7578">
      <w:pPr>
        <w:jc w:val="center"/>
        <w:rPr>
          <w:rFonts w:ascii="ITC Avant Garde" w:hAnsi="ITC Avant Garde"/>
          <w:b/>
          <w:sz w:val="24"/>
        </w:rPr>
      </w:pPr>
    </w:p>
    <w:p w14:paraId="7DE3DB6A" w14:textId="77777777" w:rsidR="008B0757" w:rsidRPr="00681CB9" w:rsidRDefault="008B0757" w:rsidP="009D7578">
      <w:pPr>
        <w:jc w:val="center"/>
        <w:rPr>
          <w:rFonts w:ascii="ITC Avant Garde" w:hAnsi="ITC Avant Garde"/>
          <w:b/>
          <w:sz w:val="24"/>
        </w:rPr>
      </w:pPr>
    </w:p>
    <w:p w14:paraId="3194BE37" w14:textId="77777777" w:rsidR="008B0757" w:rsidRPr="00681CB9" w:rsidRDefault="008B0757" w:rsidP="009D7578">
      <w:pPr>
        <w:jc w:val="center"/>
        <w:rPr>
          <w:rFonts w:ascii="ITC Avant Garde" w:hAnsi="ITC Avant Garde"/>
          <w:b/>
          <w:sz w:val="24"/>
        </w:rPr>
      </w:pPr>
    </w:p>
    <w:p w14:paraId="0ED9A64E" w14:textId="77777777" w:rsidR="008B0757" w:rsidRPr="00681CB9" w:rsidRDefault="008B0757" w:rsidP="009D7578">
      <w:pPr>
        <w:jc w:val="center"/>
        <w:rPr>
          <w:rFonts w:ascii="ITC Avant Garde" w:hAnsi="ITC Avant Garde"/>
          <w:b/>
          <w:sz w:val="24"/>
        </w:rPr>
      </w:pPr>
    </w:p>
    <w:p w14:paraId="47D18034" w14:textId="77777777" w:rsidR="008B0757" w:rsidRPr="00681CB9" w:rsidRDefault="008B0757" w:rsidP="009D7578">
      <w:pPr>
        <w:jc w:val="center"/>
        <w:rPr>
          <w:rFonts w:ascii="ITC Avant Garde" w:hAnsi="ITC Avant Garde"/>
          <w:b/>
          <w:sz w:val="24"/>
        </w:rPr>
      </w:pPr>
    </w:p>
    <w:p w14:paraId="116E0691" w14:textId="77777777" w:rsidR="008B0757" w:rsidRPr="00681CB9" w:rsidRDefault="008B0757" w:rsidP="009D7578">
      <w:pPr>
        <w:jc w:val="center"/>
        <w:rPr>
          <w:rFonts w:ascii="ITC Avant Garde" w:hAnsi="ITC Avant Garde"/>
          <w:b/>
          <w:sz w:val="24"/>
        </w:rPr>
      </w:pPr>
    </w:p>
    <w:p w14:paraId="75914328" w14:textId="77777777" w:rsidR="008B0757" w:rsidRPr="00681CB9" w:rsidRDefault="008B0757" w:rsidP="009D7578">
      <w:pPr>
        <w:jc w:val="center"/>
        <w:rPr>
          <w:rFonts w:ascii="ITC Avant Garde" w:hAnsi="ITC Avant Garde"/>
          <w:b/>
          <w:sz w:val="24"/>
        </w:rPr>
      </w:pPr>
    </w:p>
    <w:p w14:paraId="4D957BA0" w14:textId="77777777" w:rsidR="008B0757" w:rsidRPr="00681CB9" w:rsidRDefault="008B0757" w:rsidP="009D7578">
      <w:pPr>
        <w:jc w:val="center"/>
        <w:rPr>
          <w:rFonts w:ascii="ITC Avant Garde" w:hAnsi="ITC Avant Garde"/>
          <w:b/>
          <w:sz w:val="24"/>
        </w:rPr>
      </w:pPr>
    </w:p>
    <w:p w14:paraId="7CA91186" w14:textId="77777777" w:rsidR="008B0757" w:rsidRPr="00681CB9" w:rsidRDefault="008B0757" w:rsidP="009D7578">
      <w:pPr>
        <w:jc w:val="center"/>
        <w:rPr>
          <w:rFonts w:ascii="ITC Avant Garde" w:hAnsi="ITC Avant Garde"/>
          <w:b/>
          <w:sz w:val="24"/>
        </w:rPr>
      </w:pPr>
    </w:p>
    <w:p w14:paraId="41790136" w14:textId="77777777" w:rsidR="008B0757" w:rsidRPr="00681CB9" w:rsidRDefault="008B0757" w:rsidP="009D7578">
      <w:pPr>
        <w:jc w:val="center"/>
        <w:rPr>
          <w:rFonts w:ascii="ITC Avant Garde" w:hAnsi="ITC Avant Garde"/>
          <w:b/>
          <w:sz w:val="24"/>
        </w:rPr>
      </w:pPr>
    </w:p>
    <w:sdt>
      <w:sdtPr>
        <w:rPr>
          <w:rFonts w:ascii="ITC Avant Garde" w:eastAsiaTheme="minorHAnsi" w:hAnsi="ITC Avant Garde" w:cstheme="minorBidi"/>
          <w:color w:val="auto"/>
          <w:sz w:val="22"/>
          <w:szCs w:val="22"/>
          <w:lang w:val="es-ES" w:eastAsia="en-US"/>
        </w:rPr>
        <w:id w:val="1600065484"/>
        <w:docPartObj>
          <w:docPartGallery w:val="Table of Contents"/>
          <w:docPartUnique/>
        </w:docPartObj>
      </w:sdtPr>
      <w:sdtEndPr>
        <w:rPr>
          <w:bCs/>
        </w:rPr>
      </w:sdtEndPr>
      <w:sdtContent>
        <w:p w14:paraId="36AB0EA8" w14:textId="61A26FF9" w:rsidR="00681CB9" w:rsidRPr="00610ABD" w:rsidRDefault="00681CB9">
          <w:pPr>
            <w:pStyle w:val="TtuloTDC"/>
            <w:rPr>
              <w:rFonts w:ascii="ITC Avant Garde" w:hAnsi="ITC Avant Garde"/>
              <w:b/>
              <w:color w:val="auto"/>
              <w:sz w:val="22"/>
              <w:szCs w:val="22"/>
              <w:lang w:val="es-ES"/>
            </w:rPr>
          </w:pPr>
          <w:r w:rsidRPr="00610ABD">
            <w:rPr>
              <w:rFonts w:ascii="ITC Avant Garde" w:hAnsi="ITC Avant Garde"/>
              <w:b/>
              <w:color w:val="auto"/>
              <w:sz w:val="22"/>
              <w:szCs w:val="22"/>
              <w:lang w:val="es-ES"/>
            </w:rPr>
            <w:t>Tabla de contenido</w:t>
          </w:r>
        </w:p>
        <w:p w14:paraId="2FAE8970" w14:textId="77777777" w:rsidR="00681CB9" w:rsidRPr="00243F06" w:rsidRDefault="00681CB9" w:rsidP="00681CB9">
          <w:pPr>
            <w:rPr>
              <w:rFonts w:ascii="ITC Avant Garde" w:hAnsi="ITC Avant Garde"/>
              <w:lang w:val="es-ES" w:eastAsia="es-MX"/>
            </w:rPr>
          </w:pPr>
        </w:p>
        <w:p w14:paraId="3196A403" w14:textId="49B822E4" w:rsidR="00243F06" w:rsidRPr="00243F06" w:rsidRDefault="00681CB9">
          <w:pPr>
            <w:pStyle w:val="TDC2"/>
            <w:rPr>
              <w:rFonts w:ascii="ITC Avant Garde" w:hAnsi="ITC Avant Garde" w:cstheme="minorBidi"/>
              <w:noProof/>
            </w:rPr>
          </w:pPr>
          <w:r w:rsidRPr="00243F06">
            <w:rPr>
              <w:rFonts w:ascii="ITC Avant Garde" w:hAnsi="ITC Avant Garde"/>
            </w:rPr>
            <w:fldChar w:fldCharType="begin"/>
          </w:r>
          <w:r w:rsidRPr="00243F06">
            <w:rPr>
              <w:rFonts w:ascii="ITC Avant Garde" w:hAnsi="ITC Avant Garde"/>
            </w:rPr>
            <w:instrText xml:space="preserve"> TOC \o "1-3" \h \z \u </w:instrText>
          </w:r>
          <w:r w:rsidRPr="00243F06">
            <w:rPr>
              <w:rFonts w:ascii="ITC Avant Garde" w:hAnsi="ITC Avant Garde"/>
            </w:rPr>
            <w:fldChar w:fldCharType="separate"/>
          </w:r>
          <w:hyperlink w:anchor="_Toc107852330" w:history="1">
            <w:r w:rsidR="00243F06" w:rsidRPr="00243F06">
              <w:rPr>
                <w:rStyle w:val="Hipervnculo"/>
                <w:rFonts w:ascii="ITC Avant Garde" w:hAnsi="ITC Avant Garde"/>
                <w:noProof/>
              </w:rPr>
              <w:t>1.</w:t>
            </w:r>
            <w:r w:rsidR="00243F06" w:rsidRPr="00243F06">
              <w:rPr>
                <w:rFonts w:ascii="ITC Avant Garde" w:hAnsi="ITC Avant Garde" w:cstheme="minorBidi"/>
                <w:noProof/>
              </w:rPr>
              <w:tab/>
            </w:r>
            <w:r w:rsidR="00243F06" w:rsidRPr="00243F06">
              <w:rPr>
                <w:rStyle w:val="Hipervnculo"/>
                <w:rFonts w:ascii="ITC Avant Garde" w:hAnsi="ITC Avant Garde"/>
                <w:noProof/>
              </w:rPr>
              <w:t>Antecedentes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_Toc107852330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3</w:t>
            </w:r>
            <w:r w:rsidR="00243F06" w:rsidRPr="00243F06">
              <w:rPr>
                <w:rFonts w:ascii="ITC Avant Garde" w:hAnsi="ITC Avant Garde"/>
                <w:noProof/>
                <w:webHidden/>
              </w:rPr>
              <w:fldChar w:fldCharType="end"/>
            </w:r>
          </w:hyperlink>
        </w:p>
        <w:p w14:paraId="7B1EC2BB" w14:textId="4935DA78" w:rsidR="00243F06" w:rsidRPr="00243F06" w:rsidRDefault="00603B76">
          <w:pPr>
            <w:pStyle w:val="TDC2"/>
            <w:rPr>
              <w:rFonts w:ascii="ITC Avant Garde" w:hAnsi="ITC Avant Garde" w:cstheme="minorBidi"/>
              <w:noProof/>
            </w:rPr>
          </w:pPr>
          <w:hyperlink w:anchor="_Toc107852331" w:history="1">
            <w:r w:rsidR="00243F06" w:rsidRPr="00243F06">
              <w:rPr>
                <w:rStyle w:val="Hipervnculo"/>
                <w:rFonts w:ascii="ITC Avant Garde" w:eastAsia="MS Mincho" w:hAnsi="ITC Avant Garde" w:cs="Calibri"/>
                <w:bCs/>
                <w:noProof/>
              </w:rPr>
              <w:t>2.</w:t>
            </w:r>
            <w:r w:rsidR="00243F06" w:rsidRPr="00243F06">
              <w:rPr>
                <w:rFonts w:ascii="ITC Avant Garde" w:hAnsi="ITC Avant Garde" w:cstheme="minorBidi"/>
                <w:noProof/>
              </w:rPr>
              <w:tab/>
            </w:r>
            <w:r w:rsidR="00243F06" w:rsidRPr="00243F06">
              <w:rPr>
                <w:rStyle w:val="Hipervnculo"/>
                <w:rFonts w:ascii="ITC Avant Garde" w:eastAsia="MS Mincho" w:hAnsi="ITC Avant Garde" w:cs="Calibri"/>
                <w:bCs/>
                <w:noProof/>
              </w:rPr>
              <w:t>Principios de la metodología del Modelo de Acceso a Torres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_Toc107852331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5</w:t>
            </w:r>
            <w:r w:rsidR="00243F06" w:rsidRPr="00243F06">
              <w:rPr>
                <w:rFonts w:ascii="ITC Avant Garde" w:hAnsi="ITC Avant Garde"/>
                <w:noProof/>
                <w:webHidden/>
              </w:rPr>
              <w:fldChar w:fldCharType="end"/>
            </w:r>
          </w:hyperlink>
        </w:p>
        <w:p w14:paraId="66217040" w14:textId="119CEDF4" w:rsidR="00243F06" w:rsidRPr="00243F06" w:rsidRDefault="00603B76">
          <w:pPr>
            <w:pStyle w:val="TDC2"/>
            <w:rPr>
              <w:rFonts w:ascii="ITC Avant Garde" w:hAnsi="ITC Avant Garde" w:cstheme="minorBidi"/>
              <w:noProof/>
            </w:rPr>
          </w:pPr>
          <w:hyperlink w:anchor="_Toc107852332" w:history="1">
            <w:r w:rsidR="00243F06" w:rsidRPr="00243F06">
              <w:rPr>
                <w:rStyle w:val="Hipervnculo"/>
                <w:rFonts w:ascii="ITC Avant Garde" w:hAnsi="ITC Avant Garde"/>
                <w:noProof/>
              </w:rPr>
              <w:t>3.</w:t>
            </w:r>
            <w:r w:rsidR="00243F06" w:rsidRPr="00243F06">
              <w:rPr>
                <w:rFonts w:ascii="ITC Avant Garde" w:hAnsi="ITC Avant Garde" w:cstheme="minorBidi"/>
                <w:noProof/>
              </w:rPr>
              <w:tab/>
            </w:r>
            <w:r w:rsidR="00243F06" w:rsidRPr="00243F06">
              <w:rPr>
                <w:rStyle w:val="Hipervnculo"/>
                <w:rFonts w:ascii="ITC Avant Garde" w:hAnsi="ITC Avant Garde"/>
                <w:noProof/>
              </w:rPr>
              <w:t xml:space="preserve">Enfoque del </w:t>
            </w:r>
            <w:r w:rsidR="00243F06" w:rsidRPr="00243F06">
              <w:rPr>
                <w:rStyle w:val="Hipervnculo"/>
                <w:rFonts w:ascii="ITC Avant Garde" w:eastAsia="MS Mincho" w:hAnsi="ITC Avant Garde" w:cs="Calibri"/>
                <w:bCs/>
                <w:noProof/>
              </w:rPr>
              <w:t>Modelo de Acceso a Torres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_Toc107852332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7</w:t>
            </w:r>
            <w:r w:rsidR="00243F06" w:rsidRPr="00243F06">
              <w:rPr>
                <w:rFonts w:ascii="ITC Avant Garde" w:hAnsi="ITC Avant Garde"/>
                <w:noProof/>
                <w:webHidden/>
              </w:rPr>
              <w:fldChar w:fldCharType="end"/>
            </w:r>
          </w:hyperlink>
        </w:p>
        <w:p w14:paraId="2BDC2BE1" w14:textId="14A510B2" w:rsidR="00243F06" w:rsidRPr="00243F06" w:rsidRDefault="00603B76">
          <w:pPr>
            <w:pStyle w:val="TDC2"/>
            <w:rPr>
              <w:rFonts w:ascii="ITC Avant Garde" w:hAnsi="ITC Avant Garde" w:cstheme="minorBidi"/>
              <w:noProof/>
            </w:rPr>
          </w:pPr>
          <w:hyperlink w:anchor="_Toc107852333" w:history="1">
            <w:r w:rsidR="00243F06" w:rsidRPr="00243F06">
              <w:rPr>
                <w:rStyle w:val="Hipervnculo"/>
                <w:rFonts w:ascii="ITC Avant Garde" w:hAnsi="ITC Avant Garde"/>
                <w:noProof/>
              </w:rPr>
              <w:t>3.1 Variables consideradas en el Modelo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_Toc107852333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7</w:t>
            </w:r>
            <w:r w:rsidR="00243F06" w:rsidRPr="00243F06">
              <w:rPr>
                <w:rFonts w:ascii="ITC Avant Garde" w:hAnsi="ITC Avant Garde"/>
                <w:noProof/>
                <w:webHidden/>
              </w:rPr>
              <w:fldChar w:fldCharType="end"/>
            </w:r>
          </w:hyperlink>
        </w:p>
        <w:p w14:paraId="388C2E68" w14:textId="60313E9B" w:rsidR="00243F06" w:rsidRPr="00243F06" w:rsidRDefault="00603B76">
          <w:pPr>
            <w:pStyle w:val="TDC3"/>
            <w:tabs>
              <w:tab w:val="right" w:leader="dot" w:pos="8828"/>
            </w:tabs>
            <w:rPr>
              <w:rFonts w:ascii="ITC Avant Garde" w:hAnsi="ITC Avant Garde" w:cstheme="minorBidi"/>
              <w:noProof/>
            </w:rPr>
          </w:pPr>
          <w:hyperlink w:anchor="_Toc107852334" w:history="1">
            <w:r w:rsidR="00243F06" w:rsidRPr="00243F06">
              <w:rPr>
                <w:rStyle w:val="Hipervnculo"/>
                <w:rFonts w:ascii="ITC Avant Garde" w:hAnsi="ITC Avant Garde"/>
                <w:noProof/>
              </w:rPr>
              <w:t>3.1.1 Implementación paramétrica</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_Toc107852334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7</w:t>
            </w:r>
            <w:r w:rsidR="00243F06" w:rsidRPr="00243F06">
              <w:rPr>
                <w:rFonts w:ascii="ITC Avant Garde" w:hAnsi="ITC Avant Garde"/>
                <w:noProof/>
                <w:webHidden/>
              </w:rPr>
              <w:fldChar w:fldCharType="end"/>
            </w:r>
          </w:hyperlink>
        </w:p>
        <w:p w14:paraId="74DD132F" w14:textId="14FC7635" w:rsidR="00243F06" w:rsidRPr="00243F06" w:rsidRDefault="00603B76">
          <w:pPr>
            <w:pStyle w:val="TDC3"/>
            <w:tabs>
              <w:tab w:val="right" w:leader="dot" w:pos="8828"/>
            </w:tabs>
            <w:rPr>
              <w:rFonts w:ascii="ITC Avant Garde" w:hAnsi="ITC Avant Garde" w:cstheme="minorBidi"/>
              <w:noProof/>
            </w:rPr>
          </w:pPr>
          <w:hyperlink w:anchor="_Toc107852335" w:history="1">
            <w:r w:rsidR="00243F06" w:rsidRPr="00243F06">
              <w:rPr>
                <w:rStyle w:val="Hipervnculo"/>
                <w:rFonts w:ascii="ITC Avant Garde" w:hAnsi="ITC Avant Garde"/>
                <w:noProof/>
              </w:rPr>
              <w:t>3.1.2 Despliegue</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_Toc107852335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7</w:t>
            </w:r>
            <w:r w:rsidR="00243F06" w:rsidRPr="00243F06">
              <w:rPr>
                <w:rFonts w:ascii="ITC Avant Garde" w:hAnsi="ITC Avant Garde"/>
                <w:noProof/>
                <w:webHidden/>
              </w:rPr>
              <w:fldChar w:fldCharType="end"/>
            </w:r>
          </w:hyperlink>
        </w:p>
        <w:p w14:paraId="6035F63F" w14:textId="49BFA019" w:rsidR="00243F06" w:rsidRPr="00243F06" w:rsidRDefault="00603B76">
          <w:pPr>
            <w:pStyle w:val="TDC3"/>
            <w:tabs>
              <w:tab w:val="right" w:leader="dot" w:pos="8828"/>
            </w:tabs>
            <w:rPr>
              <w:rFonts w:ascii="ITC Avant Garde" w:hAnsi="ITC Avant Garde" w:cstheme="minorBidi"/>
              <w:noProof/>
            </w:rPr>
          </w:pPr>
          <w:hyperlink w:anchor="_Toc107852336" w:history="1">
            <w:r w:rsidR="00243F06" w:rsidRPr="00243F06">
              <w:rPr>
                <w:rStyle w:val="Hipervnculo"/>
                <w:rFonts w:ascii="ITC Avant Garde" w:hAnsi="ITC Avant Garde"/>
                <w:noProof/>
              </w:rPr>
              <w:t>3.1.3 Valoración de los activos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_Toc107852336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8</w:t>
            </w:r>
            <w:r w:rsidR="00243F06" w:rsidRPr="00243F06">
              <w:rPr>
                <w:rFonts w:ascii="ITC Avant Garde" w:hAnsi="ITC Avant Garde"/>
                <w:noProof/>
                <w:webHidden/>
              </w:rPr>
              <w:fldChar w:fldCharType="end"/>
            </w:r>
          </w:hyperlink>
        </w:p>
        <w:p w14:paraId="1134B89D" w14:textId="47AFE2DF" w:rsidR="00243F06" w:rsidRPr="00243F06" w:rsidRDefault="00603B76">
          <w:pPr>
            <w:pStyle w:val="TDC3"/>
            <w:tabs>
              <w:tab w:val="right" w:leader="dot" w:pos="8828"/>
            </w:tabs>
            <w:rPr>
              <w:rFonts w:ascii="ITC Avant Garde" w:hAnsi="ITC Avant Garde" w:cstheme="minorBidi"/>
              <w:noProof/>
            </w:rPr>
          </w:pPr>
          <w:hyperlink w:anchor="_Toc107852337" w:history="1">
            <w:r w:rsidR="00243F06" w:rsidRPr="00243F06">
              <w:rPr>
                <w:rStyle w:val="Hipervnculo"/>
                <w:rFonts w:ascii="ITC Avant Garde" w:hAnsi="ITC Avant Garde"/>
                <w:noProof/>
              </w:rPr>
              <w:t>3.1.4 Vida útil de los activos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_Toc107852337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8</w:t>
            </w:r>
            <w:r w:rsidR="00243F06" w:rsidRPr="00243F06">
              <w:rPr>
                <w:rFonts w:ascii="ITC Avant Garde" w:hAnsi="ITC Avant Garde"/>
                <w:noProof/>
                <w:webHidden/>
              </w:rPr>
              <w:fldChar w:fldCharType="end"/>
            </w:r>
          </w:hyperlink>
        </w:p>
        <w:p w14:paraId="2E9B1DD4" w14:textId="473FA8C7" w:rsidR="00243F06" w:rsidRPr="00243F06" w:rsidRDefault="00603B76">
          <w:pPr>
            <w:pStyle w:val="TDC3"/>
            <w:tabs>
              <w:tab w:val="right" w:leader="dot" w:pos="8828"/>
            </w:tabs>
            <w:rPr>
              <w:rFonts w:ascii="ITC Avant Garde" w:hAnsi="ITC Avant Garde" w:cstheme="minorBidi"/>
              <w:noProof/>
            </w:rPr>
          </w:pPr>
          <w:hyperlink w:anchor="_Toc107852338" w:history="1">
            <w:r w:rsidR="00243F06" w:rsidRPr="00243F06">
              <w:rPr>
                <w:rStyle w:val="Hipervnculo"/>
                <w:rFonts w:ascii="ITC Avant Garde" w:hAnsi="ITC Avant Garde"/>
                <w:noProof/>
              </w:rPr>
              <w:t>3.1.5 Demanda mayorista y periodo modelado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_Toc107852338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8</w:t>
            </w:r>
            <w:r w:rsidR="00243F06" w:rsidRPr="00243F06">
              <w:rPr>
                <w:rFonts w:ascii="ITC Avant Garde" w:hAnsi="ITC Avant Garde"/>
                <w:noProof/>
                <w:webHidden/>
              </w:rPr>
              <w:fldChar w:fldCharType="end"/>
            </w:r>
          </w:hyperlink>
        </w:p>
        <w:p w14:paraId="0FD409BD" w14:textId="426A8789" w:rsidR="00243F06" w:rsidRPr="00243F06" w:rsidRDefault="00603B76">
          <w:pPr>
            <w:pStyle w:val="TDC3"/>
            <w:tabs>
              <w:tab w:val="right" w:leader="dot" w:pos="8828"/>
            </w:tabs>
            <w:rPr>
              <w:rFonts w:ascii="ITC Avant Garde" w:hAnsi="ITC Avant Garde" w:cstheme="minorBidi"/>
              <w:noProof/>
            </w:rPr>
          </w:pPr>
          <w:hyperlink w:anchor="_Toc107852339" w:history="1">
            <w:r w:rsidR="00243F06" w:rsidRPr="00243F06">
              <w:rPr>
                <w:rStyle w:val="Hipervnculo"/>
                <w:rFonts w:ascii="ITC Avant Garde" w:hAnsi="ITC Avant Garde"/>
                <w:noProof/>
              </w:rPr>
              <w:t>3.1.6 Estimación de las inversiones y metodología de depreciación</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_Toc107852339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9</w:t>
            </w:r>
            <w:r w:rsidR="00243F06" w:rsidRPr="00243F06">
              <w:rPr>
                <w:rFonts w:ascii="ITC Avant Garde" w:hAnsi="ITC Avant Garde"/>
                <w:noProof/>
                <w:webHidden/>
              </w:rPr>
              <w:fldChar w:fldCharType="end"/>
            </w:r>
          </w:hyperlink>
        </w:p>
        <w:p w14:paraId="54864238" w14:textId="03F60BD4" w:rsidR="00243F06" w:rsidRPr="00243F06" w:rsidRDefault="00603B76">
          <w:pPr>
            <w:pStyle w:val="TDC3"/>
            <w:tabs>
              <w:tab w:val="right" w:leader="dot" w:pos="8828"/>
            </w:tabs>
            <w:rPr>
              <w:rFonts w:ascii="ITC Avant Garde" w:hAnsi="ITC Avant Garde" w:cstheme="minorBidi"/>
              <w:noProof/>
            </w:rPr>
          </w:pPr>
          <w:hyperlink w:anchor="_Toc107852340" w:history="1">
            <w:r w:rsidR="00243F06" w:rsidRPr="00243F06">
              <w:rPr>
                <w:rStyle w:val="Hipervnculo"/>
                <w:rFonts w:ascii="ITC Avant Garde" w:hAnsi="ITC Avant Garde"/>
                <w:noProof/>
              </w:rPr>
              <w:t>3.1.6.1 Actualización de CAPEX de Torre</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_Toc107852340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9</w:t>
            </w:r>
            <w:r w:rsidR="00243F06" w:rsidRPr="00243F06">
              <w:rPr>
                <w:rFonts w:ascii="ITC Avant Garde" w:hAnsi="ITC Avant Garde"/>
                <w:noProof/>
                <w:webHidden/>
              </w:rPr>
              <w:fldChar w:fldCharType="end"/>
            </w:r>
          </w:hyperlink>
        </w:p>
        <w:p w14:paraId="3DA73EC7" w14:textId="1F94A64B" w:rsidR="00243F06" w:rsidRPr="00243F06" w:rsidRDefault="00603B76">
          <w:pPr>
            <w:pStyle w:val="TDC3"/>
            <w:tabs>
              <w:tab w:val="right" w:leader="dot" w:pos="8828"/>
            </w:tabs>
            <w:rPr>
              <w:rFonts w:ascii="ITC Avant Garde" w:hAnsi="ITC Avant Garde" w:cstheme="minorBidi"/>
              <w:noProof/>
            </w:rPr>
          </w:pPr>
          <w:hyperlink w:anchor="_Toc107852341" w:history="1">
            <w:r w:rsidR="00243F06" w:rsidRPr="00243F06">
              <w:rPr>
                <w:rStyle w:val="Hipervnculo"/>
                <w:rFonts w:ascii="ITC Avant Garde" w:hAnsi="ITC Avant Garde"/>
                <w:noProof/>
              </w:rPr>
              <w:t>3.1.6.2 Depreciación y costos operativos.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_Toc107852341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11</w:t>
            </w:r>
            <w:r w:rsidR="00243F06" w:rsidRPr="00243F06">
              <w:rPr>
                <w:rFonts w:ascii="ITC Avant Garde" w:hAnsi="ITC Avant Garde"/>
                <w:noProof/>
                <w:webHidden/>
              </w:rPr>
              <w:fldChar w:fldCharType="end"/>
            </w:r>
          </w:hyperlink>
        </w:p>
        <w:p w14:paraId="5420295D" w14:textId="2A8B4934" w:rsidR="00243F06" w:rsidRPr="00243F06" w:rsidRDefault="00603B76">
          <w:pPr>
            <w:pStyle w:val="TDC3"/>
            <w:tabs>
              <w:tab w:val="right" w:leader="dot" w:pos="8828"/>
            </w:tabs>
            <w:rPr>
              <w:rFonts w:ascii="ITC Avant Garde" w:hAnsi="ITC Avant Garde" w:cstheme="minorBidi"/>
              <w:noProof/>
            </w:rPr>
          </w:pPr>
          <w:hyperlink w:anchor="_Toc107852342" w:history="1">
            <w:r w:rsidR="00243F06" w:rsidRPr="00243F06">
              <w:rPr>
                <w:rStyle w:val="Hipervnculo"/>
                <w:rFonts w:ascii="ITC Avant Garde" w:hAnsi="ITC Avant Garde"/>
                <w:noProof/>
              </w:rPr>
              <w:t>3.1.7 Asignación de costos compartidos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_Toc107852342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12</w:t>
            </w:r>
            <w:r w:rsidR="00243F06" w:rsidRPr="00243F06">
              <w:rPr>
                <w:rFonts w:ascii="ITC Avant Garde" w:hAnsi="ITC Avant Garde"/>
                <w:noProof/>
                <w:webHidden/>
              </w:rPr>
              <w:fldChar w:fldCharType="end"/>
            </w:r>
          </w:hyperlink>
        </w:p>
        <w:p w14:paraId="70DFC327" w14:textId="3D914BEF" w:rsidR="00243F06" w:rsidRPr="00243F06" w:rsidRDefault="00603B76">
          <w:pPr>
            <w:pStyle w:val="TDC3"/>
            <w:tabs>
              <w:tab w:val="right" w:leader="dot" w:pos="8828"/>
            </w:tabs>
            <w:rPr>
              <w:rFonts w:ascii="ITC Avant Garde" w:hAnsi="ITC Avant Garde" w:cstheme="minorBidi"/>
              <w:noProof/>
            </w:rPr>
          </w:pPr>
          <w:hyperlink w:anchor="_Toc107852343" w:history="1">
            <w:r w:rsidR="00243F06" w:rsidRPr="00243F06">
              <w:rPr>
                <w:rStyle w:val="Hipervnculo"/>
                <w:rFonts w:ascii="ITC Avant Garde" w:hAnsi="ITC Avant Garde"/>
                <w:noProof/>
              </w:rPr>
              <w:t>3.1.8 Asignación de costos comunes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_Toc107852343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12</w:t>
            </w:r>
            <w:r w:rsidR="00243F06" w:rsidRPr="00243F06">
              <w:rPr>
                <w:rFonts w:ascii="ITC Avant Garde" w:hAnsi="ITC Avant Garde"/>
                <w:noProof/>
                <w:webHidden/>
              </w:rPr>
              <w:fldChar w:fldCharType="end"/>
            </w:r>
          </w:hyperlink>
        </w:p>
        <w:p w14:paraId="534E9E5C" w14:textId="2ABD46E4" w:rsidR="00243F06" w:rsidRPr="00243F06" w:rsidRDefault="00603B76">
          <w:pPr>
            <w:pStyle w:val="TDC3"/>
            <w:tabs>
              <w:tab w:val="right" w:leader="dot" w:pos="8828"/>
            </w:tabs>
            <w:rPr>
              <w:rFonts w:ascii="ITC Avant Garde" w:hAnsi="ITC Avant Garde" w:cstheme="minorBidi"/>
              <w:noProof/>
            </w:rPr>
          </w:pPr>
          <w:hyperlink w:anchor="_Toc107852344" w:history="1">
            <w:r w:rsidR="00243F06" w:rsidRPr="00243F06">
              <w:rPr>
                <w:rStyle w:val="Hipervnculo"/>
                <w:rFonts w:ascii="ITC Avant Garde" w:hAnsi="ITC Avant Garde"/>
                <w:noProof/>
                <w:lang w:val="es-ES"/>
              </w:rPr>
              <w:t>3.1.9 Costo de Capital Promedio Ponderado.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_Toc107852344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12</w:t>
            </w:r>
            <w:r w:rsidR="00243F06" w:rsidRPr="00243F06">
              <w:rPr>
                <w:rFonts w:ascii="ITC Avant Garde" w:hAnsi="ITC Avant Garde"/>
                <w:noProof/>
                <w:webHidden/>
              </w:rPr>
              <w:fldChar w:fldCharType="end"/>
            </w:r>
          </w:hyperlink>
        </w:p>
        <w:p w14:paraId="0A1E1E8B" w14:textId="65EF1B4A" w:rsidR="00243F06" w:rsidRPr="00243F06" w:rsidRDefault="00603B76">
          <w:pPr>
            <w:pStyle w:val="TDC2"/>
            <w:rPr>
              <w:rFonts w:ascii="ITC Avant Garde" w:hAnsi="ITC Avant Garde" w:cstheme="minorBidi"/>
              <w:noProof/>
            </w:rPr>
          </w:pPr>
          <w:hyperlink w:anchor="_Toc107852345" w:history="1">
            <w:r w:rsidR="00243F06" w:rsidRPr="00243F06">
              <w:rPr>
                <w:rStyle w:val="Hipervnculo"/>
                <w:rFonts w:ascii="ITC Avant Garde" w:eastAsia="Times New Roman" w:hAnsi="ITC Avant Garde"/>
                <w:bCs/>
                <w:noProof/>
              </w:rPr>
              <w:t>4.</w:t>
            </w:r>
            <w:r w:rsidR="00243F06" w:rsidRPr="00243F06">
              <w:rPr>
                <w:rFonts w:ascii="ITC Avant Garde" w:hAnsi="ITC Avant Garde" w:cstheme="minorBidi"/>
                <w:noProof/>
              </w:rPr>
              <w:tab/>
            </w:r>
            <w:r w:rsidR="00243F06" w:rsidRPr="00243F06">
              <w:rPr>
                <w:rStyle w:val="Hipervnculo"/>
                <w:rFonts w:ascii="ITC Avant Garde" w:hAnsi="ITC Avant Garde"/>
                <w:noProof/>
              </w:rPr>
              <w:t xml:space="preserve">Aspectos relacionados con el proceso de cálculo de la metodología del </w:t>
            </w:r>
            <w:r w:rsidR="00243F06" w:rsidRPr="00243F06">
              <w:rPr>
                <w:rStyle w:val="Hipervnculo"/>
                <w:rFonts w:ascii="ITC Avant Garde" w:eastAsia="MS Mincho" w:hAnsi="ITC Avant Garde" w:cs="Calibri"/>
                <w:bCs/>
                <w:noProof/>
              </w:rPr>
              <w:t>Modelo de Acceso a Torres.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_Toc107852345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12</w:t>
            </w:r>
            <w:r w:rsidR="00243F06" w:rsidRPr="00243F06">
              <w:rPr>
                <w:rFonts w:ascii="ITC Avant Garde" w:hAnsi="ITC Avant Garde"/>
                <w:noProof/>
                <w:webHidden/>
              </w:rPr>
              <w:fldChar w:fldCharType="end"/>
            </w:r>
          </w:hyperlink>
        </w:p>
        <w:p w14:paraId="40867C49" w14:textId="767E2CC8" w:rsidR="00243F06" w:rsidRPr="00243F06" w:rsidRDefault="00603B76">
          <w:pPr>
            <w:pStyle w:val="TDC2"/>
            <w:rPr>
              <w:rFonts w:ascii="ITC Avant Garde" w:hAnsi="ITC Avant Garde" w:cstheme="minorBidi"/>
              <w:noProof/>
            </w:rPr>
          </w:pPr>
          <w:hyperlink w:anchor="_Toc107852346" w:history="1">
            <w:r w:rsidR="00243F06" w:rsidRPr="00243F06">
              <w:rPr>
                <w:rStyle w:val="Hipervnculo"/>
                <w:rFonts w:ascii="ITC Avant Garde" w:hAnsi="ITC Avant Garde"/>
                <w:noProof/>
              </w:rPr>
              <w:t>Actualización de referencias de geotipo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_Toc107852346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13</w:t>
            </w:r>
            <w:r w:rsidR="00243F06" w:rsidRPr="00243F06">
              <w:rPr>
                <w:rFonts w:ascii="ITC Avant Garde" w:hAnsi="ITC Avant Garde"/>
                <w:noProof/>
                <w:webHidden/>
              </w:rPr>
              <w:fldChar w:fldCharType="end"/>
            </w:r>
          </w:hyperlink>
        </w:p>
        <w:p w14:paraId="025AC26F" w14:textId="45612002" w:rsidR="00243F06" w:rsidRPr="00243F06" w:rsidRDefault="00603B76">
          <w:pPr>
            <w:pStyle w:val="TDC2"/>
            <w:rPr>
              <w:rFonts w:ascii="ITC Avant Garde" w:hAnsi="ITC Avant Garde" w:cstheme="minorBidi"/>
              <w:noProof/>
            </w:rPr>
          </w:pPr>
          <w:hyperlink w:anchor="_Toc107852347" w:history="1">
            <w:r w:rsidR="00243F06" w:rsidRPr="00243F06">
              <w:rPr>
                <w:rStyle w:val="Hipervnculo"/>
                <w:rFonts w:ascii="ITC Avant Garde" w:hAnsi="ITC Avant Garde"/>
                <w:noProof/>
              </w:rPr>
              <w:t>4.1 Cálculo sitio a sitio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_Toc107852347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16</w:t>
            </w:r>
            <w:r w:rsidR="00243F06" w:rsidRPr="00243F06">
              <w:rPr>
                <w:rFonts w:ascii="ITC Avant Garde" w:hAnsi="ITC Avant Garde"/>
                <w:noProof/>
                <w:webHidden/>
              </w:rPr>
              <w:fldChar w:fldCharType="end"/>
            </w:r>
          </w:hyperlink>
        </w:p>
        <w:p w14:paraId="6EE1BB7E" w14:textId="4BE12515" w:rsidR="00243F06" w:rsidRPr="00243F06" w:rsidRDefault="00603B76">
          <w:pPr>
            <w:pStyle w:val="TDC3"/>
            <w:tabs>
              <w:tab w:val="right" w:leader="dot" w:pos="8828"/>
            </w:tabs>
            <w:rPr>
              <w:rFonts w:ascii="ITC Avant Garde" w:hAnsi="ITC Avant Garde" w:cstheme="minorBidi"/>
              <w:noProof/>
            </w:rPr>
          </w:pPr>
          <w:hyperlink w:anchor="_Toc107852348" w:history="1">
            <w:r w:rsidR="00243F06" w:rsidRPr="00243F06">
              <w:rPr>
                <w:rStyle w:val="Hipervnculo"/>
                <w:rFonts w:ascii="ITC Avant Garde" w:hAnsi="ITC Avant Garde"/>
                <w:noProof/>
              </w:rPr>
              <w:t>4.1.1 Parámetros fijos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_Toc107852348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16</w:t>
            </w:r>
            <w:r w:rsidR="00243F06" w:rsidRPr="00243F06">
              <w:rPr>
                <w:rFonts w:ascii="ITC Avant Garde" w:hAnsi="ITC Avant Garde"/>
                <w:noProof/>
                <w:webHidden/>
              </w:rPr>
              <w:fldChar w:fldCharType="end"/>
            </w:r>
          </w:hyperlink>
        </w:p>
        <w:p w14:paraId="64E2C031" w14:textId="16A1A5BD" w:rsidR="00243F06" w:rsidRPr="00243F06" w:rsidRDefault="00603B76">
          <w:pPr>
            <w:pStyle w:val="TDC3"/>
            <w:tabs>
              <w:tab w:val="right" w:leader="dot" w:pos="8828"/>
            </w:tabs>
            <w:rPr>
              <w:rFonts w:ascii="ITC Avant Garde" w:hAnsi="ITC Avant Garde" w:cstheme="minorBidi"/>
              <w:noProof/>
            </w:rPr>
          </w:pPr>
          <w:hyperlink w:anchor="_Toc107852349" w:history="1">
            <w:r w:rsidR="00243F06" w:rsidRPr="00243F06">
              <w:rPr>
                <w:rStyle w:val="Hipervnculo"/>
                <w:rFonts w:ascii="ITC Avant Garde" w:hAnsi="ITC Avant Garde"/>
                <w:noProof/>
              </w:rPr>
              <w:t>4.1.2 Parámetros variables</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_Toc107852349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16</w:t>
            </w:r>
            <w:r w:rsidR="00243F06" w:rsidRPr="00243F06">
              <w:rPr>
                <w:rFonts w:ascii="ITC Avant Garde" w:hAnsi="ITC Avant Garde"/>
                <w:noProof/>
                <w:webHidden/>
              </w:rPr>
              <w:fldChar w:fldCharType="end"/>
            </w:r>
          </w:hyperlink>
        </w:p>
        <w:p w14:paraId="69F40C76" w14:textId="31FE7588" w:rsidR="00243F06" w:rsidRPr="00243F06" w:rsidRDefault="00603B76">
          <w:pPr>
            <w:pStyle w:val="TDC2"/>
            <w:rPr>
              <w:rFonts w:ascii="ITC Avant Garde" w:hAnsi="ITC Avant Garde" w:cstheme="minorBidi"/>
              <w:noProof/>
            </w:rPr>
          </w:pPr>
          <w:hyperlink w:anchor="_Toc107852350" w:history="1">
            <w:r w:rsidR="00243F06" w:rsidRPr="00243F06">
              <w:rPr>
                <w:rStyle w:val="Hipervnculo"/>
                <w:rFonts w:ascii="ITC Avant Garde" w:hAnsi="ITC Avant Garde"/>
                <w:noProof/>
              </w:rPr>
              <w:t>4.2 Proceso de cálculo sitio a sitio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_Toc107852350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17</w:t>
            </w:r>
            <w:r w:rsidR="00243F06" w:rsidRPr="00243F06">
              <w:rPr>
                <w:rFonts w:ascii="ITC Avant Garde" w:hAnsi="ITC Avant Garde"/>
                <w:noProof/>
                <w:webHidden/>
              </w:rPr>
              <w:fldChar w:fldCharType="end"/>
            </w:r>
          </w:hyperlink>
        </w:p>
        <w:p w14:paraId="528F03F3" w14:textId="536DA4A6" w:rsidR="00243F06" w:rsidRPr="00243F06" w:rsidRDefault="00603B76">
          <w:pPr>
            <w:pStyle w:val="TDC2"/>
            <w:rPr>
              <w:rFonts w:ascii="ITC Avant Garde" w:hAnsi="ITC Avant Garde" w:cstheme="minorBidi"/>
              <w:noProof/>
            </w:rPr>
          </w:pPr>
          <w:hyperlink w:anchor="_Toc107852351" w:history="1">
            <w:r w:rsidR="00243F06" w:rsidRPr="00243F06">
              <w:rPr>
                <w:rStyle w:val="Hipervnculo"/>
                <w:rFonts w:ascii="ITC Avant Garde" w:hAnsi="ITC Avant Garde"/>
                <w:noProof/>
              </w:rPr>
              <w:t>4.3 Cálculo de tarifa por geotipo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_Toc107852351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20</w:t>
            </w:r>
            <w:r w:rsidR="00243F06" w:rsidRPr="00243F06">
              <w:rPr>
                <w:rFonts w:ascii="ITC Avant Garde" w:hAnsi="ITC Avant Garde"/>
                <w:noProof/>
                <w:webHidden/>
              </w:rPr>
              <w:fldChar w:fldCharType="end"/>
            </w:r>
          </w:hyperlink>
        </w:p>
        <w:p w14:paraId="53976F7F" w14:textId="683864D6" w:rsidR="00243F06" w:rsidRPr="00243F06" w:rsidRDefault="00603B76">
          <w:pPr>
            <w:pStyle w:val="TDC2"/>
            <w:rPr>
              <w:rFonts w:ascii="ITC Avant Garde" w:hAnsi="ITC Avant Garde" w:cstheme="minorBidi"/>
              <w:noProof/>
            </w:rPr>
          </w:pPr>
          <w:hyperlink w:anchor="_Toc107852352" w:history="1">
            <w:r w:rsidR="00243F06" w:rsidRPr="00243F06">
              <w:rPr>
                <w:rStyle w:val="Hipervnculo"/>
                <w:rFonts w:ascii="ITC Avant Garde" w:hAnsi="ITC Avant Garde"/>
                <w:noProof/>
              </w:rPr>
              <w:t>5.</w:t>
            </w:r>
            <w:r w:rsidR="00243F06" w:rsidRPr="00243F06">
              <w:rPr>
                <w:rFonts w:ascii="ITC Avant Garde" w:hAnsi="ITC Avant Garde" w:cstheme="minorBidi"/>
                <w:noProof/>
              </w:rPr>
              <w:tab/>
            </w:r>
            <w:r w:rsidR="00243F06" w:rsidRPr="00243F06">
              <w:rPr>
                <w:rStyle w:val="Hipervnculo"/>
                <w:rFonts w:ascii="ITC Avant Garde" w:hAnsi="ITC Avant Garde"/>
                <w:noProof/>
              </w:rPr>
              <w:t>Estructura del modelo (diagrama de flujo)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_Toc107852352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22</w:t>
            </w:r>
            <w:r w:rsidR="00243F06" w:rsidRPr="00243F06">
              <w:rPr>
                <w:rFonts w:ascii="ITC Avant Garde" w:hAnsi="ITC Avant Garde"/>
                <w:noProof/>
                <w:webHidden/>
              </w:rPr>
              <w:fldChar w:fldCharType="end"/>
            </w:r>
          </w:hyperlink>
        </w:p>
        <w:p w14:paraId="739D3C64" w14:textId="0866384A" w:rsidR="00243F06" w:rsidRPr="00243F06" w:rsidRDefault="00603B76">
          <w:pPr>
            <w:pStyle w:val="TDC2"/>
            <w:rPr>
              <w:rFonts w:ascii="ITC Avant Garde" w:hAnsi="ITC Avant Garde" w:cstheme="minorBidi"/>
              <w:noProof/>
            </w:rPr>
          </w:pPr>
          <w:hyperlink w:anchor="_Toc107852353" w:history="1">
            <w:r w:rsidR="00243F06" w:rsidRPr="00243F06">
              <w:rPr>
                <w:rStyle w:val="Hipervnculo"/>
                <w:rFonts w:ascii="ITC Avant Garde" w:hAnsi="ITC Avant Garde"/>
                <w:noProof/>
              </w:rPr>
              <w:t>6.</w:t>
            </w:r>
            <w:r w:rsidR="00243F06" w:rsidRPr="00243F06">
              <w:rPr>
                <w:rFonts w:ascii="ITC Avant Garde" w:hAnsi="ITC Avant Garde" w:cstheme="minorBidi"/>
                <w:noProof/>
              </w:rPr>
              <w:tab/>
            </w:r>
            <w:r w:rsidR="00243F06" w:rsidRPr="00243F06">
              <w:rPr>
                <w:rStyle w:val="Hipervnculo"/>
                <w:rFonts w:ascii="ITC Avant Garde" w:hAnsi="ITC Avant Garde"/>
                <w:noProof/>
              </w:rPr>
              <w:t xml:space="preserve">Tarifas estimadas por el </w:t>
            </w:r>
            <w:r w:rsidR="00243F06" w:rsidRPr="00243F06">
              <w:rPr>
                <w:rStyle w:val="Hipervnculo"/>
                <w:rFonts w:ascii="ITC Avant Garde" w:eastAsia="MS Mincho" w:hAnsi="ITC Avant Garde" w:cs="Calibri"/>
                <w:bCs/>
                <w:noProof/>
              </w:rPr>
              <w:t>Modelo de Acceso a Torres</w:t>
            </w:r>
            <w:r w:rsidR="00243F06" w:rsidRPr="00243F06">
              <w:rPr>
                <w:rStyle w:val="Hipervnculo"/>
                <w:rFonts w:ascii="ITC Avant Garde" w:hAnsi="ITC Avant Garde"/>
                <w:noProof/>
              </w:rPr>
              <w:t>.</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_Toc107852353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24</w:t>
            </w:r>
            <w:r w:rsidR="00243F06" w:rsidRPr="00243F06">
              <w:rPr>
                <w:rFonts w:ascii="ITC Avant Garde" w:hAnsi="ITC Avant Garde"/>
                <w:noProof/>
                <w:webHidden/>
              </w:rPr>
              <w:fldChar w:fldCharType="end"/>
            </w:r>
          </w:hyperlink>
        </w:p>
        <w:p w14:paraId="7222BFB0" w14:textId="5DEBE0F0" w:rsidR="00243F06" w:rsidRPr="00243F06" w:rsidRDefault="00603B76">
          <w:pPr>
            <w:pStyle w:val="TDC2"/>
            <w:rPr>
              <w:rFonts w:ascii="ITC Avant Garde" w:hAnsi="ITC Avant Garde" w:cstheme="minorBidi"/>
              <w:noProof/>
            </w:rPr>
          </w:pPr>
          <w:hyperlink w:anchor="_Toc107852354" w:history="1">
            <w:r w:rsidR="00243F06" w:rsidRPr="00243F06">
              <w:rPr>
                <w:rStyle w:val="Hipervnculo"/>
                <w:rFonts w:ascii="ITC Avant Garde" w:hAnsi="ITC Avant Garde"/>
                <w:noProof/>
              </w:rPr>
              <w:t>6.1 Por el acceso y uso de Espacio Aprobado en Torre</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_Toc107852354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24</w:t>
            </w:r>
            <w:r w:rsidR="00243F06" w:rsidRPr="00243F06">
              <w:rPr>
                <w:rFonts w:ascii="ITC Avant Garde" w:hAnsi="ITC Avant Garde"/>
                <w:noProof/>
                <w:webHidden/>
              </w:rPr>
              <w:fldChar w:fldCharType="end"/>
            </w:r>
          </w:hyperlink>
        </w:p>
        <w:p w14:paraId="3A20AA6A" w14:textId="7D720640" w:rsidR="00243F06" w:rsidRPr="00243F06" w:rsidRDefault="00603B76">
          <w:pPr>
            <w:pStyle w:val="TDC3"/>
            <w:tabs>
              <w:tab w:val="right" w:leader="dot" w:pos="8828"/>
            </w:tabs>
            <w:rPr>
              <w:rFonts w:ascii="ITC Avant Garde" w:hAnsi="ITC Avant Garde" w:cstheme="minorBidi"/>
              <w:noProof/>
            </w:rPr>
          </w:pPr>
          <w:hyperlink w:anchor="_Toc107852355" w:history="1">
            <w:r w:rsidR="00243F06" w:rsidRPr="00243F06">
              <w:rPr>
                <w:rStyle w:val="Hipervnculo"/>
                <w:rFonts w:ascii="ITC Avant Garde" w:hAnsi="ITC Avant Garde"/>
                <w:noProof/>
              </w:rPr>
              <w:t>6.1.1 Estructura situada en una azotea</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_Toc107852355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24</w:t>
            </w:r>
            <w:r w:rsidR="00243F06" w:rsidRPr="00243F06">
              <w:rPr>
                <w:rFonts w:ascii="ITC Avant Garde" w:hAnsi="ITC Avant Garde"/>
                <w:noProof/>
                <w:webHidden/>
              </w:rPr>
              <w:fldChar w:fldCharType="end"/>
            </w:r>
          </w:hyperlink>
        </w:p>
        <w:p w14:paraId="12367881" w14:textId="26B8935A" w:rsidR="00243F06" w:rsidRPr="00243F06" w:rsidRDefault="00603B76">
          <w:pPr>
            <w:pStyle w:val="TDC3"/>
            <w:tabs>
              <w:tab w:val="right" w:leader="dot" w:pos="8828"/>
            </w:tabs>
            <w:rPr>
              <w:rFonts w:ascii="ITC Avant Garde" w:hAnsi="ITC Avant Garde" w:cstheme="minorBidi"/>
              <w:noProof/>
            </w:rPr>
          </w:pPr>
          <w:hyperlink w:anchor="_Toc107852356" w:history="1">
            <w:r w:rsidR="00243F06" w:rsidRPr="00243F06">
              <w:rPr>
                <w:rStyle w:val="Hipervnculo"/>
                <w:rFonts w:ascii="ITC Avant Garde" w:hAnsi="ITC Avant Garde"/>
                <w:noProof/>
              </w:rPr>
              <w:t>6.1.2 Estructura situada al nivel del suelo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_Toc107852356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24</w:t>
            </w:r>
            <w:r w:rsidR="00243F06" w:rsidRPr="00243F06">
              <w:rPr>
                <w:rFonts w:ascii="ITC Avant Garde" w:hAnsi="ITC Avant Garde"/>
                <w:noProof/>
                <w:webHidden/>
              </w:rPr>
              <w:fldChar w:fldCharType="end"/>
            </w:r>
          </w:hyperlink>
        </w:p>
        <w:p w14:paraId="4EB9B817" w14:textId="48ECECA3" w:rsidR="00243F06" w:rsidRPr="00243F06" w:rsidRDefault="00603B76">
          <w:pPr>
            <w:pStyle w:val="TDC2"/>
            <w:rPr>
              <w:rFonts w:ascii="ITC Avant Garde" w:hAnsi="ITC Avant Garde" w:cstheme="minorBidi"/>
              <w:noProof/>
            </w:rPr>
          </w:pPr>
          <w:hyperlink w:anchor="_Toc107852357" w:history="1">
            <w:r w:rsidR="00243F06" w:rsidRPr="00243F06">
              <w:rPr>
                <w:rStyle w:val="Hipervnculo"/>
                <w:rFonts w:ascii="ITC Avant Garde" w:hAnsi="ITC Avant Garde"/>
                <w:noProof/>
              </w:rPr>
              <w:t>6.2 Por el acceso y uso de Espacio Aprobado en Piso</w:t>
            </w:r>
            <w:r w:rsidR="00243F06" w:rsidRPr="00243F06">
              <w:rPr>
                <w:rFonts w:ascii="ITC Avant Garde" w:hAnsi="ITC Avant Garde"/>
                <w:noProof/>
                <w:webHidden/>
              </w:rPr>
              <w:tab/>
            </w:r>
            <w:r w:rsidR="00243F06" w:rsidRPr="00243F06">
              <w:rPr>
                <w:rFonts w:ascii="ITC Avant Garde" w:hAnsi="ITC Avant Garde"/>
                <w:noProof/>
                <w:webHidden/>
              </w:rPr>
              <w:fldChar w:fldCharType="begin"/>
            </w:r>
            <w:r w:rsidR="00243F06" w:rsidRPr="00243F06">
              <w:rPr>
                <w:rFonts w:ascii="ITC Avant Garde" w:hAnsi="ITC Avant Garde"/>
                <w:noProof/>
                <w:webHidden/>
              </w:rPr>
              <w:instrText xml:space="preserve"> PAGEREF _Toc107852357 \h </w:instrText>
            </w:r>
            <w:r w:rsidR="00243F06" w:rsidRPr="00243F06">
              <w:rPr>
                <w:rFonts w:ascii="ITC Avant Garde" w:hAnsi="ITC Avant Garde"/>
                <w:noProof/>
                <w:webHidden/>
              </w:rPr>
            </w:r>
            <w:r w:rsidR="00243F06" w:rsidRPr="00243F06">
              <w:rPr>
                <w:rFonts w:ascii="ITC Avant Garde" w:hAnsi="ITC Avant Garde"/>
                <w:noProof/>
                <w:webHidden/>
              </w:rPr>
              <w:fldChar w:fldCharType="separate"/>
            </w:r>
            <w:r w:rsidR="00243F06" w:rsidRPr="00243F06">
              <w:rPr>
                <w:rFonts w:ascii="ITC Avant Garde" w:hAnsi="ITC Avant Garde"/>
                <w:noProof/>
                <w:webHidden/>
              </w:rPr>
              <w:t>25</w:t>
            </w:r>
            <w:r w:rsidR="00243F06" w:rsidRPr="00243F06">
              <w:rPr>
                <w:rFonts w:ascii="ITC Avant Garde" w:hAnsi="ITC Avant Garde"/>
                <w:noProof/>
                <w:webHidden/>
              </w:rPr>
              <w:fldChar w:fldCharType="end"/>
            </w:r>
          </w:hyperlink>
        </w:p>
        <w:p w14:paraId="5B5E0BEF" w14:textId="17E7C5A9" w:rsidR="00681CB9" w:rsidRDefault="00681CB9">
          <w:r w:rsidRPr="00243F06">
            <w:rPr>
              <w:rFonts w:ascii="ITC Avant Garde" w:hAnsi="ITC Avant Garde"/>
              <w:bCs/>
              <w:lang w:val="es-ES"/>
            </w:rPr>
            <w:fldChar w:fldCharType="end"/>
          </w:r>
        </w:p>
      </w:sdtContent>
    </w:sdt>
    <w:p w14:paraId="07649107" w14:textId="77777777" w:rsidR="008B0757" w:rsidRPr="00681CB9" w:rsidRDefault="008B0757" w:rsidP="009D7578">
      <w:pPr>
        <w:jc w:val="center"/>
        <w:rPr>
          <w:rFonts w:ascii="ITC Avant Garde" w:hAnsi="ITC Avant Garde"/>
          <w:b/>
          <w:sz w:val="24"/>
        </w:rPr>
      </w:pPr>
    </w:p>
    <w:p w14:paraId="37219862" w14:textId="77777777" w:rsidR="008B0757" w:rsidRPr="00681CB9" w:rsidRDefault="008B0757" w:rsidP="009D7578">
      <w:pPr>
        <w:jc w:val="center"/>
        <w:rPr>
          <w:rFonts w:ascii="ITC Avant Garde" w:hAnsi="ITC Avant Garde"/>
          <w:b/>
          <w:sz w:val="24"/>
        </w:rPr>
      </w:pPr>
    </w:p>
    <w:p w14:paraId="4B59C4DA" w14:textId="6A229F06" w:rsidR="008B0757" w:rsidRPr="00681CB9" w:rsidRDefault="00FE0D86" w:rsidP="00FE0D86">
      <w:pPr>
        <w:jc w:val="center"/>
        <w:rPr>
          <w:rFonts w:ascii="ITC Avant Garde" w:hAnsi="ITC Avant Garde"/>
          <w:b/>
          <w:sz w:val="24"/>
        </w:rPr>
      </w:pPr>
      <w:r w:rsidRPr="00681CB9">
        <w:rPr>
          <w:rFonts w:ascii="ITC Avant Garde" w:hAnsi="ITC Avant Garde"/>
          <w:b/>
          <w:sz w:val="24"/>
        </w:rPr>
        <w:t>Modelo de Acceso a Torres para Servicios de la Oferta de Referencia para la prestación del Servicio de Acceso y Uso Compartido de Infraestructura Pasiva Fija</w:t>
      </w:r>
    </w:p>
    <w:p w14:paraId="595547A2" w14:textId="37A9F941" w:rsidR="00FE0D86" w:rsidRPr="00681CB9" w:rsidRDefault="00FE0D86" w:rsidP="009D7578">
      <w:pPr>
        <w:jc w:val="center"/>
        <w:rPr>
          <w:rFonts w:ascii="ITC Avant Garde" w:hAnsi="ITC Avant Garde"/>
          <w:b/>
          <w:sz w:val="24"/>
        </w:rPr>
      </w:pPr>
    </w:p>
    <w:p w14:paraId="0ECBFF91" w14:textId="35FDA3E3" w:rsidR="00FE0D86" w:rsidRPr="00681CB9" w:rsidRDefault="00D94A35" w:rsidP="004A101A">
      <w:pPr>
        <w:pStyle w:val="T2IFT"/>
      </w:pPr>
      <w:bookmarkStart w:id="1" w:name="_Toc107852330"/>
      <w:r>
        <w:t>Antecedentes</w:t>
      </w:r>
      <w:bookmarkEnd w:id="1"/>
    </w:p>
    <w:p w14:paraId="61021F96" w14:textId="4AE402E5" w:rsidR="003D0158" w:rsidRPr="003D0158" w:rsidRDefault="00F0644C" w:rsidP="003D0158">
      <w:pPr>
        <w:jc w:val="both"/>
        <w:rPr>
          <w:rStyle w:val="IFTnormalCar"/>
        </w:rPr>
      </w:pPr>
      <w:r>
        <w:rPr>
          <w:rStyle w:val="IFTnormalCar"/>
        </w:rPr>
        <w:t>E</w:t>
      </w:r>
      <w:r w:rsidRPr="003D0158">
        <w:rPr>
          <w:rStyle w:val="IFTnormalCar"/>
        </w:rPr>
        <w:t>l 7 de julio de 2017</w:t>
      </w:r>
      <w:r>
        <w:rPr>
          <w:rStyle w:val="IFTnormalCar"/>
        </w:rPr>
        <w:t>, m</w:t>
      </w:r>
      <w:r w:rsidR="003D0158" w:rsidRPr="003D0158">
        <w:rPr>
          <w:rStyle w:val="IFTnormalCar"/>
        </w:rPr>
        <w:t>ediante Acuerdo P/IFT/EXT/070717/164</w:t>
      </w:r>
      <w:r w:rsidR="00D94A35">
        <w:rPr>
          <w:rStyle w:val="IFTnormalCar"/>
        </w:rPr>
        <w:t>,</w:t>
      </w:r>
      <w:r w:rsidR="007D77D0">
        <w:rPr>
          <w:rStyle w:val="IFTnormalCar"/>
        </w:rPr>
        <w:t xml:space="preserve"> </w:t>
      </w:r>
      <w:r w:rsidR="003D0158" w:rsidRPr="003D0158">
        <w:rPr>
          <w:rStyle w:val="IFTnormalCar"/>
        </w:rPr>
        <w:t xml:space="preserve">el Pleno del Instituto </w:t>
      </w:r>
      <w:r w:rsidR="00113CCA">
        <w:rPr>
          <w:rStyle w:val="IFTnormalCar"/>
        </w:rPr>
        <w:t xml:space="preserve">Federal de Telecomunicaciones (en lo sucesivo, el “Instituto”) </w:t>
      </w:r>
      <w:r w:rsidR="003D0158" w:rsidRPr="003D0158">
        <w:rPr>
          <w:rStyle w:val="IFTnormalCar"/>
        </w:rPr>
        <w:t>en su IX Sesión Extraordinaria, aprobó el "</w:t>
      </w:r>
      <w:r w:rsidR="003D0158" w:rsidRPr="007D77D0">
        <w:rPr>
          <w:rStyle w:val="IFTnormalCar"/>
          <w:i/>
        </w:rPr>
        <w:t>ACUERDO MEDIANTE LA CUAL EL PLENO DEL INSTITUTO FEDERAL DE TELECOMUNICACIONES EXPIDE EL MODELO DE RED DE ACCESO FIJO Y EL MODELO DE ACCESO A TORRES PARA SERVICIOS DE LA OFERTA DE REFERENCIA PARA LA PRESTACIÓN DEL SERVICIO DE ACCESO Y USO COMPARTIDO DE INFRAESTRUCTURA PASIVA FIJA</w:t>
      </w:r>
      <w:r w:rsidR="003D0158" w:rsidRPr="003D0158">
        <w:rPr>
          <w:rStyle w:val="IFTnormalCar"/>
        </w:rPr>
        <w:t>”</w:t>
      </w:r>
      <w:r w:rsidR="004661E4">
        <w:rPr>
          <w:rStyle w:val="IFTnormalCar"/>
        </w:rPr>
        <w:t>. Con ello el Instituto</w:t>
      </w:r>
      <w:r w:rsidR="003D0158" w:rsidRPr="003D0158">
        <w:rPr>
          <w:rStyle w:val="IFTnormalCar"/>
        </w:rPr>
        <w:t xml:space="preserve"> expidió el </w:t>
      </w:r>
      <w:r w:rsidR="00113CCA">
        <w:rPr>
          <w:rStyle w:val="IFTnormalCar"/>
        </w:rPr>
        <w:t xml:space="preserve">denominado </w:t>
      </w:r>
      <w:bookmarkStart w:id="2" w:name="_Hlk107844123"/>
      <w:r w:rsidR="00F7470F">
        <w:rPr>
          <w:rStyle w:val="IFTnormalCar"/>
        </w:rPr>
        <w:t>Modelo de Acceso a Torres</w:t>
      </w:r>
      <w:bookmarkEnd w:id="2"/>
      <w:r w:rsidR="003D0158" w:rsidRPr="003D0158">
        <w:rPr>
          <w:rStyle w:val="IFTnormalCar"/>
        </w:rPr>
        <w:t xml:space="preserve"> con el que se </w:t>
      </w:r>
      <w:r w:rsidR="004661E4">
        <w:rPr>
          <w:rStyle w:val="IFTnormalCar"/>
        </w:rPr>
        <w:t xml:space="preserve">han </w:t>
      </w:r>
      <w:r w:rsidR="003D0158" w:rsidRPr="003D0158">
        <w:rPr>
          <w:rStyle w:val="IFTnormalCar"/>
        </w:rPr>
        <w:t>determina</w:t>
      </w:r>
      <w:r w:rsidR="004661E4">
        <w:rPr>
          <w:rStyle w:val="IFTnormalCar"/>
        </w:rPr>
        <w:t xml:space="preserve">do </w:t>
      </w:r>
      <w:r w:rsidR="003D0158" w:rsidRPr="003D0158">
        <w:rPr>
          <w:rStyle w:val="IFTnormalCar"/>
        </w:rPr>
        <w:t>las tarifas aplicables a los servicios</w:t>
      </w:r>
      <w:r w:rsidR="007D77D0">
        <w:rPr>
          <w:rStyle w:val="IFTnormalCar"/>
        </w:rPr>
        <w:t xml:space="preserve"> en</w:t>
      </w:r>
      <w:r w:rsidR="003D0158" w:rsidRPr="003D0158">
        <w:rPr>
          <w:rStyle w:val="IFTnormalCar"/>
        </w:rPr>
        <w:t xml:space="preserve"> materia de la Oferta de Referencia</w:t>
      </w:r>
      <w:r>
        <w:rPr>
          <w:rStyle w:val="IFTnormalCar"/>
        </w:rPr>
        <w:t xml:space="preserve"> de Acceso y Uso Compartido de Infraestructura Pasiva</w:t>
      </w:r>
      <w:r w:rsidR="004661E4">
        <w:rPr>
          <w:rStyle w:val="IFTnormalCar"/>
        </w:rPr>
        <w:t xml:space="preserve">, el cual </w:t>
      </w:r>
      <w:r w:rsidR="003D0158" w:rsidRPr="003D0158">
        <w:rPr>
          <w:rStyle w:val="IFTnormalCar"/>
        </w:rPr>
        <w:t xml:space="preserve">se desarrolló a partir de los criterios de la metodología </w:t>
      </w:r>
      <w:r w:rsidR="00D94A35">
        <w:rPr>
          <w:rStyle w:val="IFTnormalCar"/>
        </w:rPr>
        <w:t xml:space="preserve">de </w:t>
      </w:r>
      <w:r w:rsidR="003D0158" w:rsidRPr="003D0158">
        <w:rPr>
          <w:rStyle w:val="IFTnormalCar"/>
        </w:rPr>
        <w:t>C</w:t>
      </w:r>
      <w:r w:rsidR="00D94A35">
        <w:rPr>
          <w:rStyle w:val="IFTnormalCar"/>
        </w:rPr>
        <w:t xml:space="preserve">ostos </w:t>
      </w:r>
      <w:r w:rsidR="003D0158" w:rsidRPr="003D0158">
        <w:rPr>
          <w:rStyle w:val="IFTnormalCar"/>
        </w:rPr>
        <w:t>I</w:t>
      </w:r>
      <w:r w:rsidR="00D94A35">
        <w:rPr>
          <w:rStyle w:val="IFTnormalCar"/>
        </w:rPr>
        <w:t xml:space="preserve">ncrementales </w:t>
      </w:r>
      <w:r w:rsidR="003D0158" w:rsidRPr="003D0158">
        <w:rPr>
          <w:rStyle w:val="IFTnormalCar"/>
        </w:rPr>
        <w:t>P</w:t>
      </w:r>
      <w:r w:rsidR="00D94A35">
        <w:rPr>
          <w:rStyle w:val="IFTnormalCar"/>
        </w:rPr>
        <w:t xml:space="preserve">romedio de </w:t>
      </w:r>
      <w:r w:rsidR="003D0158" w:rsidRPr="003D0158">
        <w:rPr>
          <w:rStyle w:val="IFTnormalCar"/>
        </w:rPr>
        <w:t>L</w:t>
      </w:r>
      <w:r w:rsidR="00D94A35">
        <w:rPr>
          <w:rStyle w:val="IFTnormalCar"/>
        </w:rPr>
        <w:t xml:space="preserve">argo </w:t>
      </w:r>
      <w:r w:rsidR="003D0158" w:rsidRPr="003D0158">
        <w:rPr>
          <w:rStyle w:val="IFTnormalCar"/>
        </w:rPr>
        <w:t>P</w:t>
      </w:r>
      <w:r w:rsidR="00D94A35">
        <w:rPr>
          <w:rStyle w:val="IFTnormalCar"/>
        </w:rPr>
        <w:t>lazo</w:t>
      </w:r>
      <w:r w:rsidR="003D0158" w:rsidRPr="003D0158">
        <w:rPr>
          <w:rStyle w:val="IFTnormalCar"/>
        </w:rPr>
        <w:t>, de conformidad con lo establecido en la Medida TRIGÉSIMA NOVENA de las Medidas Fijas</w:t>
      </w:r>
      <w:r w:rsidR="003B3150">
        <w:rPr>
          <w:rStyle w:val="Refdenotaalpie"/>
          <w:rFonts w:ascii="ITC Avant Garde" w:eastAsia="MS Mincho" w:hAnsi="ITC Avant Garde" w:cs="Calibri"/>
          <w:bCs/>
        </w:rPr>
        <w:footnoteReference w:id="2"/>
      </w:r>
      <w:r w:rsidR="003D0158" w:rsidRPr="003D0158">
        <w:rPr>
          <w:rStyle w:val="IFTnormalCar"/>
        </w:rPr>
        <w:t xml:space="preserve">. </w:t>
      </w:r>
    </w:p>
    <w:p w14:paraId="5245E0DA" w14:textId="5C6354FA" w:rsidR="008431E7" w:rsidRDefault="004661E4" w:rsidP="003D0158">
      <w:pPr>
        <w:jc w:val="both"/>
        <w:rPr>
          <w:rStyle w:val="IFTnormalCar"/>
        </w:rPr>
      </w:pPr>
      <w:r>
        <w:rPr>
          <w:rStyle w:val="IFTnormalCar"/>
        </w:rPr>
        <w:t>A</w:t>
      </w:r>
      <w:r w:rsidR="003D0158" w:rsidRPr="003D0158">
        <w:rPr>
          <w:rStyle w:val="IFTnormalCar"/>
        </w:rPr>
        <w:t xml:space="preserve"> efecto de realizar la estimación de tarifas de los servicios en comento aplicables a los años 2018, 2019, y 2020 hasta antes de la implementación del Plan de Separación Funcional, el Instituto consideró procedente actualizar el </w:t>
      </w:r>
      <w:r w:rsidR="00F7470F">
        <w:rPr>
          <w:rStyle w:val="IFTnormalCar"/>
        </w:rPr>
        <w:t>Modelo de Acceso a Torres</w:t>
      </w:r>
      <w:r w:rsidR="003D0158" w:rsidRPr="003D0158">
        <w:rPr>
          <w:rStyle w:val="IFTnormalCar"/>
        </w:rPr>
        <w:t xml:space="preserve"> mediante</w:t>
      </w:r>
      <w:r>
        <w:rPr>
          <w:rStyle w:val="IFTnormalCar"/>
        </w:rPr>
        <w:t xml:space="preserve"> las siguientes resoluciones</w:t>
      </w:r>
      <w:r w:rsidR="008431E7">
        <w:rPr>
          <w:rStyle w:val="IFTnormalCar"/>
        </w:rPr>
        <w:t>:</w:t>
      </w:r>
    </w:p>
    <w:p w14:paraId="52BB4A38" w14:textId="69BFF0AE" w:rsidR="008431E7" w:rsidRDefault="003D0158" w:rsidP="008431E7">
      <w:pPr>
        <w:pStyle w:val="Prrafodelista"/>
        <w:numPr>
          <w:ilvl w:val="0"/>
          <w:numId w:val="19"/>
        </w:numPr>
        <w:jc w:val="both"/>
        <w:rPr>
          <w:rStyle w:val="IFTnormalCar"/>
        </w:rPr>
      </w:pPr>
      <w:r w:rsidRPr="003D0158">
        <w:rPr>
          <w:rStyle w:val="IFTnormalCar"/>
        </w:rPr>
        <w:t>“</w:t>
      </w:r>
      <w:r w:rsidRPr="007D77D0">
        <w:rPr>
          <w:rStyle w:val="IFTnormalCar"/>
          <w:i/>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de 2018 al 31 de diciembre de 2018</w:t>
      </w:r>
      <w:r w:rsidRPr="003D0158">
        <w:rPr>
          <w:rStyle w:val="IFTnormalCar"/>
        </w:rPr>
        <w:t>”</w:t>
      </w:r>
      <w:r w:rsidR="008431E7">
        <w:rPr>
          <w:rStyle w:val="IFTnormalCar"/>
        </w:rPr>
        <w:t xml:space="preserve"> y</w:t>
      </w:r>
      <w:r w:rsidRPr="003D0158">
        <w:rPr>
          <w:rStyle w:val="IFTnormalCar"/>
        </w:rPr>
        <w:t xml:space="preserve"> la “</w:t>
      </w:r>
      <w:r w:rsidRPr="007D77D0">
        <w:rPr>
          <w:rStyle w:val="IFTnormalCar"/>
          <w:i/>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del Noroeste, S.A. de C.V., aplicables del 1 de enero al 31 de diciembre de 2018</w:t>
      </w:r>
      <w:r w:rsidRPr="003D0158">
        <w:rPr>
          <w:rStyle w:val="IFTnormalCar"/>
        </w:rPr>
        <w:t>”</w:t>
      </w:r>
      <w:r w:rsidR="008431E7">
        <w:rPr>
          <w:rStyle w:val="IFTnormalCar"/>
        </w:rPr>
        <w:t xml:space="preserve">, ambas autorizadas mediante Acuerdos </w:t>
      </w:r>
      <w:r w:rsidR="008431E7" w:rsidRPr="003D0158">
        <w:rPr>
          <w:rStyle w:val="IFTnormalCar"/>
        </w:rPr>
        <w:t>P/IFT/131217/910</w:t>
      </w:r>
      <w:r w:rsidR="002C31C1">
        <w:rPr>
          <w:rStyle w:val="IFTnormalCar"/>
        </w:rPr>
        <w:t xml:space="preserve"> y </w:t>
      </w:r>
      <w:r w:rsidR="008431E7" w:rsidRPr="003D0158">
        <w:rPr>
          <w:rStyle w:val="IFTnormalCar"/>
        </w:rPr>
        <w:t>P/IFT/131217/911</w:t>
      </w:r>
      <w:r w:rsidR="008431E7">
        <w:rPr>
          <w:rStyle w:val="IFTnormalCar"/>
        </w:rPr>
        <w:t xml:space="preserve"> aplicables para</w:t>
      </w:r>
      <w:r w:rsidR="00B106E7">
        <w:rPr>
          <w:rStyle w:val="IFTnormalCar"/>
        </w:rPr>
        <w:t xml:space="preserve"> determinar tarifas para</w:t>
      </w:r>
      <w:r w:rsidR="008431E7">
        <w:rPr>
          <w:rStyle w:val="IFTnormalCar"/>
        </w:rPr>
        <w:t xml:space="preserve"> el año 2018.</w:t>
      </w:r>
      <w:r w:rsidRPr="003D0158">
        <w:rPr>
          <w:rStyle w:val="IFTnormalCar"/>
        </w:rPr>
        <w:t xml:space="preserve"> </w:t>
      </w:r>
    </w:p>
    <w:p w14:paraId="2A06E3E6" w14:textId="0F68FDAD" w:rsidR="008431E7" w:rsidRDefault="003D0158" w:rsidP="0004544C">
      <w:pPr>
        <w:pStyle w:val="Prrafodelista"/>
        <w:numPr>
          <w:ilvl w:val="0"/>
          <w:numId w:val="19"/>
        </w:numPr>
        <w:jc w:val="both"/>
        <w:rPr>
          <w:rStyle w:val="IFTnormalCar"/>
        </w:rPr>
      </w:pPr>
      <w:r w:rsidRPr="003D0158">
        <w:rPr>
          <w:rStyle w:val="IFTnormalCar"/>
        </w:rPr>
        <w:lastRenderedPageBreak/>
        <w:t xml:space="preserve"> “</w:t>
      </w:r>
      <w:r w:rsidRPr="002C31C1">
        <w:rPr>
          <w:rStyle w:val="IFTnormalCar"/>
          <w:i/>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de 2019 al 31 de diciembre de 2019</w:t>
      </w:r>
      <w:r w:rsidRPr="003D0158">
        <w:rPr>
          <w:rStyle w:val="IFTnormalCar"/>
        </w:rPr>
        <w:t>” y</w:t>
      </w:r>
      <w:r w:rsidR="008431E7">
        <w:rPr>
          <w:rStyle w:val="IFTnormalCar"/>
        </w:rPr>
        <w:t xml:space="preserve"> </w:t>
      </w:r>
      <w:r w:rsidRPr="003D0158">
        <w:rPr>
          <w:rStyle w:val="IFTnormalCar"/>
        </w:rPr>
        <w:t>la “</w:t>
      </w:r>
      <w:r w:rsidRPr="002C31C1">
        <w:rPr>
          <w:rStyle w:val="IFTnormalCar"/>
          <w:i/>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del Noroeste, S.A. de C.V., aplicables del 1 de enero de 2019 al 31 de diciembre de 2019</w:t>
      </w:r>
      <w:r w:rsidRPr="003D0158">
        <w:rPr>
          <w:rStyle w:val="IFTnormalCar"/>
        </w:rPr>
        <w:t>”</w:t>
      </w:r>
      <w:r w:rsidR="00A70A36">
        <w:rPr>
          <w:rStyle w:val="IFTnormalCar"/>
        </w:rPr>
        <w:t xml:space="preserve">, ambas autorizadas mediante Acuerdos </w:t>
      </w:r>
      <w:r w:rsidR="00A70A36" w:rsidRPr="003D0158">
        <w:rPr>
          <w:rStyle w:val="IFTnormalCar"/>
        </w:rPr>
        <w:t>P/IFT/EXT/111218/27</w:t>
      </w:r>
      <w:r w:rsidR="00B106E7">
        <w:rPr>
          <w:rStyle w:val="IFTnormalCar"/>
        </w:rPr>
        <w:t xml:space="preserve"> y</w:t>
      </w:r>
      <w:r w:rsidR="00A70A36" w:rsidRPr="003D0158">
        <w:rPr>
          <w:rStyle w:val="IFTnormalCar"/>
        </w:rPr>
        <w:t xml:space="preserve">  P/IFT/EXT/111218/28</w:t>
      </w:r>
      <w:r w:rsidR="00A70A36">
        <w:rPr>
          <w:rStyle w:val="IFTnormalCar"/>
        </w:rPr>
        <w:t xml:space="preserve"> aplicables para </w:t>
      </w:r>
      <w:r w:rsidR="00B106E7">
        <w:rPr>
          <w:rStyle w:val="IFTnormalCar"/>
        </w:rPr>
        <w:t xml:space="preserve">determinar tarifas para </w:t>
      </w:r>
      <w:r w:rsidR="00A70A36">
        <w:rPr>
          <w:rStyle w:val="IFTnormalCar"/>
        </w:rPr>
        <w:t>el año 2019.</w:t>
      </w:r>
    </w:p>
    <w:p w14:paraId="12814338" w14:textId="151B8FAE" w:rsidR="003D0158" w:rsidRDefault="003D0158" w:rsidP="0004544C">
      <w:pPr>
        <w:pStyle w:val="Prrafodelista"/>
        <w:numPr>
          <w:ilvl w:val="0"/>
          <w:numId w:val="19"/>
        </w:numPr>
        <w:jc w:val="both"/>
        <w:rPr>
          <w:rStyle w:val="IFTnormalCar"/>
        </w:rPr>
      </w:pPr>
      <w:r w:rsidRPr="003D0158">
        <w:rPr>
          <w:rStyle w:val="IFTnormalCar"/>
        </w:rPr>
        <w:t xml:space="preserve"> “</w:t>
      </w:r>
      <w:r w:rsidRPr="002C31C1">
        <w:rPr>
          <w:rStyle w:val="IFTnormalCar"/>
          <w:i/>
        </w:rPr>
        <w:t>Resolución mediante la cual el Pleno del Instituto Federal de Telecomunicaciones modifica y autoriza al Agente Económico Preponderante los términos y condiciones de las Ofertas de Referencia para el Acceso y Uso Compartido de Infraestructura Pasiva, presentadas por Teléfonos de México, S.A.B. de C.V. y por Teléfonos del Noroeste, S.A. de C.V.</w:t>
      </w:r>
      <w:r w:rsidRPr="003D0158">
        <w:rPr>
          <w:rStyle w:val="IFTnormalCar"/>
        </w:rPr>
        <w:t xml:space="preserve">” </w:t>
      </w:r>
      <w:r w:rsidR="00A70A36">
        <w:rPr>
          <w:rStyle w:val="IFTnormalCar"/>
        </w:rPr>
        <w:t xml:space="preserve">aprobada </w:t>
      </w:r>
      <w:r w:rsidRPr="003D0158">
        <w:rPr>
          <w:rStyle w:val="IFTnormalCar"/>
        </w:rPr>
        <w:t>por el Pleno del Instituto mediante Acuerdo P/IFT/061219/864</w:t>
      </w:r>
      <w:r w:rsidR="00A70A36">
        <w:rPr>
          <w:rStyle w:val="IFTnormalCar"/>
        </w:rPr>
        <w:t xml:space="preserve">, aplicables para </w:t>
      </w:r>
      <w:r w:rsidR="00B106E7">
        <w:rPr>
          <w:rStyle w:val="IFTnormalCar"/>
        </w:rPr>
        <w:t xml:space="preserve">determinar tarifas para </w:t>
      </w:r>
      <w:r w:rsidR="00A70A36">
        <w:rPr>
          <w:rStyle w:val="IFTnormalCar"/>
        </w:rPr>
        <w:t>el año 2020</w:t>
      </w:r>
      <w:r w:rsidRPr="003D0158">
        <w:rPr>
          <w:rStyle w:val="IFTnormalCar"/>
        </w:rPr>
        <w:t xml:space="preserve">. </w:t>
      </w:r>
    </w:p>
    <w:p w14:paraId="3AC099BF" w14:textId="3DCDCEC3" w:rsidR="00A70A36" w:rsidRDefault="00F0644C" w:rsidP="00A70A36">
      <w:pPr>
        <w:jc w:val="both"/>
        <w:rPr>
          <w:rStyle w:val="IFTnormalCar"/>
        </w:rPr>
      </w:pPr>
      <w:r>
        <w:rPr>
          <w:rStyle w:val="IFTnormalCar"/>
        </w:rPr>
        <w:t>Posteriormente, e</w:t>
      </w:r>
      <w:r w:rsidR="00A70A36" w:rsidRPr="003D0158">
        <w:rPr>
          <w:rStyle w:val="IFTnormalCar"/>
        </w:rPr>
        <w:t>n concordancia con el Acuerdo de Separación Funcional</w:t>
      </w:r>
      <w:r w:rsidR="00A70A36">
        <w:rPr>
          <w:rStyle w:val="Refdenotaalpie"/>
          <w:rFonts w:ascii="ITC Avant Garde" w:eastAsia="MS Mincho" w:hAnsi="ITC Avant Garde" w:cs="Calibri"/>
          <w:bCs/>
        </w:rPr>
        <w:footnoteReference w:id="3"/>
      </w:r>
      <w:r w:rsidR="00A70A36">
        <w:rPr>
          <w:rStyle w:val="IFTnormalCar"/>
        </w:rPr>
        <w:t xml:space="preserve"> autorizado por el Instituto</w:t>
      </w:r>
      <w:r w:rsidR="00B106E7">
        <w:rPr>
          <w:rStyle w:val="IFTnormalCar"/>
        </w:rPr>
        <w:t xml:space="preserve">, el </w:t>
      </w:r>
      <w:r w:rsidR="00F7470F">
        <w:rPr>
          <w:rStyle w:val="IFTnormalCar"/>
        </w:rPr>
        <w:t>Modelo de Acceso a Torres</w:t>
      </w:r>
      <w:r w:rsidR="00A70A36">
        <w:rPr>
          <w:rStyle w:val="IFTnormalCar"/>
        </w:rPr>
        <w:t xml:space="preserve"> </w:t>
      </w:r>
      <w:r w:rsidR="00A70A36" w:rsidRPr="003D0158">
        <w:rPr>
          <w:rStyle w:val="IFTnormalCar"/>
        </w:rPr>
        <w:t xml:space="preserve">no </w:t>
      </w:r>
      <w:r w:rsidR="00B106E7">
        <w:rPr>
          <w:rStyle w:val="IFTnormalCar"/>
        </w:rPr>
        <w:t xml:space="preserve">se </w:t>
      </w:r>
      <w:r w:rsidR="00A70A36" w:rsidRPr="003D0158">
        <w:rPr>
          <w:rStyle w:val="IFTnormalCar"/>
        </w:rPr>
        <w:t xml:space="preserve">modificó de manera estructural, ya que </w:t>
      </w:r>
      <w:r w:rsidR="00BE3AA2">
        <w:rPr>
          <w:rStyle w:val="IFTnormalCar"/>
        </w:rPr>
        <w:t>l</w:t>
      </w:r>
      <w:r w:rsidR="00A70A36" w:rsidRPr="003D0158">
        <w:rPr>
          <w:rStyle w:val="IFTnormalCar"/>
        </w:rPr>
        <w:t xml:space="preserve">os elementos de infraestructura </w:t>
      </w:r>
      <w:r w:rsidR="002A0FEF">
        <w:rPr>
          <w:rStyle w:val="IFTnormalCar"/>
        </w:rPr>
        <w:t xml:space="preserve">asociados a torres </w:t>
      </w:r>
      <w:r w:rsidR="00A70A36" w:rsidRPr="003D0158">
        <w:rPr>
          <w:rStyle w:val="IFTnormalCar"/>
        </w:rPr>
        <w:t xml:space="preserve">correspondientes a </w:t>
      </w:r>
      <w:r w:rsidR="00A70A36">
        <w:rPr>
          <w:rStyle w:val="IFTnormalCar"/>
        </w:rPr>
        <w:t xml:space="preserve">las </w:t>
      </w:r>
      <w:r w:rsidR="00A70A36" w:rsidRPr="009E1BA9">
        <w:rPr>
          <w:rStyle w:val="IFTnormalCar"/>
        </w:rPr>
        <w:t>empresas Teléfonos de México, S.A.B. de C.V. y Teléfonos del Noroeste, S.A. de C.V.</w:t>
      </w:r>
      <w:r w:rsidR="001D1316" w:rsidRPr="009E1BA9">
        <w:rPr>
          <w:rStyle w:val="IFTnormalCar"/>
        </w:rPr>
        <w:t>, y</w:t>
      </w:r>
      <w:r w:rsidR="008D45FA" w:rsidRPr="009E1BA9">
        <w:rPr>
          <w:rStyle w:val="IFTnormalCar"/>
        </w:rPr>
        <w:t>/o</w:t>
      </w:r>
      <w:r w:rsidR="001D1316" w:rsidRPr="009E1BA9">
        <w:rPr>
          <w:rStyle w:val="IFTnormalCar"/>
        </w:rPr>
        <w:t xml:space="preserve"> División </w:t>
      </w:r>
      <w:r w:rsidR="00830CDA" w:rsidRPr="009E1BA9">
        <w:rPr>
          <w:rStyle w:val="IFTnormalCar"/>
        </w:rPr>
        <w:t xml:space="preserve">Mayorista </w:t>
      </w:r>
      <w:r w:rsidR="00A70A36" w:rsidRPr="009E1BA9">
        <w:rPr>
          <w:rStyle w:val="IFTnormalCar"/>
        </w:rPr>
        <w:t>(en lo sucesivo, de manera conjunta “</w:t>
      </w:r>
      <w:r w:rsidR="00CF17F6">
        <w:rPr>
          <w:rStyle w:val="IFTnormalCar"/>
        </w:rPr>
        <w:t>TELMEX</w:t>
      </w:r>
      <w:r w:rsidR="00A70A36" w:rsidRPr="009E1BA9">
        <w:rPr>
          <w:rStyle w:val="IFTnormalCar"/>
        </w:rPr>
        <w:t xml:space="preserve"> y </w:t>
      </w:r>
      <w:r w:rsidR="00CF17F6">
        <w:rPr>
          <w:rStyle w:val="IFTnormalCar"/>
        </w:rPr>
        <w:t>TELNOR</w:t>
      </w:r>
      <w:r w:rsidR="00A70A36" w:rsidRPr="009E1BA9">
        <w:rPr>
          <w:rStyle w:val="IFTnormalCar"/>
        </w:rPr>
        <w:t>” y</w:t>
      </w:r>
      <w:r w:rsidRPr="009E1BA9">
        <w:rPr>
          <w:rStyle w:val="IFTnormalCar"/>
        </w:rPr>
        <w:t>/o</w:t>
      </w:r>
      <w:r w:rsidR="00A70A36" w:rsidRPr="009E1BA9">
        <w:rPr>
          <w:rStyle w:val="IFTnormalCar"/>
        </w:rPr>
        <w:t xml:space="preserve"> “DM</w:t>
      </w:r>
      <w:r w:rsidR="005C5CE1" w:rsidRPr="009E1BA9">
        <w:rPr>
          <w:rStyle w:val="IFTnormalCar"/>
        </w:rPr>
        <w:t>”</w:t>
      </w:r>
      <w:r w:rsidR="00A70A36" w:rsidRPr="009E1BA9">
        <w:rPr>
          <w:rStyle w:val="IFTnormalCar"/>
        </w:rPr>
        <w:t>)</w:t>
      </w:r>
      <w:r w:rsidR="00A70A36">
        <w:rPr>
          <w:rStyle w:val="IFTnormalCar"/>
        </w:rPr>
        <w:t xml:space="preserve"> mantuvieron</w:t>
      </w:r>
      <w:r w:rsidR="00A70A36" w:rsidRPr="003D0158">
        <w:rPr>
          <w:rStyle w:val="IFTnormalCar"/>
        </w:rPr>
        <w:t xml:space="preserve"> su integridad de la misma manera a como se encontraban previo a la implementación de la separación funcional</w:t>
      </w:r>
      <w:r w:rsidR="00A70A36">
        <w:rPr>
          <w:rStyle w:val="IFTnormalCar"/>
        </w:rPr>
        <w:t xml:space="preserve">. </w:t>
      </w:r>
    </w:p>
    <w:p w14:paraId="75FFAFB9" w14:textId="3EEC059E" w:rsidR="00B106E7" w:rsidRDefault="00B106E7" w:rsidP="003D0158">
      <w:pPr>
        <w:jc w:val="both"/>
        <w:rPr>
          <w:rStyle w:val="IFTnormalCar"/>
        </w:rPr>
      </w:pPr>
      <w:r w:rsidRPr="003D0158">
        <w:rPr>
          <w:rStyle w:val="IFTnormalCar"/>
        </w:rPr>
        <w:t xml:space="preserve">Es por ello que el Instituto resolvió la misma estructura y niveles tarifarios aplicables </w:t>
      </w:r>
      <w:r w:rsidR="00A70A36" w:rsidRPr="003D0158">
        <w:rPr>
          <w:rStyle w:val="IFTnormalCar"/>
        </w:rPr>
        <w:t>a partir del 6 de marzo de 2020</w:t>
      </w:r>
      <w:r w:rsidR="00A70A36">
        <w:rPr>
          <w:rStyle w:val="IFTnormalCar"/>
        </w:rPr>
        <w:t xml:space="preserve">, </w:t>
      </w:r>
      <w:r w:rsidR="002A0FEF">
        <w:rPr>
          <w:rStyle w:val="IFTnormalCar"/>
        </w:rPr>
        <w:t xml:space="preserve">mediante </w:t>
      </w:r>
      <w:r>
        <w:rPr>
          <w:rStyle w:val="IFTnormalCar"/>
        </w:rPr>
        <w:t>la</w:t>
      </w:r>
      <w:r w:rsidR="003D0158" w:rsidRPr="003D0158">
        <w:rPr>
          <w:rStyle w:val="IFTnormalCar"/>
        </w:rPr>
        <w:t xml:space="preserve"> “</w:t>
      </w:r>
      <w:r w:rsidR="003D0158" w:rsidRPr="005C5CE1">
        <w:rPr>
          <w:rStyle w:val="IFTnormalCar"/>
          <w:i/>
        </w:rPr>
        <w:t>Resolución mediante la cual el Pleno del Instituto Federal de Telecomunicaciones modifica y autoriza los términos y condiciones de las Ofertas de Referencia para el Acceso y Uso Compartido de Infraestructura Pasiva para las Divisiones Mayoristas de Teléfonos de México, S.A.B. de C.V. y de Teléfonos del Noroeste, S.A. de C.V.</w:t>
      </w:r>
      <w:r w:rsidR="003D0158" w:rsidRPr="003D0158">
        <w:rPr>
          <w:rStyle w:val="IFTnormalCar"/>
        </w:rPr>
        <w:t>”</w:t>
      </w:r>
      <w:r w:rsidR="00D94A35">
        <w:rPr>
          <w:rStyle w:val="IFTnormalCar"/>
        </w:rPr>
        <w:t>,</w:t>
      </w:r>
      <w:r w:rsidR="00A70A36">
        <w:rPr>
          <w:rStyle w:val="IFTnormalCar"/>
        </w:rPr>
        <w:t xml:space="preserve"> </w:t>
      </w:r>
      <w:r w:rsidR="009F726C">
        <w:rPr>
          <w:rStyle w:val="IFTnormalCar"/>
        </w:rPr>
        <w:t xml:space="preserve">aprobada por </w:t>
      </w:r>
      <w:r w:rsidR="00A6563D">
        <w:rPr>
          <w:rStyle w:val="IFTnormalCar"/>
        </w:rPr>
        <w:t>el</w:t>
      </w:r>
      <w:r w:rsidR="009F726C">
        <w:rPr>
          <w:rStyle w:val="IFTnormalCar"/>
        </w:rPr>
        <w:t xml:space="preserve"> Pleno del Instituto en </w:t>
      </w:r>
      <w:r w:rsidR="009F726C" w:rsidRPr="009F726C">
        <w:rPr>
          <w:rStyle w:val="IFTnormalCar"/>
        </w:rPr>
        <w:t>su V Ordinaria celebrada el 25 de febrero de 2020</w:t>
      </w:r>
      <w:r w:rsidR="009F726C">
        <w:rPr>
          <w:rStyle w:val="IFTnormalCar"/>
        </w:rPr>
        <w:t xml:space="preserve"> a través del Acuerdo </w:t>
      </w:r>
      <w:r w:rsidR="009F726C" w:rsidRPr="009F726C">
        <w:rPr>
          <w:rStyle w:val="IFTnormalCar"/>
        </w:rPr>
        <w:t>P/IFT/250220/60</w:t>
      </w:r>
      <w:r w:rsidR="009F726C">
        <w:rPr>
          <w:rStyle w:val="IFTnormalCar"/>
        </w:rPr>
        <w:t xml:space="preserve">, </w:t>
      </w:r>
      <w:r w:rsidR="00A70A36">
        <w:rPr>
          <w:rStyle w:val="IFTnormalCar"/>
        </w:rPr>
        <w:t xml:space="preserve">mediante la cual se determinaron las tarifas aplicables para el año 2020 a partir de </w:t>
      </w:r>
      <w:r>
        <w:rPr>
          <w:rStyle w:val="IFTnormalCar"/>
        </w:rPr>
        <w:t>dicha</w:t>
      </w:r>
      <w:r w:rsidR="00A70A36">
        <w:rPr>
          <w:rStyle w:val="IFTnormalCar"/>
        </w:rPr>
        <w:t xml:space="preserve"> separación funcional.</w:t>
      </w:r>
      <w:r>
        <w:rPr>
          <w:rStyle w:val="IFTnormalCar"/>
        </w:rPr>
        <w:t xml:space="preserve"> </w:t>
      </w:r>
    </w:p>
    <w:p w14:paraId="4D521A03" w14:textId="44159CF7" w:rsidR="00B106E7" w:rsidRDefault="00B106E7" w:rsidP="003D0158">
      <w:pPr>
        <w:jc w:val="both"/>
        <w:rPr>
          <w:rStyle w:val="IFTnormalCar"/>
        </w:rPr>
      </w:pPr>
      <w:r>
        <w:rPr>
          <w:rStyle w:val="IFTnormalCar"/>
        </w:rPr>
        <w:lastRenderedPageBreak/>
        <w:t xml:space="preserve">Posteriormente, el </w:t>
      </w:r>
      <w:r w:rsidR="00F7470F">
        <w:rPr>
          <w:rStyle w:val="IFTnormalCar"/>
        </w:rPr>
        <w:t>Modelo de Acceso a Torres</w:t>
      </w:r>
      <w:r>
        <w:rPr>
          <w:rStyle w:val="IFTnormalCar"/>
        </w:rPr>
        <w:t xml:space="preserve"> fue actualizado para la determinación de los</w:t>
      </w:r>
      <w:r w:rsidR="003D0158" w:rsidRPr="003D0158">
        <w:rPr>
          <w:rStyle w:val="IFTnormalCar"/>
        </w:rPr>
        <w:t xml:space="preserve"> niveles tarifarios aplicables a </w:t>
      </w:r>
      <w:r w:rsidR="00113CCA">
        <w:rPr>
          <w:rStyle w:val="IFTnormalCar"/>
        </w:rPr>
        <w:t xml:space="preserve">los años </w:t>
      </w:r>
      <w:r w:rsidR="003D0158" w:rsidRPr="003D0158">
        <w:rPr>
          <w:rStyle w:val="IFTnormalCar"/>
        </w:rPr>
        <w:t xml:space="preserve">2021 </w:t>
      </w:r>
      <w:r w:rsidR="00113CCA">
        <w:rPr>
          <w:rStyle w:val="IFTnormalCar"/>
        </w:rPr>
        <w:t>y 2022</w:t>
      </w:r>
      <w:r>
        <w:rPr>
          <w:rStyle w:val="IFTnormalCar"/>
        </w:rPr>
        <w:t xml:space="preserve"> a partir de las siguientes resoluciones:</w:t>
      </w:r>
    </w:p>
    <w:p w14:paraId="3996070B" w14:textId="0C3378A4" w:rsidR="00B106E7" w:rsidRDefault="003D0158" w:rsidP="00B106E7">
      <w:pPr>
        <w:pStyle w:val="Prrafodelista"/>
        <w:numPr>
          <w:ilvl w:val="0"/>
          <w:numId w:val="20"/>
        </w:numPr>
        <w:jc w:val="both"/>
        <w:rPr>
          <w:rStyle w:val="IFTnormalCar"/>
        </w:rPr>
      </w:pPr>
      <w:r w:rsidRPr="003D0158">
        <w:rPr>
          <w:rStyle w:val="IFTnormalCar"/>
        </w:rPr>
        <w:t>“</w:t>
      </w:r>
      <w:r w:rsidRPr="00921E40">
        <w:rPr>
          <w:rStyle w:val="IFTnormalCar"/>
          <w:i/>
        </w:rPr>
        <w:t xml:space="preserve">Resolución mediante la cual el pleno del Instituto Federal de Telecomunicaciones modifica y aprueba los términos y condiciones de las Ofertas de Referencia para la prestación del Servicio de Acceso y Uso Compartido de Infraestructura Pasiva, presentadas por </w:t>
      </w:r>
      <w:r w:rsidR="00F0644C">
        <w:rPr>
          <w:rStyle w:val="IFTnormalCar"/>
          <w:i/>
        </w:rPr>
        <w:t>Teléfonos de México, S.A.B. de C.V. y Teléfonos del Noroeste, S.A. de C.V.</w:t>
      </w:r>
      <w:r w:rsidRPr="00921E40">
        <w:rPr>
          <w:rStyle w:val="IFTnormalCar"/>
          <w:i/>
        </w:rPr>
        <w:t>, aplicables del 1 de enero al 31 de diciembre de 2021</w:t>
      </w:r>
      <w:r w:rsidRPr="003D0158">
        <w:rPr>
          <w:rStyle w:val="IFTnormalCar"/>
        </w:rPr>
        <w:t>”</w:t>
      </w:r>
      <w:r w:rsidR="00B106E7">
        <w:rPr>
          <w:rStyle w:val="IFTnormalCar"/>
        </w:rPr>
        <w:t xml:space="preserve"> autorizada por el Pleno del Instituto mediante Acuerdo</w:t>
      </w:r>
      <w:r w:rsidR="00B106E7" w:rsidRPr="00B106E7">
        <w:rPr>
          <w:rStyle w:val="IFTnormalCar"/>
        </w:rPr>
        <w:t xml:space="preserve"> </w:t>
      </w:r>
      <w:r w:rsidR="00F0644C">
        <w:rPr>
          <w:rStyle w:val="IFTnormalCar"/>
        </w:rPr>
        <w:t>P/IFT/021220/493</w:t>
      </w:r>
      <w:r w:rsidR="00B106E7">
        <w:rPr>
          <w:rStyle w:val="IFTnormalCar"/>
        </w:rPr>
        <w:t>,</w:t>
      </w:r>
      <w:r w:rsidRPr="003D0158">
        <w:rPr>
          <w:rStyle w:val="IFTnormalCar"/>
        </w:rPr>
        <w:t xml:space="preserve"> </w:t>
      </w:r>
      <w:r w:rsidR="00113CCA">
        <w:rPr>
          <w:rStyle w:val="IFTnormalCar"/>
        </w:rPr>
        <w:t xml:space="preserve"> </w:t>
      </w:r>
      <w:r w:rsidR="00B106E7">
        <w:rPr>
          <w:rStyle w:val="IFTnormalCar"/>
        </w:rPr>
        <w:t xml:space="preserve">aplicables para determinar tarifas para el año 2021 </w:t>
      </w:r>
      <w:r w:rsidR="00113CCA">
        <w:rPr>
          <w:rStyle w:val="IFTnormalCar"/>
        </w:rPr>
        <w:t>y</w:t>
      </w:r>
      <w:r w:rsidR="00921E40">
        <w:rPr>
          <w:rStyle w:val="IFTnormalCar"/>
        </w:rPr>
        <w:t>,</w:t>
      </w:r>
    </w:p>
    <w:p w14:paraId="1FB52AE2" w14:textId="2DA7D4F1" w:rsidR="003D0158" w:rsidRDefault="00113CCA" w:rsidP="00921E40">
      <w:pPr>
        <w:pStyle w:val="Prrafodelista"/>
        <w:numPr>
          <w:ilvl w:val="0"/>
          <w:numId w:val="20"/>
        </w:numPr>
        <w:jc w:val="both"/>
        <w:rPr>
          <w:rStyle w:val="IFTnormalCar"/>
        </w:rPr>
      </w:pPr>
      <w:r>
        <w:rPr>
          <w:rStyle w:val="IFTnormalCar"/>
        </w:rPr>
        <w:t>“</w:t>
      </w:r>
      <w:r w:rsidRPr="00921E40">
        <w:rPr>
          <w:rStyle w:val="IFTnormalCar"/>
          <w:i/>
        </w:rPr>
        <w:t>Resolución mediante la cual el Pleno del Instituto Federal de Telecomunicaciones modifica y autoriza las Ofertas de Referencia para la prestación del Servicio de Acceso y Uso Compartido de Infraestructura Pasiva presentadas por Teléfonos de México, S.A.B. de C.V. y Teléfonos del Noroeste, S.A. de C.V., aplicables del 1 de enero al 31 de diciembre de 2022</w:t>
      </w:r>
      <w:r>
        <w:rPr>
          <w:rStyle w:val="IFTnormalCar"/>
        </w:rPr>
        <w:t>”</w:t>
      </w:r>
      <w:r w:rsidR="00B106E7" w:rsidRPr="00B106E7">
        <w:rPr>
          <w:rStyle w:val="IFTnormalCar"/>
        </w:rPr>
        <w:t xml:space="preserve"> </w:t>
      </w:r>
      <w:r w:rsidR="00B106E7">
        <w:rPr>
          <w:rStyle w:val="IFTnormalCar"/>
        </w:rPr>
        <w:t xml:space="preserve">autorizada por el Pleno del Instituto mediante Acuerdo </w:t>
      </w:r>
      <w:r w:rsidR="00B106E7" w:rsidRPr="00113CCA">
        <w:rPr>
          <w:rStyle w:val="IFTnormalCar"/>
        </w:rPr>
        <w:t>P/IFT/011221/680</w:t>
      </w:r>
      <w:r w:rsidR="00B106E7">
        <w:rPr>
          <w:rStyle w:val="IFTnormalCar"/>
        </w:rPr>
        <w:t>, aplicables para determinar tarifas para el año 2022</w:t>
      </w:r>
      <w:r w:rsidR="003D0158" w:rsidRPr="003D0158">
        <w:rPr>
          <w:rStyle w:val="IFTnormalCar"/>
        </w:rPr>
        <w:t>.</w:t>
      </w:r>
    </w:p>
    <w:p w14:paraId="65A094FC" w14:textId="2BECDA43" w:rsidR="0098548F" w:rsidRDefault="0098548F" w:rsidP="0098548F">
      <w:pPr>
        <w:jc w:val="both"/>
        <w:rPr>
          <w:rStyle w:val="IFTnormalCar"/>
        </w:rPr>
      </w:pPr>
      <w:r>
        <w:rPr>
          <w:rStyle w:val="IFTnormalCar"/>
        </w:rPr>
        <w:t xml:space="preserve">La versión más actualizada publicada por el Instituto del </w:t>
      </w:r>
      <w:r w:rsidR="00F7470F">
        <w:rPr>
          <w:rStyle w:val="IFTnormalCar"/>
        </w:rPr>
        <w:t>Modelo de Acceso a Torres</w:t>
      </w:r>
      <w:r>
        <w:rPr>
          <w:rStyle w:val="IFTnormalCar"/>
        </w:rPr>
        <w:t xml:space="preserve"> aplicable para </w:t>
      </w:r>
      <w:r w:rsidR="009402EC">
        <w:rPr>
          <w:rStyle w:val="IFTnormalCar"/>
        </w:rPr>
        <w:t xml:space="preserve">tarifas </w:t>
      </w:r>
      <w:r>
        <w:rPr>
          <w:rStyle w:val="IFTnormalCar"/>
        </w:rPr>
        <w:t xml:space="preserve">2022 puede ser consultada en al siguiente liga </w:t>
      </w:r>
      <w:r w:rsidR="009402EC">
        <w:rPr>
          <w:rStyle w:val="IFTnormalCar"/>
        </w:rPr>
        <w:t>electrónica</w:t>
      </w:r>
      <w:r>
        <w:rPr>
          <w:rStyle w:val="IFTnormalCar"/>
        </w:rPr>
        <w:t xml:space="preserve">: </w:t>
      </w:r>
      <w:hyperlink r:id="rId8" w:history="1">
        <w:r w:rsidRPr="00014267">
          <w:rPr>
            <w:rStyle w:val="Hipervnculo"/>
            <w:rFonts w:ascii="ITC Avant Garde" w:eastAsia="MS Mincho" w:hAnsi="ITC Avant Garde" w:cs="Calibri"/>
          </w:rPr>
          <w:t>http://www.ift.org.mx/sites/default/files/contenidogeneral/politica-regulatoria/modelodecostostorresdm-2022vpublicaf.zip</w:t>
        </w:r>
      </w:hyperlink>
      <w:r>
        <w:rPr>
          <w:rStyle w:val="IFTnormalCar"/>
        </w:rPr>
        <w:t xml:space="preserve"> </w:t>
      </w:r>
    </w:p>
    <w:p w14:paraId="03421D15" w14:textId="1A625A77" w:rsidR="00113CCA" w:rsidRDefault="00113CCA" w:rsidP="003D0158">
      <w:pPr>
        <w:jc w:val="both"/>
        <w:rPr>
          <w:rStyle w:val="IFTnormalCar"/>
        </w:rPr>
      </w:pPr>
      <w:bookmarkStart w:id="4" w:name="_Toc107152616"/>
      <w:bookmarkEnd w:id="4"/>
    </w:p>
    <w:p w14:paraId="60A85CDE" w14:textId="1AA0DF38" w:rsidR="003D0158" w:rsidRDefault="003B3150" w:rsidP="004A101A">
      <w:pPr>
        <w:pStyle w:val="T2IFT"/>
        <w:rPr>
          <w:rStyle w:val="IFTnormalCar"/>
        </w:rPr>
      </w:pPr>
      <w:bookmarkStart w:id="5" w:name="_Toc107852331"/>
      <w:r>
        <w:rPr>
          <w:rStyle w:val="IFTnormalCar"/>
        </w:rPr>
        <w:t xml:space="preserve">Principios de la metodología del </w:t>
      </w:r>
      <w:r w:rsidR="00F7470F">
        <w:rPr>
          <w:rStyle w:val="IFTnormalCar"/>
        </w:rPr>
        <w:t>Modelo de Acceso a Torres</w:t>
      </w:r>
      <w:bookmarkEnd w:id="5"/>
    </w:p>
    <w:p w14:paraId="4053F9FD" w14:textId="28A02DA1" w:rsidR="003B3150" w:rsidRPr="003B3150" w:rsidRDefault="003B3150" w:rsidP="003B3150">
      <w:pPr>
        <w:jc w:val="both"/>
        <w:rPr>
          <w:rStyle w:val="IFTnormalCar"/>
        </w:rPr>
      </w:pPr>
      <w:r w:rsidRPr="003B3150">
        <w:rPr>
          <w:rStyle w:val="IFTnormalCar"/>
        </w:rPr>
        <w:t xml:space="preserve">El objetivo del </w:t>
      </w:r>
      <w:r w:rsidR="00F7470F">
        <w:rPr>
          <w:rStyle w:val="IFTnormalCar"/>
        </w:rPr>
        <w:t>Modelo de Acceso a Torres</w:t>
      </w:r>
      <w:r w:rsidRPr="003B3150">
        <w:rPr>
          <w:rStyle w:val="IFTnormalCar"/>
        </w:rPr>
        <w:t xml:space="preserve"> es estimar los costos previstos en que un operador</w:t>
      </w:r>
      <w:r w:rsidR="00135344">
        <w:rPr>
          <w:rStyle w:val="IFTnormalCar"/>
        </w:rPr>
        <w:t xml:space="preserve"> eficiente</w:t>
      </w:r>
      <w:r w:rsidRPr="003B3150">
        <w:rPr>
          <w:rStyle w:val="IFTnormalCar"/>
        </w:rPr>
        <w:t xml:space="preserve"> incurriría si tuviera que desplegar sus sitios con infraestructura pasiva fija y sus torres en un mercado competitivo, de modo que le sea posible proveer todo un servicio o un incremento definido por su demanda. Dicho enfoque refleja la decisión de un nuevo operador entrante entre construir su propia red o rentar el acceso a la infraestructura pasiva de </w:t>
      </w:r>
      <w:r w:rsidR="00CF17F6">
        <w:rPr>
          <w:rStyle w:val="IFTnormalCar"/>
        </w:rPr>
        <w:t>TELMEX</w:t>
      </w:r>
      <w:r w:rsidRPr="003B3150">
        <w:rPr>
          <w:rStyle w:val="IFTnormalCar"/>
        </w:rPr>
        <w:t xml:space="preserve"> y </w:t>
      </w:r>
      <w:r w:rsidR="00CF17F6">
        <w:rPr>
          <w:rStyle w:val="IFTnormalCar"/>
        </w:rPr>
        <w:t>TELNOR</w:t>
      </w:r>
      <w:r w:rsidRPr="003B3150">
        <w:rPr>
          <w:rStyle w:val="IFTnormalCar"/>
        </w:rPr>
        <w:t>.</w:t>
      </w:r>
    </w:p>
    <w:p w14:paraId="70AA4855" w14:textId="652A7498" w:rsidR="003B3150" w:rsidRPr="003B3150" w:rsidRDefault="003B3150" w:rsidP="003B3150">
      <w:pPr>
        <w:jc w:val="both"/>
        <w:rPr>
          <w:rStyle w:val="IFTnormalCar"/>
        </w:rPr>
      </w:pPr>
      <w:r w:rsidRPr="003B3150">
        <w:rPr>
          <w:rStyle w:val="IFTnormalCar"/>
        </w:rPr>
        <w:t xml:space="preserve">El diseño del </w:t>
      </w:r>
      <w:r w:rsidR="00F7470F">
        <w:rPr>
          <w:rStyle w:val="IFTnormalCar"/>
        </w:rPr>
        <w:t>Modelo de Acceso a Torres</w:t>
      </w:r>
      <w:r w:rsidRPr="003B3150">
        <w:rPr>
          <w:rStyle w:val="IFTnormalCar"/>
        </w:rPr>
        <w:t xml:space="preserve"> toma como base a un operador hipotético, considerando las características de los sitios con los que cuentan </w:t>
      </w:r>
      <w:r w:rsidR="00135344">
        <w:rPr>
          <w:rStyle w:val="IFTnormalCar"/>
        </w:rPr>
        <w:t>dichas empresas integrantes del Agente Económico Preponderante</w:t>
      </w:r>
      <w:r w:rsidRPr="003B3150">
        <w:rPr>
          <w:rStyle w:val="IFTnormalCar"/>
        </w:rPr>
        <w:t xml:space="preserve">, así como la ocupación actual de su propia infraestructura. </w:t>
      </w:r>
      <w:r w:rsidR="00135344">
        <w:rPr>
          <w:rStyle w:val="IFTnormalCar"/>
        </w:rPr>
        <w:t>Asimismo</w:t>
      </w:r>
      <w:r w:rsidRPr="003B3150">
        <w:rPr>
          <w:rStyle w:val="IFTnormalCar"/>
        </w:rPr>
        <w:t>, las tarifas de los servicios consideran únicamente la infraestructura que está estrictamente relacionada con la prestación de los servicios mayoristas en cuestión.</w:t>
      </w:r>
    </w:p>
    <w:p w14:paraId="62B989E7" w14:textId="2DB2AD86" w:rsidR="003B3150" w:rsidRDefault="003B3150" w:rsidP="003B3150">
      <w:pPr>
        <w:jc w:val="both"/>
        <w:rPr>
          <w:rStyle w:val="IFTnormalCar"/>
        </w:rPr>
      </w:pPr>
      <w:r w:rsidRPr="003B3150">
        <w:rPr>
          <w:rStyle w:val="IFTnormalCar"/>
        </w:rPr>
        <w:t xml:space="preserve">Por otra parte, el enfoque desarrollado en el </w:t>
      </w:r>
      <w:r w:rsidR="00F7470F">
        <w:rPr>
          <w:rStyle w:val="IFTnormalCar"/>
        </w:rPr>
        <w:t>Modelo de Acceso a Torres</w:t>
      </w:r>
      <w:r w:rsidRPr="003B3150">
        <w:rPr>
          <w:rStyle w:val="IFTnormalCar"/>
        </w:rPr>
        <w:t xml:space="preserve"> realiza una aproximación adecuada de los costos incurridos por </w:t>
      </w:r>
      <w:r w:rsidR="00CF17F6">
        <w:rPr>
          <w:rStyle w:val="IFTnormalCar"/>
        </w:rPr>
        <w:t>TELMEX</w:t>
      </w:r>
      <w:r w:rsidRPr="003B3150">
        <w:rPr>
          <w:rStyle w:val="IFTnormalCar"/>
        </w:rPr>
        <w:t xml:space="preserve"> y </w:t>
      </w:r>
      <w:r w:rsidR="00CF17F6">
        <w:rPr>
          <w:rStyle w:val="IFTnormalCar"/>
        </w:rPr>
        <w:t>TELNOR</w:t>
      </w:r>
      <w:r w:rsidRPr="003B3150">
        <w:rPr>
          <w:rStyle w:val="IFTnormalCar"/>
        </w:rPr>
        <w:t xml:space="preserve"> por proveer los servicios mayoristas correspondientes a través de la infraestructura de est</w:t>
      </w:r>
      <w:r w:rsidR="00135344">
        <w:rPr>
          <w:rStyle w:val="IFTnormalCar"/>
        </w:rPr>
        <w:t>os</w:t>
      </w:r>
      <w:r w:rsidRPr="003B3150">
        <w:rPr>
          <w:rStyle w:val="IFTnormalCar"/>
        </w:rPr>
        <w:t xml:space="preserve"> </w:t>
      </w:r>
      <w:r w:rsidRPr="003B3150">
        <w:rPr>
          <w:rStyle w:val="IFTnormalCar"/>
        </w:rPr>
        <w:lastRenderedPageBreak/>
        <w:t>operador</w:t>
      </w:r>
      <w:r w:rsidR="00135344">
        <w:rPr>
          <w:rStyle w:val="IFTnormalCar"/>
        </w:rPr>
        <w:t>es</w:t>
      </w:r>
      <w:r w:rsidRPr="003B3150">
        <w:rPr>
          <w:rStyle w:val="IFTnormalCar"/>
        </w:rPr>
        <w:t xml:space="preserve">, pues considera las características de la misma y la ocupación actual sobre su propia infraestructura para brindar servicios desde un sitio, y atribuir los respectivos costos comunes y compartidos a los servicios relevantes en función de la demanda de dichos servicios, para asegurar que exista una recuperación de los costos de inversión en que las </w:t>
      </w:r>
      <w:r w:rsidR="00135344">
        <w:rPr>
          <w:rStyle w:val="IFTnormalCar"/>
        </w:rPr>
        <w:t>empresas</w:t>
      </w:r>
      <w:r w:rsidR="00135344" w:rsidRPr="003B3150">
        <w:rPr>
          <w:rStyle w:val="IFTnormalCar"/>
        </w:rPr>
        <w:t xml:space="preserve"> </w:t>
      </w:r>
      <w:r w:rsidRPr="003B3150">
        <w:rPr>
          <w:rStyle w:val="IFTnormalCar"/>
        </w:rPr>
        <w:t>incurren para el despliegue de los sitios donde se encuentran presente</w:t>
      </w:r>
      <w:r w:rsidR="008830C8">
        <w:rPr>
          <w:rStyle w:val="IFTnormalCar"/>
        </w:rPr>
        <w:t xml:space="preserve"> las</w:t>
      </w:r>
      <w:r w:rsidRPr="003B3150">
        <w:rPr>
          <w:rStyle w:val="IFTnormalCar"/>
        </w:rPr>
        <w:t xml:space="preserve"> torres.</w:t>
      </w:r>
    </w:p>
    <w:p w14:paraId="0E9B315B" w14:textId="357421C0" w:rsidR="003B3150" w:rsidRPr="003B3150" w:rsidRDefault="003B3150" w:rsidP="003B3150">
      <w:pPr>
        <w:jc w:val="both"/>
        <w:rPr>
          <w:rStyle w:val="IFTnormalCar"/>
        </w:rPr>
      </w:pPr>
      <w:r w:rsidRPr="003B3150">
        <w:rPr>
          <w:rStyle w:val="IFTnormalCar"/>
        </w:rPr>
        <w:t>De conformidad con el alcance de los servicios de Acceso y Uso Compartido de Infraestructura Pasiva establecido en la Medida TRIGÉSIMA NOVENA de las Medidas Fijas,</w:t>
      </w:r>
      <w:r>
        <w:rPr>
          <w:rStyle w:val="IFTnormalCar"/>
        </w:rPr>
        <w:t xml:space="preserve"> a partir de una metodología de costos incrementales promedio de largo plazo,</w:t>
      </w:r>
      <w:r w:rsidRPr="003B3150">
        <w:rPr>
          <w:rStyle w:val="IFTnormalCar"/>
        </w:rPr>
        <w:t xml:space="preserve"> los servicios que son considerados en el </w:t>
      </w:r>
      <w:r w:rsidR="00F7470F">
        <w:rPr>
          <w:rStyle w:val="IFTnormalCar"/>
        </w:rPr>
        <w:t>Modelo de Acceso a Torres</w:t>
      </w:r>
      <w:r w:rsidR="000B3673">
        <w:rPr>
          <w:rStyle w:val="IFTnormalCar"/>
        </w:rPr>
        <w:t xml:space="preserve"> </w:t>
      </w:r>
      <w:r w:rsidRPr="003B3150">
        <w:rPr>
          <w:rStyle w:val="IFTnormalCar"/>
        </w:rPr>
        <w:t>son los siguientes:</w:t>
      </w:r>
    </w:p>
    <w:p w14:paraId="785BAAE8" w14:textId="193119C9" w:rsidR="003B3150" w:rsidRPr="008830C8" w:rsidRDefault="003B3150" w:rsidP="003B3150">
      <w:pPr>
        <w:jc w:val="both"/>
        <w:rPr>
          <w:rStyle w:val="IFTnormalCar"/>
          <w:b/>
          <w:i/>
        </w:rPr>
      </w:pPr>
      <w:r w:rsidRPr="008830C8">
        <w:rPr>
          <w:rStyle w:val="IFTnormalCar"/>
          <w:b/>
          <w:i/>
        </w:rPr>
        <w:t>Servicios de Acceso y Uso Compartido de Infraestructura Pasiva asociados a la Oferta de Referencia</w:t>
      </w:r>
      <w:r>
        <w:rPr>
          <w:rStyle w:val="Refdenotaalpie"/>
          <w:rFonts w:ascii="ITC Avant Garde" w:eastAsia="MS Mincho" w:hAnsi="ITC Avant Garde" w:cs="Calibri"/>
          <w:b/>
          <w:bCs/>
          <w:i/>
        </w:rPr>
        <w:footnoteReference w:id="4"/>
      </w:r>
      <w:r w:rsidR="00A5163B">
        <w:rPr>
          <w:rStyle w:val="IFTnormalCar"/>
          <w:b/>
          <w:i/>
        </w:rPr>
        <w:t xml:space="preserve"> (en lo sucesivo, la “Oferta de Referencia”)</w:t>
      </w:r>
    </w:p>
    <w:p w14:paraId="12C76EEC" w14:textId="77777777" w:rsidR="003B3150" w:rsidRPr="003B3150" w:rsidRDefault="003B3150" w:rsidP="003B3150">
      <w:pPr>
        <w:jc w:val="both"/>
        <w:rPr>
          <w:rStyle w:val="IFTnormalCar"/>
        </w:rPr>
      </w:pPr>
      <w:r w:rsidRPr="003B3150">
        <w:rPr>
          <w:rStyle w:val="IFTnormalCar"/>
        </w:rPr>
        <w:t>Servicio de Acceso y Uso Compartido de Torre</w:t>
      </w:r>
    </w:p>
    <w:p w14:paraId="07F70245" w14:textId="7BF9BA1D" w:rsidR="003B3150" w:rsidRPr="003B3150" w:rsidRDefault="003B3150" w:rsidP="003B3150">
      <w:pPr>
        <w:jc w:val="both"/>
        <w:rPr>
          <w:rStyle w:val="IFTnormalCar"/>
        </w:rPr>
      </w:pPr>
      <w:r w:rsidRPr="003B3150">
        <w:rPr>
          <w:rStyle w:val="IFTnormalCar"/>
        </w:rPr>
        <w:t>•</w:t>
      </w:r>
      <w:r w:rsidRPr="003B3150">
        <w:rPr>
          <w:rStyle w:val="IFTnormalCar"/>
        </w:rPr>
        <w:tab/>
        <w:t xml:space="preserve">Acceso y uso de </w:t>
      </w:r>
      <w:r w:rsidR="00CF17F6">
        <w:rPr>
          <w:rStyle w:val="IFTnormalCar"/>
        </w:rPr>
        <w:t>Espacio Aprobado en Torre</w:t>
      </w:r>
      <w:r w:rsidRPr="003B3150">
        <w:rPr>
          <w:rStyle w:val="IFTnormalCar"/>
        </w:rPr>
        <w:t>.</w:t>
      </w:r>
    </w:p>
    <w:p w14:paraId="3D92DCC0" w14:textId="05BFE954" w:rsidR="003B3150" w:rsidRDefault="003B3150" w:rsidP="003B3150">
      <w:pPr>
        <w:jc w:val="both"/>
        <w:rPr>
          <w:rStyle w:val="IFTnormalCar"/>
        </w:rPr>
      </w:pPr>
      <w:r w:rsidRPr="003B3150">
        <w:rPr>
          <w:rStyle w:val="IFTnormalCar"/>
        </w:rPr>
        <w:t>•</w:t>
      </w:r>
      <w:r w:rsidRPr="003B3150">
        <w:rPr>
          <w:rStyle w:val="IFTnormalCar"/>
        </w:rPr>
        <w:tab/>
        <w:t xml:space="preserve">Por el acceso y uso de </w:t>
      </w:r>
      <w:r w:rsidR="00CF17F6">
        <w:rPr>
          <w:rStyle w:val="IFTnormalCar"/>
        </w:rPr>
        <w:t>Espacio Aprobado en Piso</w:t>
      </w:r>
      <w:r w:rsidRPr="003B3150">
        <w:rPr>
          <w:rStyle w:val="IFTnormalCar"/>
        </w:rPr>
        <w:t>.</w:t>
      </w:r>
    </w:p>
    <w:p w14:paraId="2EC644D6" w14:textId="2B4CFC51" w:rsidR="003B3150" w:rsidRPr="00681CB9" w:rsidRDefault="00D30B1E" w:rsidP="003B3150">
      <w:pPr>
        <w:jc w:val="both"/>
        <w:rPr>
          <w:rStyle w:val="IFTnormalCar"/>
        </w:rPr>
      </w:pPr>
      <w:r>
        <w:rPr>
          <w:rStyle w:val="IFTnormalCar"/>
        </w:rPr>
        <w:t xml:space="preserve">En este contexto, </w:t>
      </w:r>
      <w:r w:rsidR="003B3150" w:rsidRPr="003B3150">
        <w:rPr>
          <w:rStyle w:val="IFTnormalCar"/>
        </w:rPr>
        <w:t xml:space="preserve">la presente consulta pública tiene por objeto transparentar y dar a conocer la propuesta de regulación a efecto de que los interesados en la misma puedan tener un mayor entendimiento sobre </w:t>
      </w:r>
      <w:r w:rsidR="00135344">
        <w:rPr>
          <w:rStyle w:val="IFTnormalCar"/>
        </w:rPr>
        <w:t>las</w:t>
      </w:r>
      <w:r w:rsidR="00135344" w:rsidRPr="003B3150">
        <w:rPr>
          <w:rStyle w:val="IFTnormalCar"/>
        </w:rPr>
        <w:t xml:space="preserve"> </w:t>
      </w:r>
      <w:r w:rsidR="003B3150" w:rsidRPr="003B3150">
        <w:rPr>
          <w:rStyle w:val="IFTnormalCar"/>
        </w:rPr>
        <w:t xml:space="preserve">medidas y términos propuestos por el Instituto y, a partir de ello, formular a este órgano regulador sus comentarios, opiniones o aportaciones que permitan </w:t>
      </w:r>
      <w:r w:rsidR="00135344">
        <w:rPr>
          <w:rStyle w:val="IFTnormalCar"/>
        </w:rPr>
        <w:t xml:space="preserve">robustecer el </w:t>
      </w:r>
      <w:r w:rsidR="00F7470F">
        <w:rPr>
          <w:rStyle w:val="IFTnormalCar"/>
        </w:rPr>
        <w:t>Modelo de Acceso a Torres</w:t>
      </w:r>
      <w:r w:rsidR="003B3150" w:rsidRPr="003B3150">
        <w:rPr>
          <w:rStyle w:val="IFTnormalCar"/>
        </w:rPr>
        <w:t>.</w:t>
      </w:r>
    </w:p>
    <w:p w14:paraId="112A5E76" w14:textId="6C3E82F2" w:rsidR="005072B2" w:rsidRDefault="005072B2" w:rsidP="00E75BE8">
      <w:pPr>
        <w:pStyle w:val="IFTnormal"/>
      </w:pPr>
    </w:p>
    <w:p w14:paraId="35326FA8" w14:textId="6AF24FAD" w:rsidR="00610ABD" w:rsidRDefault="00610ABD" w:rsidP="00E75BE8">
      <w:pPr>
        <w:pStyle w:val="IFTnormal"/>
      </w:pPr>
    </w:p>
    <w:p w14:paraId="6CE7A345" w14:textId="38260F99" w:rsidR="00610ABD" w:rsidRDefault="00610ABD" w:rsidP="00E75BE8">
      <w:pPr>
        <w:pStyle w:val="IFTnormal"/>
      </w:pPr>
    </w:p>
    <w:p w14:paraId="27312DC3" w14:textId="77777777" w:rsidR="00610ABD" w:rsidRDefault="00610ABD" w:rsidP="00E75BE8">
      <w:pPr>
        <w:pStyle w:val="IFTnormal"/>
      </w:pPr>
    </w:p>
    <w:p w14:paraId="0CD66B7A" w14:textId="39062062" w:rsidR="00610ABD" w:rsidRDefault="00610ABD" w:rsidP="00E75BE8">
      <w:pPr>
        <w:pStyle w:val="IFTnormal"/>
      </w:pPr>
    </w:p>
    <w:p w14:paraId="3B1517E8" w14:textId="24B548C4" w:rsidR="00610ABD" w:rsidRDefault="00610ABD" w:rsidP="00E75BE8">
      <w:pPr>
        <w:pStyle w:val="IFTnormal"/>
      </w:pPr>
    </w:p>
    <w:p w14:paraId="59B54026" w14:textId="77777777" w:rsidR="00610ABD" w:rsidRDefault="00610ABD" w:rsidP="00E75BE8">
      <w:pPr>
        <w:pStyle w:val="IFTnormal"/>
      </w:pPr>
    </w:p>
    <w:p w14:paraId="4FE2BE9B" w14:textId="5DE8CC8F" w:rsidR="00610ABD" w:rsidRDefault="00610ABD" w:rsidP="00E75BE8">
      <w:pPr>
        <w:pStyle w:val="IFTnormal"/>
      </w:pPr>
    </w:p>
    <w:p w14:paraId="46FC7000" w14:textId="77777777" w:rsidR="00610ABD" w:rsidRPr="00681CB9" w:rsidRDefault="00610ABD" w:rsidP="00E75BE8">
      <w:pPr>
        <w:pStyle w:val="IFTnormal"/>
      </w:pPr>
    </w:p>
    <w:p w14:paraId="71D4EA38" w14:textId="5D6ED54F" w:rsidR="00FE0D86" w:rsidRPr="00681CB9" w:rsidRDefault="004935A2" w:rsidP="004A101A">
      <w:pPr>
        <w:pStyle w:val="T2IFT"/>
      </w:pPr>
      <w:bookmarkStart w:id="6" w:name="_Toc107852332"/>
      <w:r w:rsidRPr="00681CB9">
        <w:lastRenderedPageBreak/>
        <w:t xml:space="preserve">Enfoque del </w:t>
      </w:r>
      <w:r w:rsidR="00F7470F">
        <w:rPr>
          <w:rStyle w:val="IFTnormalCar"/>
        </w:rPr>
        <w:t>Modelo de Acceso a Torres</w:t>
      </w:r>
      <w:bookmarkEnd w:id="6"/>
    </w:p>
    <w:p w14:paraId="7F77FB98" w14:textId="59FD8271" w:rsidR="00AA1CB8" w:rsidRPr="00681CB9" w:rsidRDefault="00011446" w:rsidP="009A4E85">
      <w:pPr>
        <w:pStyle w:val="Ttulo2"/>
        <w:ind w:left="360"/>
        <w:rPr>
          <w:rFonts w:ascii="ITC Avant Garde" w:hAnsi="ITC Avant Garde"/>
          <w:sz w:val="22"/>
          <w:lang w:val="es-MX"/>
        </w:rPr>
      </w:pPr>
      <w:bookmarkStart w:id="7" w:name="_Toc107852333"/>
      <w:r>
        <w:rPr>
          <w:rFonts w:ascii="ITC Avant Garde" w:hAnsi="ITC Avant Garde"/>
          <w:sz w:val="22"/>
          <w:lang w:val="es-MX"/>
        </w:rPr>
        <w:t>3</w:t>
      </w:r>
      <w:r w:rsidR="005072B2" w:rsidRPr="00681CB9">
        <w:rPr>
          <w:rFonts w:ascii="ITC Avant Garde" w:hAnsi="ITC Avant Garde"/>
          <w:sz w:val="22"/>
          <w:lang w:val="es-MX"/>
        </w:rPr>
        <w:t xml:space="preserve">.1 </w:t>
      </w:r>
      <w:r w:rsidR="009A4E85" w:rsidRPr="00681CB9">
        <w:rPr>
          <w:rFonts w:ascii="ITC Avant Garde" w:hAnsi="ITC Avant Garde"/>
          <w:sz w:val="22"/>
          <w:lang w:val="es-MX"/>
        </w:rPr>
        <w:t>Variables consideradas en el Modelo</w:t>
      </w:r>
      <w:bookmarkEnd w:id="7"/>
    </w:p>
    <w:p w14:paraId="664BD362" w14:textId="6D820DFA" w:rsidR="004C6873" w:rsidRPr="00681CB9" w:rsidRDefault="00011446" w:rsidP="009A4E85">
      <w:pPr>
        <w:pStyle w:val="Ttulo3"/>
        <w:spacing w:before="360" w:after="240" w:line="288" w:lineRule="auto"/>
        <w:ind w:firstLine="696"/>
        <w:jc w:val="both"/>
        <w:rPr>
          <w:rFonts w:ascii="ITC Avant Garde" w:hAnsi="ITC Avant Garde"/>
          <w:b/>
          <w:color w:val="auto"/>
          <w:sz w:val="22"/>
          <w:szCs w:val="22"/>
        </w:rPr>
      </w:pPr>
      <w:bookmarkStart w:id="8" w:name="_Toc107852334"/>
      <w:r>
        <w:rPr>
          <w:rFonts w:ascii="ITC Avant Garde" w:hAnsi="ITC Avant Garde"/>
          <w:b/>
          <w:color w:val="auto"/>
          <w:sz w:val="22"/>
          <w:szCs w:val="22"/>
        </w:rPr>
        <w:t>3</w:t>
      </w:r>
      <w:r w:rsidR="009A4E85" w:rsidRPr="00681CB9">
        <w:rPr>
          <w:rFonts w:ascii="ITC Avant Garde" w:hAnsi="ITC Avant Garde"/>
          <w:b/>
          <w:color w:val="auto"/>
          <w:sz w:val="22"/>
          <w:szCs w:val="22"/>
        </w:rPr>
        <w:t xml:space="preserve">.1.1 </w:t>
      </w:r>
      <w:r w:rsidR="004C6873" w:rsidRPr="00681CB9">
        <w:rPr>
          <w:rFonts w:ascii="ITC Avant Garde" w:hAnsi="ITC Avant Garde"/>
          <w:b/>
          <w:color w:val="auto"/>
          <w:sz w:val="22"/>
          <w:szCs w:val="22"/>
        </w:rPr>
        <w:t>Implementación paramétrica</w:t>
      </w:r>
      <w:bookmarkEnd w:id="8"/>
    </w:p>
    <w:p w14:paraId="1B779A51" w14:textId="5B41AEE8" w:rsidR="000B3673" w:rsidRDefault="004C6873" w:rsidP="004C6873">
      <w:pPr>
        <w:pStyle w:val="IFTnormal"/>
      </w:pPr>
      <w:r w:rsidRPr="00681CB9">
        <w:t xml:space="preserve">El </w:t>
      </w:r>
      <w:r w:rsidR="00F7470F">
        <w:rPr>
          <w:rStyle w:val="IFTnormalCar"/>
        </w:rPr>
        <w:t>Modelo de Acceso a Torres</w:t>
      </w:r>
      <w:r w:rsidRPr="00681CB9">
        <w:t xml:space="preserve"> sigue una implementación paramétrica, es decir</w:t>
      </w:r>
      <w:r w:rsidR="00135344">
        <w:t>,</w:t>
      </w:r>
      <w:r w:rsidRPr="00681CB9">
        <w:t xml:space="preserve"> permite al Instituto definir ciertas características de la demanda, </w:t>
      </w:r>
      <w:r w:rsidRPr="00681CB9">
        <w:rPr>
          <w:lang w:val="es-419"/>
        </w:rPr>
        <w:t xml:space="preserve">de los sitios y </w:t>
      </w:r>
      <w:r w:rsidRPr="00681CB9">
        <w:t>parámetros de costos</w:t>
      </w:r>
      <w:r w:rsidRPr="00681CB9">
        <w:rPr>
          <w:lang w:val="es-419"/>
        </w:rPr>
        <w:t>.</w:t>
      </w:r>
      <w:r w:rsidR="00CA499B">
        <w:rPr>
          <w:lang w:val="es-419"/>
        </w:rPr>
        <w:t xml:space="preserve"> </w:t>
      </w:r>
      <w:r w:rsidR="000B3673">
        <w:t xml:space="preserve">Para tal efecto, el Instituto ha solicitado información a </w:t>
      </w:r>
      <w:r w:rsidR="00CF17F6">
        <w:t>TELMEX</w:t>
      </w:r>
      <w:r w:rsidR="000B3673">
        <w:t xml:space="preserve"> y </w:t>
      </w:r>
      <w:r w:rsidR="00CF17F6">
        <w:t>TELNOR</w:t>
      </w:r>
      <w:r w:rsidR="000B3673">
        <w:t xml:space="preserve"> sobre la infraestructura pasiva </w:t>
      </w:r>
      <w:r w:rsidR="00CA499B">
        <w:t xml:space="preserve">para la actualización del </w:t>
      </w:r>
      <w:r w:rsidR="00F7470F">
        <w:rPr>
          <w:rStyle w:val="IFTnormalCar"/>
        </w:rPr>
        <w:t>Modelo de Acceso a Torres</w:t>
      </w:r>
      <w:r w:rsidR="000B3673">
        <w:t xml:space="preserve">. </w:t>
      </w:r>
    </w:p>
    <w:p w14:paraId="5C0AE6DA" w14:textId="031551A2" w:rsidR="00E568FA" w:rsidRDefault="00E568FA" w:rsidP="004C6873">
      <w:pPr>
        <w:pStyle w:val="IFTnormal"/>
      </w:pPr>
      <w:r>
        <w:t>A partir del análisis realizado por el Instituto</w:t>
      </w:r>
      <w:r w:rsidR="00135344">
        <w:t xml:space="preserve"> a la información provista por dichas empresas se </w:t>
      </w:r>
      <w:r>
        <w:t>toma</w:t>
      </w:r>
      <w:r w:rsidR="0042690A">
        <w:t>n</w:t>
      </w:r>
      <w:r>
        <w:t xml:space="preserve"> como conjunto de análisis un total de 3,978 torres para este ejercicio. Lo anterior, a partir de una muestra de 4,879 torres consideradas en 2022, de las cuales se pudo identificar lo siguiente:</w:t>
      </w:r>
    </w:p>
    <w:p w14:paraId="1E34455C" w14:textId="43C01C57" w:rsidR="008830C8" w:rsidRDefault="00AD6A29" w:rsidP="00616695">
      <w:pPr>
        <w:pStyle w:val="IFTnormal"/>
        <w:jc w:val="center"/>
      </w:pPr>
      <w:r>
        <w:rPr>
          <w:noProof/>
        </w:rPr>
        <w:drawing>
          <wp:inline distT="0" distB="0" distL="0" distR="0" wp14:anchorId="3A8A63E4" wp14:editId="12937E4B">
            <wp:extent cx="5530850" cy="1689287"/>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3945" cy="1696341"/>
                    </a:xfrm>
                    <a:prstGeom prst="rect">
                      <a:avLst/>
                    </a:prstGeom>
                    <a:noFill/>
                    <a:ln>
                      <a:noFill/>
                    </a:ln>
                  </pic:spPr>
                </pic:pic>
              </a:graphicData>
            </a:graphic>
          </wp:inline>
        </w:drawing>
      </w:r>
    </w:p>
    <w:p w14:paraId="0DCECEEF" w14:textId="63E96860" w:rsidR="00E568FA" w:rsidRPr="0023217F" w:rsidRDefault="00852698" w:rsidP="0023217F">
      <w:pPr>
        <w:pStyle w:val="IFTnormal"/>
        <w:jc w:val="center"/>
        <w:rPr>
          <w:i/>
          <w:sz w:val="18"/>
        </w:rPr>
      </w:pPr>
      <w:r w:rsidRPr="0023217F">
        <w:rPr>
          <w:b/>
          <w:sz w:val="18"/>
        </w:rPr>
        <w:t>Figura</w:t>
      </w:r>
      <w:r w:rsidR="00A03B31" w:rsidRPr="0023217F">
        <w:rPr>
          <w:b/>
          <w:sz w:val="18"/>
        </w:rPr>
        <w:t xml:space="preserve"> 1. </w:t>
      </w:r>
      <w:r w:rsidR="002B7596">
        <w:rPr>
          <w:i/>
          <w:sz w:val="18"/>
        </w:rPr>
        <w:t xml:space="preserve">Cantidad de </w:t>
      </w:r>
      <w:r w:rsidR="0023217F">
        <w:rPr>
          <w:i/>
          <w:sz w:val="18"/>
        </w:rPr>
        <w:t xml:space="preserve">torres </w:t>
      </w:r>
      <w:r w:rsidR="002B7596">
        <w:rPr>
          <w:i/>
          <w:sz w:val="18"/>
        </w:rPr>
        <w:t>analizadas</w:t>
      </w:r>
      <w:r w:rsidR="0023217F">
        <w:rPr>
          <w:i/>
          <w:sz w:val="18"/>
        </w:rPr>
        <w:t xml:space="preserve"> </w:t>
      </w:r>
      <w:r w:rsidR="002F7F90">
        <w:rPr>
          <w:i/>
          <w:sz w:val="18"/>
        </w:rPr>
        <w:t xml:space="preserve">en </w:t>
      </w:r>
      <w:r w:rsidR="0023217F">
        <w:rPr>
          <w:i/>
          <w:sz w:val="18"/>
        </w:rPr>
        <w:t xml:space="preserve">el </w:t>
      </w:r>
      <w:r w:rsidR="00F7470F" w:rsidRPr="00694F9F">
        <w:rPr>
          <w:rStyle w:val="IFTnormalCar"/>
          <w:i/>
          <w:sz w:val="18"/>
          <w:szCs w:val="18"/>
        </w:rPr>
        <w:t>Modelo de Acceso a Torres</w:t>
      </w:r>
      <w:r w:rsidR="00506978" w:rsidRPr="00694F9F">
        <w:rPr>
          <w:i/>
          <w:sz w:val="18"/>
          <w:szCs w:val="18"/>
        </w:rPr>
        <w:t>.</w:t>
      </w:r>
    </w:p>
    <w:p w14:paraId="45C0F9D5" w14:textId="26385032" w:rsidR="004C6873" w:rsidRPr="00681CB9" w:rsidRDefault="00011446" w:rsidP="009A4E85">
      <w:pPr>
        <w:pStyle w:val="Ttulo3"/>
        <w:spacing w:before="360" w:after="240" w:line="288" w:lineRule="auto"/>
        <w:ind w:firstLine="696"/>
        <w:jc w:val="both"/>
        <w:rPr>
          <w:rFonts w:ascii="ITC Avant Garde" w:hAnsi="ITC Avant Garde"/>
          <w:b/>
          <w:color w:val="auto"/>
          <w:sz w:val="22"/>
        </w:rPr>
      </w:pPr>
      <w:bookmarkStart w:id="9" w:name="_Toc107852335"/>
      <w:r>
        <w:rPr>
          <w:rFonts w:ascii="ITC Avant Garde" w:hAnsi="ITC Avant Garde"/>
          <w:b/>
          <w:color w:val="auto"/>
          <w:sz w:val="22"/>
        </w:rPr>
        <w:t>3</w:t>
      </w:r>
      <w:r w:rsidR="009A4E85" w:rsidRPr="00681CB9">
        <w:rPr>
          <w:rFonts w:ascii="ITC Avant Garde" w:hAnsi="ITC Avant Garde"/>
          <w:b/>
          <w:color w:val="auto"/>
          <w:sz w:val="22"/>
        </w:rPr>
        <w:t xml:space="preserve">.1.2 </w:t>
      </w:r>
      <w:r w:rsidR="004C6873" w:rsidRPr="00681CB9">
        <w:rPr>
          <w:rFonts w:ascii="ITC Avant Garde" w:hAnsi="ITC Avant Garde"/>
          <w:b/>
          <w:color w:val="auto"/>
          <w:sz w:val="22"/>
        </w:rPr>
        <w:t>Despliegue</w:t>
      </w:r>
      <w:bookmarkEnd w:id="9"/>
    </w:p>
    <w:p w14:paraId="199A25CE" w14:textId="0C561162" w:rsidR="005F2BA8" w:rsidRDefault="00D94F8A" w:rsidP="008F129B">
      <w:pPr>
        <w:pStyle w:val="IFTnormal"/>
      </w:pPr>
      <w:r>
        <w:rPr>
          <w:szCs w:val="18"/>
          <w:lang w:val="es-419"/>
        </w:rPr>
        <w:t>A partir del conjunto de datos analizados, e</w:t>
      </w:r>
      <w:r w:rsidR="004C6873" w:rsidRPr="00681CB9">
        <w:rPr>
          <w:szCs w:val="18"/>
        </w:rPr>
        <w:t xml:space="preserve">l </w:t>
      </w:r>
      <w:r w:rsidR="00F7470F">
        <w:rPr>
          <w:rStyle w:val="IFTnormalCar"/>
        </w:rPr>
        <w:t>Modelo de Acceso a Torres</w:t>
      </w:r>
      <w:r w:rsidR="004C6873" w:rsidRPr="00681CB9">
        <w:rPr>
          <w:szCs w:val="18"/>
        </w:rPr>
        <w:t xml:space="preserve"> asume que toda la infraestructura pasiva es desplegada en el año corriente, por lo que los costos unitarios base siempre serán los del año de referencia, los cuales se actualizan para años posteriores según una tendencia de costos asignada a cada elemento a costear</w:t>
      </w:r>
      <w:r w:rsidR="00D30B1E">
        <w:rPr>
          <w:rStyle w:val="Refdenotaalpie"/>
          <w:szCs w:val="18"/>
        </w:rPr>
        <w:footnoteReference w:id="5"/>
      </w:r>
      <w:r w:rsidR="004C6873" w:rsidRPr="00681CB9">
        <w:rPr>
          <w:szCs w:val="18"/>
        </w:rPr>
        <w:t xml:space="preserve">. </w:t>
      </w:r>
      <w:r w:rsidR="004C6873" w:rsidRPr="00681CB9">
        <w:t xml:space="preserve">Derivado de lo anterior los precios estimados por el modelo son válidos únicamente para el año seleccionado. </w:t>
      </w:r>
    </w:p>
    <w:p w14:paraId="219C2517" w14:textId="540FDE0A" w:rsidR="00DD1DCE" w:rsidRDefault="00DD1DCE" w:rsidP="008F129B">
      <w:pPr>
        <w:pStyle w:val="IFTnormal"/>
      </w:pPr>
    </w:p>
    <w:p w14:paraId="37173A44" w14:textId="49517FCE" w:rsidR="008F129B" w:rsidRPr="00681CB9" w:rsidRDefault="00011446" w:rsidP="003E53DD">
      <w:pPr>
        <w:pStyle w:val="Ttulo3"/>
        <w:spacing w:before="360" w:after="240" w:line="288" w:lineRule="auto"/>
        <w:ind w:firstLine="696"/>
        <w:jc w:val="both"/>
        <w:rPr>
          <w:rFonts w:ascii="ITC Avant Garde" w:hAnsi="ITC Avant Garde"/>
          <w:b/>
          <w:color w:val="auto"/>
          <w:sz w:val="22"/>
        </w:rPr>
      </w:pPr>
      <w:bookmarkStart w:id="10" w:name="_Toc107852336"/>
      <w:r>
        <w:rPr>
          <w:rFonts w:ascii="ITC Avant Garde" w:hAnsi="ITC Avant Garde"/>
          <w:b/>
          <w:color w:val="auto"/>
          <w:sz w:val="22"/>
        </w:rPr>
        <w:lastRenderedPageBreak/>
        <w:t>3</w:t>
      </w:r>
      <w:r w:rsidR="003E53DD" w:rsidRPr="00681CB9">
        <w:rPr>
          <w:rFonts w:ascii="ITC Avant Garde" w:hAnsi="ITC Avant Garde"/>
          <w:b/>
          <w:color w:val="auto"/>
          <w:sz w:val="22"/>
        </w:rPr>
        <w:t xml:space="preserve">.1.3 </w:t>
      </w:r>
      <w:r w:rsidR="008F129B" w:rsidRPr="00681CB9">
        <w:rPr>
          <w:rFonts w:ascii="ITC Avant Garde" w:hAnsi="ITC Avant Garde"/>
          <w:b/>
          <w:color w:val="auto"/>
          <w:sz w:val="22"/>
        </w:rPr>
        <w:t>Valoración de los activos</w:t>
      </w:r>
      <w:bookmarkEnd w:id="10"/>
    </w:p>
    <w:p w14:paraId="11230C10" w14:textId="7FC5FB7F" w:rsidR="008F129B" w:rsidRPr="00616695" w:rsidRDefault="000A6697" w:rsidP="008F129B">
      <w:pPr>
        <w:pStyle w:val="IFTnormal"/>
        <w:rPr>
          <w:color w:val="000000" w:themeColor="text1"/>
        </w:rPr>
      </w:pPr>
      <w:r>
        <w:rPr>
          <w:color w:val="000000" w:themeColor="text1"/>
        </w:rPr>
        <w:t xml:space="preserve">El </w:t>
      </w:r>
      <w:r w:rsidR="00F7470F">
        <w:rPr>
          <w:rStyle w:val="IFTnormalCar"/>
        </w:rPr>
        <w:t>Modelo de Acceso a Torres</w:t>
      </w:r>
      <w:r>
        <w:rPr>
          <w:color w:val="000000" w:themeColor="text1"/>
        </w:rPr>
        <w:t xml:space="preserve"> </w:t>
      </w:r>
      <w:r w:rsidRPr="000A6697">
        <w:rPr>
          <w:color w:val="000000" w:themeColor="text1"/>
        </w:rPr>
        <w:t>se basa en costos corrientes recuperados a través de anualidades.</w:t>
      </w:r>
      <w:r>
        <w:rPr>
          <w:color w:val="000000" w:themeColor="text1"/>
        </w:rPr>
        <w:t xml:space="preserve"> Asimismo,</w:t>
      </w:r>
      <w:r w:rsidR="008F129B" w:rsidRPr="00681CB9">
        <w:t xml:space="preserve"> se considera un método de valoración de activos que calcula el valor de los activos a partir del costo actual de activos modernos equivalentes sujetos a reducciones de costos (conocido como MEA, por sus siglas en inglés).</w:t>
      </w:r>
    </w:p>
    <w:p w14:paraId="08926EA0" w14:textId="31CA1456" w:rsidR="008F129B" w:rsidRPr="00681CB9" w:rsidRDefault="000A6697" w:rsidP="008F129B">
      <w:pPr>
        <w:pStyle w:val="IFTnormal"/>
      </w:pPr>
      <w:r>
        <w:t xml:space="preserve">De esta forma, </w:t>
      </w:r>
      <w:r w:rsidR="008F129B" w:rsidRPr="00681CB9">
        <w:t xml:space="preserve">los activos son valorados con base en activos modernos equivalentes, a partir de información proporcionada por </w:t>
      </w:r>
      <w:r w:rsidR="00CF17F6">
        <w:t>TELMEX</w:t>
      </w:r>
      <w:r w:rsidR="00D94F8A">
        <w:t xml:space="preserve"> y </w:t>
      </w:r>
      <w:r w:rsidR="00CF17F6">
        <w:t>TELNOR</w:t>
      </w:r>
      <w:r w:rsidR="00D94F8A">
        <w:t xml:space="preserve">, o bien, por </w:t>
      </w:r>
      <w:r>
        <w:t>t</w:t>
      </w:r>
      <w:r w:rsidR="00D94F8A">
        <w:t>erceros</w:t>
      </w:r>
      <w:r w:rsidR="008F129B" w:rsidRPr="00681CB9">
        <w:t>.</w:t>
      </w:r>
    </w:p>
    <w:p w14:paraId="74AA9510" w14:textId="16990194" w:rsidR="008F129B" w:rsidRPr="00681CB9" w:rsidRDefault="00011446" w:rsidP="003E53DD">
      <w:pPr>
        <w:pStyle w:val="Ttulo3"/>
        <w:spacing w:before="360" w:after="240" w:line="288" w:lineRule="auto"/>
        <w:ind w:firstLine="696"/>
        <w:jc w:val="both"/>
        <w:rPr>
          <w:rFonts w:ascii="ITC Avant Garde" w:hAnsi="ITC Avant Garde"/>
          <w:color w:val="auto"/>
          <w:sz w:val="22"/>
        </w:rPr>
      </w:pPr>
      <w:bookmarkStart w:id="11" w:name="_Toc107852337"/>
      <w:r>
        <w:rPr>
          <w:rFonts w:ascii="ITC Avant Garde" w:hAnsi="ITC Avant Garde"/>
          <w:b/>
          <w:color w:val="auto"/>
          <w:sz w:val="22"/>
        </w:rPr>
        <w:t>3</w:t>
      </w:r>
      <w:r w:rsidR="003E53DD" w:rsidRPr="00681CB9">
        <w:rPr>
          <w:rFonts w:ascii="ITC Avant Garde" w:hAnsi="ITC Avant Garde"/>
          <w:b/>
          <w:color w:val="auto"/>
          <w:sz w:val="22"/>
        </w:rPr>
        <w:t xml:space="preserve">.1.4 </w:t>
      </w:r>
      <w:r w:rsidR="008F129B" w:rsidRPr="00681CB9">
        <w:rPr>
          <w:rFonts w:ascii="ITC Avant Garde" w:hAnsi="ITC Avant Garde"/>
          <w:b/>
          <w:color w:val="auto"/>
          <w:sz w:val="22"/>
        </w:rPr>
        <w:t>Vida útil de los activos</w:t>
      </w:r>
      <w:bookmarkEnd w:id="11"/>
    </w:p>
    <w:p w14:paraId="4F2575B5" w14:textId="1987A55C" w:rsidR="008F129B" w:rsidRDefault="008F129B" w:rsidP="008F129B">
      <w:pPr>
        <w:pStyle w:val="IFTnormal"/>
        <w:rPr>
          <w:lang w:val="es-419"/>
        </w:rPr>
      </w:pPr>
      <w:r w:rsidRPr="00681CB9">
        <w:rPr>
          <w:lang w:val="es-419"/>
        </w:rPr>
        <w:t>E</w:t>
      </w:r>
      <w:r w:rsidRPr="00681CB9">
        <w:t xml:space="preserve">n las estimaciones del modelo se considera que la vida útil de los elementos a costear es económica, en razón </w:t>
      </w:r>
      <w:r w:rsidRPr="00681CB9">
        <w:rPr>
          <w:lang w:val="es-419"/>
        </w:rPr>
        <w:t>de que se reflej</w:t>
      </w:r>
      <w:r w:rsidR="00104CB4">
        <w:rPr>
          <w:lang w:val="es-419"/>
        </w:rPr>
        <w:t>a</w:t>
      </w:r>
      <w:r w:rsidRPr="00681CB9">
        <w:rPr>
          <w:lang w:val="es-419"/>
        </w:rPr>
        <w:t xml:space="preserve"> el tiempo de uso de los activos. </w:t>
      </w:r>
    </w:p>
    <w:p w14:paraId="7D6BF645" w14:textId="3527121E" w:rsidR="008F129B" w:rsidRPr="00681CB9" w:rsidRDefault="00011446" w:rsidP="003E53DD">
      <w:pPr>
        <w:pStyle w:val="Ttulo3"/>
        <w:spacing w:before="360" w:after="240" w:line="288" w:lineRule="auto"/>
        <w:ind w:firstLine="696"/>
        <w:jc w:val="both"/>
        <w:rPr>
          <w:rFonts w:ascii="ITC Avant Garde" w:hAnsi="ITC Avant Garde"/>
          <w:b/>
          <w:color w:val="auto"/>
          <w:sz w:val="22"/>
        </w:rPr>
      </w:pPr>
      <w:bookmarkStart w:id="12" w:name="_Toc107852338"/>
      <w:r>
        <w:rPr>
          <w:rFonts w:ascii="ITC Avant Garde" w:hAnsi="ITC Avant Garde"/>
          <w:b/>
          <w:color w:val="auto"/>
          <w:sz w:val="22"/>
        </w:rPr>
        <w:t>3</w:t>
      </w:r>
      <w:r w:rsidR="003E53DD" w:rsidRPr="00681CB9">
        <w:rPr>
          <w:rFonts w:ascii="ITC Avant Garde" w:hAnsi="ITC Avant Garde"/>
          <w:b/>
          <w:color w:val="auto"/>
          <w:sz w:val="22"/>
        </w:rPr>
        <w:t xml:space="preserve">.1.5 </w:t>
      </w:r>
      <w:r w:rsidR="008F129B" w:rsidRPr="00681CB9">
        <w:rPr>
          <w:rFonts w:ascii="ITC Avant Garde" w:hAnsi="ITC Avant Garde"/>
          <w:b/>
          <w:color w:val="auto"/>
          <w:sz w:val="22"/>
        </w:rPr>
        <w:t>Demanda mayorista y periodo modelado</w:t>
      </w:r>
      <w:bookmarkEnd w:id="12"/>
    </w:p>
    <w:p w14:paraId="05B7B806" w14:textId="79998BBF" w:rsidR="00482CD1" w:rsidRDefault="008F129B" w:rsidP="008F129B">
      <w:pPr>
        <w:pStyle w:val="IFTnormal"/>
      </w:pPr>
      <w:r w:rsidRPr="00681CB9">
        <w:t xml:space="preserve">La demanda mayorista de los Servicios de Acceso y Uso Compartido de </w:t>
      </w:r>
      <w:r w:rsidR="00CF17F6">
        <w:t>Espacio Aprobado en Torre</w:t>
      </w:r>
      <w:r w:rsidRPr="00681CB9">
        <w:t xml:space="preserve"> y </w:t>
      </w:r>
      <w:r w:rsidR="00CF17F6">
        <w:t>Espacio Aprobado en Piso</w:t>
      </w:r>
      <w:r w:rsidRPr="00681CB9">
        <w:t xml:space="preserve"> se basa en un análisis de la información proporcionada por </w:t>
      </w:r>
      <w:r w:rsidR="00330F18">
        <w:t>TELMEX y TELNOR</w:t>
      </w:r>
      <w:r w:rsidRPr="00681CB9">
        <w:t xml:space="preserve">, </w:t>
      </w:r>
      <w:r w:rsidRPr="00681CB9">
        <w:rPr>
          <w:lang w:val="es-419"/>
        </w:rPr>
        <w:t xml:space="preserve">de donde se desprende el cálculo de la demanda promedio actual </w:t>
      </w:r>
      <w:r w:rsidR="004938C1" w:rsidRPr="00681CB9">
        <w:rPr>
          <w:lang w:val="es-419"/>
        </w:rPr>
        <w:t xml:space="preserve">de espacio </w:t>
      </w:r>
      <w:r w:rsidRPr="00681CB9">
        <w:rPr>
          <w:lang w:val="es-419"/>
        </w:rPr>
        <w:t>para cada uno de los sitios</w:t>
      </w:r>
      <w:r w:rsidRPr="00681CB9">
        <w:t xml:space="preserve">. </w:t>
      </w:r>
    </w:p>
    <w:p w14:paraId="31D39FFE" w14:textId="7584BF98" w:rsidR="008F129B" w:rsidRPr="00681CB9" w:rsidRDefault="008F129B" w:rsidP="008F129B">
      <w:pPr>
        <w:pStyle w:val="IFTnormal"/>
      </w:pPr>
      <w:r w:rsidRPr="00681CB9">
        <w:t>A</w:t>
      </w:r>
      <w:proofErr w:type="spellStart"/>
      <w:r w:rsidRPr="00681CB9">
        <w:rPr>
          <w:lang w:val="es-419"/>
        </w:rPr>
        <w:t>simismo</w:t>
      </w:r>
      <w:proofErr w:type="spellEnd"/>
      <w:r w:rsidRPr="00681CB9">
        <w:t>,</w:t>
      </w:r>
      <w:r w:rsidRPr="00681CB9">
        <w:rPr>
          <w:lang w:val="es-419"/>
        </w:rPr>
        <w:t xml:space="preserve"> para la estimación </w:t>
      </w:r>
      <w:r w:rsidR="00D94F8A">
        <w:rPr>
          <w:lang w:val="es-419"/>
        </w:rPr>
        <w:t>de la demanda de ocupación de</w:t>
      </w:r>
      <w:r w:rsidRPr="00681CB9">
        <w:rPr>
          <w:lang w:val="es-419"/>
        </w:rPr>
        <w:t xml:space="preserve"> los </w:t>
      </w:r>
      <w:r w:rsidR="00655B19" w:rsidRPr="00681CB9">
        <w:rPr>
          <w:lang w:val="es-419"/>
        </w:rPr>
        <w:t xml:space="preserve">Concesionarios </w:t>
      </w:r>
      <w:r w:rsidR="00D94F8A">
        <w:rPr>
          <w:lang w:val="es-419"/>
        </w:rPr>
        <w:t xml:space="preserve">Solicitantes </w:t>
      </w:r>
      <w:r w:rsidR="00655B19" w:rsidRPr="00681CB9">
        <w:rPr>
          <w:lang w:val="es-419"/>
        </w:rPr>
        <w:t>(en los sucesivo, “</w:t>
      </w:r>
      <w:r w:rsidRPr="00681CB9">
        <w:rPr>
          <w:lang w:val="es-419"/>
        </w:rPr>
        <w:t>CS</w:t>
      </w:r>
      <w:r w:rsidR="00655B19" w:rsidRPr="00681CB9">
        <w:rPr>
          <w:lang w:val="es-419"/>
        </w:rPr>
        <w:t>”)</w:t>
      </w:r>
      <w:r w:rsidRPr="00681CB9">
        <w:rPr>
          <w:lang w:val="es-419"/>
        </w:rPr>
        <w:t xml:space="preserve"> en la</w:t>
      </w:r>
      <w:r w:rsidR="004938C1" w:rsidRPr="00681CB9">
        <w:rPr>
          <w:lang w:val="es-419"/>
        </w:rPr>
        <w:t>s</w:t>
      </w:r>
      <w:r w:rsidRPr="00681CB9">
        <w:rPr>
          <w:lang w:val="es-419"/>
        </w:rPr>
        <w:t xml:space="preserve"> torres </w:t>
      </w:r>
      <w:r w:rsidR="00D94F8A">
        <w:rPr>
          <w:lang w:val="es-419"/>
        </w:rPr>
        <w:t xml:space="preserve">de </w:t>
      </w:r>
      <w:r w:rsidR="00CF17F6">
        <w:rPr>
          <w:lang w:val="es-419"/>
        </w:rPr>
        <w:t>TELMEX</w:t>
      </w:r>
      <w:r w:rsidR="00D94F8A">
        <w:rPr>
          <w:lang w:val="es-419"/>
        </w:rPr>
        <w:t xml:space="preserve"> y </w:t>
      </w:r>
      <w:r w:rsidR="00CF17F6">
        <w:rPr>
          <w:lang w:val="es-419"/>
        </w:rPr>
        <w:t>TELNOR</w:t>
      </w:r>
      <w:r w:rsidR="00776DC6" w:rsidRPr="00681CB9">
        <w:rPr>
          <w:lang w:val="es-419"/>
        </w:rPr>
        <w:t>,</w:t>
      </w:r>
      <w:r w:rsidRPr="00681CB9">
        <w:rPr>
          <w:lang w:val="es-419"/>
        </w:rPr>
        <w:t xml:space="preserve"> </w:t>
      </w:r>
      <w:r w:rsidR="00330F18">
        <w:rPr>
          <w:lang w:val="es-419"/>
        </w:rPr>
        <w:t>se toma como referencia la autorizada por el Instituto en la Oferta de Referencia en su anexo tarifario</w:t>
      </w:r>
      <w:r w:rsidRPr="00681CB9">
        <w:rPr>
          <w:lang w:val="es-419"/>
        </w:rPr>
        <w:t>.</w:t>
      </w:r>
      <w:r w:rsidR="00D94F8A">
        <w:rPr>
          <w:lang w:val="es-419"/>
        </w:rPr>
        <w:t xml:space="preserve"> Bajo este enfoque, así como de las condiciones autorizadas en la Oferta de Referencia vigente, se considera </w:t>
      </w:r>
      <w:r w:rsidR="00482CD1">
        <w:rPr>
          <w:lang w:val="es-419"/>
        </w:rPr>
        <w:t xml:space="preserve">pertinente </w:t>
      </w:r>
      <w:r w:rsidR="00D94F8A">
        <w:rPr>
          <w:lang w:val="es-419"/>
        </w:rPr>
        <w:t>mantener dicho parámetro de referencia.</w:t>
      </w:r>
    </w:p>
    <w:p w14:paraId="1EAD8E8B" w14:textId="125195BD" w:rsidR="008F129B" w:rsidRPr="00681CB9" w:rsidRDefault="00D94F8A" w:rsidP="008F129B">
      <w:pPr>
        <w:pStyle w:val="IFTnormal"/>
      </w:pPr>
      <w:r>
        <w:t>En este caso</w:t>
      </w:r>
      <w:r w:rsidR="008F129B" w:rsidRPr="00681CB9">
        <w:t xml:space="preserve"> se </w:t>
      </w:r>
      <w:r w:rsidR="004938C1" w:rsidRPr="00681CB9">
        <w:t xml:space="preserve">supone </w:t>
      </w:r>
      <w:r w:rsidR="008F129B" w:rsidRPr="00681CB9">
        <w:rPr>
          <w:lang w:val="es-419"/>
        </w:rPr>
        <w:t xml:space="preserve">que el </w:t>
      </w:r>
      <w:r w:rsidR="00CF17F6">
        <w:t>Espacio Aprobado en Torre</w:t>
      </w:r>
      <w:r w:rsidR="008F129B" w:rsidRPr="00681CB9">
        <w:t xml:space="preserve"> </w:t>
      </w:r>
      <w:r w:rsidR="008F129B" w:rsidRPr="00681CB9">
        <w:rPr>
          <w:lang w:val="es-419"/>
        </w:rPr>
        <w:t xml:space="preserve">ocupado por los CS </w:t>
      </w:r>
      <w:r w:rsidR="008F129B" w:rsidRPr="00681CB9">
        <w:t xml:space="preserve">corresponde a una </w:t>
      </w:r>
      <w:r w:rsidR="008F129B" w:rsidRPr="00681CB9">
        <w:rPr>
          <w:lang w:val="es-419"/>
        </w:rPr>
        <w:t>franja</w:t>
      </w:r>
      <w:r w:rsidR="008F129B" w:rsidRPr="00681CB9">
        <w:t xml:space="preserve"> de 4 metros lineales para instalar sus equipos (en el caso de que la infraestructura así lo permita)</w:t>
      </w:r>
      <w:r w:rsidR="008F129B" w:rsidRPr="00681CB9">
        <w:rPr>
          <w:rStyle w:val="Refdenotaalpie"/>
        </w:rPr>
        <w:footnoteReference w:id="6"/>
      </w:r>
      <w:r w:rsidR="008F129B" w:rsidRPr="00681CB9">
        <w:rPr>
          <w:lang w:val="es-419"/>
        </w:rPr>
        <w:t xml:space="preserve">, manteniendo la demanda promedio actual de uso de las torres </w:t>
      </w:r>
      <w:r w:rsidR="0094200B">
        <w:rPr>
          <w:lang w:val="es-419"/>
        </w:rPr>
        <w:t xml:space="preserve">de </w:t>
      </w:r>
      <w:r w:rsidR="00CF17F6">
        <w:rPr>
          <w:lang w:val="es-419"/>
        </w:rPr>
        <w:t>TELMEX</w:t>
      </w:r>
      <w:r w:rsidR="0094200B">
        <w:rPr>
          <w:lang w:val="es-419"/>
        </w:rPr>
        <w:t xml:space="preserve"> y </w:t>
      </w:r>
      <w:r w:rsidR="00CF17F6">
        <w:rPr>
          <w:lang w:val="es-419"/>
        </w:rPr>
        <w:t>TELNOR</w:t>
      </w:r>
      <w:r w:rsidR="008F129B" w:rsidRPr="00681CB9">
        <w:rPr>
          <w:lang w:val="es-419"/>
        </w:rPr>
        <w:t>.</w:t>
      </w:r>
    </w:p>
    <w:p w14:paraId="034237FA" w14:textId="082895CA" w:rsidR="008F129B" w:rsidRPr="00681CB9" w:rsidRDefault="008F129B" w:rsidP="008F129B">
      <w:pPr>
        <w:pStyle w:val="IFTnormal"/>
      </w:pPr>
      <w:r w:rsidRPr="00681CB9">
        <w:t xml:space="preserve">Por otra parte, relativo </w:t>
      </w:r>
      <w:r w:rsidRPr="00681CB9">
        <w:rPr>
          <w:lang w:val="es-419"/>
        </w:rPr>
        <w:t>al</w:t>
      </w:r>
      <w:r w:rsidRPr="00681CB9">
        <w:t xml:space="preserve"> </w:t>
      </w:r>
      <w:r w:rsidR="00CF17F6">
        <w:t>Espacio Aprobado en Piso</w:t>
      </w:r>
      <w:r w:rsidRPr="00681CB9">
        <w:rPr>
          <w:lang w:val="es-419"/>
        </w:rPr>
        <w:t xml:space="preserve"> y siguiendo el análisis de la muestra de acuerdos de sitio</w:t>
      </w:r>
      <w:r w:rsidR="007F2DBA" w:rsidRPr="00681CB9">
        <w:rPr>
          <w:lang w:val="es-419"/>
        </w:rPr>
        <w:t>s</w:t>
      </w:r>
      <w:r w:rsidRPr="00681CB9">
        <w:rPr>
          <w:lang w:val="es-419"/>
        </w:rPr>
        <w:t xml:space="preserve">, </w:t>
      </w:r>
      <w:r w:rsidRPr="00681CB9">
        <w:t xml:space="preserve">se </w:t>
      </w:r>
      <w:r w:rsidR="0094200B">
        <w:t xml:space="preserve">consideró relevante mantener el </w:t>
      </w:r>
      <w:r w:rsidRPr="00681CB9">
        <w:t xml:space="preserve">valor en 6.6 </w:t>
      </w:r>
      <w:r w:rsidRPr="00681CB9">
        <w:lastRenderedPageBreak/>
        <w:t>metros cuadrados</w:t>
      </w:r>
      <w:r w:rsidRPr="00681CB9">
        <w:rPr>
          <w:sz w:val="18"/>
          <w:vertAlign w:val="superscript"/>
        </w:rPr>
        <w:footnoteReference w:id="7"/>
      </w:r>
      <w:r w:rsidRPr="00681CB9">
        <w:rPr>
          <w:lang w:val="es-419"/>
        </w:rPr>
        <w:t xml:space="preserve"> de ocupación ya sea en el predio, caseta o azotea del sitio. </w:t>
      </w:r>
      <w:r w:rsidRPr="00681CB9">
        <w:t xml:space="preserve">Adicional </w:t>
      </w:r>
      <w:r w:rsidRPr="00681CB9">
        <w:rPr>
          <w:lang w:val="es-419"/>
        </w:rPr>
        <w:t xml:space="preserve">a lo anterior se asigna </w:t>
      </w:r>
      <w:r w:rsidRPr="00681CB9">
        <w:t>un uso de espacio</w:t>
      </w:r>
      <w:r w:rsidRPr="00681CB9">
        <w:rPr>
          <w:lang w:val="es-419"/>
        </w:rPr>
        <w:t xml:space="preserve"> común de acuerdo al espacio en predio y el espacio demandado</w:t>
      </w:r>
      <w:r w:rsidRPr="00681CB9">
        <w:rPr>
          <w:rStyle w:val="Refdenotaalpie"/>
          <w:lang w:val="es-419"/>
        </w:rPr>
        <w:footnoteReference w:id="8"/>
      </w:r>
      <w:r w:rsidRPr="00681CB9">
        <w:t xml:space="preserve">, así como una porción del </w:t>
      </w:r>
      <w:r w:rsidR="00FD6605" w:rsidRPr="00681CB9">
        <w:rPr>
          <w:lang w:val="es-419"/>
        </w:rPr>
        <w:t>e</w:t>
      </w:r>
      <w:r w:rsidRPr="00681CB9">
        <w:rPr>
          <w:lang w:val="es-419"/>
        </w:rPr>
        <w:t>spacio ocupado</w:t>
      </w:r>
      <w:r w:rsidRPr="00681CB9">
        <w:t xml:space="preserve"> por la</w:t>
      </w:r>
      <w:r w:rsidRPr="00681CB9">
        <w:rPr>
          <w:lang w:val="es-419"/>
        </w:rPr>
        <w:t xml:space="preserve"> Base</w:t>
      </w:r>
      <w:r w:rsidRPr="00681CB9">
        <w:t xml:space="preserve"> de la torre</w:t>
      </w:r>
      <w:r w:rsidRPr="00681CB9">
        <w:rPr>
          <w:rStyle w:val="Refdenotaalpie"/>
        </w:rPr>
        <w:footnoteReference w:id="9"/>
      </w:r>
      <w:r w:rsidRPr="00681CB9">
        <w:rPr>
          <w:lang w:val="es-419"/>
        </w:rPr>
        <w:t>.</w:t>
      </w:r>
    </w:p>
    <w:p w14:paraId="1E6A1E41" w14:textId="226422DA" w:rsidR="004938C1" w:rsidRPr="00681CB9" w:rsidRDefault="00011446" w:rsidP="007F2DBA">
      <w:pPr>
        <w:pStyle w:val="Ttulo3"/>
        <w:spacing w:before="360" w:after="240" w:line="288" w:lineRule="auto"/>
        <w:ind w:firstLine="696"/>
        <w:jc w:val="both"/>
        <w:rPr>
          <w:rFonts w:ascii="ITC Avant Garde" w:hAnsi="ITC Avant Garde"/>
          <w:b/>
          <w:color w:val="auto"/>
          <w:sz w:val="22"/>
        </w:rPr>
      </w:pPr>
      <w:bookmarkStart w:id="13" w:name="_Toc107852339"/>
      <w:r>
        <w:rPr>
          <w:rFonts w:ascii="ITC Avant Garde" w:hAnsi="ITC Avant Garde"/>
          <w:b/>
          <w:color w:val="auto"/>
          <w:sz w:val="22"/>
        </w:rPr>
        <w:t>3</w:t>
      </w:r>
      <w:r w:rsidR="007F2DBA" w:rsidRPr="00681CB9">
        <w:rPr>
          <w:rFonts w:ascii="ITC Avant Garde" w:hAnsi="ITC Avant Garde"/>
          <w:b/>
          <w:color w:val="auto"/>
          <w:sz w:val="22"/>
        </w:rPr>
        <w:t xml:space="preserve">.1.6 </w:t>
      </w:r>
      <w:r w:rsidR="004938C1" w:rsidRPr="00681CB9">
        <w:rPr>
          <w:rFonts w:ascii="ITC Avant Garde" w:hAnsi="ITC Avant Garde"/>
          <w:b/>
          <w:color w:val="auto"/>
          <w:sz w:val="22"/>
        </w:rPr>
        <w:t>Estimación de las inversiones y metodología de depreciación</w:t>
      </w:r>
      <w:bookmarkEnd w:id="13"/>
      <w:r w:rsidR="004938C1" w:rsidRPr="00681CB9">
        <w:rPr>
          <w:rFonts w:ascii="ITC Avant Garde" w:hAnsi="ITC Avant Garde"/>
          <w:b/>
          <w:color w:val="auto"/>
          <w:sz w:val="22"/>
        </w:rPr>
        <w:t xml:space="preserve"> </w:t>
      </w:r>
    </w:p>
    <w:p w14:paraId="68177270" w14:textId="6651FDBE" w:rsidR="004938C1" w:rsidRDefault="004938C1" w:rsidP="004938C1">
      <w:pPr>
        <w:pStyle w:val="IFTnormal"/>
        <w:rPr>
          <w:color w:val="000000" w:themeColor="text1"/>
        </w:rPr>
      </w:pPr>
      <w:r w:rsidRPr="00681CB9">
        <w:rPr>
          <w:color w:val="000000" w:themeColor="text1"/>
        </w:rPr>
        <w:t xml:space="preserve">A partir de la información de demanda de </w:t>
      </w:r>
      <w:r w:rsidR="00CF17F6">
        <w:rPr>
          <w:color w:val="000000" w:themeColor="text1"/>
        </w:rPr>
        <w:t>Espacio Aprobado en Torre</w:t>
      </w:r>
      <w:r w:rsidRPr="00681CB9">
        <w:rPr>
          <w:color w:val="000000" w:themeColor="text1"/>
        </w:rPr>
        <w:t xml:space="preserve"> y </w:t>
      </w:r>
      <w:r w:rsidR="00CF17F6">
        <w:rPr>
          <w:color w:val="000000" w:themeColor="text1"/>
        </w:rPr>
        <w:t>Espacio Aprobado en Piso</w:t>
      </w:r>
      <w:r w:rsidRPr="00681CB9">
        <w:rPr>
          <w:color w:val="000000" w:themeColor="text1"/>
        </w:rPr>
        <w:t xml:space="preserve"> involucrado</w:t>
      </w:r>
      <w:r w:rsidRPr="00681CB9">
        <w:rPr>
          <w:color w:val="000000" w:themeColor="text1"/>
          <w:lang w:val="es-419"/>
        </w:rPr>
        <w:t xml:space="preserve"> en la</w:t>
      </w:r>
      <w:r w:rsidRPr="00681CB9">
        <w:rPr>
          <w:color w:val="000000" w:themeColor="text1"/>
        </w:rPr>
        <w:t xml:space="preserve"> prestación de los servicios,</w:t>
      </w:r>
      <w:r w:rsidR="00E054CA">
        <w:rPr>
          <w:color w:val="000000" w:themeColor="text1"/>
        </w:rPr>
        <w:t xml:space="preserve"> el enfoque de valoración de activos señalado en el </w:t>
      </w:r>
      <w:r w:rsidR="00E054CA" w:rsidRPr="00741AB2">
        <w:rPr>
          <w:color w:val="000000" w:themeColor="text1"/>
        </w:rPr>
        <w:t xml:space="preserve">numeral </w:t>
      </w:r>
      <w:r w:rsidR="00741AB2" w:rsidRPr="00741AB2">
        <w:rPr>
          <w:color w:val="000000" w:themeColor="text1"/>
        </w:rPr>
        <w:t>3</w:t>
      </w:r>
      <w:r w:rsidR="00E054CA" w:rsidRPr="00741AB2">
        <w:rPr>
          <w:color w:val="000000" w:themeColor="text1"/>
        </w:rPr>
        <w:t>.1.</w:t>
      </w:r>
      <w:r w:rsidR="008C1C74">
        <w:rPr>
          <w:color w:val="000000" w:themeColor="text1"/>
        </w:rPr>
        <w:t>3</w:t>
      </w:r>
      <w:r w:rsidR="00E054CA">
        <w:rPr>
          <w:color w:val="000000" w:themeColor="text1"/>
        </w:rPr>
        <w:t xml:space="preserve"> del presente documento, </w:t>
      </w:r>
      <w:r w:rsidRPr="00681CB9">
        <w:rPr>
          <w:color w:val="000000" w:themeColor="text1"/>
        </w:rPr>
        <w:t>así como de las características de los sitios y a partir de los costos de los activos asociados, que forman parte a su vez de los datos de entrada del modelo, es posible estimar el total de inversiones incurridas en el despliegue de infraestructura.</w:t>
      </w:r>
    </w:p>
    <w:p w14:paraId="30E091B5" w14:textId="751B2A78" w:rsidR="00510F66" w:rsidRPr="00741AB2" w:rsidRDefault="00011446" w:rsidP="00741AB2">
      <w:pPr>
        <w:pStyle w:val="Ttulo3"/>
        <w:spacing w:before="360" w:after="240" w:line="288" w:lineRule="auto"/>
        <w:ind w:firstLine="696"/>
        <w:jc w:val="both"/>
        <w:rPr>
          <w:b/>
          <w:color w:val="000000" w:themeColor="text1"/>
        </w:rPr>
      </w:pPr>
      <w:bookmarkStart w:id="14" w:name="_Toc107852340"/>
      <w:r>
        <w:rPr>
          <w:rFonts w:ascii="ITC Avant Garde" w:hAnsi="ITC Avant Garde"/>
          <w:b/>
          <w:color w:val="000000" w:themeColor="text1"/>
          <w:sz w:val="22"/>
          <w:szCs w:val="22"/>
        </w:rPr>
        <w:t>3</w:t>
      </w:r>
      <w:r w:rsidR="000A6697" w:rsidRPr="00741AB2">
        <w:rPr>
          <w:rFonts w:ascii="ITC Avant Garde" w:hAnsi="ITC Avant Garde"/>
          <w:b/>
          <w:color w:val="000000" w:themeColor="text1"/>
          <w:sz w:val="22"/>
          <w:szCs w:val="22"/>
        </w:rPr>
        <w:t xml:space="preserve">.1.6.1 </w:t>
      </w:r>
      <w:r w:rsidR="004F1827" w:rsidRPr="00741AB2">
        <w:rPr>
          <w:rFonts w:ascii="ITC Avant Garde" w:hAnsi="ITC Avant Garde"/>
          <w:b/>
          <w:color w:val="000000" w:themeColor="text1"/>
          <w:sz w:val="22"/>
          <w:szCs w:val="22"/>
        </w:rPr>
        <w:t xml:space="preserve">Actualización de </w:t>
      </w:r>
      <w:r w:rsidR="00510F66" w:rsidRPr="00741AB2">
        <w:rPr>
          <w:rFonts w:ascii="ITC Avant Garde" w:hAnsi="ITC Avant Garde"/>
          <w:b/>
          <w:color w:val="000000" w:themeColor="text1"/>
          <w:sz w:val="22"/>
          <w:szCs w:val="22"/>
        </w:rPr>
        <w:t>CAPEX</w:t>
      </w:r>
      <w:r w:rsidR="004F1827" w:rsidRPr="00741AB2">
        <w:rPr>
          <w:rFonts w:ascii="ITC Avant Garde" w:hAnsi="ITC Avant Garde"/>
          <w:b/>
          <w:color w:val="000000" w:themeColor="text1"/>
          <w:sz w:val="22"/>
          <w:szCs w:val="22"/>
        </w:rPr>
        <w:t xml:space="preserve"> de Torre</w:t>
      </w:r>
      <w:bookmarkEnd w:id="14"/>
    </w:p>
    <w:p w14:paraId="55EFE0D1" w14:textId="00B70EB4" w:rsidR="00510F66" w:rsidRDefault="00510F66" w:rsidP="004938C1">
      <w:pPr>
        <w:pStyle w:val="IFTnormal"/>
        <w:rPr>
          <w:color w:val="000000" w:themeColor="text1"/>
        </w:rPr>
      </w:pPr>
      <w:r>
        <w:rPr>
          <w:color w:val="000000" w:themeColor="text1"/>
        </w:rPr>
        <w:t xml:space="preserve">El </w:t>
      </w:r>
      <w:r w:rsidR="00F7470F">
        <w:rPr>
          <w:rStyle w:val="IFTnormalCar"/>
        </w:rPr>
        <w:t>Modelo de Acceso a Torres</w:t>
      </w:r>
      <w:r>
        <w:rPr>
          <w:color w:val="000000" w:themeColor="text1"/>
        </w:rPr>
        <w:t xml:space="preserve"> presenta diversas cifras de CAPEX estimadas por el Instituto para la modelación de los servicios mayoristas por uso de </w:t>
      </w:r>
      <w:r w:rsidR="00CF17F6">
        <w:rPr>
          <w:color w:val="000000" w:themeColor="text1"/>
        </w:rPr>
        <w:t>Espacio Aprobado en Piso</w:t>
      </w:r>
      <w:r>
        <w:rPr>
          <w:color w:val="000000" w:themeColor="text1"/>
        </w:rPr>
        <w:t xml:space="preserve"> y </w:t>
      </w:r>
      <w:r w:rsidR="00CF17F6">
        <w:rPr>
          <w:color w:val="000000" w:themeColor="text1"/>
        </w:rPr>
        <w:t xml:space="preserve">Espacio </w:t>
      </w:r>
      <w:r w:rsidR="00CF17F6" w:rsidRPr="00E208D2">
        <w:rPr>
          <w:color w:val="000000" w:themeColor="text1"/>
        </w:rPr>
        <w:t>Aprobado</w:t>
      </w:r>
      <w:r w:rsidR="00CF17F6">
        <w:rPr>
          <w:color w:val="000000" w:themeColor="text1"/>
        </w:rPr>
        <w:t xml:space="preserve"> en Torre</w:t>
      </w:r>
      <w:r>
        <w:rPr>
          <w:color w:val="000000" w:themeColor="text1"/>
        </w:rPr>
        <w:t>, así como de elementos adicionales para elementos como distribución de energía y fuente de energía de respaldo, observadas en la</w:t>
      </w:r>
      <w:r w:rsidR="004F1827">
        <w:rPr>
          <w:color w:val="000000" w:themeColor="text1"/>
        </w:rPr>
        <w:t>s</w:t>
      </w:r>
      <w:r>
        <w:rPr>
          <w:color w:val="000000" w:themeColor="text1"/>
        </w:rPr>
        <w:t xml:space="preserve"> Hoja</w:t>
      </w:r>
      <w:r w:rsidR="004F1827">
        <w:rPr>
          <w:color w:val="000000" w:themeColor="text1"/>
        </w:rPr>
        <w:t>s</w:t>
      </w:r>
      <w:r>
        <w:rPr>
          <w:color w:val="000000" w:themeColor="text1"/>
        </w:rPr>
        <w:t xml:space="preserve"> “Costos Unitarios” </w:t>
      </w:r>
      <w:r w:rsidR="004F1827">
        <w:rPr>
          <w:color w:val="000000" w:themeColor="text1"/>
        </w:rPr>
        <w:t xml:space="preserve">y “Cálculos secundarios” </w:t>
      </w:r>
      <w:r w:rsidR="00482CD1">
        <w:rPr>
          <w:color w:val="000000" w:themeColor="text1"/>
        </w:rPr>
        <w:t>del archivo en formato Excel</w:t>
      </w:r>
      <w:r>
        <w:rPr>
          <w:color w:val="000000" w:themeColor="text1"/>
        </w:rPr>
        <w:t>.</w:t>
      </w:r>
    </w:p>
    <w:p w14:paraId="12892E43" w14:textId="4D8A38B1" w:rsidR="0098548F" w:rsidRDefault="00510F66" w:rsidP="004938C1">
      <w:pPr>
        <w:pStyle w:val="IFTnormal"/>
        <w:rPr>
          <w:color w:val="000000" w:themeColor="text1"/>
        </w:rPr>
      </w:pPr>
      <w:r>
        <w:rPr>
          <w:color w:val="000000" w:themeColor="text1"/>
        </w:rPr>
        <w:t xml:space="preserve">A partir del análisis de la información </w:t>
      </w:r>
      <w:r w:rsidR="00E570D6">
        <w:rPr>
          <w:color w:val="000000" w:themeColor="text1"/>
        </w:rPr>
        <w:t xml:space="preserve">entregada </w:t>
      </w:r>
      <w:r>
        <w:rPr>
          <w:color w:val="000000" w:themeColor="text1"/>
        </w:rPr>
        <w:t>por el Instituto</w:t>
      </w:r>
      <w:r w:rsidR="004F1827">
        <w:rPr>
          <w:color w:val="000000" w:themeColor="text1"/>
        </w:rPr>
        <w:t xml:space="preserve"> desde 2017</w:t>
      </w:r>
      <w:r w:rsidR="00E054CA">
        <w:rPr>
          <w:color w:val="000000" w:themeColor="text1"/>
        </w:rPr>
        <w:t>, para este ejercicio</w:t>
      </w:r>
      <w:r w:rsidR="004F1827">
        <w:rPr>
          <w:color w:val="000000" w:themeColor="text1"/>
        </w:rPr>
        <w:t xml:space="preserve"> se </w:t>
      </w:r>
      <w:r w:rsidR="0098548F">
        <w:rPr>
          <w:color w:val="000000" w:themeColor="text1"/>
        </w:rPr>
        <w:t>mantuvo la actualización de</w:t>
      </w:r>
      <w:r w:rsidR="004F1827">
        <w:rPr>
          <w:color w:val="000000" w:themeColor="text1"/>
        </w:rPr>
        <w:t xml:space="preserve"> </w:t>
      </w:r>
      <w:r w:rsidR="0098548F">
        <w:rPr>
          <w:color w:val="000000" w:themeColor="text1"/>
        </w:rPr>
        <w:t xml:space="preserve">los valores </w:t>
      </w:r>
      <w:r w:rsidR="004F1827">
        <w:rPr>
          <w:color w:val="000000" w:themeColor="text1"/>
        </w:rPr>
        <w:t xml:space="preserve">del </w:t>
      </w:r>
      <w:r>
        <w:rPr>
          <w:color w:val="000000" w:themeColor="text1"/>
        </w:rPr>
        <w:t xml:space="preserve">CAPEX </w:t>
      </w:r>
      <w:r w:rsidR="0098548F">
        <w:rPr>
          <w:color w:val="000000" w:themeColor="text1"/>
        </w:rPr>
        <w:t xml:space="preserve">a su valor nominal, a partir de la tendencia de precios para </w:t>
      </w:r>
      <w:proofErr w:type="gramStart"/>
      <w:r w:rsidR="0098548F">
        <w:rPr>
          <w:color w:val="000000" w:themeColor="text1"/>
        </w:rPr>
        <w:t>2022,  para</w:t>
      </w:r>
      <w:proofErr w:type="gramEnd"/>
      <w:r w:rsidR="0098548F">
        <w:rPr>
          <w:color w:val="000000" w:themeColor="text1"/>
        </w:rPr>
        <w:t xml:space="preserve"> las tarifas de espacio en piso y espacio en torre.</w:t>
      </w:r>
    </w:p>
    <w:p w14:paraId="085EE572" w14:textId="78F25355" w:rsidR="00510F66" w:rsidRDefault="0098548F" w:rsidP="004938C1">
      <w:pPr>
        <w:pStyle w:val="IFTnormal"/>
        <w:rPr>
          <w:color w:val="000000" w:themeColor="text1"/>
        </w:rPr>
      </w:pPr>
      <w:r>
        <w:rPr>
          <w:color w:val="000000" w:themeColor="text1"/>
        </w:rPr>
        <w:t xml:space="preserve">Se destaca la actualización realizada para los CAPEX por </w:t>
      </w:r>
      <w:r w:rsidR="00E054CA">
        <w:rPr>
          <w:color w:val="000000" w:themeColor="text1"/>
        </w:rPr>
        <w:t>adquisición de torre y obras civiles para construcción de torre.</w:t>
      </w:r>
    </w:p>
    <w:p w14:paraId="02460CB9" w14:textId="1E278C41" w:rsidR="00622517" w:rsidRDefault="00622517" w:rsidP="00622517">
      <w:pPr>
        <w:pStyle w:val="IFTnormal"/>
        <w:rPr>
          <w:color w:val="000000" w:themeColor="text1"/>
        </w:rPr>
      </w:pPr>
      <w:r>
        <w:rPr>
          <w:color w:val="000000" w:themeColor="text1"/>
        </w:rPr>
        <w:t xml:space="preserve">Con el objeto de ilustrar los montos que se consideran en el </w:t>
      </w:r>
      <w:r w:rsidR="00F7470F">
        <w:rPr>
          <w:rStyle w:val="IFTnormalCar"/>
        </w:rPr>
        <w:t>Modelo de Acceso a Torres</w:t>
      </w:r>
      <w:r>
        <w:rPr>
          <w:color w:val="000000" w:themeColor="text1"/>
        </w:rPr>
        <w:t>, los valores actualizados y analizados por este Instituto fueron agrupados de acuerdo a la altura de la torre como sigue:</w:t>
      </w:r>
    </w:p>
    <w:tbl>
      <w:tblPr>
        <w:tblStyle w:val="Tablaconcuadrcula4-nfasis5"/>
        <w:tblW w:w="4280" w:type="dxa"/>
        <w:jc w:val="center"/>
        <w:tblLayout w:type="fixed"/>
        <w:tblLook w:val="04A0" w:firstRow="1" w:lastRow="0" w:firstColumn="1" w:lastColumn="0" w:noHBand="0" w:noVBand="1"/>
      </w:tblPr>
      <w:tblGrid>
        <w:gridCol w:w="2140"/>
        <w:gridCol w:w="2140"/>
      </w:tblGrid>
      <w:tr w:rsidR="00741AB2" w:rsidRPr="000D4FC2" w14:paraId="7F2396B2" w14:textId="77777777" w:rsidTr="00610ABD">
        <w:trPr>
          <w:cnfStyle w:val="100000000000" w:firstRow="1" w:lastRow="0" w:firstColumn="0" w:lastColumn="0" w:oddVBand="0" w:evenVBand="0" w:oddHBand="0" w:evenHBand="0" w:firstRowFirstColumn="0" w:firstRowLastColumn="0" w:lastRowFirstColumn="0" w:lastRowLastColumn="0"/>
          <w:trHeight w:val="424"/>
          <w:tblHeader/>
          <w:jc w:val="center"/>
        </w:trPr>
        <w:tc>
          <w:tcPr>
            <w:cnfStyle w:val="001000000000" w:firstRow="0" w:lastRow="0" w:firstColumn="1" w:lastColumn="0" w:oddVBand="0" w:evenVBand="0" w:oddHBand="0" w:evenHBand="0" w:firstRowFirstColumn="0" w:firstRowLastColumn="0" w:lastRowFirstColumn="0" w:lastRowLastColumn="0"/>
            <w:tcW w:w="2140" w:type="dxa"/>
            <w:noWrap/>
            <w:vAlign w:val="center"/>
          </w:tcPr>
          <w:p w14:paraId="1E584AF3" w14:textId="3A043E9C" w:rsidR="00622517" w:rsidRPr="000D4FC2" w:rsidRDefault="00622517" w:rsidP="005D5FB3">
            <w:pPr>
              <w:jc w:val="center"/>
              <w:rPr>
                <w:rFonts w:ascii="ITC Avant Garde" w:eastAsia="Times New Roman" w:hAnsi="ITC Avant Garde" w:cs="Arial"/>
                <w:sz w:val="18"/>
                <w:lang w:eastAsia="es-MX"/>
              </w:rPr>
            </w:pPr>
            <w:r w:rsidRPr="000D4FC2">
              <w:rPr>
                <w:rFonts w:ascii="ITC Avant Garde" w:eastAsia="Times New Roman" w:hAnsi="ITC Avant Garde" w:cs="Arial"/>
                <w:sz w:val="18"/>
                <w:lang w:eastAsia="es-MX"/>
              </w:rPr>
              <w:t>Tamaño</w:t>
            </w:r>
          </w:p>
        </w:tc>
        <w:tc>
          <w:tcPr>
            <w:tcW w:w="2140" w:type="dxa"/>
            <w:noWrap/>
            <w:vAlign w:val="center"/>
          </w:tcPr>
          <w:p w14:paraId="3C400599" w14:textId="2A2B16DC" w:rsidR="00622517" w:rsidRPr="000D4FC2" w:rsidRDefault="00622517" w:rsidP="005D5FB3">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sz w:val="18"/>
                <w:lang w:eastAsia="es-MX"/>
              </w:rPr>
            </w:pPr>
            <w:r w:rsidRPr="000D4FC2">
              <w:rPr>
                <w:rFonts w:ascii="ITC Avant Garde" w:eastAsia="Times New Roman" w:hAnsi="ITC Avant Garde" w:cs="Arial"/>
                <w:sz w:val="18"/>
                <w:lang w:eastAsia="es-MX"/>
              </w:rPr>
              <w:t>Clasificación</w:t>
            </w:r>
          </w:p>
        </w:tc>
      </w:tr>
      <w:tr w:rsidR="00741AB2" w:rsidRPr="000D4FC2" w14:paraId="064361B2" w14:textId="77777777" w:rsidTr="000D4FC2">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140" w:type="dxa"/>
            <w:noWrap/>
            <w:vAlign w:val="center"/>
            <w:hideMark/>
          </w:tcPr>
          <w:p w14:paraId="13CCC79C" w14:textId="2248200A" w:rsidR="00622517" w:rsidRPr="000D4FC2" w:rsidRDefault="00622517" w:rsidP="005D5FB3">
            <w:pPr>
              <w:jc w:val="center"/>
              <w:rPr>
                <w:rFonts w:ascii="ITC Avant Garde" w:eastAsia="Times New Roman" w:hAnsi="ITC Avant Garde" w:cs="Arial"/>
                <w:sz w:val="18"/>
                <w:lang w:eastAsia="es-MX"/>
              </w:rPr>
            </w:pPr>
            <w:r w:rsidRPr="000D4FC2">
              <w:rPr>
                <w:rFonts w:ascii="ITC Avant Garde" w:eastAsia="Times New Roman" w:hAnsi="ITC Avant Garde" w:cs="Arial"/>
                <w:sz w:val="18"/>
                <w:lang w:eastAsia="es-MX"/>
              </w:rPr>
              <w:t>A 30 m</w:t>
            </w:r>
            <w:r w:rsidR="005D5FB3" w:rsidRPr="000D4FC2">
              <w:rPr>
                <w:rFonts w:ascii="ITC Avant Garde" w:eastAsia="Times New Roman" w:hAnsi="ITC Avant Garde" w:cs="Arial"/>
                <w:sz w:val="18"/>
                <w:lang w:eastAsia="es-MX"/>
              </w:rPr>
              <w:t>etros</w:t>
            </w:r>
          </w:p>
        </w:tc>
        <w:tc>
          <w:tcPr>
            <w:tcW w:w="2140" w:type="dxa"/>
            <w:noWrap/>
            <w:vAlign w:val="center"/>
            <w:hideMark/>
          </w:tcPr>
          <w:p w14:paraId="321261EC" w14:textId="77777777" w:rsidR="00622517" w:rsidRPr="000D4FC2" w:rsidRDefault="00622517" w:rsidP="005D5FB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lang w:eastAsia="es-MX"/>
              </w:rPr>
            </w:pPr>
            <w:r w:rsidRPr="000D4FC2">
              <w:rPr>
                <w:rFonts w:ascii="ITC Avant Garde" w:eastAsia="Times New Roman" w:hAnsi="ITC Avant Garde" w:cs="Arial"/>
                <w:sz w:val="18"/>
                <w:lang w:eastAsia="es-MX"/>
              </w:rPr>
              <w:t>Chica</w:t>
            </w:r>
          </w:p>
        </w:tc>
      </w:tr>
      <w:tr w:rsidR="00741AB2" w:rsidRPr="000D4FC2" w14:paraId="629B675F" w14:textId="77777777" w:rsidTr="000D4FC2">
        <w:trPr>
          <w:trHeight w:val="424"/>
          <w:jc w:val="center"/>
        </w:trPr>
        <w:tc>
          <w:tcPr>
            <w:cnfStyle w:val="001000000000" w:firstRow="0" w:lastRow="0" w:firstColumn="1" w:lastColumn="0" w:oddVBand="0" w:evenVBand="0" w:oddHBand="0" w:evenHBand="0" w:firstRowFirstColumn="0" w:firstRowLastColumn="0" w:lastRowFirstColumn="0" w:lastRowLastColumn="0"/>
            <w:tcW w:w="2140" w:type="dxa"/>
            <w:noWrap/>
            <w:vAlign w:val="center"/>
            <w:hideMark/>
          </w:tcPr>
          <w:p w14:paraId="62079DAA" w14:textId="2EB3380B" w:rsidR="00622517" w:rsidRPr="000D4FC2" w:rsidRDefault="00622517" w:rsidP="005D5FB3">
            <w:pPr>
              <w:jc w:val="center"/>
              <w:rPr>
                <w:rFonts w:ascii="ITC Avant Garde" w:eastAsia="Times New Roman" w:hAnsi="ITC Avant Garde" w:cs="Arial"/>
                <w:sz w:val="18"/>
                <w:lang w:eastAsia="es-MX"/>
              </w:rPr>
            </w:pPr>
            <w:r w:rsidRPr="000D4FC2">
              <w:rPr>
                <w:rFonts w:ascii="ITC Avant Garde" w:eastAsia="Times New Roman" w:hAnsi="ITC Avant Garde" w:cs="Arial"/>
                <w:sz w:val="18"/>
                <w:lang w:eastAsia="es-MX"/>
              </w:rPr>
              <w:t>31 a 60 m</w:t>
            </w:r>
            <w:r w:rsidR="005D5FB3" w:rsidRPr="000D4FC2">
              <w:rPr>
                <w:rFonts w:ascii="ITC Avant Garde" w:eastAsia="Times New Roman" w:hAnsi="ITC Avant Garde" w:cs="Arial"/>
                <w:sz w:val="18"/>
                <w:lang w:eastAsia="es-MX"/>
              </w:rPr>
              <w:t>etros</w:t>
            </w:r>
          </w:p>
        </w:tc>
        <w:tc>
          <w:tcPr>
            <w:tcW w:w="2140" w:type="dxa"/>
            <w:noWrap/>
            <w:vAlign w:val="center"/>
            <w:hideMark/>
          </w:tcPr>
          <w:p w14:paraId="59385ED8" w14:textId="77777777" w:rsidR="00622517" w:rsidRPr="000D4FC2" w:rsidRDefault="00622517" w:rsidP="005D5FB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lang w:eastAsia="es-MX"/>
              </w:rPr>
            </w:pPr>
            <w:r w:rsidRPr="000D4FC2">
              <w:rPr>
                <w:rFonts w:ascii="ITC Avant Garde" w:eastAsia="Times New Roman" w:hAnsi="ITC Avant Garde" w:cs="Arial"/>
                <w:sz w:val="18"/>
                <w:lang w:eastAsia="es-MX"/>
              </w:rPr>
              <w:t>Mediana</w:t>
            </w:r>
          </w:p>
        </w:tc>
      </w:tr>
      <w:tr w:rsidR="00741AB2" w:rsidRPr="000D4FC2" w14:paraId="2312B3D4" w14:textId="77777777" w:rsidTr="000D4FC2">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140" w:type="dxa"/>
            <w:noWrap/>
            <w:vAlign w:val="center"/>
            <w:hideMark/>
          </w:tcPr>
          <w:p w14:paraId="7ED99EB8" w14:textId="6A9DE560" w:rsidR="00622517" w:rsidRPr="000D4FC2" w:rsidRDefault="00622517" w:rsidP="005D5FB3">
            <w:pPr>
              <w:jc w:val="center"/>
              <w:rPr>
                <w:rFonts w:ascii="ITC Avant Garde" w:eastAsia="Times New Roman" w:hAnsi="ITC Avant Garde" w:cs="Arial"/>
                <w:sz w:val="18"/>
                <w:lang w:eastAsia="es-MX"/>
              </w:rPr>
            </w:pPr>
            <w:r w:rsidRPr="000D4FC2">
              <w:rPr>
                <w:rFonts w:ascii="ITC Avant Garde" w:eastAsia="Times New Roman" w:hAnsi="ITC Avant Garde" w:cs="Arial"/>
                <w:sz w:val="18"/>
                <w:lang w:eastAsia="es-MX"/>
              </w:rPr>
              <w:lastRenderedPageBreak/>
              <w:t>Mayor a 61 m</w:t>
            </w:r>
            <w:r w:rsidR="005D5FB3" w:rsidRPr="000D4FC2">
              <w:rPr>
                <w:rFonts w:ascii="ITC Avant Garde" w:eastAsia="Times New Roman" w:hAnsi="ITC Avant Garde" w:cs="Arial"/>
                <w:sz w:val="18"/>
                <w:lang w:eastAsia="es-MX"/>
              </w:rPr>
              <w:t>etros</w:t>
            </w:r>
          </w:p>
        </w:tc>
        <w:tc>
          <w:tcPr>
            <w:tcW w:w="2140" w:type="dxa"/>
            <w:noWrap/>
            <w:vAlign w:val="center"/>
            <w:hideMark/>
          </w:tcPr>
          <w:p w14:paraId="7DAAF8AB" w14:textId="77777777" w:rsidR="00622517" w:rsidRPr="000D4FC2" w:rsidRDefault="00622517" w:rsidP="005D5FB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lang w:eastAsia="es-MX"/>
              </w:rPr>
            </w:pPr>
            <w:r w:rsidRPr="000D4FC2">
              <w:rPr>
                <w:rFonts w:ascii="ITC Avant Garde" w:eastAsia="Times New Roman" w:hAnsi="ITC Avant Garde" w:cs="Arial"/>
                <w:sz w:val="18"/>
                <w:lang w:eastAsia="es-MX"/>
              </w:rPr>
              <w:t>Grande</w:t>
            </w:r>
          </w:p>
        </w:tc>
      </w:tr>
    </w:tbl>
    <w:p w14:paraId="1E5B59C0" w14:textId="2B651DD2" w:rsidR="00622517" w:rsidRPr="00997768" w:rsidRDefault="00A03B31" w:rsidP="00A03B31">
      <w:pPr>
        <w:pStyle w:val="IFTnormal"/>
        <w:jc w:val="center"/>
        <w:rPr>
          <w:i/>
          <w:color w:val="000000" w:themeColor="text1"/>
          <w:sz w:val="18"/>
        </w:rPr>
      </w:pPr>
      <w:r w:rsidRPr="00997768">
        <w:rPr>
          <w:b/>
          <w:color w:val="000000" w:themeColor="text1"/>
          <w:sz w:val="18"/>
        </w:rPr>
        <w:t>Cuadro 1</w:t>
      </w:r>
      <w:r>
        <w:rPr>
          <w:color w:val="000000" w:themeColor="text1"/>
          <w:sz w:val="18"/>
        </w:rPr>
        <w:t xml:space="preserve">. </w:t>
      </w:r>
      <w:r w:rsidR="00997768">
        <w:rPr>
          <w:i/>
          <w:color w:val="000000" w:themeColor="text1"/>
          <w:sz w:val="18"/>
        </w:rPr>
        <w:t xml:space="preserve">Clasificación </w:t>
      </w:r>
      <w:r w:rsidR="00867F6B">
        <w:rPr>
          <w:i/>
          <w:color w:val="000000" w:themeColor="text1"/>
          <w:sz w:val="18"/>
        </w:rPr>
        <w:t>de torres por tamaño</w:t>
      </w:r>
      <w:r w:rsidR="00506978">
        <w:rPr>
          <w:i/>
          <w:color w:val="000000" w:themeColor="text1"/>
          <w:sz w:val="18"/>
        </w:rPr>
        <w:t>.</w:t>
      </w:r>
    </w:p>
    <w:p w14:paraId="4E25BD45" w14:textId="6E3C6836" w:rsidR="00622517" w:rsidRDefault="00622517" w:rsidP="00622517">
      <w:pPr>
        <w:pStyle w:val="IFTnormal"/>
        <w:rPr>
          <w:color w:val="000000" w:themeColor="text1"/>
        </w:rPr>
      </w:pPr>
      <w:r>
        <w:rPr>
          <w:color w:val="000000" w:themeColor="text1"/>
        </w:rPr>
        <w:t xml:space="preserve">De esta forma, en el </w:t>
      </w:r>
      <w:r w:rsidR="00F7470F">
        <w:rPr>
          <w:rStyle w:val="IFTnormalCar"/>
        </w:rPr>
        <w:t>Modelo de Acceso a Torres</w:t>
      </w:r>
      <w:r>
        <w:rPr>
          <w:color w:val="000000" w:themeColor="text1"/>
        </w:rPr>
        <w:t xml:space="preserve"> se agrupan los rubros de CAPEX en torno a los siguientes valores:</w:t>
      </w:r>
    </w:p>
    <w:p w14:paraId="6D79701A" w14:textId="77777777" w:rsidR="002224B9" w:rsidRDefault="002224B9" w:rsidP="00622517">
      <w:pPr>
        <w:pStyle w:val="IFTnormal"/>
        <w:rPr>
          <w:color w:val="000000" w:themeColor="text1"/>
        </w:rPr>
      </w:pPr>
      <w:r w:rsidRPr="005D5FB3">
        <w:rPr>
          <w:b/>
          <w:color w:val="000000" w:themeColor="text1"/>
        </w:rPr>
        <w:t>CAPEX de adquisición de torre + obras civiles</w:t>
      </w:r>
      <w:r>
        <w:rPr>
          <w:color w:val="000000" w:themeColor="text1"/>
        </w:rPr>
        <w:t xml:space="preserve"> </w:t>
      </w:r>
    </w:p>
    <w:p w14:paraId="4F843AA1" w14:textId="386AB37C" w:rsidR="002224B9" w:rsidRDefault="002224B9" w:rsidP="00622517">
      <w:pPr>
        <w:pStyle w:val="IFTnormal"/>
        <w:rPr>
          <w:color w:val="000000" w:themeColor="text1"/>
        </w:rPr>
      </w:pPr>
      <w:r>
        <w:rPr>
          <w:color w:val="000000" w:themeColor="text1"/>
        </w:rPr>
        <w:t xml:space="preserve">Para el presente ejercicio, así como de la mejor información disponible y comparable a partir del conjunto total de torres reportadas, se actualizó el valor de CAPEX a partir de valor promedio reportado por </w:t>
      </w:r>
      <w:r w:rsidR="00CF17F6">
        <w:rPr>
          <w:color w:val="000000" w:themeColor="text1"/>
        </w:rPr>
        <w:t>TELMEX</w:t>
      </w:r>
      <w:r>
        <w:rPr>
          <w:color w:val="000000" w:themeColor="text1"/>
        </w:rPr>
        <w:t xml:space="preserve"> y </w:t>
      </w:r>
      <w:r w:rsidR="00CF17F6">
        <w:rPr>
          <w:color w:val="000000" w:themeColor="text1"/>
        </w:rPr>
        <w:t>TELNOR</w:t>
      </w:r>
      <w:r>
        <w:rPr>
          <w:color w:val="000000" w:themeColor="text1"/>
        </w:rPr>
        <w:t xml:space="preserve"> en 2017, 2018 y 2019</w:t>
      </w:r>
      <w:r w:rsidR="00E570D6">
        <w:rPr>
          <w:color w:val="000000" w:themeColor="text1"/>
        </w:rPr>
        <w:t>, cuyos valores reportados en estos dos últimos años fueron equivalentes</w:t>
      </w:r>
      <w:r>
        <w:rPr>
          <w:color w:val="000000" w:themeColor="text1"/>
        </w:rPr>
        <w:t>. Dicha cifra, en consistencia con el enfoque metodológico fue actualizado para obtener el valor de dicho elemento a precios nominales de 2022</w:t>
      </w:r>
      <w:r w:rsidR="00510F66">
        <w:rPr>
          <w:rStyle w:val="Refdenotaalpie"/>
          <w:color w:val="000000" w:themeColor="text1"/>
        </w:rPr>
        <w:footnoteReference w:id="10"/>
      </w:r>
      <w:r>
        <w:rPr>
          <w:color w:val="000000" w:themeColor="text1"/>
        </w:rPr>
        <w:t xml:space="preserve">, el cual se reporta de manera agrupada como sigue:  </w:t>
      </w:r>
    </w:p>
    <w:tbl>
      <w:tblPr>
        <w:tblStyle w:val="Tablaconcuadrcula4-nfasis5"/>
        <w:tblW w:w="0" w:type="auto"/>
        <w:jc w:val="center"/>
        <w:tblLayout w:type="fixed"/>
        <w:tblLook w:val="04A0" w:firstRow="1" w:lastRow="0" w:firstColumn="1" w:lastColumn="0" w:noHBand="0" w:noVBand="1"/>
      </w:tblPr>
      <w:tblGrid>
        <w:gridCol w:w="2478"/>
        <w:gridCol w:w="2195"/>
        <w:gridCol w:w="4155"/>
      </w:tblGrid>
      <w:tr w:rsidR="00510F66" w:rsidRPr="00510F66" w14:paraId="2A54D247" w14:textId="77777777" w:rsidTr="00C252AF">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2478" w:type="dxa"/>
            <w:vAlign w:val="center"/>
          </w:tcPr>
          <w:p w14:paraId="2B56781D" w14:textId="399BF629" w:rsidR="002224B9" w:rsidRPr="005D5FB3" w:rsidRDefault="002224B9" w:rsidP="00BA2F77">
            <w:pPr>
              <w:jc w:val="center"/>
              <w:rPr>
                <w:rFonts w:ascii="ITC Avant Garde" w:eastAsia="Times New Roman" w:hAnsi="ITC Avant Garde" w:cs="Calibri"/>
                <w:color w:val="auto"/>
                <w:sz w:val="20"/>
                <w:szCs w:val="20"/>
                <w:lang w:eastAsia="es-MX"/>
              </w:rPr>
            </w:pPr>
            <w:r w:rsidRPr="005D5FB3">
              <w:rPr>
                <w:rFonts w:ascii="ITC Avant Garde" w:hAnsi="ITC Avant Garde"/>
                <w:sz w:val="20"/>
              </w:rPr>
              <w:t>Tipo de Torre</w:t>
            </w:r>
          </w:p>
        </w:tc>
        <w:tc>
          <w:tcPr>
            <w:tcW w:w="2195" w:type="dxa"/>
            <w:noWrap/>
            <w:vAlign w:val="center"/>
          </w:tcPr>
          <w:p w14:paraId="2F4AC222" w14:textId="17F31E53" w:rsidR="002224B9" w:rsidRPr="005D5FB3" w:rsidRDefault="002224B9" w:rsidP="005D5FB3">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20"/>
                <w:szCs w:val="20"/>
                <w:lang w:eastAsia="es-MX"/>
              </w:rPr>
            </w:pPr>
            <w:r w:rsidRPr="005D5FB3">
              <w:rPr>
                <w:rFonts w:ascii="ITC Avant Garde" w:hAnsi="ITC Avant Garde"/>
                <w:sz w:val="20"/>
              </w:rPr>
              <w:t>Clasificación</w:t>
            </w:r>
            <w:r w:rsidR="00997768">
              <w:rPr>
                <w:rFonts w:ascii="ITC Avant Garde" w:hAnsi="ITC Avant Garde"/>
                <w:sz w:val="20"/>
              </w:rPr>
              <w:t xml:space="preserve"> por altura</w:t>
            </w:r>
          </w:p>
        </w:tc>
        <w:tc>
          <w:tcPr>
            <w:tcW w:w="4155" w:type="dxa"/>
            <w:vAlign w:val="center"/>
          </w:tcPr>
          <w:p w14:paraId="620664C5" w14:textId="71F85847" w:rsidR="002224B9" w:rsidRPr="005D5FB3" w:rsidRDefault="002224B9" w:rsidP="005D5FB3">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color w:val="auto"/>
                <w:sz w:val="20"/>
                <w:szCs w:val="20"/>
              </w:rPr>
            </w:pPr>
            <w:r w:rsidRPr="005D5FB3">
              <w:rPr>
                <w:rFonts w:ascii="ITC Avant Garde" w:hAnsi="ITC Avant Garde" w:cs="Calibri"/>
                <w:sz w:val="20"/>
                <w:szCs w:val="20"/>
              </w:rPr>
              <w:t>CAPEX promedio</w:t>
            </w:r>
            <w:r w:rsidR="00510F66" w:rsidRPr="005D5FB3">
              <w:rPr>
                <w:rFonts w:ascii="ITC Avant Garde" w:hAnsi="ITC Avant Garde" w:cs="Calibri"/>
                <w:sz w:val="20"/>
                <w:szCs w:val="20"/>
              </w:rPr>
              <w:t xml:space="preserve"> de adquisición de torre + obras civiles</w:t>
            </w:r>
          </w:p>
        </w:tc>
      </w:tr>
      <w:tr w:rsidR="00F9463B" w:rsidRPr="00510F66" w14:paraId="36CE69F8" w14:textId="67E82809"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718692B0" w14:textId="77777777" w:rsidR="00F9463B" w:rsidRPr="005D5FB3" w:rsidRDefault="00F9463B" w:rsidP="00F9463B">
            <w:pPr>
              <w:jc w:val="center"/>
              <w:rPr>
                <w:rFonts w:ascii="ITC Avant Garde" w:eastAsia="Times New Roman" w:hAnsi="ITC Avant Garde" w:cs="Calibri"/>
                <w:sz w:val="20"/>
                <w:szCs w:val="20"/>
                <w:lang w:eastAsia="es-MX"/>
              </w:rPr>
            </w:pPr>
            <w:proofErr w:type="spellStart"/>
            <w:r w:rsidRPr="005D5FB3">
              <w:rPr>
                <w:rFonts w:ascii="ITC Avant Garde" w:eastAsia="Times New Roman" w:hAnsi="ITC Avant Garde" w:cs="Calibri"/>
                <w:sz w:val="20"/>
                <w:szCs w:val="20"/>
                <w:lang w:eastAsia="es-MX"/>
              </w:rPr>
              <w:t>Autosoportada</w:t>
            </w:r>
            <w:proofErr w:type="spellEnd"/>
            <w:r w:rsidRPr="005D5FB3">
              <w:rPr>
                <w:rFonts w:ascii="ITC Avant Garde" w:eastAsia="Times New Roman" w:hAnsi="ITC Avant Garde" w:cs="Calibri"/>
                <w:sz w:val="20"/>
                <w:szCs w:val="20"/>
                <w:lang w:eastAsia="es-MX"/>
              </w:rPr>
              <w:t xml:space="preserve"> - APOLO</w:t>
            </w:r>
          </w:p>
        </w:tc>
        <w:tc>
          <w:tcPr>
            <w:tcW w:w="2195" w:type="dxa"/>
            <w:noWrap/>
            <w:vAlign w:val="center"/>
            <w:hideMark/>
          </w:tcPr>
          <w:p w14:paraId="52B64DAB"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5054CD64" w14:textId="6706D630"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$4,540,263.11</w:t>
            </w:r>
          </w:p>
        </w:tc>
      </w:tr>
      <w:tr w:rsidR="00F9463B" w:rsidRPr="00510F66" w14:paraId="6F021212" w14:textId="46D3349F"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27C4288F"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2B54CB25"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2F969A98" w14:textId="0B28B7BC"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$5,265,003.71</w:t>
            </w:r>
          </w:p>
        </w:tc>
      </w:tr>
      <w:tr w:rsidR="00F9463B" w:rsidRPr="00510F66" w14:paraId="537AEF9B" w14:textId="2B91FBF1"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3D7C2F41"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602DAE0C"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1A7B17B5" w14:textId="68664A9D"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$5,870,313.37</w:t>
            </w:r>
          </w:p>
        </w:tc>
      </w:tr>
      <w:tr w:rsidR="00F9463B" w:rsidRPr="00510F66" w14:paraId="2BD9851D" w14:textId="5E91B3E2"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2E46E0B5" w14:textId="77777777" w:rsidR="00F9463B" w:rsidRPr="005D5FB3" w:rsidRDefault="00F9463B" w:rsidP="00F9463B">
            <w:pPr>
              <w:jc w:val="center"/>
              <w:rPr>
                <w:rFonts w:ascii="ITC Avant Garde" w:eastAsia="Times New Roman" w:hAnsi="ITC Avant Garde" w:cs="Calibri"/>
                <w:sz w:val="20"/>
                <w:szCs w:val="20"/>
                <w:lang w:eastAsia="es-MX"/>
              </w:rPr>
            </w:pPr>
            <w:proofErr w:type="spellStart"/>
            <w:r w:rsidRPr="005D5FB3">
              <w:rPr>
                <w:rFonts w:ascii="ITC Avant Garde" w:eastAsia="Times New Roman" w:hAnsi="ITC Avant Garde" w:cs="Calibri"/>
                <w:sz w:val="20"/>
                <w:szCs w:val="20"/>
                <w:lang w:eastAsia="es-MX"/>
              </w:rPr>
              <w:t>Autosoportada</w:t>
            </w:r>
            <w:proofErr w:type="spellEnd"/>
            <w:r w:rsidRPr="005D5FB3">
              <w:rPr>
                <w:rFonts w:ascii="ITC Avant Garde" w:eastAsia="Times New Roman" w:hAnsi="ITC Avant Garde" w:cs="Calibri"/>
                <w:sz w:val="20"/>
                <w:szCs w:val="20"/>
                <w:lang w:eastAsia="es-MX"/>
              </w:rPr>
              <w:t xml:space="preserve"> - ASU</w:t>
            </w:r>
          </w:p>
        </w:tc>
        <w:tc>
          <w:tcPr>
            <w:tcW w:w="2195" w:type="dxa"/>
            <w:noWrap/>
            <w:vAlign w:val="center"/>
            <w:hideMark/>
          </w:tcPr>
          <w:p w14:paraId="70273999"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16AEDDE4" w14:textId="37494D11"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$2,730,501.28</w:t>
            </w:r>
          </w:p>
        </w:tc>
      </w:tr>
      <w:tr w:rsidR="00F9463B" w:rsidRPr="00510F66" w14:paraId="247FCB20" w14:textId="4B83A20D"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52D47DFB"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3CF1D4DC"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13EC9BDA" w14:textId="121E4B76"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$2,816,027.07</w:t>
            </w:r>
          </w:p>
        </w:tc>
      </w:tr>
      <w:tr w:rsidR="00F9463B" w:rsidRPr="00510F66" w14:paraId="6B11439D" w14:textId="4CFC2F91"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55A03DE0"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7F729D80"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01B9AC3D" w14:textId="2F41AFE1"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$2,899,403.04</w:t>
            </w:r>
          </w:p>
        </w:tc>
      </w:tr>
      <w:tr w:rsidR="00F9463B" w:rsidRPr="00510F66" w14:paraId="23597602" w14:textId="7B4074F4"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105BD1A7" w14:textId="77777777" w:rsidR="00F9463B" w:rsidRPr="005D5FB3" w:rsidRDefault="00F9463B" w:rsidP="00F9463B">
            <w:pPr>
              <w:jc w:val="center"/>
              <w:rPr>
                <w:rFonts w:ascii="ITC Avant Garde" w:eastAsia="Times New Roman" w:hAnsi="ITC Avant Garde" w:cs="Calibri"/>
                <w:sz w:val="20"/>
                <w:szCs w:val="20"/>
                <w:lang w:eastAsia="es-MX"/>
              </w:rPr>
            </w:pPr>
            <w:proofErr w:type="spellStart"/>
            <w:r w:rsidRPr="005D5FB3">
              <w:rPr>
                <w:rFonts w:ascii="ITC Avant Garde" w:eastAsia="Times New Roman" w:hAnsi="ITC Avant Garde" w:cs="Calibri"/>
                <w:sz w:val="20"/>
                <w:szCs w:val="20"/>
                <w:lang w:eastAsia="es-MX"/>
              </w:rPr>
              <w:t>Autosoportada</w:t>
            </w:r>
            <w:proofErr w:type="spellEnd"/>
            <w:r w:rsidRPr="005D5FB3">
              <w:rPr>
                <w:rFonts w:ascii="ITC Avant Garde" w:eastAsia="Times New Roman" w:hAnsi="ITC Avant Garde" w:cs="Calibri"/>
                <w:sz w:val="20"/>
                <w:szCs w:val="20"/>
                <w:lang w:eastAsia="es-MX"/>
              </w:rPr>
              <w:t xml:space="preserve"> - DIRSA</w:t>
            </w:r>
          </w:p>
        </w:tc>
        <w:tc>
          <w:tcPr>
            <w:tcW w:w="2195" w:type="dxa"/>
            <w:noWrap/>
            <w:vAlign w:val="center"/>
            <w:hideMark/>
          </w:tcPr>
          <w:p w14:paraId="2D86B1A3"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72D3A627" w14:textId="0605258E"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$2,732,686.39</w:t>
            </w:r>
          </w:p>
        </w:tc>
      </w:tr>
      <w:tr w:rsidR="00F9463B" w:rsidRPr="00510F66" w14:paraId="07986E91" w14:textId="0F7C65D7"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3A11029E"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399E43B6"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325BB0D1" w14:textId="0E7E71C2"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$2,774,776.59</w:t>
            </w:r>
          </w:p>
        </w:tc>
      </w:tr>
      <w:tr w:rsidR="00F9463B" w:rsidRPr="00510F66" w14:paraId="2FA2DFC0" w14:textId="280845B2"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7DD67528"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2759807C"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60668239" w14:textId="23DEE9A8"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$2,861,916.45</w:t>
            </w:r>
          </w:p>
        </w:tc>
      </w:tr>
      <w:tr w:rsidR="00F9463B" w:rsidRPr="00510F66" w14:paraId="7DDEF512" w14:textId="2134FF89"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166EA643" w14:textId="77777777" w:rsidR="00F9463B" w:rsidRPr="005D5FB3" w:rsidRDefault="00F9463B" w:rsidP="00F9463B">
            <w:pPr>
              <w:jc w:val="center"/>
              <w:rPr>
                <w:rFonts w:ascii="ITC Avant Garde" w:eastAsia="Times New Roman" w:hAnsi="ITC Avant Garde" w:cs="Calibri"/>
                <w:sz w:val="20"/>
                <w:szCs w:val="20"/>
                <w:lang w:eastAsia="es-MX"/>
              </w:rPr>
            </w:pPr>
            <w:proofErr w:type="spellStart"/>
            <w:r w:rsidRPr="005D5FB3">
              <w:rPr>
                <w:rFonts w:ascii="ITC Avant Garde" w:eastAsia="Times New Roman" w:hAnsi="ITC Avant Garde" w:cs="Calibri"/>
                <w:sz w:val="20"/>
                <w:szCs w:val="20"/>
                <w:lang w:eastAsia="es-MX"/>
              </w:rPr>
              <w:t>Autosoportada</w:t>
            </w:r>
            <w:proofErr w:type="spellEnd"/>
            <w:r w:rsidRPr="005D5FB3">
              <w:rPr>
                <w:rFonts w:ascii="ITC Avant Garde" w:eastAsia="Times New Roman" w:hAnsi="ITC Avant Garde" w:cs="Calibri"/>
                <w:sz w:val="20"/>
                <w:szCs w:val="20"/>
                <w:lang w:eastAsia="es-MX"/>
              </w:rPr>
              <w:t xml:space="preserve"> - EIFFEL</w:t>
            </w:r>
          </w:p>
        </w:tc>
        <w:tc>
          <w:tcPr>
            <w:tcW w:w="2195" w:type="dxa"/>
            <w:noWrap/>
            <w:vAlign w:val="center"/>
            <w:hideMark/>
          </w:tcPr>
          <w:p w14:paraId="2DED2631"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093BF939" w14:textId="39B6A521"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$5,012,462.52</w:t>
            </w:r>
          </w:p>
        </w:tc>
      </w:tr>
      <w:tr w:rsidR="00F9463B" w:rsidRPr="00510F66" w14:paraId="16670D29" w14:textId="0F3793D4"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6D6CBA7C"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7F3B0621"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622EF5F8" w14:textId="20FD9CB5"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$5,012,462.52</w:t>
            </w:r>
          </w:p>
        </w:tc>
      </w:tr>
      <w:tr w:rsidR="00F9463B" w:rsidRPr="00510F66" w14:paraId="5448FAF2" w14:textId="59FA05E4"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0A70AA66"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1F45CFFE"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67C0D943" w14:textId="3C71A18C"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$5,868,734.99</w:t>
            </w:r>
          </w:p>
        </w:tc>
      </w:tr>
      <w:tr w:rsidR="00F9463B" w:rsidRPr="00510F66" w14:paraId="155198B5" w14:textId="421F09BF"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0ECFEE2F" w14:textId="77777777" w:rsidR="00F9463B" w:rsidRPr="005D5FB3" w:rsidRDefault="00F9463B" w:rsidP="00F9463B">
            <w:pPr>
              <w:jc w:val="center"/>
              <w:rPr>
                <w:rFonts w:ascii="ITC Avant Garde" w:eastAsia="Times New Roman" w:hAnsi="ITC Avant Garde" w:cs="Calibri"/>
                <w:sz w:val="20"/>
                <w:szCs w:val="20"/>
                <w:lang w:eastAsia="es-MX"/>
              </w:rPr>
            </w:pPr>
            <w:proofErr w:type="spellStart"/>
            <w:r w:rsidRPr="005D5FB3">
              <w:rPr>
                <w:rFonts w:ascii="ITC Avant Garde" w:eastAsia="Times New Roman" w:hAnsi="ITC Avant Garde" w:cs="Calibri"/>
                <w:sz w:val="20"/>
                <w:szCs w:val="20"/>
                <w:lang w:eastAsia="es-MX"/>
              </w:rPr>
              <w:t>Autosoportada</w:t>
            </w:r>
            <w:proofErr w:type="spellEnd"/>
            <w:r w:rsidRPr="005D5FB3">
              <w:rPr>
                <w:rFonts w:ascii="ITC Avant Garde" w:eastAsia="Times New Roman" w:hAnsi="ITC Avant Garde" w:cs="Calibri"/>
                <w:sz w:val="20"/>
                <w:szCs w:val="20"/>
                <w:lang w:eastAsia="es-MX"/>
              </w:rPr>
              <w:t xml:space="preserve"> - RHON</w:t>
            </w:r>
          </w:p>
        </w:tc>
        <w:tc>
          <w:tcPr>
            <w:tcW w:w="2195" w:type="dxa"/>
            <w:noWrap/>
            <w:vAlign w:val="center"/>
            <w:hideMark/>
          </w:tcPr>
          <w:p w14:paraId="59F13380"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3BC5CDE3" w14:textId="6E4F50DF"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$2,690,596.19</w:t>
            </w:r>
          </w:p>
        </w:tc>
      </w:tr>
      <w:tr w:rsidR="00F9463B" w:rsidRPr="00510F66" w14:paraId="4DB929CB" w14:textId="30C2BD1D"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765C1E1C"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46FC0784"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39DDC62C" w14:textId="73DE731E"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$2,774,776.59</w:t>
            </w:r>
          </w:p>
        </w:tc>
      </w:tr>
      <w:tr w:rsidR="00F9463B" w:rsidRPr="00510F66" w14:paraId="712E2B74" w14:textId="75A8DB17"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53853E97"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39BF0BA2"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69E9F2A5" w14:textId="0BD219D1"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$2,861,916.45</w:t>
            </w:r>
          </w:p>
        </w:tc>
      </w:tr>
      <w:tr w:rsidR="00F9463B" w:rsidRPr="00510F66" w14:paraId="058931C4" w14:textId="2581A30B"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1345E6AC" w14:textId="77777777" w:rsidR="00F9463B" w:rsidRPr="005D5FB3" w:rsidRDefault="00F9463B" w:rsidP="00F9463B">
            <w:pPr>
              <w:jc w:val="center"/>
              <w:rPr>
                <w:rFonts w:ascii="ITC Avant Garde" w:eastAsia="Times New Roman" w:hAnsi="ITC Avant Garde" w:cs="Calibri"/>
                <w:sz w:val="20"/>
                <w:szCs w:val="20"/>
                <w:lang w:eastAsia="es-MX"/>
              </w:rPr>
            </w:pPr>
            <w:proofErr w:type="spellStart"/>
            <w:r w:rsidRPr="005D5FB3">
              <w:rPr>
                <w:rFonts w:ascii="ITC Avant Garde" w:eastAsia="Times New Roman" w:hAnsi="ITC Avant Garde" w:cs="Calibri"/>
                <w:sz w:val="20"/>
                <w:szCs w:val="20"/>
                <w:lang w:eastAsia="es-MX"/>
              </w:rPr>
              <w:t>Autosoportada</w:t>
            </w:r>
            <w:proofErr w:type="spellEnd"/>
            <w:r w:rsidRPr="005D5FB3">
              <w:rPr>
                <w:rFonts w:ascii="ITC Avant Garde" w:eastAsia="Times New Roman" w:hAnsi="ITC Avant Garde" w:cs="Calibri"/>
                <w:sz w:val="20"/>
                <w:szCs w:val="20"/>
                <w:lang w:eastAsia="es-MX"/>
              </w:rPr>
              <w:t xml:space="preserve"> - SCT</w:t>
            </w:r>
          </w:p>
        </w:tc>
        <w:tc>
          <w:tcPr>
            <w:tcW w:w="2195" w:type="dxa"/>
            <w:noWrap/>
            <w:vAlign w:val="center"/>
            <w:hideMark/>
          </w:tcPr>
          <w:p w14:paraId="7BAF0CC1"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7958B316" w14:textId="16350F8A"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$4,578,407.35</w:t>
            </w:r>
          </w:p>
        </w:tc>
      </w:tr>
      <w:tr w:rsidR="00F9463B" w:rsidRPr="00510F66" w14:paraId="14F07415" w14:textId="193A53A5"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7B46E42C"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69AC601F"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6DA79CF5" w14:textId="0CA1E5D8"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$5,265,003.71</w:t>
            </w:r>
          </w:p>
        </w:tc>
      </w:tr>
      <w:tr w:rsidR="00F9463B" w:rsidRPr="00510F66" w14:paraId="3F111FE2" w14:textId="369370CE"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67A215E7"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502F3BAC"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515B6F1E" w14:textId="39FB5899"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$5,870,313.37</w:t>
            </w:r>
          </w:p>
        </w:tc>
      </w:tr>
      <w:tr w:rsidR="00F9463B" w:rsidRPr="00510F66" w14:paraId="43C59D08" w14:textId="54F7606A"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0F00F83F" w14:textId="18F18BAD" w:rsidR="00F9463B" w:rsidRPr="005D5FB3" w:rsidRDefault="00F9463B" w:rsidP="00F9463B">
            <w:pPr>
              <w:jc w:val="center"/>
              <w:rPr>
                <w:rFonts w:ascii="ITC Avant Garde" w:eastAsia="Times New Roman" w:hAnsi="ITC Avant Garde" w:cs="Calibri"/>
                <w:sz w:val="20"/>
                <w:szCs w:val="20"/>
                <w:lang w:eastAsia="es-MX"/>
              </w:rPr>
            </w:pPr>
            <w:proofErr w:type="spellStart"/>
            <w:r w:rsidRPr="005D5FB3">
              <w:rPr>
                <w:rFonts w:ascii="ITC Avant Garde" w:eastAsia="Times New Roman" w:hAnsi="ITC Avant Garde" w:cs="Calibri"/>
                <w:sz w:val="20"/>
                <w:szCs w:val="20"/>
                <w:lang w:eastAsia="es-MX"/>
              </w:rPr>
              <w:t>Autosoportada</w:t>
            </w:r>
            <w:proofErr w:type="spellEnd"/>
            <w:r w:rsidRPr="005D5FB3">
              <w:rPr>
                <w:rFonts w:ascii="ITC Avant Garde" w:eastAsia="Times New Roman" w:hAnsi="ITC Avant Garde" w:cs="Calibri"/>
                <w:sz w:val="20"/>
                <w:szCs w:val="20"/>
                <w:lang w:eastAsia="es-MX"/>
              </w:rPr>
              <w:t xml:space="preserve"> - </w:t>
            </w:r>
            <w:r w:rsidR="00CF17F6">
              <w:rPr>
                <w:rFonts w:ascii="ITC Avant Garde" w:eastAsia="Times New Roman" w:hAnsi="ITC Avant Garde" w:cs="Calibri"/>
                <w:sz w:val="20"/>
                <w:szCs w:val="20"/>
                <w:lang w:eastAsia="es-MX"/>
              </w:rPr>
              <w:t>TELMEX</w:t>
            </w:r>
          </w:p>
        </w:tc>
        <w:tc>
          <w:tcPr>
            <w:tcW w:w="2195" w:type="dxa"/>
            <w:noWrap/>
            <w:vAlign w:val="center"/>
            <w:hideMark/>
          </w:tcPr>
          <w:p w14:paraId="334045E1"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313AB8AC" w14:textId="7A82CA35"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$4,610,220.46</w:t>
            </w:r>
          </w:p>
        </w:tc>
      </w:tr>
      <w:tr w:rsidR="00F9463B" w:rsidRPr="00510F66" w14:paraId="0BF9D97D" w14:textId="7E813DFB"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0F262303"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4519DB2B"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3F33C3FD" w14:textId="0694514A"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$5,309,141.95</w:t>
            </w:r>
          </w:p>
        </w:tc>
      </w:tr>
      <w:tr w:rsidR="00F9463B" w:rsidRPr="00510F66" w14:paraId="311C9D45" w14:textId="3182D6F0"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0B195439"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65C0D0F1"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037C7EEC" w14:textId="113E35A7"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$5,889,812.97</w:t>
            </w:r>
          </w:p>
        </w:tc>
      </w:tr>
      <w:tr w:rsidR="00F9463B" w:rsidRPr="00510F66" w14:paraId="1FF97BC3" w14:textId="29072325"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31CA333D" w14:textId="77777777" w:rsidR="00F9463B" w:rsidRPr="005D5FB3" w:rsidRDefault="00F9463B" w:rsidP="00F9463B">
            <w:pPr>
              <w:jc w:val="center"/>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NODULAR</w:t>
            </w:r>
          </w:p>
        </w:tc>
        <w:tc>
          <w:tcPr>
            <w:tcW w:w="2195" w:type="dxa"/>
            <w:noWrap/>
            <w:vAlign w:val="center"/>
            <w:hideMark/>
          </w:tcPr>
          <w:p w14:paraId="351C7677"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11DC0415" w14:textId="1A9D02CB"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$2,089,013.81</w:t>
            </w:r>
          </w:p>
        </w:tc>
      </w:tr>
      <w:tr w:rsidR="00F9463B" w:rsidRPr="00510F66" w14:paraId="103CAE1E" w14:textId="2BA0D784"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410DBB16"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46CF0D43"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5478A14B" w14:textId="1480D5EE"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$2,261,032.84</w:t>
            </w:r>
          </w:p>
        </w:tc>
      </w:tr>
      <w:tr w:rsidR="00F9463B" w:rsidRPr="00510F66" w14:paraId="20710B54" w14:textId="34F18927"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02F06229"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5AF26748"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31275D02" w14:textId="2D9BB712"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$2,649,709.51</w:t>
            </w:r>
          </w:p>
        </w:tc>
      </w:tr>
      <w:tr w:rsidR="00F9463B" w:rsidRPr="00510F66" w14:paraId="391C6114" w14:textId="57216847"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2BCC5BA6" w14:textId="77777777" w:rsidR="00F9463B" w:rsidRPr="005D5FB3" w:rsidRDefault="00F9463B" w:rsidP="00F9463B">
            <w:pPr>
              <w:jc w:val="center"/>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Retenida - 120</w:t>
            </w:r>
          </w:p>
        </w:tc>
        <w:tc>
          <w:tcPr>
            <w:tcW w:w="2195" w:type="dxa"/>
            <w:noWrap/>
            <w:vAlign w:val="center"/>
            <w:hideMark/>
          </w:tcPr>
          <w:p w14:paraId="59E4C9BE"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37AA585D" w14:textId="0B4338CC"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$3,494,965.73</w:t>
            </w:r>
          </w:p>
        </w:tc>
      </w:tr>
      <w:tr w:rsidR="00F9463B" w:rsidRPr="00510F66" w14:paraId="753123DB" w14:textId="27F37A75"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10C51B0E"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74AB92F1"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42ADA834" w14:textId="24556AE5"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$3,688,650.43</w:t>
            </w:r>
          </w:p>
        </w:tc>
      </w:tr>
      <w:tr w:rsidR="00F9463B" w:rsidRPr="00510F66" w14:paraId="1A0DC9AA" w14:textId="06B3C079"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79396F95"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2B7A9E0B"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38EBA8EA" w14:textId="7BF28803"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$4,048,333.92</w:t>
            </w:r>
          </w:p>
        </w:tc>
      </w:tr>
      <w:tr w:rsidR="00F9463B" w:rsidRPr="00510F66" w14:paraId="534E1C8A" w14:textId="3784537D"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1DFE450B" w14:textId="77777777" w:rsidR="00F9463B" w:rsidRPr="005D5FB3" w:rsidRDefault="00F9463B" w:rsidP="00F9463B">
            <w:pPr>
              <w:jc w:val="center"/>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lastRenderedPageBreak/>
              <w:t>Retenida - 135</w:t>
            </w:r>
          </w:p>
        </w:tc>
        <w:tc>
          <w:tcPr>
            <w:tcW w:w="2195" w:type="dxa"/>
            <w:noWrap/>
            <w:vAlign w:val="center"/>
            <w:hideMark/>
          </w:tcPr>
          <w:p w14:paraId="3EAB7902"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6A83B341" w14:textId="4634FA2B"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$4,090,424.11</w:t>
            </w:r>
          </w:p>
        </w:tc>
      </w:tr>
      <w:tr w:rsidR="00F9463B" w:rsidRPr="00510F66" w14:paraId="2BA02038" w14:textId="72CC5084"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76A9B9AA"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68449F4C"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2339CAAC" w14:textId="796E1896"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$4,236,424.49</w:t>
            </w:r>
          </w:p>
        </w:tc>
      </w:tr>
      <w:tr w:rsidR="00F9463B" w:rsidRPr="00510F66" w14:paraId="69D4EBD1" w14:textId="5CC3B9EC"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3900D69E"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70362FCE"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5BC080E1" w14:textId="0FB231F3"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$4,596,821.81</w:t>
            </w:r>
          </w:p>
        </w:tc>
      </w:tr>
      <w:tr w:rsidR="00F9463B" w:rsidRPr="00510F66" w14:paraId="28EDC4F8" w14:textId="54B4196C"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2867A60A" w14:textId="77777777" w:rsidR="00F9463B" w:rsidRPr="005D5FB3" w:rsidRDefault="00F9463B" w:rsidP="00F9463B">
            <w:pPr>
              <w:jc w:val="center"/>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Retenida - 45</w:t>
            </w:r>
          </w:p>
        </w:tc>
        <w:tc>
          <w:tcPr>
            <w:tcW w:w="2195" w:type="dxa"/>
            <w:noWrap/>
            <w:vAlign w:val="center"/>
            <w:hideMark/>
          </w:tcPr>
          <w:p w14:paraId="2B59A3CD"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1C402BB4" w14:textId="4232E9B4"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$2,985,815.15</w:t>
            </w:r>
          </w:p>
        </w:tc>
      </w:tr>
      <w:tr w:rsidR="00F9463B" w:rsidRPr="00510F66" w14:paraId="55BE7E67" w14:textId="0712BD25"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44AA1B3C"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4CE3AF07"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74EEE55E" w14:textId="363C8199"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$3,123,371.77</w:t>
            </w:r>
          </w:p>
        </w:tc>
      </w:tr>
      <w:tr w:rsidR="00F9463B" w:rsidRPr="00510F66" w14:paraId="52792819" w14:textId="2F3FAF6A"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08040D9D"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1E8AEB7F"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39393E6A" w14:textId="4A4490F0"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$3,258,879.64</w:t>
            </w:r>
          </w:p>
        </w:tc>
      </w:tr>
      <w:tr w:rsidR="00F9463B" w:rsidRPr="00510F66" w14:paraId="2C64CD2B" w14:textId="63458283"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0D04336F" w14:textId="77777777" w:rsidR="00F9463B" w:rsidRPr="005D5FB3" w:rsidRDefault="00F9463B" w:rsidP="00F9463B">
            <w:pPr>
              <w:jc w:val="center"/>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Retenida - 55</w:t>
            </w:r>
          </w:p>
        </w:tc>
        <w:tc>
          <w:tcPr>
            <w:tcW w:w="2195" w:type="dxa"/>
            <w:noWrap/>
            <w:vAlign w:val="center"/>
            <w:hideMark/>
          </w:tcPr>
          <w:p w14:paraId="7535CF76"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7CACC3F6" w14:textId="43793688"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$3,023,700.65</w:t>
            </w:r>
          </w:p>
        </w:tc>
      </w:tr>
      <w:tr w:rsidR="00F9463B" w:rsidRPr="00510F66" w14:paraId="196E4D62" w14:textId="64C97E15"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321FA24B"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02A1EF84"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20F6E517" w14:textId="1C2DD61A"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$3,140,106.36</w:t>
            </w:r>
          </w:p>
        </w:tc>
      </w:tr>
      <w:tr w:rsidR="00510F66" w:rsidRPr="00510F66" w14:paraId="248AC935" w14:textId="16F90C84"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379B6572" w14:textId="77777777" w:rsidR="00510F66" w:rsidRPr="005D5FB3" w:rsidRDefault="00510F66" w:rsidP="005D5FB3">
            <w:pPr>
              <w:jc w:val="center"/>
              <w:rPr>
                <w:rFonts w:ascii="ITC Avant Garde" w:eastAsia="Times New Roman" w:hAnsi="ITC Avant Garde" w:cs="Calibri"/>
                <w:sz w:val="20"/>
                <w:szCs w:val="20"/>
                <w:lang w:eastAsia="es-MX"/>
              </w:rPr>
            </w:pPr>
          </w:p>
        </w:tc>
        <w:tc>
          <w:tcPr>
            <w:tcW w:w="2195" w:type="dxa"/>
            <w:noWrap/>
            <w:vAlign w:val="center"/>
            <w:hideMark/>
          </w:tcPr>
          <w:p w14:paraId="5F8FA3C6" w14:textId="77777777" w:rsidR="00510F66" w:rsidRPr="005D5FB3" w:rsidRDefault="00510F66" w:rsidP="005D5FB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6B61D361" w14:textId="6CE4EFA3" w:rsidR="00510F66" w:rsidRPr="002C61C8" w:rsidRDefault="004F1827"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eastAsia="Times New Roman" w:hAnsi="ITC Avant Garde" w:cs="Calibri"/>
                <w:sz w:val="20"/>
                <w:szCs w:val="20"/>
                <w:lang w:eastAsia="es-MX"/>
              </w:rPr>
              <w:t>ND</w:t>
            </w:r>
          </w:p>
        </w:tc>
      </w:tr>
      <w:tr w:rsidR="00F9463B" w:rsidRPr="00510F66" w14:paraId="6637D52E" w14:textId="64F575CC"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7B55CDC4" w14:textId="77777777" w:rsidR="00F9463B" w:rsidRPr="005D5FB3" w:rsidRDefault="00F9463B" w:rsidP="00F9463B">
            <w:pPr>
              <w:jc w:val="center"/>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Retenida - 60</w:t>
            </w:r>
          </w:p>
        </w:tc>
        <w:tc>
          <w:tcPr>
            <w:tcW w:w="2195" w:type="dxa"/>
            <w:noWrap/>
            <w:vAlign w:val="center"/>
            <w:hideMark/>
          </w:tcPr>
          <w:p w14:paraId="25C3DE67"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37B503BA" w14:textId="257B5CFE"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$3,073,778.42</w:t>
            </w:r>
          </w:p>
        </w:tc>
      </w:tr>
      <w:tr w:rsidR="00F9463B" w:rsidRPr="00510F66" w14:paraId="57D97153" w14:textId="60BBF1FC"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06FA35A8"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47E92FBE"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253F4643" w14:textId="08AB42EF"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$3,192,835.16</w:t>
            </w:r>
          </w:p>
        </w:tc>
      </w:tr>
      <w:tr w:rsidR="00F9463B" w:rsidRPr="00510F66" w14:paraId="2EC3CFF1" w14:textId="4803F2F6"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4BDD6D2B"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08B1F9AB"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5A8CB3CA" w14:textId="2D338951"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$3,362,395.22</w:t>
            </w:r>
          </w:p>
        </w:tc>
      </w:tr>
      <w:tr w:rsidR="00F9463B" w:rsidRPr="00510F66" w14:paraId="7A096275" w14:textId="057A7BED"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290D1A95" w14:textId="77777777" w:rsidR="00F9463B" w:rsidRPr="005D5FB3" w:rsidRDefault="00F9463B" w:rsidP="00F9463B">
            <w:pPr>
              <w:jc w:val="center"/>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Retenida - 90</w:t>
            </w:r>
          </w:p>
        </w:tc>
        <w:tc>
          <w:tcPr>
            <w:tcW w:w="2195" w:type="dxa"/>
            <w:noWrap/>
            <w:vAlign w:val="center"/>
            <w:hideMark/>
          </w:tcPr>
          <w:p w14:paraId="76C18B49"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46F0E17A" w14:textId="2D27AEA3"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$3,157,976.55</w:t>
            </w:r>
          </w:p>
        </w:tc>
      </w:tr>
      <w:tr w:rsidR="00F9463B" w:rsidRPr="00510F66" w14:paraId="6DEC31F9" w14:textId="7BE846AE"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551314EB"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5816634C"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18EC7C9F" w14:textId="66635E42"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$3,282,192.86</w:t>
            </w:r>
          </w:p>
        </w:tc>
      </w:tr>
      <w:tr w:rsidR="00F9463B" w:rsidRPr="00510F66" w14:paraId="36B9A307" w14:textId="5576EF95"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194615B8" w14:textId="77777777" w:rsidR="00F9463B" w:rsidRPr="005D5FB3" w:rsidRDefault="00F9463B" w:rsidP="00F9463B">
            <w:pPr>
              <w:jc w:val="center"/>
              <w:rPr>
                <w:rFonts w:ascii="ITC Avant Garde" w:eastAsia="Times New Roman" w:hAnsi="ITC Avant Garde" w:cs="Calibri"/>
                <w:sz w:val="20"/>
                <w:szCs w:val="20"/>
                <w:lang w:eastAsia="es-MX"/>
              </w:rPr>
            </w:pPr>
          </w:p>
        </w:tc>
        <w:tc>
          <w:tcPr>
            <w:tcW w:w="2195" w:type="dxa"/>
            <w:noWrap/>
            <w:vAlign w:val="center"/>
            <w:hideMark/>
          </w:tcPr>
          <w:p w14:paraId="30BBFBDA" w14:textId="77777777" w:rsidR="00F9463B" w:rsidRPr="005D5FB3" w:rsidRDefault="00F9463B" w:rsidP="00F9463B">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Grande</w:t>
            </w:r>
          </w:p>
        </w:tc>
        <w:tc>
          <w:tcPr>
            <w:tcW w:w="4155" w:type="dxa"/>
            <w:vAlign w:val="center"/>
          </w:tcPr>
          <w:p w14:paraId="4ED214D3" w14:textId="35AB11CE" w:rsidR="00F9463B" w:rsidRPr="002C61C8" w:rsidRDefault="00F9463B"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$3,440,656.68</w:t>
            </w:r>
          </w:p>
        </w:tc>
      </w:tr>
      <w:tr w:rsidR="00F9463B" w:rsidRPr="00510F66" w14:paraId="5F34A9BF" w14:textId="47700654"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restart"/>
            <w:vAlign w:val="center"/>
            <w:hideMark/>
          </w:tcPr>
          <w:p w14:paraId="0AB00C4D" w14:textId="77777777" w:rsidR="00F9463B" w:rsidRPr="005D5FB3" w:rsidRDefault="00F9463B" w:rsidP="00F9463B">
            <w:pPr>
              <w:jc w:val="center"/>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Retenida - SPECIALUM</w:t>
            </w:r>
          </w:p>
        </w:tc>
        <w:tc>
          <w:tcPr>
            <w:tcW w:w="2195" w:type="dxa"/>
            <w:noWrap/>
            <w:vAlign w:val="center"/>
            <w:hideMark/>
          </w:tcPr>
          <w:p w14:paraId="1ED4A7C3" w14:textId="77777777" w:rsidR="00F9463B" w:rsidRPr="005D5FB3" w:rsidRDefault="00F9463B" w:rsidP="00F9463B">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Chica</w:t>
            </w:r>
          </w:p>
        </w:tc>
        <w:tc>
          <w:tcPr>
            <w:tcW w:w="4155" w:type="dxa"/>
            <w:vAlign w:val="center"/>
          </w:tcPr>
          <w:p w14:paraId="2FAF91C5" w14:textId="7ED6D988"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hAnsi="ITC Avant Garde" w:cs="Calibri"/>
                <w:sz w:val="20"/>
                <w:szCs w:val="20"/>
              </w:rPr>
              <w:t>$1,301,639.38</w:t>
            </w:r>
          </w:p>
        </w:tc>
      </w:tr>
      <w:tr w:rsidR="00510F66" w:rsidRPr="00510F66" w14:paraId="77838A10" w14:textId="173EC964" w:rsidTr="00C252AF">
        <w:trPr>
          <w:trHeight w:val="20"/>
          <w:jc w:val="center"/>
        </w:trPr>
        <w:tc>
          <w:tcPr>
            <w:cnfStyle w:val="001000000000" w:firstRow="0" w:lastRow="0" w:firstColumn="1" w:lastColumn="0" w:oddVBand="0" w:evenVBand="0" w:oddHBand="0" w:evenHBand="0" w:firstRowFirstColumn="0" w:firstRowLastColumn="0" w:lastRowFirstColumn="0" w:lastRowLastColumn="0"/>
            <w:tcW w:w="2478" w:type="dxa"/>
            <w:vMerge/>
            <w:vAlign w:val="center"/>
            <w:hideMark/>
          </w:tcPr>
          <w:p w14:paraId="0260F04A" w14:textId="77777777" w:rsidR="00510F66" w:rsidRPr="005D5FB3" w:rsidRDefault="00510F66" w:rsidP="005D5FB3">
            <w:pPr>
              <w:jc w:val="center"/>
              <w:rPr>
                <w:rFonts w:ascii="ITC Avant Garde" w:eastAsia="Times New Roman" w:hAnsi="ITC Avant Garde" w:cs="Calibri"/>
                <w:sz w:val="20"/>
                <w:szCs w:val="20"/>
                <w:lang w:eastAsia="es-MX"/>
              </w:rPr>
            </w:pPr>
          </w:p>
        </w:tc>
        <w:tc>
          <w:tcPr>
            <w:tcW w:w="2195" w:type="dxa"/>
            <w:noWrap/>
            <w:vAlign w:val="center"/>
            <w:hideMark/>
          </w:tcPr>
          <w:p w14:paraId="5BEEE993" w14:textId="77777777" w:rsidR="00510F66" w:rsidRPr="005D5FB3" w:rsidRDefault="00510F66" w:rsidP="005D5FB3">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Mediana</w:t>
            </w:r>
          </w:p>
        </w:tc>
        <w:tc>
          <w:tcPr>
            <w:tcW w:w="4155" w:type="dxa"/>
            <w:vAlign w:val="center"/>
          </w:tcPr>
          <w:p w14:paraId="5EC0BDF2" w14:textId="2F53DF31" w:rsidR="00510F66" w:rsidRPr="002C61C8" w:rsidRDefault="004F1827" w:rsidP="002C61C8">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2"/>
                <w:szCs w:val="20"/>
                <w:lang w:eastAsia="es-MX"/>
              </w:rPr>
            </w:pPr>
            <w:r w:rsidRPr="002C61C8">
              <w:rPr>
                <w:rFonts w:ascii="ITC Avant Garde" w:eastAsia="Times New Roman" w:hAnsi="ITC Avant Garde" w:cs="Calibri"/>
                <w:sz w:val="20"/>
                <w:szCs w:val="20"/>
                <w:lang w:eastAsia="es-MX"/>
              </w:rPr>
              <w:t>ND</w:t>
            </w:r>
          </w:p>
        </w:tc>
      </w:tr>
      <w:tr w:rsidR="00510F66" w:rsidRPr="00510F66" w14:paraId="605E4196" w14:textId="7D59EC5C" w:rsidTr="00C252AF">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478" w:type="dxa"/>
            <w:noWrap/>
            <w:vAlign w:val="center"/>
            <w:hideMark/>
          </w:tcPr>
          <w:p w14:paraId="0C547A9B" w14:textId="77777777" w:rsidR="00510F66" w:rsidRPr="005D5FB3" w:rsidRDefault="00510F66" w:rsidP="00BA2F77">
            <w:pPr>
              <w:jc w:val="center"/>
              <w:rPr>
                <w:rFonts w:ascii="ITC Avant Garde" w:eastAsia="Times New Roman" w:hAnsi="ITC Avant Garde" w:cs="Calibri"/>
                <w:sz w:val="20"/>
                <w:szCs w:val="20"/>
                <w:lang w:eastAsia="es-MX"/>
              </w:rPr>
            </w:pPr>
            <w:r w:rsidRPr="005D5FB3">
              <w:rPr>
                <w:rFonts w:ascii="ITC Avant Garde" w:eastAsia="Times New Roman" w:hAnsi="ITC Avant Garde" w:cs="Calibri"/>
                <w:sz w:val="20"/>
                <w:szCs w:val="20"/>
                <w:lang w:eastAsia="es-MX"/>
              </w:rPr>
              <w:t>Arriostrada - Poste</w:t>
            </w:r>
          </w:p>
        </w:tc>
        <w:tc>
          <w:tcPr>
            <w:tcW w:w="2195" w:type="dxa"/>
            <w:noWrap/>
            <w:vAlign w:val="center"/>
            <w:hideMark/>
          </w:tcPr>
          <w:p w14:paraId="1FF04A47" w14:textId="77777777" w:rsidR="00510F66" w:rsidRPr="005D5FB3" w:rsidRDefault="00510F66" w:rsidP="005D5FB3">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20"/>
                <w:lang w:eastAsia="es-MX"/>
              </w:rPr>
            </w:pPr>
            <w:r w:rsidRPr="005D5FB3">
              <w:rPr>
                <w:rFonts w:ascii="ITC Avant Garde" w:eastAsia="Times New Roman" w:hAnsi="ITC Avant Garde" w:cs="Calibri"/>
                <w:sz w:val="20"/>
                <w:lang w:eastAsia="es-MX"/>
              </w:rPr>
              <w:t>Chica</w:t>
            </w:r>
          </w:p>
        </w:tc>
        <w:tc>
          <w:tcPr>
            <w:tcW w:w="4155" w:type="dxa"/>
            <w:vAlign w:val="center"/>
          </w:tcPr>
          <w:p w14:paraId="21B5F2DE" w14:textId="13644479" w:rsidR="00F9463B" w:rsidRPr="002C61C8" w:rsidRDefault="00F9463B" w:rsidP="002C61C8">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w:sz w:val="20"/>
                <w:szCs w:val="20"/>
              </w:rPr>
            </w:pPr>
            <w:r w:rsidRPr="002C61C8">
              <w:rPr>
                <w:rFonts w:ascii="ITC Avant Garde" w:hAnsi="ITC Avant Garde" w:cs="Calibri"/>
                <w:sz w:val="20"/>
                <w:szCs w:val="20"/>
              </w:rPr>
              <w:t>$2,329,429.41</w:t>
            </w:r>
          </w:p>
          <w:p w14:paraId="7DCD700B" w14:textId="7D1018F8" w:rsidR="00510F66" w:rsidRPr="002C61C8" w:rsidRDefault="00510F66" w:rsidP="002C61C8">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2"/>
                <w:lang w:eastAsia="es-MX"/>
              </w:rPr>
            </w:pPr>
          </w:p>
        </w:tc>
      </w:tr>
    </w:tbl>
    <w:p w14:paraId="59200B9D" w14:textId="170B666D" w:rsidR="00622517" w:rsidRPr="00997768" w:rsidRDefault="00A03B31" w:rsidP="00997768">
      <w:pPr>
        <w:pStyle w:val="IFTnormal"/>
        <w:jc w:val="center"/>
        <w:rPr>
          <w:i/>
          <w:color w:val="000000" w:themeColor="text1"/>
          <w:sz w:val="18"/>
        </w:rPr>
      </w:pPr>
      <w:r w:rsidRPr="00997768">
        <w:rPr>
          <w:b/>
          <w:color w:val="000000" w:themeColor="text1"/>
          <w:sz w:val="18"/>
        </w:rPr>
        <w:t>Cuadro 2</w:t>
      </w:r>
      <w:r w:rsidRPr="00997768">
        <w:rPr>
          <w:color w:val="000000" w:themeColor="text1"/>
          <w:sz w:val="18"/>
        </w:rPr>
        <w:t xml:space="preserve">. </w:t>
      </w:r>
      <w:r w:rsidR="00997768">
        <w:rPr>
          <w:i/>
          <w:color w:val="000000" w:themeColor="text1"/>
          <w:sz w:val="18"/>
        </w:rPr>
        <w:t>CAPEX promedio de adquisición de torre por tipo de torre y por altura de torre</w:t>
      </w:r>
      <w:r w:rsidR="00506978">
        <w:rPr>
          <w:i/>
          <w:color w:val="000000" w:themeColor="text1"/>
          <w:sz w:val="18"/>
        </w:rPr>
        <w:t>.</w:t>
      </w:r>
    </w:p>
    <w:p w14:paraId="74739D7C" w14:textId="08A3986C" w:rsidR="00622517" w:rsidRDefault="00482CD1" w:rsidP="00482CD1">
      <w:pPr>
        <w:pStyle w:val="IFTnormal"/>
        <w:rPr>
          <w:color w:val="000000" w:themeColor="text1"/>
        </w:rPr>
      </w:pPr>
      <w:r>
        <w:rPr>
          <w:color w:val="000000" w:themeColor="text1"/>
        </w:rPr>
        <w:t>Por su parte, por lo que hace a las demás categorías de costos como licencias y permisos de construcción de torre, instalación de sistemas/equipos de seguridad para torre, así como rubros de costos adicionales en la torre se mantuvieron sin cambio</w:t>
      </w:r>
      <w:r w:rsidR="00163097">
        <w:rPr>
          <w:color w:val="000000" w:themeColor="text1"/>
        </w:rPr>
        <w:t xml:space="preserve">, de manera que </w:t>
      </w:r>
      <w:r w:rsidR="00E054CA" w:rsidRPr="00414E96">
        <w:rPr>
          <w:color w:val="000000" w:themeColor="text1"/>
        </w:rPr>
        <w:t>únicamente fueron actualizados nominalmente a precios de</w:t>
      </w:r>
      <w:r w:rsidR="004F1827" w:rsidRPr="00BA2F77">
        <w:rPr>
          <w:color w:val="000000" w:themeColor="text1"/>
        </w:rPr>
        <w:t xml:space="preserve"> 2022</w:t>
      </w:r>
      <w:r w:rsidR="004F1827">
        <w:rPr>
          <w:color w:val="000000" w:themeColor="text1"/>
        </w:rPr>
        <w:t>.</w:t>
      </w:r>
    </w:p>
    <w:p w14:paraId="4CEE1A61" w14:textId="07CB849C" w:rsidR="00622517" w:rsidRDefault="00011446" w:rsidP="00414E96">
      <w:pPr>
        <w:pStyle w:val="Ttulo3"/>
        <w:spacing w:before="360" w:after="240" w:line="288" w:lineRule="auto"/>
        <w:ind w:firstLine="696"/>
        <w:jc w:val="both"/>
        <w:rPr>
          <w:color w:val="000000" w:themeColor="text1"/>
        </w:rPr>
      </w:pPr>
      <w:bookmarkStart w:id="15" w:name="_Toc107852341"/>
      <w:r>
        <w:rPr>
          <w:rFonts w:ascii="ITC Avant Garde" w:hAnsi="ITC Avant Garde"/>
          <w:b/>
          <w:color w:val="000000" w:themeColor="text1"/>
          <w:sz w:val="22"/>
          <w:szCs w:val="22"/>
        </w:rPr>
        <w:t>3</w:t>
      </w:r>
      <w:r w:rsidR="000A6697">
        <w:rPr>
          <w:rFonts w:ascii="ITC Avant Garde" w:hAnsi="ITC Avant Garde"/>
          <w:b/>
          <w:color w:val="000000" w:themeColor="text1"/>
          <w:sz w:val="22"/>
          <w:szCs w:val="22"/>
        </w:rPr>
        <w:t xml:space="preserve">.1.6.2 </w:t>
      </w:r>
      <w:r w:rsidR="000A6697" w:rsidRPr="00414E96">
        <w:rPr>
          <w:rFonts w:ascii="ITC Avant Garde" w:hAnsi="ITC Avant Garde"/>
          <w:b/>
          <w:color w:val="000000" w:themeColor="text1"/>
          <w:sz w:val="22"/>
          <w:szCs w:val="22"/>
        </w:rPr>
        <w:t>Depreciación y costos operativos.</w:t>
      </w:r>
      <w:bookmarkEnd w:id="15"/>
    </w:p>
    <w:p w14:paraId="668E26D3" w14:textId="7C3B160E" w:rsidR="004938C1" w:rsidRPr="00681CB9" w:rsidRDefault="004938C1" w:rsidP="004938C1">
      <w:pPr>
        <w:pStyle w:val="IFTnormal"/>
        <w:rPr>
          <w:color w:val="000000" w:themeColor="text1"/>
        </w:rPr>
      </w:pPr>
      <w:r w:rsidRPr="00681CB9">
        <w:rPr>
          <w:color w:val="000000" w:themeColor="text1"/>
        </w:rPr>
        <w:t xml:space="preserve">En este sentido, </w:t>
      </w:r>
      <w:r w:rsidR="00E054CA">
        <w:rPr>
          <w:color w:val="000000" w:themeColor="text1"/>
        </w:rPr>
        <w:t xml:space="preserve">se utiliza </w:t>
      </w:r>
      <w:r w:rsidRPr="00681CB9">
        <w:rPr>
          <w:color w:val="000000" w:themeColor="text1"/>
        </w:rPr>
        <w:t xml:space="preserve">una metodología de depreciación anual </w:t>
      </w:r>
      <w:r w:rsidR="00C304D1">
        <w:rPr>
          <w:color w:val="000000" w:themeColor="text1"/>
        </w:rPr>
        <w:t>traduciendo dentro del modelo</w:t>
      </w:r>
      <w:r w:rsidRPr="00681CB9">
        <w:rPr>
          <w:color w:val="000000" w:themeColor="text1"/>
        </w:rPr>
        <w:t xml:space="preserve">, los costos anuales correspondientes y </w:t>
      </w:r>
      <w:r w:rsidR="00C304D1">
        <w:rPr>
          <w:color w:val="000000" w:themeColor="text1"/>
        </w:rPr>
        <w:t>añadiendo</w:t>
      </w:r>
      <w:r w:rsidRPr="00681CB9">
        <w:rPr>
          <w:color w:val="000000" w:themeColor="text1"/>
        </w:rPr>
        <w:t xml:space="preserve"> los costos operativos asociados, para posteriormente asignar las tarifas de acuerdo al uso de los activos a cada CS.</w:t>
      </w:r>
    </w:p>
    <w:p w14:paraId="7BF0F92A" w14:textId="68608613" w:rsidR="00E35F2C" w:rsidRPr="0052083C" w:rsidRDefault="002B7596" w:rsidP="009F1CFA">
      <w:pPr>
        <w:pStyle w:val="IFTnormal"/>
        <w:rPr>
          <w:i/>
          <w:color w:val="000000" w:themeColor="text1"/>
          <w:sz w:val="18"/>
        </w:rPr>
      </w:pPr>
      <w:r>
        <w:rPr>
          <w:color w:val="000000" w:themeColor="text1"/>
        </w:rPr>
        <w:t xml:space="preserve">En el caso de los costos operativos (OPEX) </w:t>
      </w:r>
      <w:r w:rsidR="000A6697">
        <w:rPr>
          <w:color w:val="000000" w:themeColor="text1"/>
        </w:rPr>
        <w:t xml:space="preserve">los valores utilizados en el </w:t>
      </w:r>
      <w:r w:rsidR="00F7470F">
        <w:rPr>
          <w:rStyle w:val="IFTnormalCar"/>
        </w:rPr>
        <w:t>Modelo de Acceso a Torres</w:t>
      </w:r>
      <w:r w:rsidR="00E570D6">
        <w:rPr>
          <w:color w:val="000000" w:themeColor="text1"/>
        </w:rPr>
        <w:t xml:space="preserve"> se mantienen </w:t>
      </w:r>
      <w:r w:rsidR="00A10554">
        <w:rPr>
          <w:color w:val="000000" w:themeColor="text1"/>
        </w:rPr>
        <w:t>de</w:t>
      </w:r>
      <w:r w:rsidR="00E570D6">
        <w:rPr>
          <w:color w:val="000000" w:themeColor="text1"/>
        </w:rPr>
        <w:t xml:space="preserve"> las actualizaciones realizadas por el Instituto anualmente.</w:t>
      </w:r>
    </w:p>
    <w:p w14:paraId="16A482EF" w14:textId="28F415D6" w:rsidR="00E054CA" w:rsidRDefault="004938C1" w:rsidP="00930E9A">
      <w:pPr>
        <w:pStyle w:val="IFTnormal"/>
        <w:rPr>
          <w:color w:val="000000" w:themeColor="text1"/>
        </w:rPr>
      </w:pPr>
      <w:r w:rsidRPr="00681CB9">
        <w:rPr>
          <w:color w:val="000000" w:themeColor="text1"/>
        </w:rPr>
        <w:t xml:space="preserve">Para la metodología de depreciación de las inversiones, si bien el modelo puede considerar varios perfiles de depreciación, se prefija una metodología de anualidad inclinada debido a que el modelo es </w:t>
      </w:r>
      <w:proofErr w:type="spellStart"/>
      <w:r w:rsidRPr="00681CB9">
        <w:rPr>
          <w:color w:val="000000" w:themeColor="text1"/>
        </w:rPr>
        <w:t>uni-anual</w:t>
      </w:r>
      <w:proofErr w:type="spellEnd"/>
      <w:r w:rsidRPr="00681CB9">
        <w:rPr>
          <w:color w:val="000000" w:themeColor="text1"/>
        </w:rPr>
        <w:t xml:space="preserve">, por lo que su demanda no crece o decrece y es específica al año considerado. Se desarrolló de esta manera porque no se esperan </w:t>
      </w:r>
      <w:r w:rsidR="00E054CA">
        <w:rPr>
          <w:color w:val="000000" w:themeColor="text1"/>
        </w:rPr>
        <w:t xml:space="preserve">ni se han observado </w:t>
      </w:r>
      <w:r w:rsidRPr="00681CB9">
        <w:rPr>
          <w:color w:val="000000" w:themeColor="text1"/>
        </w:rPr>
        <w:t>cambios en la infraestructura de</w:t>
      </w:r>
      <w:r w:rsidR="00E054CA">
        <w:rPr>
          <w:color w:val="000000" w:themeColor="text1"/>
        </w:rPr>
        <w:t xml:space="preserve"> </w:t>
      </w:r>
      <w:r w:rsidR="00CF17F6">
        <w:rPr>
          <w:color w:val="000000" w:themeColor="text1"/>
        </w:rPr>
        <w:t>TELMEX</w:t>
      </w:r>
      <w:r w:rsidR="00E054CA">
        <w:rPr>
          <w:color w:val="000000" w:themeColor="text1"/>
        </w:rPr>
        <w:t xml:space="preserve"> y </w:t>
      </w:r>
      <w:r w:rsidR="00CF17F6">
        <w:rPr>
          <w:color w:val="000000" w:themeColor="text1"/>
        </w:rPr>
        <w:t>TELNOR</w:t>
      </w:r>
      <w:r w:rsidR="00E054CA">
        <w:rPr>
          <w:color w:val="000000" w:themeColor="text1"/>
        </w:rPr>
        <w:t xml:space="preserve"> </w:t>
      </w:r>
      <w:r w:rsidRPr="00681CB9">
        <w:rPr>
          <w:color w:val="000000" w:themeColor="text1"/>
        </w:rPr>
        <w:t xml:space="preserve">en periodos futuros. </w:t>
      </w:r>
    </w:p>
    <w:p w14:paraId="6693AF13" w14:textId="4754AE03" w:rsidR="004938C1" w:rsidRPr="00681CB9" w:rsidRDefault="004938C1" w:rsidP="00930E9A">
      <w:pPr>
        <w:pStyle w:val="IFTnormal"/>
      </w:pPr>
      <w:r w:rsidRPr="00681CB9">
        <w:rPr>
          <w:color w:val="000000" w:themeColor="text1"/>
        </w:rPr>
        <w:lastRenderedPageBreak/>
        <w:t>La anualidad inclinada conlleva un pago constante con suma fija que tiene en cuenta</w:t>
      </w:r>
      <w:r w:rsidR="00930E9A" w:rsidRPr="00681CB9">
        <w:rPr>
          <w:color w:val="000000" w:themeColor="text1"/>
        </w:rPr>
        <w:t xml:space="preserve"> e</w:t>
      </w:r>
      <w:r w:rsidRPr="00681CB9">
        <w:t xml:space="preserve">l </w:t>
      </w:r>
      <w:r w:rsidR="00930E9A" w:rsidRPr="00681CB9">
        <w:t xml:space="preserve">CCPP nominal antes de impuestos, </w:t>
      </w:r>
      <w:r w:rsidR="00930E9A" w:rsidRPr="00681CB9">
        <w:rPr>
          <w:lang w:val="es-419"/>
        </w:rPr>
        <w:t>l</w:t>
      </w:r>
      <w:r w:rsidRPr="00681CB9">
        <w:t>a vida útil de los activos</w:t>
      </w:r>
      <w:r w:rsidRPr="00681CB9">
        <w:rPr>
          <w:lang w:val="es-419"/>
        </w:rPr>
        <w:t>; y</w:t>
      </w:r>
      <w:r w:rsidR="00930E9A" w:rsidRPr="00681CB9">
        <w:rPr>
          <w:lang w:val="es-419"/>
        </w:rPr>
        <w:t xml:space="preserve"> l</w:t>
      </w:r>
      <w:r w:rsidRPr="00681CB9">
        <w:t>a tendencia de los precios asociada a cada uno de estos.</w:t>
      </w:r>
    </w:p>
    <w:p w14:paraId="4AB05E9E" w14:textId="094D5617" w:rsidR="00930E9A" w:rsidRPr="00681CB9" w:rsidRDefault="00011446" w:rsidP="00873381">
      <w:pPr>
        <w:pStyle w:val="Ttulo3"/>
        <w:spacing w:before="360" w:after="240" w:line="288" w:lineRule="auto"/>
        <w:ind w:firstLine="696"/>
        <w:jc w:val="both"/>
        <w:rPr>
          <w:rFonts w:ascii="ITC Avant Garde" w:hAnsi="ITC Avant Garde"/>
          <w:b/>
          <w:color w:val="auto"/>
          <w:sz w:val="22"/>
        </w:rPr>
      </w:pPr>
      <w:bookmarkStart w:id="16" w:name="_Toc107852342"/>
      <w:r>
        <w:rPr>
          <w:rFonts w:ascii="ITC Avant Garde" w:hAnsi="ITC Avant Garde"/>
          <w:b/>
          <w:color w:val="auto"/>
          <w:sz w:val="22"/>
        </w:rPr>
        <w:t>3</w:t>
      </w:r>
      <w:r w:rsidR="004A5E3A" w:rsidRPr="00681CB9">
        <w:rPr>
          <w:rFonts w:ascii="ITC Avant Garde" w:hAnsi="ITC Avant Garde"/>
          <w:b/>
          <w:color w:val="auto"/>
          <w:sz w:val="22"/>
        </w:rPr>
        <w:t xml:space="preserve">.1.7 </w:t>
      </w:r>
      <w:r w:rsidR="00930E9A" w:rsidRPr="00681CB9">
        <w:rPr>
          <w:rFonts w:ascii="ITC Avant Garde" w:hAnsi="ITC Avant Garde"/>
          <w:b/>
          <w:color w:val="auto"/>
          <w:sz w:val="22"/>
        </w:rPr>
        <w:t>Asignación de costos compartidos</w:t>
      </w:r>
      <w:bookmarkEnd w:id="16"/>
    </w:p>
    <w:p w14:paraId="6B2AB0C2" w14:textId="17F097A8" w:rsidR="00930E9A" w:rsidRPr="00681CB9" w:rsidRDefault="00930E9A" w:rsidP="00930E9A">
      <w:pPr>
        <w:pStyle w:val="IFTnormal"/>
      </w:pPr>
      <w:r w:rsidRPr="00681CB9">
        <w:t xml:space="preserve">En el modelo se ha considerado la asignación de costos compartidos a partir de las dimensiones de los elementos de los sitios modelados, así como de la demanda de </w:t>
      </w:r>
      <w:r w:rsidR="00CF17F6">
        <w:t>Espacio Aprobado en Torre</w:t>
      </w:r>
      <w:r w:rsidRPr="00681CB9">
        <w:t xml:space="preserve"> y</w:t>
      </w:r>
      <w:r w:rsidR="00F71A91" w:rsidRPr="00681CB9">
        <w:t xml:space="preserve"> </w:t>
      </w:r>
      <w:r w:rsidR="00CF17F6">
        <w:t>Espacio Aprobado en Piso</w:t>
      </w:r>
      <w:r w:rsidR="00F71A91" w:rsidRPr="00681CB9">
        <w:t xml:space="preserve"> (véase </w:t>
      </w:r>
      <w:r w:rsidR="00F71A91" w:rsidRPr="00506978">
        <w:t xml:space="preserve">numeral </w:t>
      </w:r>
      <w:r w:rsidR="00C304D1" w:rsidRPr="00506978">
        <w:t>3.1.</w:t>
      </w:r>
      <w:r w:rsidR="00506978" w:rsidRPr="00506978">
        <w:t>3</w:t>
      </w:r>
      <w:r w:rsidRPr="00506978">
        <w:t>).</w:t>
      </w:r>
    </w:p>
    <w:p w14:paraId="5FCBE8C1" w14:textId="47C12027" w:rsidR="00930E9A" w:rsidRPr="00681CB9" w:rsidRDefault="00011446" w:rsidP="00CD5A97">
      <w:pPr>
        <w:pStyle w:val="Ttulo3"/>
        <w:spacing w:before="360" w:after="240" w:line="288" w:lineRule="auto"/>
        <w:ind w:firstLine="696"/>
        <w:jc w:val="both"/>
        <w:rPr>
          <w:rFonts w:ascii="ITC Avant Garde" w:hAnsi="ITC Avant Garde"/>
          <w:b/>
          <w:color w:val="auto"/>
          <w:sz w:val="22"/>
        </w:rPr>
      </w:pPr>
      <w:bookmarkStart w:id="17" w:name="_Toc107852343"/>
      <w:r>
        <w:rPr>
          <w:rFonts w:ascii="ITC Avant Garde" w:hAnsi="ITC Avant Garde"/>
          <w:b/>
          <w:color w:val="auto"/>
          <w:sz w:val="22"/>
        </w:rPr>
        <w:t>3</w:t>
      </w:r>
      <w:r w:rsidR="00CD5A97" w:rsidRPr="00681CB9">
        <w:rPr>
          <w:rFonts w:ascii="ITC Avant Garde" w:hAnsi="ITC Avant Garde"/>
          <w:b/>
          <w:color w:val="auto"/>
          <w:sz w:val="22"/>
        </w:rPr>
        <w:t xml:space="preserve">.1.8 </w:t>
      </w:r>
      <w:r w:rsidR="00930E9A" w:rsidRPr="00681CB9">
        <w:rPr>
          <w:rFonts w:ascii="ITC Avant Garde" w:hAnsi="ITC Avant Garde"/>
          <w:b/>
          <w:color w:val="auto"/>
          <w:sz w:val="22"/>
        </w:rPr>
        <w:t>Asignación de costos comunes</w:t>
      </w:r>
      <w:bookmarkEnd w:id="17"/>
    </w:p>
    <w:p w14:paraId="0FAFB5DB" w14:textId="58C46D85" w:rsidR="009E1BA9" w:rsidRPr="00436F90" w:rsidRDefault="00930E9A" w:rsidP="009F1CFA">
      <w:pPr>
        <w:pStyle w:val="IFTnormal"/>
        <w:rPr>
          <w:i/>
          <w:sz w:val="18"/>
          <w:lang w:val="es-ES"/>
        </w:rPr>
      </w:pPr>
      <w:r w:rsidRPr="00681CB9">
        <w:rPr>
          <w:lang w:val="es-ES"/>
        </w:rPr>
        <w:t xml:space="preserve">La asignación de costos comunes se basa en un reparto proporcional o EPMU (del inglés, </w:t>
      </w:r>
      <w:proofErr w:type="spellStart"/>
      <w:r w:rsidRPr="00681CB9">
        <w:rPr>
          <w:i/>
          <w:lang w:val="es-ES"/>
        </w:rPr>
        <w:t>equi-proportional</w:t>
      </w:r>
      <w:proofErr w:type="spellEnd"/>
      <w:r w:rsidRPr="00681CB9">
        <w:rPr>
          <w:i/>
          <w:lang w:val="es-ES"/>
        </w:rPr>
        <w:t xml:space="preserve"> </w:t>
      </w:r>
      <w:proofErr w:type="spellStart"/>
      <w:r w:rsidRPr="00681CB9">
        <w:rPr>
          <w:i/>
          <w:lang w:val="es-ES"/>
        </w:rPr>
        <w:t>mark</w:t>
      </w:r>
      <w:proofErr w:type="spellEnd"/>
      <w:r w:rsidRPr="00681CB9">
        <w:rPr>
          <w:i/>
          <w:lang w:val="es-ES"/>
        </w:rPr>
        <w:t>-up</w:t>
      </w:r>
      <w:r w:rsidRPr="00681CB9">
        <w:rPr>
          <w:lang w:val="es-ES"/>
        </w:rPr>
        <w:t xml:space="preserve">), en el que los costos comunes se recuperan en proporción al costo asignado a los distintos servicios producidos. Su aplicación es sencilla, y resulta en un tratamiento uniforme de todos los servicios del negocio y no necesita parámetros adicionales. Es decir, </w:t>
      </w:r>
      <w:r w:rsidR="00CF17F6">
        <w:rPr>
          <w:lang w:val="es-ES"/>
        </w:rPr>
        <w:t>TELMEX</w:t>
      </w:r>
      <w:r w:rsidR="00E054CA">
        <w:rPr>
          <w:lang w:val="es-ES"/>
        </w:rPr>
        <w:t xml:space="preserve"> y </w:t>
      </w:r>
      <w:r w:rsidR="00CF17F6">
        <w:rPr>
          <w:lang w:val="es-ES"/>
        </w:rPr>
        <w:t>TELNOR</w:t>
      </w:r>
      <w:r w:rsidR="00E054CA">
        <w:rPr>
          <w:lang w:val="es-ES"/>
        </w:rPr>
        <w:t xml:space="preserve"> </w:t>
      </w:r>
      <w:r w:rsidRPr="00681CB9">
        <w:rPr>
          <w:lang w:val="es-ES"/>
        </w:rPr>
        <w:t>recupera</w:t>
      </w:r>
      <w:r w:rsidR="00E054CA">
        <w:rPr>
          <w:lang w:val="es-ES"/>
        </w:rPr>
        <w:t>n</w:t>
      </w:r>
      <w:r w:rsidRPr="00681CB9">
        <w:rPr>
          <w:lang w:val="es-ES"/>
        </w:rPr>
        <w:t xml:space="preserve"> los costo</w:t>
      </w:r>
      <w:r w:rsidR="00412A75" w:rsidRPr="00681CB9">
        <w:rPr>
          <w:lang w:val="es-ES"/>
        </w:rPr>
        <w:t xml:space="preserve">s comunes a través de un factor de 8% </w:t>
      </w:r>
      <w:r w:rsidRPr="00681CB9">
        <w:rPr>
          <w:lang w:val="es-ES"/>
        </w:rPr>
        <w:t>que se aplica de manera proporcional a los costos totales</w:t>
      </w:r>
      <w:r w:rsidR="00412A75" w:rsidRPr="00681CB9">
        <w:rPr>
          <w:lang w:val="es-ES"/>
        </w:rPr>
        <w:t xml:space="preserve">, es decir tanto a los </w:t>
      </w:r>
      <w:r w:rsidR="00401C2E" w:rsidRPr="00681CB9">
        <w:rPr>
          <w:lang w:val="es-ES"/>
        </w:rPr>
        <w:t>OPEX</w:t>
      </w:r>
      <w:r w:rsidR="00412A75" w:rsidRPr="00681CB9">
        <w:rPr>
          <w:lang w:val="es-ES"/>
        </w:rPr>
        <w:t xml:space="preserve"> que a los </w:t>
      </w:r>
      <w:r w:rsidR="00401C2E" w:rsidRPr="00681CB9">
        <w:rPr>
          <w:lang w:val="es-ES"/>
        </w:rPr>
        <w:t>CAPEX</w:t>
      </w:r>
      <w:r w:rsidRPr="00681CB9">
        <w:rPr>
          <w:lang w:val="es-ES"/>
        </w:rPr>
        <w:t>.</w:t>
      </w:r>
    </w:p>
    <w:p w14:paraId="36727C96" w14:textId="1A304B2D" w:rsidR="00A95790" w:rsidRPr="000D4FC2" w:rsidRDefault="00A95790" w:rsidP="000D4FC2">
      <w:pPr>
        <w:pStyle w:val="Ttulo3"/>
        <w:spacing w:before="360" w:after="240" w:line="288" w:lineRule="auto"/>
        <w:ind w:firstLine="696"/>
        <w:jc w:val="both"/>
        <w:rPr>
          <w:b/>
          <w:lang w:val="es-ES"/>
        </w:rPr>
      </w:pPr>
      <w:bookmarkStart w:id="18" w:name="_Toc107852344"/>
      <w:r w:rsidRPr="000D4FC2">
        <w:rPr>
          <w:rFonts w:ascii="ITC Avant Garde" w:hAnsi="ITC Avant Garde"/>
          <w:b/>
          <w:color w:val="auto"/>
          <w:sz w:val="22"/>
          <w:lang w:val="es-ES"/>
        </w:rPr>
        <w:t>3.1.9 Costo de Capital Promedio Ponderado.</w:t>
      </w:r>
      <w:bookmarkEnd w:id="18"/>
    </w:p>
    <w:p w14:paraId="1C986290" w14:textId="381245A5" w:rsidR="00A95790" w:rsidRDefault="00A95790" w:rsidP="004938C1">
      <w:pPr>
        <w:pStyle w:val="IFTnormal"/>
        <w:rPr>
          <w:lang w:val="es-ES"/>
        </w:rPr>
      </w:pPr>
      <w:r>
        <w:rPr>
          <w:lang w:val="es-ES"/>
        </w:rPr>
        <w:t>El Costo de Capital Promedio Ponderado (en lo sucesivo, “CCPP”), a partir de la mejor información disponible y autorizada por el Instituto asume un valor de 8.98% para 2023, de acuerdo con el valor autorizado en el “</w:t>
      </w:r>
      <w:r w:rsidRPr="000D4FC2">
        <w:rPr>
          <w:i/>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2022.</w:t>
      </w:r>
      <w:r>
        <w:t>”</w:t>
      </w:r>
      <w:r>
        <w:rPr>
          <w:lang w:val="es-ES"/>
        </w:rPr>
        <w:t xml:space="preserve">. </w:t>
      </w:r>
    </w:p>
    <w:p w14:paraId="004556AA" w14:textId="071B1F22" w:rsidR="00A95790" w:rsidRDefault="00A95790" w:rsidP="004938C1">
      <w:pPr>
        <w:pStyle w:val="IFTnormal"/>
        <w:rPr>
          <w:lang w:val="es-ES"/>
        </w:rPr>
      </w:pPr>
      <w:r>
        <w:rPr>
          <w:lang w:val="es-ES"/>
        </w:rPr>
        <w:t xml:space="preserve">No obstante, se destaca que dicho valor es solo una referencia hasta en tanto el Instituto autorice el CCPP correspondiente para el año 2023, tomando como fuente de actualización las condiciones técnicas mínimas de interconexión aplicables para dicho periodo. </w:t>
      </w:r>
    </w:p>
    <w:p w14:paraId="36862229" w14:textId="52D94B52" w:rsidR="00610ABD" w:rsidRDefault="00610ABD" w:rsidP="004938C1">
      <w:pPr>
        <w:pStyle w:val="IFTnormal"/>
        <w:rPr>
          <w:lang w:val="es-ES"/>
        </w:rPr>
      </w:pPr>
    </w:p>
    <w:p w14:paraId="752B6D1D" w14:textId="77777777" w:rsidR="00610ABD" w:rsidRDefault="00610ABD" w:rsidP="004938C1">
      <w:pPr>
        <w:pStyle w:val="IFTnormal"/>
        <w:rPr>
          <w:lang w:val="es-ES"/>
        </w:rPr>
      </w:pPr>
    </w:p>
    <w:p w14:paraId="05A6DF32" w14:textId="13E6590D" w:rsidR="00DC5EDF" w:rsidRPr="00681CB9" w:rsidRDefault="00DC5EDF" w:rsidP="004A101A">
      <w:pPr>
        <w:pStyle w:val="T2IFT"/>
        <w:rPr>
          <w:rFonts w:eastAsia="Times New Roman"/>
          <w:bCs/>
        </w:rPr>
      </w:pPr>
      <w:bookmarkStart w:id="19" w:name="_Toc107152630"/>
      <w:bookmarkStart w:id="20" w:name="_Toc107852345"/>
      <w:bookmarkEnd w:id="19"/>
      <w:r w:rsidRPr="00681CB9">
        <w:t xml:space="preserve">Aspectos relacionados con </w:t>
      </w:r>
      <w:r w:rsidR="00694F9F">
        <w:t>el proceso de cálculo de la</w:t>
      </w:r>
      <w:r w:rsidRPr="00681CB9">
        <w:t xml:space="preserve"> metodología del </w:t>
      </w:r>
      <w:r w:rsidR="00F7470F">
        <w:rPr>
          <w:rStyle w:val="IFTnormalCar"/>
        </w:rPr>
        <w:t>Modelo de Acceso a Torres</w:t>
      </w:r>
      <w:r w:rsidR="00694F9F">
        <w:rPr>
          <w:rStyle w:val="IFTnormalCar"/>
        </w:rPr>
        <w:t>.</w:t>
      </w:r>
      <w:bookmarkEnd w:id="20"/>
    </w:p>
    <w:p w14:paraId="6DCD3CBB" w14:textId="0682F5EB" w:rsidR="00DC5EDF" w:rsidRPr="00681CB9" w:rsidRDefault="00DC5EDF" w:rsidP="00DC5EDF">
      <w:pPr>
        <w:pStyle w:val="IFTnormal"/>
      </w:pPr>
      <w:r w:rsidRPr="00681CB9">
        <w:lastRenderedPageBreak/>
        <w:t xml:space="preserve">El </w:t>
      </w:r>
      <w:r w:rsidR="00F7470F">
        <w:rPr>
          <w:rStyle w:val="IFTnormalCar"/>
        </w:rPr>
        <w:t>Modelo de Acceso a Torres</w:t>
      </w:r>
      <w:r w:rsidR="00E054CA">
        <w:t xml:space="preserve"> </w:t>
      </w:r>
      <w:r w:rsidRPr="00681CB9">
        <w:t>consta de dos etapas metodológicas. En la primera se realiza el dimensionamiento de sitio</w:t>
      </w:r>
      <w:r w:rsidRPr="00681CB9">
        <w:rPr>
          <w:lang w:val="es-419"/>
        </w:rPr>
        <w:t>s</w:t>
      </w:r>
      <w:r w:rsidRPr="00681CB9">
        <w:t xml:space="preserve">, es decir, se representa a un sitio característico </w:t>
      </w:r>
      <w:r w:rsidR="00E054CA" w:rsidRPr="00610ABD">
        <w:t xml:space="preserve">de </w:t>
      </w:r>
      <w:r w:rsidR="00330F18" w:rsidRPr="00610ABD">
        <w:t>TELMEX y TELNOR</w:t>
      </w:r>
      <w:r w:rsidRPr="00610ABD">
        <w:t xml:space="preserve"> con infraestruct</w:t>
      </w:r>
      <w:r w:rsidRPr="00681CB9">
        <w:t>ura susceptible de ser compartida, en función de las siguientes variables:</w:t>
      </w:r>
    </w:p>
    <w:p w14:paraId="759FBB48" w14:textId="6920EE9E" w:rsidR="00DC5EDF" w:rsidRPr="00681CB9" w:rsidRDefault="00DC5EDF" w:rsidP="00DC5EDF">
      <w:pPr>
        <w:pStyle w:val="IFTnormal"/>
        <w:numPr>
          <w:ilvl w:val="0"/>
          <w:numId w:val="5"/>
        </w:numPr>
        <w:rPr>
          <w:lang w:val="es-419"/>
        </w:rPr>
      </w:pPr>
      <w:r w:rsidRPr="00681CB9">
        <w:rPr>
          <w:b/>
        </w:rPr>
        <w:t>Relativas a la torre:</w:t>
      </w:r>
      <w:r w:rsidRPr="00681CB9">
        <w:rPr>
          <w:lang w:val="es-419"/>
        </w:rPr>
        <w:t xml:space="preserve"> </w:t>
      </w:r>
      <w:r w:rsidR="00311FA9">
        <w:t>caracterización por</w:t>
      </w:r>
      <w:r w:rsidR="00311FA9" w:rsidRPr="00681CB9">
        <w:t xml:space="preserve"> </w:t>
      </w:r>
      <w:r w:rsidRPr="00681CB9">
        <w:rPr>
          <w:lang w:val="es-419"/>
        </w:rPr>
        <w:t>tipo de torre</w:t>
      </w:r>
      <w:r w:rsidRPr="00681CB9">
        <w:t xml:space="preserve"> específico presente en el sitio</w:t>
      </w:r>
      <w:r w:rsidRPr="00681CB9">
        <w:rPr>
          <w:lang w:val="es-419"/>
        </w:rPr>
        <w:t xml:space="preserve">, </w:t>
      </w:r>
      <w:r w:rsidRPr="00681CB9">
        <w:t>así como el valor de su</w:t>
      </w:r>
      <w:r w:rsidRPr="00681CB9">
        <w:rPr>
          <w:lang w:val="es-419"/>
        </w:rPr>
        <w:t xml:space="preserve"> altura</w:t>
      </w:r>
      <w:r w:rsidRPr="00681CB9">
        <w:t xml:space="preserve"> y</w:t>
      </w:r>
      <w:r w:rsidRPr="00681CB9">
        <w:rPr>
          <w:lang w:val="es-419"/>
        </w:rPr>
        <w:t xml:space="preserve"> </w:t>
      </w:r>
      <w:r w:rsidRPr="00681CB9">
        <w:t>carga</w:t>
      </w:r>
      <w:r w:rsidRPr="00681CB9">
        <w:rPr>
          <w:lang w:val="es-419"/>
        </w:rPr>
        <w:t xml:space="preserve"> </w:t>
      </w:r>
      <w:r w:rsidRPr="00681CB9">
        <w:t xml:space="preserve">máxima </w:t>
      </w:r>
      <w:r w:rsidRPr="00681CB9">
        <w:rPr>
          <w:lang w:val="es-419"/>
        </w:rPr>
        <w:t>de viento</w:t>
      </w:r>
      <w:r w:rsidR="00B9728A" w:rsidRPr="00681CB9">
        <w:t>.</w:t>
      </w:r>
    </w:p>
    <w:p w14:paraId="0BE0A1FC" w14:textId="2F6F10B8" w:rsidR="00DC5EDF" w:rsidRPr="00681CB9" w:rsidRDefault="00DC5EDF" w:rsidP="00DC5EDF">
      <w:pPr>
        <w:pStyle w:val="IFTnormal"/>
        <w:numPr>
          <w:ilvl w:val="0"/>
          <w:numId w:val="5"/>
        </w:numPr>
        <w:rPr>
          <w:lang w:val="es-419"/>
        </w:rPr>
      </w:pPr>
      <w:r w:rsidRPr="00681CB9">
        <w:rPr>
          <w:b/>
        </w:rPr>
        <w:t>Relativos al sitio:</w:t>
      </w:r>
      <w:r w:rsidRPr="00681CB9">
        <w:t xml:space="preserve"> dimensiones</w:t>
      </w:r>
      <w:r w:rsidRPr="00681CB9">
        <w:rPr>
          <w:lang w:val="es-419"/>
        </w:rPr>
        <w:t xml:space="preserve"> promedio </w:t>
      </w:r>
      <w:r w:rsidRPr="00681CB9">
        <w:t>ocupadas por un predio,</w:t>
      </w:r>
      <w:r w:rsidRPr="00681CB9">
        <w:rPr>
          <w:lang w:val="es-419"/>
        </w:rPr>
        <w:t xml:space="preserve"> </w:t>
      </w:r>
      <w:r w:rsidRPr="00681CB9">
        <w:t xml:space="preserve">así como las correspondientes a la </w:t>
      </w:r>
      <w:r w:rsidRPr="00681CB9">
        <w:rPr>
          <w:lang w:val="es-419"/>
        </w:rPr>
        <w:t>azotea</w:t>
      </w:r>
      <w:r w:rsidRPr="00681CB9">
        <w:t xml:space="preserve"> de los edificios, y el espacio de</w:t>
      </w:r>
      <w:r w:rsidRPr="00681CB9">
        <w:rPr>
          <w:lang w:val="es-419"/>
        </w:rPr>
        <w:t xml:space="preserve"> caseta</w:t>
      </w:r>
      <w:r w:rsidRPr="00681CB9">
        <w:t>.</w:t>
      </w:r>
    </w:p>
    <w:p w14:paraId="43B2F885" w14:textId="52E13D35" w:rsidR="00DC5EDF" w:rsidRPr="00681CB9" w:rsidRDefault="00DC5EDF" w:rsidP="00DC5EDF">
      <w:pPr>
        <w:pStyle w:val="IFTnormal"/>
        <w:numPr>
          <w:ilvl w:val="0"/>
          <w:numId w:val="5"/>
        </w:numPr>
        <w:rPr>
          <w:b/>
          <w:lang w:val="es-419"/>
        </w:rPr>
      </w:pPr>
      <w:r w:rsidRPr="00681CB9">
        <w:rPr>
          <w:b/>
        </w:rPr>
        <w:t xml:space="preserve">Demanda de espacio: </w:t>
      </w:r>
      <w:r w:rsidRPr="00681CB9">
        <w:t xml:space="preserve">demanda promedio de espacio vertical ocupado por </w:t>
      </w:r>
      <w:r w:rsidR="00CF17F6">
        <w:t>TELMEX</w:t>
      </w:r>
      <w:r w:rsidR="00E054CA">
        <w:t xml:space="preserve"> y </w:t>
      </w:r>
      <w:r w:rsidR="00CF17F6">
        <w:t>TELNOR</w:t>
      </w:r>
      <w:r w:rsidRPr="00681CB9">
        <w:t xml:space="preserve"> en torre.</w:t>
      </w:r>
    </w:p>
    <w:p w14:paraId="43F4D418" w14:textId="67F84A82" w:rsidR="00DC5EDF" w:rsidRPr="00681CB9" w:rsidRDefault="00DC5EDF" w:rsidP="00DC5EDF">
      <w:pPr>
        <w:pStyle w:val="IFTnormal"/>
        <w:rPr>
          <w:rFonts w:eastAsia="Times New Roman"/>
        </w:rPr>
      </w:pPr>
      <w:r w:rsidRPr="00681CB9">
        <w:t xml:space="preserve">Los parámetros anteriores se obtienen a partir de la información sobre elementos de infraestructura proporcionada por </w:t>
      </w:r>
      <w:r w:rsidR="00CF17F6">
        <w:t>TELMEX</w:t>
      </w:r>
      <w:r w:rsidR="00E054CA">
        <w:t xml:space="preserve"> y </w:t>
      </w:r>
      <w:r w:rsidR="00CF17F6">
        <w:t>TELNOR</w:t>
      </w:r>
      <w:r w:rsidRPr="00681CB9">
        <w:t xml:space="preserve">, así como reglas de dimensionamiento con base en las características de sus sitios, y </w:t>
      </w:r>
      <w:r w:rsidRPr="00681CB9">
        <w:rPr>
          <w:lang w:val="es-419"/>
        </w:rPr>
        <w:t xml:space="preserve">la </w:t>
      </w:r>
      <w:r w:rsidRPr="00681CB9">
        <w:t>ocupación</w:t>
      </w:r>
      <w:r w:rsidRPr="00681CB9">
        <w:rPr>
          <w:lang w:val="es-419"/>
        </w:rPr>
        <w:t xml:space="preserve"> actual</w:t>
      </w:r>
      <w:r w:rsidRPr="00681CB9">
        <w:t xml:space="preserve"> de los elementos involucrados. Con dicha información se calcula</w:t>
      </w:r>
      <w:r w:rsidRPr="00681CB9">
        <w:rPr>
          <w:rFonts w:eastAsia="Times New Roman"/>
        </w:rPr>
        <w:t xml:space="preserve">n las tarifas de los servicios </w:t>
      </w:r>
      <w:r w:rsidRPr="00681CB9">
        <w:t xml:space="preserve">que se prestarían en </w:t>
      </w:r>
      <w:r w:rsidRPr="00681CB9">
        <w:rPr>
          <w:lang w:val="es-419"/>
        </w:rPr>
        <w:t>cada</w:t>
      </w:r>
      <w:r w:rsidRPr="00681CB9">
        <w:t xml:space="preserve"> sitio</w:t>
      </w:r>
      <w:r w:rsidR="00A03B31">
        <w:t xml:space="preserve"> </w:t>
      </w:r>
      <w:r w:rsidRPr="00681CB9">
        <w:t>modelado</w:t>
      </w:r>
      <w:r w:rsidRPr="00681CB9">
        <w:rPr>
          <w:rFonts w:eastAsia="Times New Roman"/>
        </w:rPr>
        <w:t>.</w:t>
      </w:r>
    </w:p>
    <w:p w14:paraId="0C8A6FCC" w14:textId="271C5DCF" w:rsidR="00E054CA" w:rsidRDefault="00DC5EDF" w:rsidP="00DC5EDF">
      <w:pPr>
        <w:pStyle w:val="IFTnormal"/>
      </w:pPr>
      <w:r w:rsidRPr="00681CB9">
        <w:t>En una segunda etapa, el modelo estima tarifas relativas a</w:t>
      </w:r>
      <w:r w:rsidR="00417307" w:rsidRPr="00681CB9">
        <w:t>l</w:t>
      </w:r>
      <w:r w:rsidRPr="00681CB9">
        <w:t xml:space="preserve"> servicio </w:t>
      </w:r>
      <w:r w:rsidR="00417307" w:rsidRPr="00681CB9">
        <w:t xml:space="preserve">de acceso y uso de </w:t>
      </w:r>
      <w:r w:rsidR="00CF17F6">
        <w:t>Espacio Aprobado en Piso</w:t>
      </w:r>
      <w:r w:rsidR="00417307" w:rsidRPr="00681CB9">
        <w:t xml:space="preserve"> </w:t>
      </w:r>
      <w:r w:rsidRPr="00681CB9">
        <w:t xml:space="preserve">según cada </w:t>
      </w:r>
      <w:proofErr w:type="spellStart"/>
      <w:r w:rsidRPr="00681CB9">
        <w:t>geotipo</w:t>
      </w:r>
      <w:proofErr w:type="spellEnd"/>
      <w:r w:rsidR="00E054CA">
        <w:t>.</w:t>
      </w:r>
      <w:r w:rsidR="008F22C6">
        <w:t xml:space="preserve"> En este último punto, se propone un cambio de referencias para clasificar a los sitios conforme al </w:t>
      </w:r>
      <w:proofErr w:type="spellStart"/>
      <w:r w:rsidR="008F22C6">
        <w:t>geotipo</w:t>
      </w:r>
      <w:proofErr w:type="spellEnd"/>
      <w:r w:rsidR="008F22C6">
        <w:t xml:space="preserve">, mismo </w:t>
      </w:r>
      <w:r w:rsidR="00CC047D">
        <w:t>que</w:t>
      </w:r>
      <w:r w:rsidR="008F22C6">
        <w:t xml:space="preserve"> describe a continuación.</w:t>
      </w:r>
    </w:p>
    <w:p w14:paraId="432AEAC3" w14:textId="3B4F5470" w:rsidR="00E054CA" w:rsidRPr="00F5071E" w:rsidRDefault="00E054CA" w:rsidP="00694F9F">
      <w:pPr>
        <w:pStyle w:val="Ttulo2"/>
        <w:rPr>
          <w:b w:val="0"/>
          <w:lang w:val="es-MX"/>
        </w:rPr>
      </w:pPr>
      <w:bookmarkStart w:id="21" w:name="_Toc107852346"/>
      <w:r w:rsidRPr="00F5071E">
        <w:rPr>
          <w:rFonts w:ascii="ITC Avant Garde" w:hAnsi="ITC Avant Garde"/>
          <w:sz w:val="22"/>
          <w:szCs w:val="22"/>
          <w:lang w:val="es-MX"/>
        </w:rPr>
        <w:t xml:space="preserve">Actualización de referencias de </w:t>
      </w:r>
      <w:proofErr w:type="spellStart"/>
      <w:r w:rsidRPr="00F5071E">
        <w:rPr>
          <w:rFonts w:ascii="ITC Avant Garde" w:hAnsi="ITC Avant Garde"/>
          <w:sz w:val="22"/>
          <w:szCs w:val="22"/>
          <w:lang w:val="es-MX"/>
        </w:rPr>
        <w:t>geotipo</w:t>
      </w:r>
      <w:bookmarkEnd w:id="21"/>
      <w:proofErr w:type="spellEnd"/>
    </w:p>
    <w:p w14:paraId="61615706" w14:textId="6D672626" w:rsidR="009C6734" w:rsidRDefault="009C6734" w:rsidP="00DC5EDF">
      <w:pPr>
        <w:pStyle w:val="IFTnormal"/>
      </w:pPr>
      <w:r>
        <w:t xml:space="preserve">El </w:t>
      </w:r>
      <w:r w:rsidR="00F7470F">
        <w:rPr>
          <w:rStyle w:val="IFTnormalCar"/>
        </w:rPr>
        <w:t>Modelo de Acceso a Torres</w:t>
      </w:r>
      <w:r>
        <w:t xml:space="preserve"> estima tarifas relativas por el acceso y uso de </w:t>
      </w:r>
      <w:r w:rsidR="00CF17F6">
        <w:t>Espacio Aprobado en Piso</w:t>
      </w:r>
      <w:r>
        <w:t xml:space="preserve"> de acuerdo con la siguiente clasificación: “Alto”, “Medio Alto”, “Medio”, “Medio Bajo” y “Bajo”.</w:t>
      </w:r>
    </w:p>
    <w:p w14:paraId="1D060CF8" w14:textId="7B8D48F4" w:rsidR="002445CA" w:rsidRDefault="009C6734" w:rsidP="00DC5EDF">
      <w:pPr>
        <w:pStyle w:val="IFTnormal"/>
      </w:pPr>
      <w:r>
        <w:t xml:space="preserve">En este contexto, el conjunto de torres de </w:t>
      </w:r>
      <w:r w:rsidR="00CF17F6">
        <w:t>TELMEX</w:t>
      </w:r>
      <w:r>
        <w:t xml:space="preserve"> y </w:t>
      </w:r>
      <w:r w:rsidR="00CF17F6">
        <w:t>TELNOR</w:t>
      </w:r>
      <w:r>
        <w:t xml:space="preserve"> se agruparon a dicha clasificación a partir de la información de regiones socioeconómicas de México, elaborada por e</w:t>
      </w:r>
      <w:r w:rsidR="00417307" w:rsidRPr="00681CB9">
        <w:t>l I</w:t>
      </w:r>
      <w:r>
        <w:t xml:space="preserve">nstituto </w:t>
      </w:r>
      <w:r w:rsidR="00417307" w:rsidRPr="00681CB9">
        <w:t>N</w:t>
      </w:r>
      <w:r>
        <w:t xml:space="preserve">acional de </w:t>
      </w:r>
      <w:r w:rsidR="00417307" w:rsidRPr="00681CB9">
        <w:t>E</w:t>
      </w:r>
      <w:r>
        <w:t>stadística y Geografía</w:t>
      </w:r>
      <w:r w:rsidR="001B1CBB">
        <w:t xml:space="preserve"> a nivel AGEB</w:t>
      </w:r>
      <w:r>
        <w:t xml:space="preserve"> (“INEGI”). No obstante, a partir de que dicha referencia </w:t>
      </w:r>
      <w:r w:rsidR="008F22C6">
        <w:t>no ha tenido actualización desde 2017</w:t>
      </w:r>
      <w:r>
        <w:t xml:space="preserve">, el Instituto </w:t>
      </w:r>
      <w:r w:rsidR="002445CA">
        <w:t xml:space="preserve">hizo revisión de diversos parámetros que permitieran clasificar los sitios o emplazamientos donde se ubican las torres de </w:t>
      </w:r>
      <w:r w:rsidR="00CF17F6">
        <w:t>TELMEX</w:t>
      </w:r>
      <w:r w:rsidR="002445CA">
        <w:t xml:space="preserve"> y </w:t>
      </w:r>
      <w:r w:rsidR="00CF17F6">
        <w:t>TELNOR</w:t>
      </w:r>
      <w:r w:rsidR="002445CA">
        <w:t xml:space="preserve"> </w:t>
      </w:r>
      <w:r w:rsidR="00E208D2">
        <w:t xml:space="preserve">utilizando </w:t>
      </w:r>
      <w:r w:rsidR="002445CA">
        <w:t xml:space="preserve">un indicador </w:t>
      </w:r>
      <w:r w:rsidR="00E208D2">
        <w:t>claro,</w:t>
      </w:r>
      <w:r w:rsidR="002445CA">
        <w:t xml:space="preserve"> transparente y robust</w:t>
      </w:r>
      <w:r w:rsidR="00672FF5">
        <w:t>o</w:t>
      </w:r>
      <w:r w:rsidR="002445CA">
        <w:t xml:space="preserve">. </w:t>
      </w:r>
    </w:p>
    <w:p w14:paraId="5629B8FE" w14:textId="618F922D" w:rsidR="001B1CBB" w:rsidRDefault="002445CA" w:rsidP="00DC5EDF">
      <w:pPr>
        <w:pStyle w:val="IFTnormal"/>
      </w:pPr>
      <w:r>
        <w:lastRenderedPageBreak/>
        <w:t xml:space="preserve">A partir de </w:t>
      </w:r>
      <w:r w:rsidR="00E208D2">
        <w:t>lo anterior</w:t>
      </w:r>
      <w:r>
        <w:t xml:space="preserve"> el Instituto </w:t>
      </w:r>
      <w:r w:rsidR="009C6734">
        <w:t xml:space="preserve">consideró </w:t>
      </w:r>
      <w:r>
        <w:t xml:space="preserve">procedente utilizar el </w:t>
      </w:r>
      <w:r w:rsidR="00C7403A">
        <w:t>Í</w:t>
      </w:r>
      <w:r>
        <w:t xml:space="preserve">ndice de Marginación publicado por el </w:t>
      </w:r>
      <w:r w:rsidR="00CA3814" w:rsidRPr="00681CB9">
        <w:t>Consejo Nacional de Población</w:t>
      </w:r>
      <w:r>
        <w:t xml:space="preserve"> </w:t>
      </w:r>
      <w:r w:rsidR="00BA2F77" w:rsidRPr="00681CB9">
        <w:t>(en lo sucesivo, “CONAPO”)</w:t>
      </w:r>
      <w:r w:rsidR="00BA2F77">
        <w:t xml:space="preserve"> </w:t>
      </w:r>
      <w:r>
        <w:t>desagregado a nivel localidad</w:t>
      </w:r>
      <w:r>
        <w:rPr>
          <w:rStyle w:val="Refdenotaalpie"/>
        </w:rPr>
        <w:footnoteReference w:id="11"/>
      </w:r>
      <w:r w:rsidR="00DC5EDF" w:rsidRPr="00681CB9">
        <w:t>.</w:t>
      </w:r>
    </w:p>
    <w:p w14:paraId="12025474" w14:textId="37564FCE" w:rsidR="001B1CBB" w:rsidRDefault="001B1CBB" w:rsidP="00DC5EDF">
      <w:pPr>
        <w:pStyle w:val="IFTnormal"/>
      </w:pPr>
      <w:r>
        <w:t>En este caso, la referencia por localidad obedece</w:t>
      </w:r>
      <w:r w:rsidR="00BA2F77">
        <w:t xml:space="preserve"> a </w:t>
      </w:r>
      <w:r w:rsidR="00E208D2">
        <w:t>su</w:t>
      </w:r>
      <w:r w:rsidR="00BA2F77">
        <w:t xml:space="preserve"> transparencia y trazabilidad con base en la localización de las torres, así como de </w:t>
      </w:r>
      <w:r>
        <w:t>la disponibilidad de información, reduciendo el universo de datos sujetos de geolocalización de las torres</w:t>
      </w:r>
      <w:r w:rsidR="00163097">
        <w:t xml:space="preserve"> a partir de dicho nivel de agregación</w:t>
      </w:r>
      <w:r>
        <w:t>.</w:t>
      </w:r>
      <w:r w:rsidR="00BA2F77">
        <w:t xml:space="preserve"> </w:t>
      </w:r>
      <w:r>
        <w:t xml:space="preserve"> </w:t>
      </w:r>
    </w:p>
    <w:p w14:paraId="626F6CB0" w14:textId="65247F43" w:rsidR="003A1E6F" w:rsidRDefault="003A1E6F" w:rsidP="00DC5EDF">
      <w:pPr>
        <w:pStyle w:val="IFTnormal"/>
      </w:pPr>
      <w:r>
        <w:t>Asimismo, se destaca que dicho indicador ha sido reconocido para la localización y ubicación de zonas con cobertura social</w:t>
      </w:r>
      <w:r w:rsidR="00E208D2">
        <w:t xml:space="preserve"> por parte de la </w:t>
      </w:r>
      <w:r w:rsidR="00E208D2" w:rsidRPr="00E208D2">
        <w:t>Secretaría de Infraestructura, Comunicaciones y Transportes</w:t>
      </w:r>
      <w:r>
        <w:rPr>
          <w:rStyle w:val="Refdenotaalpie"/>
        </w:rPr>
        <w:footnoteReference w:id="12"/>
      </w:r>
      <w:r>
        <w:t xml:space="preserve">, lo cual abona en la validez de utilizar </w:t>
      </w:r>
      <w:r w:rsidR="006813CD">
        <w:t>este índice</w:t>
      </w:r>
      <w:r>
        <w:t xml:space="preserve"> para la localización de los emplazamientos, a partir de características demográficas </w:t>
      </w:r>
      <w:r w:rsidR="006813CD">
        <w:t xml:space="preserve">para favorecer </w:t>
      </w:r>
      <w:r>
        <w:t xml:space="preserve">el acceso a los servicios de telecomunicaciones. </w:t>
      </w:r>
    </w:p>
    <w:p w14:paraId="4E8D9397" w14:textId="0FF4B21E" w:rsidR="002445CA" w:rsidRDefault="002445CA" w:rsidP="00DC5EDF">
      <w:pPr>
        <w:pStyle w:val="IFTnormal"/>
      </w:pPr>
      <w:r>
        <w:t xml:space="preserve">De esta forma, la referencia de clasificación se agrupará bajo </w:t>
      </w:r>
      <w:r w:rsidR="00BA2F77">
        <w:t>las siguientes categorías</w:t>
      </w:r>
      <w:r>
        <w:t>:</w:t>
      </w:r>
    </w:p>
    <w:tbl>
      <w:tblPr>
        <w:tblStyle w:val="Tablaconcuadrcula4-nfasis5"/>
        <w:tblW w:w="8828" w:type="dxa"/>
        <w:jc w:val="center"/>
        <w:tblLook w:val="04A0" w:firstRow="1" w:lastRow="0" w:firstColumn="1" w:lastColumn="0" w:noHBand="0" w:noVBand="1"/>
      </w:tblPr>
      <w:tblGrid>
        <w:gridCol w:w="2990"/>
        <w:gridCol w:w="2919"/>
        <w:gridCol w:w="2919"/>
      </w:tblGrid>
      <w:tr w:rsidR="002445CA" w:rsidRPr="00A03B31" w14:paraId="1846CE3A" w14:textId="6B2AFF6B" w:rsidTr="00221C9C">
        <w:trPr>
          <w:cnfStyle w:val="100000000000" w:firstRow="1" w:lastRow="0" w:firstColumn="0" w:lastColumn="0" w:oddVBand="0" w:evenVBand="0" w:oddHBand="0" w:evenHBand="0" w:firstRowFirstColumn="0" w:firstRowLastColumn="0" w:lastRowFirstColumn="0" w:lastRowLastColumn="0"/>
          <w:trHeight w:val="480"/>
          <w:tblHeader/>
          <w:jc w:val="center"/>
        </w:trPr>
        <w:tc>
          <w:tcPr>
            <w:cnfStyle w:val="001000000000" w:firstRow="0" w:lastRow="0" w:firstColumn="1" w:lastColumn="0" w:oddVBand="0" w:evenVBand="0" w:oddHBand="0" w:evenHBand="0" w:firstRowFirstColumn="0" w:firstRowLastColumn="0" w:lastRowFirstColumn="0" w:lastRowLastColumn="0"/>
            <w:tcW w:w="2990" w:type="dxa"/>
            <w:vAlign w:val="center"/>
            <w:hideMark/>
          </w:tcPr>
          <w:p w14:paraId="5DDA3C43" w14:textId="0C4919AD" w:rsidR="002445CA" w:rsidRPr="00A03B31" w:rsidRDefault="002445CA" w:rsidP="00A03B31">
            <w:pPr>
              <w:jc w:val="center"/>
              <w:rPr>
                <w:rFonts w:ascii="ITC Avant Garde" w:eastAsia="Times New Roman" w:hAnsi="ITC Avant Garde" w:cs="Arial"/>
                <w:b w:val="0"/>
                <w:bCs w:val="0"/>
                <w:sz w:val="18"/>
                <w:szCs w:val="18"/>
                <w:lang w:eastAsia="es-MX"/>
              </w:rPr>
            </w:pPr>
            <w:r w:rsidRPr="00A03B31">
              <w:rPr>
                <w:rFonts w:ascii="ITC Avant Garde" w:eastAsia="Times New Roman" w:hAnsi="ITC Avant Garde" w:cs="Arial"/>
                <w:b w:val="0"/>
                <w:bCs w:val="0"/>
                <w:sz w:val="18"/>
                <w:szCs w:val="18"/>
                <w:lang w:eastAsia="es-MX"/>
              </w:rPr>
              <w:t>Clasificación</w:t>
            </w:r>
            <w:r w:rsidR="00506978">
              <w:rPr>
                <w:rFonts w:ascii="ITC Avant Garde" w:eastAsia="Times New Roman" w:hAnsi="ITC Avant Garde" w:cs="Arial"/>
                <w:b w:val="0"/>
                <w:bCs w:val="0"/>
                <w:sz w:val="18"/>
                <w:szCs w:val="18"/>
                <w:lang w:eastAsia="es-MX"/>
              </w:rPr>
              <w:t xml:space="preserve"> Actual</w:t>
            </w:r>
          </w:p>
        </w:tc>
        <w:tc>
          <w:tcPr>
            <w:tcW w:w="2919" w:type="dxa"/>
            <w:vAlign w:val="center"/>
          </w:tcPr>
          <w:p w14:paraId="1FD90FCA" w14:textId="0153D32F" w:rsidR="002445CA" w:rsidRPr="00A03B31" w:rsidRDefault="002445CA" w:rsidP="00A03B3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sz w:val="18"/>
                <w:szCs w:val="18"/>
                <w:lang w:eastAsia="es-MX"/>
              </w:rPr>
            </w:pPr>
            <w:r w:rsidRPr="00A03B31">
              <w:rPr>
                <w:rFonts w:ascii="ITC Avant Garde" w:eastAsia="Times New Roman" w:hAnsi="ITC Avant Garde" w:cs="Arial"/>
                <w:b w:val="0"/>
                <w:bCs w:val="0"/>
                <w:sz w:val="18"/>
                <w:szCs w:val="18"/>
                <w:lang w:eastAsia="es-MX"/>
              </w:rPr>
              <w:t>Estrato socioeconómico (INEGI)*/</w:t>
            </w:r>
          </w:p>
        </w:tc>
        <w:tc>
          <w:tcPr>
            <w:tcW w:w="2919" w:type="dxa"/>
            <w:vAlign w:val="center"/>
          </w:tcPr>
          <w:p w14:paraId="2897C876" w14:textId="77777777" w:rsidR="00506978" w:rsidRDefault="002445CA" w:rsidP="00A03B3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eastAsia="es-MX"/>
              </w:rPr>
            </w:pPr>
            <w:r w:rsidRPr="00A03B31">
              <w:rPr>
                <w:rFonts w:ascii="ITC Avant Garde" w:eastAsia="Times New Roman" w:hAnsi="ITC Avant Garde" w:cs="Arial"/>
                <w:b w:val="0"/>
                <w:bCs w:val="0"/>
                <w:sz w:val="18"/>
                <w:szCs w:val="18"/>
                <w:lang w:eastAsia="es-MX"/>
              </w:rPr>
              <w:t xml:space="preserve">Índice de Marginación (CONAPO) </w:t>
            </w:r>
          </w:p>
          <w:p w14:paraId="6B95A2C8" w14:textId="584AD7F8" w:rsidR="002445CA" w:rsidRPr="00694F9F" w:rsidRDefault="00506978" w:rsidP="00A03B31">
            <w:pPr>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sz w:val="18"/>
                <w:szCs w:val="18"/>
                <w:lang w:eastAsia="es-MX"/>
              </w:rPr>
            </w:pPr>
            <w:r w:rsidRPr="00694F9F">
              <w:rPr>
                <w:rFonts w:ascii="ITC Avant Garde" w:eastAsia="Times New Roman" w:hAnsi="ITC Avant Garde" w:cs="Arial"/>
                <w:b w:val="0"/>
                <w:bCs w:val="0"/>
                <w:sz w:val="18"/>
                <w:szCs w:val="18"/>
                <w:lang w:eastAsia="es-MX"/>
              </w:rPr>
              <w:t xml:space="preserve">Para </w:t>
            </w:r>
            <w:r w:rsidR="00F7470F" w:rsidRPr="00694F9F">
              <w:rPr>
                <w:rStyle w:val="IFTnormalCar"/>
                <w:b w:val="0"/>
                <w:sz w:val="18"/>
                <w:szCs w:val="18"/>
              </w:rPr>
              <w:t>Modelo de Acceso a Torres</w:t>
            </w:r>
            <w:r w:rsidR="002445CA" w:rsidRPr="00694F9F">
              <w:rPr>
                <w:rFonts w:ascii="ITC Avant Garde" w:eastAsia="Times New Roman" w:hAnsi="ITC Avant Garde" w:cs="Arial"/>
                <w:b w:val="0"/>
                <w:bCs w:val="0"/>
                <w:sz w:val="18"/>
                <w:szCs w:val="18"/>
                <w:lang w:eastAsia="es-MX"/>
              </w:rPr>
              <w:t xml:space="preserve"> 2023</w:t>
            </w:r>
          </w:p>
        </w:tc>
      </w:tr>
      <w:tr w:rsidR="002445CA" w:rsidRPr="00A03B31" w14:paraId="2A04B526" w14:textId="5E4DA54E" w:rsidTr="00A03B3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990" w:type="dxa"/>
            <w:vAlign w:val="center"/>
            <w:hideMark/>
          </w:tcPr>
          <w:p w14:paraId="6F625285" w14:textId="60D68C15" w:rsidR="002445CA" w:rsidRPr="00A03B31" w:rsidRDefault="002445CA" w:rsidP="00A03B31">
            <w:pPr>
              <w:jc w:val="center"/>
              <w:rPr>
                <w:rFonts w:ascii="ITC Avant Garde" w:eastAsia="Times New Roman" w:hAnsi="ITC Avant Garde" w:cs="Arial"/>
                <w:b w:val="0"/>
                <w:sz w:val="18"/>
                <w:szCs w:val="18"/>
                <w:lang w:eastAsia="es-MX"/>
              </w:rPr>
            </w:pPr>
            <w:r w:rsidRPr="00A03B31">
              <w:rPr>
                <w:rFonts w:ascii="ITC Avant Garde" w:eastAsia="Times New Roman" w:hAnsi="ITC Avant Garde" w:cs="Arial"/>
                <w:b w:val="0"/>
                <w:sz w:val="18"/>
                <w:szCs w:val="18"/>
                <w:lang w:eastAsia="es-MX"/>
              </w:rPr>
              <w:t>Alto</w:t>
            </w:r>
          </w:p>
        </w:tc>
        <w:tc>
          <w:tcPr>
            <w:tcW w:w="2919" w:type="dxa"/>
            <w:vAlign w:val="center"/>
          </w:tcPr>
          <w:p w14:paraId="55424188" w14:textId="20BB29DE" w:rsidR="002445CA" w:rsidRPr="00A03B31" w:rsidRDefault="002445CA" w:rsidP="00A03B3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7</w:t>
            </w:r>
          </w:p>
        </w:tc>
        <w:tc>
          <w:tcPr>
            <w:tcW w:w="2919" w:type="dxa"/>
            <w:vAlign w:val="center"/>
          </w:tcPr>
          <w:p w14:paraId="63CB989F" w14:textId="17307A48" w:rsidR="002445CA" w:rsidRPr="00A03B31" w:rsidRDefault="002445CA" w:rsidP="00A03B3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Muy bajo</w:t>
            </w:r>
          </w:p>
        </w:tc>
      </w:tr>
      <w:tr w:rsidR="002445CA" w:rsidRPr="00A03B31" w14:paraId="31A3C0F6" w14:textId="739FEB2A" w:rsidTr="00A03B31">
        <w:trPr>
          <w:trHeight w:val="230"/>
          <w:jc w:val="center"/>
        </w:trPr>
        <w:tc>
          <w:tcPr>
            <w:cnfStyle w:val="001000000000" w:firstRow="0" w:lastRow="0" w:firstColumn="1" w:lastColumn="0" w:oddVBand="0" w:evenVBand="0" w:oddHBand="0" w:evenHBand="0" w:firstRowFirstColumn="0" w:firstRowLastColumn="0" w:lastRowFirstColumn="0" w:lastRowLastColumn="0"/>
            <w:tcW w:w="2990" w:type="dxa"/>
            <w:vAlign w:val="center"/>
            <w:hideMark/>
          </w:tcPr>
          <w:p w14:paraId="11A63DF6" w14:textId="77777777" w:rsidR="002445CA" w:rsidRPr="00A03B31" w:rsidRDefault="002445CA" w:rsidP="00A03B31">
            <w:pPr>
              <w:jc w:val="center"/>
              <w:rPr>
                <w:rFonts w:ascii="ITC Avant Garde" w:eastAsia="Times New Roman" w:hAnsi="ITC Avant Garde" w:cs="Arial"/>
                <w:b w:val="0"/>
                <w:sz w:val="18"/>
                <w:szCs w:val="18"/>
                <w:lang w:eastAsia="es-MX"/>
              </w:rPr>
            </w:pPr>
            <w:r w:rsidRPr="00A03B31">
              <w:rPr>
                <w:rFonts w:ascii="ITC Avant Garde" w:eastAsia="Times New Roman" w:hAnsi="ITC Avant Garde" w:cs="Arial"/>
                <w:b w:val="0"/>
                <w:sz w:val="18"/>
                <w:szCs w:val="18"/>
                <w:lang w:eastAsia="es-MX"/>
              </w:rPr>
              <w:t>Medio Alto</w:t>
            </w:r>
          </w:p>
        </w:tc>
        <w:tc>
          <w:tcPr>
            <w:tcW w:w="2919" w:type="dxa"/>
            <w:vAlign w:val="center"/>
          </w:tcPr>
          <w:p w14:paraId="78182B48" w14:textId="4741FCC8" w:rsidR="002445CA" w:rsidRPr="00A03B31" w:rsidRDefault="002445CA" w:rsidP="00A03B3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6</w:t>
            </w:r>
          </w:p>
        </w:tc>
        <w:tc>
          <w:tcPr>
            <w:tcW w:w="2919" w:type="dxa"/>
            <w:vAlign w:val="center"/>
          </w:tcPr>
          <w:p w14:paraId="590D9986" w14:textId="492D49E2" w:rsidR="002445CA" w:rsidRPr="00A03B31" w:rsidRDefault="002445CA" w:rsidP="00A03B3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Bajo</w:t>
            </w:r>
          </w:p>
        </w:tc>
      </w:tr>
      <w:tr w:rsidR="002445CA" w:rsidRPr="00A03B31" w14:paraId="7BDF3B14" w14:textId="4CC75BF8" w:rsidTr="00A03B31">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2990" w:type="dxa"/>
            <w:vAlign w:val="center"/>
            <w:hideMark/>
          </w:tcPr>
          <w:p w14:paraId="722E78DA" w14:textId="6AED2A36" w:rsidR="002445CA" w:rsidRPr="00A03B31" w:rsidRDefault="002445CA" w:rsidP="00A03B31">
            <w:pPr>
              <w:jc w:val="center"/>
              <w:rPr>
                <w:rFonts w:ascii="ITC Avant Garde" w:eastAsia="Times New Roman" w:hAnsi="ITC Avant Garde" w:cs="Arial"/>
                <w:b w:val="0"/>
                <w:sz w:val="18"/>
                <w:szCs w:val="18"/>
                <w:lang w:eastAsia="es-MX"/>
              </w:rPr>
            </w:pPr>
            <w:r w:rsidRPr="00A03B31">
              <w:rPr>
                <w:rFonts w:ascii="ITC Avant Garde" w:eastAsia="Times New Roman" w:hAnsi="ITC Avant Garde" w:cs="Arial"/>
                <w:b w:val="0"/>
                <w:sz w:val="18"/>
                <w:szCs w:val="18"/>
                <w:lang w:eastAsia="es-MX"/>
              </w:rPr>
              <w:t>Medio</w:t>
            </w:r>
          </w:p>
        </w:tc>
        <w:tc>
          <w:tcPr>
            <w:tcW w:w="2919" w:type="dxa"/>
            <w:vAlign w:val="center"/>
          </w:tcPr>
          <w:p w14:paraId="6717D1C7" w14:textId="498B5FA8" w:rsidR="002445CA" w:rsidRPr="00A03B31" w:rsidRDefault="002445CA" w:rsidP="00A03B3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5</w:t>
            </w:r>
          </w:p>
        </w:tc>
        <w:tc>
          <w:tcPr>
            <w:tcW w:w="2919" w:type="dxa"/>
            <w:vAlign w:val="center"/>
          </w:tcPr>
          <w:p w14:paraId="172021EC" w14:textId="38237B04" w:rsidR="002445CA" w:rsidRPr="00A03B31" w:rsidRDefault="002445CA" w:rsidP="00A03B3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Medio</w:t>
            </w:r>
          </w:p>
        </w:tc>
      </w:tr>
      <w:tr w:rsidR="002445CA" w:rsidRPr="00A03B31" w14:paraId="6374DC2B" w14:textId="3B33FAD2" w:rsidTr="00A03B31">
        <w:trPr>
          <w:trHeight w:val="230"/>
          <w:jc w:val="center"/>
        </w:trPr>
        <w:tc>
          <w:tcPr>
            <w:cnfStyle w:val="001000000000" w:firstRow="0" w:lastRow="0" w:firstColumn="1" w:lastColumn="0" w:oddVBand="0" w:evenVBand="0" w:oddHBand="0" w:evenHBand="0" w:firstRowFirstColumn="0" w:firstRowLastColumn="0" w:lastRowFirstColumn="0" w:lastRowLastColumn="0"/>
            <w:tcW w:w="2990" w:type="dxa"/>
            <w:vAlign w:val="center"/>
            <w:hideMark/>
          </w:tcPr>
          <w:p w14:paraId="3DEA6015" w14:textId="5119BB1A" w:rsidR="002445CA" w:rsidRPr="00A03B31" w:rsidRDefault="002445CA" w:rsidP="00A03B31">
            <w:pPr>
              <w:jc w:val="center"/>
              <w:rPr>
                <w:rFonts w:ascii="ITC Avant Garde" w:eastAsia="Times New Roman" w:hAnsi="ITC Avant Garde" w:cs="Arial"/>
                <w:b w:val="0"/>
                <w:sz w:val="18"/>
                <w:szCs w:val="18"/>
                <w:lang w:eastAsia="es-MX"/>
              </w:rPr>
            </w:pPr>
            <w:r w:rsidRPr="00A03B31">
              <w:rPr>
                <w:rFonts w:ascii="ITC Avant Garde" w:eastAsia="Times New Roman" w:hAnsi="ITC Avant Garde" w:cs="Arial"/>
                <w:b w:val="0"/>
                <w:sz w:val="18"/>
                <w:szCs w:val="18"/>
                <w:lang w:eastAsia="es-MX"/>
              </w:rPr>
              <w:t>Medio Bajo</w:t>
            </w:r>
          </w:p>
        </w:tc>
        <w:tc>
          <w:tcPr>
            <w:tcW w:w="2919" w:type="dxa"/>
            <w:vAlign w:val="center"/>
          </w:tcPr>
          <w:p w14:paraId="01D06755" w14:textId="02E18DD8" w:rsidR="002445CA" w:rsidRPr="00A03B31" w:rsidRDefault="002445CA" w:rsidP="00A03B3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4</w:t>
            </w:r>
          </w:p>
        </w:tc>
        <w:tc>
          <w:tcPr>
            <w:tcW w:w="2919" w:type="dxa"/>
            <w:vAlign w:val="center"/>
          </w:tcPr>
          <w:p w14:paraId="542A2E9E" w14:textId="53098C9D" w:rsidR="002445CA" w:rsidRPr="00A03B31" w:rsidRDefault="002445CA" w:rsidP="00A03B31">
            <w:pPr>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Alto</w:t>
            </w:r>
          </w:p>
        </w:tc>
      </w:tr>
      <w:tr w:rsidR="002445CA" w:rsidRPr="00A03B31" w14:paraId="540166E7" w14:textId="082894B6" w:rsidTr="00A03B31">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990" w:type="dxa"/>
            <w:vAlign w:val="center"/>
            <w:hideMark/>
          </w:tcPr>
          <w:p w14:paraId="152F55F5" w14:textId="77777777" w:rsidR="002445CA" w:rsidRPr="00A03B31" w:rsidRDefault="002445CA" w:rsidP="00A03B31">
            <w:pPr>
              <w:jc w:val="center"/>
              <w:rPr>
                <w:rFonts w:ascii="ITC Avant Garde" w:eastAsia="Times New Roman" w:hAnsi="ITC Avant Garde" w:cs="Arial"/>
                <w:b w:val="0"/>
                <w:sz w:val="18"/>
                <w:szCs w:val="18"/>
                <w:lang w:eastAsia="es-MX"/>
              </w:rPr>
            </w:pPr>
            <w:r w:rsidRPr="00A03B31">
              <w:rPr>
                <w:rFonts w:ascii="ITC Avant Garde" w:eastAsia="Times New Roman" w:hAnsi="ITC Avant Garde" w:cs="Arial"/>
                <w:b w:val="0"/>
                <w:sz w:val="18"/>
                <w:szCs w:val="18"/>
                <w:lang w:eastAsia="es-MX"/>
              </w:rPr>
              <w:t>Bajo</w:t>
            </w:r>
          </w:p>
        </w:tc>
        <w:tc>
          <w:tcPr>
            <w:tcW w:w="2919" w:type="dxa"/>
            <w:vAlign w:val="center"/>
          </w:tcPr>
          <w:p w14:paraId="43331317" w14:textId="539D60E7" w:rsidR="002445CA" w:rsidRPr="00A03B31" w:rsidRDefault="002445CA" w:rsidP="00A03B3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1, 2, 3</w:t>
            </w:r>
          </w:p>
        </w:tc>
        <w:tc>
          <w:tcPr>
            <w:tcW w:w="2919" w:type="dxa"/>
            <w:vAlign w:val="center"/>
          </w:tcPr>
          <w:p w14:paraId="17DDBC3F" w14:textId="56F54791" w:rsidR="002445CA" w:rsidRPr="00A03B31" w:rsidRDefault="002445CA" w:rsidP="00A03B31">
            <w:pPr>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Cs/>
                <w:sz w:val="18"/>
                <w:szCs w:val="18"/>
                <w:lang w:eastAsia="es-MX"/>
              </w:rPr>
            </w:pPr>
            <w:r w:rsidRPr="00A03B31">
              <w:rPr>
                <w:rFonts w:ascii="ITC Avant Garde" w:eastAsia="Times New Roman" w:hAnsi="ITC Avant Garde" w:cs="Arial"/>
                <w:bCs/>
                <w:sz w:val="18"/>
                <w:szCs w:val="18"/>
                <w:lang w:eastAsia="es-MX"/>
              </w:rPr>
              <w:t>Muy Alto</w:t>
            </w:r>
          </w:p>
        </w:tc>
      </w:tr>
    </w:tbl>
    <w:p w14:paraId="4F9C1881" w14:textId="63474BD1" w:rsidR="00864436" w:rsidRDefault="001B1CBB" w:rsidP="00864436">
      <w:pPr>
        <w:pStyle w:val="IFTnormal"/>
        <w:jc w:val="center"/>
        <w:rPr>
          <w:i/>
          <w:sz w:val="18"/>
        </w:rPr>
      </w:pPr>
      <w:r w:rsidRPr="00D90C03">
        <w:rPr>
          <w:b/>
          <w:sz w:val="18"/>
        </w:rPr>
        <w:t xml:space="preserve">Cuadro </w:t>
      </w:r>
      <w:r w:rsidR="00BC494B">
        <w:rPr>
          <w:b/>
          <w:sz w:val="18"/>
        </w:rPr>
        <w:t>5</w:t>
      </w:r>
      <w:r w:rsidRPr="00D90C03">
        <w:rPr>
          <w:b/>
          <w:sz w:val="18"/>
        </w:rPr>
        <w:t>:</w:t>
      </w:r>
      <w:r w:rsidR="00B01F23">
        <w:rPr>
          <w:b/>
          <w:i/>
          <w:sz w:val="18"/>
        </w:rPr>
        <w:t xml:space="preserve"> </w:t>
      </w:r>
      <w:r w:rsidR="00B01F23">
        <w:rPr>
          <w:i/>
          <w:sz w:val="18"/>
        </w:rPr>
        <w:t>Clasificación del Índice de Marginación con su correspondencia en Estrato socioeconómico, INEGI</w:t>
      </w:r>
      <w:r w:rsidR="00506978">
        <w:rPr>
          <w:i/>
          <w:sz w:val="18"/>
        </w:rPr>
        <w:t>.</w:t>
      </w:r>
    </w:p>
    <w:p w14:paraId="1A634083" w14:textId="21B8F502" w:rsidR="002445CA" w:rsidRPr="00864436" w:rsidRDefault="002445CA" w:rsidP="00864436">
      <w:pPr>
        <w:pStyle w:val="IFTnormal"/>
        <w:jc w:val="center"/>
        <w:rPr>
          <w:i/>
          <w:sz w:val="18"/>
        </w:rPr>
      </w:pPr>
      <w:r w:rsidRPr="00715852">
        <w:rPr>
          <w:sz w:val="18"/>
        </w:rPr>
        <w:t>*/ Valore</w:t>
      </w:r>
      <w:r w:rsidR="00D90C03" w:rsidRPr="00715852">
        <w:rPr>
          <w:sz w:val="18"/>
        </w:rPr>
        <w:t>s</w:t>
      </w:r>
      <w:r w:rsidRPr="00715852">
        <w:rPr>
          <w:sz w:val="18"/>
        </w:rPr>
        <w:t xml:space="preserve"> numéricos de acuerdo a la clasificación de estratos socioeconómicos INEGI.</w:t>
      </w:r>
    </w:p>
    <w:p w14:paraId="18D998B4" w14:textId="77777777" w:rsidR="00864436" w:rsidRPr="00715852" w:rsidRDefault="00864436" w:rsidP="00DC5EDF">
      <w:pPr>
        <w:pStyle w:val="IFTnormal"/>
        <w:rPr>
          <w:sz w:val="18"/>
        </w:rPr>
      </w:pPr>
    </w:p>
    <w:p w14:paraId="72791CBB" w14:textId="2CEBA7C9" w:rsidR="001B1CBB" w:rsidRPr="00852698" w:rsidRDefault="001B1CBB" w:rsidP="00DC5EDF">
      <w:pPr>
        <w:pStyle w:val="IFTnormal"/>
      </w:pPr>
      <w:r>
        <w:rPr>
          <w:noProof/>
        </w:rPr>
        <w:lastRenderedPageBreak/>
        <w:drawing>
          <wp:anchor distT="0" distB="0" distL="114300" distR="114300" simplePos="0" relativeHeight="251658240" behindDoc="0" locked="0" layoutInCell="1" allowOverlap="1" wp14:anchorId="072364F4" wp14:editId="0FE69175">
            <wp:simplePos x="0" y="0"/>
            <wp:positionH relativeFrom="margin">
              <wp:posOffset>224790</wp:posOffset>
            </wp:positionH>
            <wp:positionV relativeFrom="paragraph">
              <wp:posOffset>2757805</wp:posOffset>
            </wp:positionV>
            <wp:extent cx="1259986" cy="647700"/>
            <wp:effectExtent l="0" t="0" r="0" b="0"/>
            <wp:wrapNone/>
            <wp:docPr id="10" name="Imagen 9">
              <a:extLst xmlns:a="http://schemas.openxmlformats.org/drawingml/2006/main">
                <a:ext uri="{FF2B5EF4-FFF2-40B4-BE49-F238E27FC236}">
                  <a16:creationId xmlns:a16="http://schemas.microsoft.com/office/drawing/2014/main" id="{0FE6433A-8DC0-439D-AC34-2126417F8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0FE6433A-8DC0-439D-AC34-2126417F8B1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59986"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AD67773" wp14:editId="1A749926">
            <wp:extent cx="5550195" cy="3624770"/>
            <wp:effectExtent l="0" t="0" r="0" b="0"/>
            <wp:docPr id="8" name="Imagen 7">
              <a:extLst xmlns:a="http://schemas.openxmlformats.org/drawingml/2006/main">
                <a:ext uri="{FF2B5EF4-FFF2-40B4-BE49-F238E27FC236}">
                  <a16:creationId xmlns:a16="http://schemas.microsoft.com/office/drawing/2014/main" id="{8DE735FD-4C5A-4D62-9D43-DAA8F7ADB2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8DE735FD-4C5A-4D62-9D43-DAA8F7ADB266}"/>
                        </a:ext>
                      </a:extLst>
                    </pic:cNvPr>
                    <pic:cNvPicPr>
                      <a:picLocks noChangeAspect="1"/>
                    </pic:cNvPicPr>
                  </pic:nvPicPr>
                  <pic:blipFill>
                    <a:blip r:embed="rId11"/>
                    <a:stretch>
                      <a:fillRect/>
                    </a:stretch>
                  </pic:blipFill>
                  <pic:spPr>
                    <a:xfrm>
                      <a:off x="0" y="0"/>
                      <a:ext cx="5558989" cy="3630514"/>
                    </a:xfrm>
                    <a:prstGeom prst="rect">
                      <a:avLst/>
                    </a:prstGeom>
                  </pic:spPr>
                </pic:pic>
              </a:graphicData>
            </a:graphic>
          </wp:inline>
        </w:drawing>
      </w:r>
      <w:r w:rsidRPr="00852698">
        <w:rPr>
          <w:b/>
          <w:sz w:val="18"/>
        </w:rPr>
        <w:t xml:space="preserve">Figura </w:t>
      </w:r>
      <w:r w:rsidR="00852698" w:rsidRPr="00852698">
        <w:rPr>
          <w:b/>
          <w:sz w:val="18"/>
        </w:rPr>
        <w:t>2</w:t>
      </w:r>
      <w:r w:rsidRPr="00852698">
        <w:rPr>
          <w:b/>
          <w:sz w:val="18"/>
        </w:rPr>
        <w:t>:</w:t>
      </w:r>
      <w:r w:rsidRPr="00852698">
        <w:rPr>
          <w:sz w:val="18"/>
        </w:rPr>
        <w:t xml:space="preserve"> </w:t>
      </w:r>
      <w:r w:rsidRPr="00864436">
        <w:rPr>
          <w:i/>
          <w:sz w:val="18"/>
        </w:rPr>
        <w:t xml:space="preserve">Mapa de clasificación de torres </w:t>
      </w:r>
      <w:r w:rsidR="00BA2F77" w:rsidRPr="00864436">
        <w:rPr>
          <w:i/>
          <w:sz w:val="18"/>
        </w:rPr>
        <w:t xml:space="preserve">de </w:t>
      </w:r>
      <w:r w:rsidR="00CF17F6">
        <w:rPr>
          <w:i/>
          <w:sz w:val="18"/>
        </w:rPr>
        <w:t>TELMEX</w:t>
      </w:r>
      <w:r w:rsidR="00BA2F77" w:rsidRPr="00864436">
        <w:rPr>
          <w:i/>
          <w:sz w:val="18"/>
        </w:rPr>
        <w:t xml:space="preserve"> y </w:t>
      </w:r>
      <w:r w:rsidR="00CF17F6">
        <w:rPr>
          <w:i/>
          <w:sz w:val="18"/>
        </w:rPr>
        <w:t>TELNOR</w:t>
      </w:r>
      <w:r w:rsidR="00BA2F77" w:rsidRPr="00864436">
        <w:rPr>
          <w:i/>
          <w:sz w:val="18"/>
        </w:rPr>
        <w:t xml:space="preserve"> a partir del Índice de Marginación publicado por CONAPO.</w:t>
      </w:r>
    </w:p>
    <w:p w14:paraId="22796507" w14:textId="78CE5C62" w:rsidR="00DC5EDF" w:rsidRPr="00681CB9" w:rsidRDefault="007E1153" w:rsidP="00DC5EDF">
      <w:pPr>
        <w:pStyle w:val="IFTnormal"/>
      </w:pPr>
      <w:r>
        <w:t>Por otra parte, se considera también que t</w:t>
      </w:r>
      <w:r w:rsidR="00D808B8" w:rsidRPr="00681CB9">
        <w:t xml:space="preserve">anto en el cálculo de las tarifas para los servicios de acceso y uso de </w:t>
      </w:r>
      <w:r w:rsidR="00CF17F6">
        <w:t>Espacio Aprobado en Piso</w:t>
      </w:r>
      <w:r w:rsidR="00D808B8" w:rsidRPr="00681CB9">
        <w:t xml:space="preserve"> y servicio de </w:t>
      </w:r>
      <w:r w:rsidR="00CF17F6">
        <w:t>Espacio Aprobado en Torre</w:t>
      </w:r>
      <w:r w:rsidR="001B1CBB" w:rsidRPr="00681CB9">
        <w:t xml:space="preserve"> </w:t>
      </w:r>
      <w:r w:rsidR="00D808B8" w:rsidRPr="00681CB9">
        <w:t xml:space="preserve">interviene la distribución de torres </w:t>
      </w:r>
      <w:r w:rsidR="001B1CBB">
        <w:t xml:space="preserve">de </w:t>
      </w:r>
      <w:r w:rsidR="00CF17F6">
        <w:t>TELMEX</w:t>
      </w:r>
      <w:r w:rsidR="001B1CBB">
        <w:t xml:space="preserve"> y </w:t>
      </w:r>
      <w:r w:rsidR="00CF17F6">
        <w:t>TELNOR</w:t>
      </w:r>
      <w:r w:rsidR="00D808B8" w:rsidRPr="00681CB9">
        <w:t xml:space="preserve"> para que los costos de</w:t>
      </w:r>
      <w:r w:rsidR="00F71A91" w:rsidRPr="00681CB9">
        <w:t xml:space="preserve"> las torres más representativas </w:t>
      </w:r>
      <w:r>
        <w:t xml:space="preserve">del nivel </w:t>
      </w:r>
      <w:proofErr w:type="gramStart"/>
      <w:r>
        <w:t xml:space="preserve">de </w:t>
      </w:r>
      <w:r w:rsidR="00F71A91" w:rsidRPr="00681CB9">
        <w:t xml:space="preserve"> tarifas</w:t>
      </w:r>
      <w:proofErr w:type="gramEnd"/>
      <w:r>
        <w:t xml:space="preserve"> mayoristas aplicables, de manera que actualizó dicha distribución a partir de la información proporcionada por dichos concesionarios</w:t>
      </w:r>
      <w:r w:rsidR="00D808B8" w:rsidRPr="00681CB9">
        <w:t xml:space="preserve">. </w:t>
      </w:r>
    </w:p>
    <w:p w14:paraId="26257BE3" w14:textId="10CE0AAA" w:rsidR="00DC5EDF" w:rsidRDefault="00D808B8" w:rsidP="00DC5EDF">
      <w:pPr>
        <w:pStyle w:val="IFTnormal"/>
      </w:pPr>
      <w:r w:rsidRPr="00681CB9">
        <w:t>A continuación, se presenta</w:t>
      </w:r>
      <w:r w:rsidR="00DC5EDF" w:rsidRPr="00681CB9">
        <w:t xml:space="preserve"> con mayor detalle el proceso de cálculo de las tarifas de </w:t>
      </w:r>
      <w:r w:rsidR="00CF17F6">
        <w:t>Espacio Aprobado en Torre</w:t>
      </w:r>
      <w:r w:rsidR="00DC5EDF" w:rsidRPr="00681CB9">
        <w:t xml:space="preserve"> y </w:t>
      </w:r>
      <w:r w:rsidR="00CF17F6">
        <w:t>Espacio Aprobado en Piso</w:t>
      </w:r>
      <w:r w:rsidR="00DC5EDF" w:rsidRPr="00681CB9">
        <w:t xml:space="preserve"> generadas por el </w:t>
      </w:r>
      <w:r w:rsidR="00F7470F">
        <w:rPr>
          <w:rStyle w:val="IFTnormalCar"/>
        </w:rPr>
        <w:t>Modelo de Acceso a Torres</w:t>
      </w:r>
      <w:r w:rsidR="00DC5EDF" w:rsidRPr="00681CB9">
        <w:t>.</w:t>
      </w:r>
    </w:p>
    <w:p w14:paraId="4B7BCFAF" w14:textId="67DB41B1" w:rsidR="00610ABD" w:rsidRDefault="00610ABD" w:rsidP="00DC5EDF">
      <w:pPr>
        <w:pStyle w:val="IFTnormal"/>
      </w:pPr>
    </w:p>
    <w:p w14:paraId="61740A53" w14:textId="745870FD" w:rsidR="00610ABD" w:rsidRDefault="00610ABD" w:rsidP="00DC5EDF">
      <w:pPr>
        <w:pStyle w:val="IFTnormal"/>
      </w:pPr>
    </w:p>
    <w:p w14:paraId="7FF38607" w14:textId="02A23997" w:rsidR="00610ABD" w:rsidRDefault="00610ABD" w:rsidP="00DC5EDF">
      <w:pPr>
        <w:pStyle w:val="IFTnormal"/>
      </w:pPr>
    </w:p>
    <w:p w14:paraId="24880E94" w14:textId="77777777" w:rsidR="00610ABD" w:rsidRPr="00681CB9" w:rsidRDefault="00610ABD" w:rsidP="00DC5EDF">
      <w:pPr>
        <w:pStyle w:val="IFTnormal"/>
      </w:pPr>
    </w:p>
    <w:p w14:paraId="070E6BBD" w14:textId="66159760" w:rsidR="0099731C" w:rsidRPr="00852698" w:rsidRDefault="00011446" w:rsidP="00CA3814">
      <w:pPr>
        <w:pStyle w:val="Ttulo2"/>
        <w:ind w:left="360"/>
        <w:rPr>
          <w:rFonts w:ascii="ITC Avant Garde" w:hAnsi="ITC Avant Garde"/>
          <w:lang w:val="es-MX"/>
        </w:rPr>
      </w:pPr>
      <w:bookmarkStart w:id="22" w:name="_Toc107852347"/>
      <w:r>
        <w:rPr>
          <w:rFonts w:ascii="ITC Avant Garde" w:hAnsi="ITC Avant Garde"/>
          <w:lang w:val="es-MX"/>
        </w:rPr>
        <w:lastRenderedPageBreak/>
        <w:t>4</w:t>
      </w:r>
      <w:r w:rsidR="00CA3814" w:rsidRPr="00852698">
        <w:rPr>
          <w:rFonts w:ascii="ITC Avant Garde" w:hAnsi="ITC Avant Garde"/>
          <w:lang w:val="es-MX"/>
        </w:rPr>
        <w:t>.</w:t>
      </w:r>
      <w:r w:rsidR="007E1153">
        <w:rPr>
          <w:rFonts w:ascii="ITC Avant Garde" w:hAnsi="ITC Avant Garde"/>
          <w:lang w:val="es-MX"/>
        </w:rPr>
        <w:t>1</w:t>
      </w:r>
      <w:r w:rsidR="00CA3814" w:rsidRPr="00852698">
        <w:rPr>
          <w:rFonts w:ascii="ITC Avant Garde" w:hAnsi="ITC Avant Garde"/>
          <w:lang w:val="es-MX"/>
        </w:rPr>
        <w:t xml:space="preserve"> </w:t>
      </w:r>
      <w:r w:rsidR="0099731C" w:rsidRPr="00852698">
        <w:rPr>
          <w:rFonts w:ascii="ITC Avant Garde" w:hAnsi="ITC Avant Garde"/>
          <w:lang w:val="es-MX"/>
        </w:rPr>
        <w:t>C</w:t>
      </w:r>
      <w:r w:rsidR="007765FC" w:rsidRPr="00852698">
        <w:rPr>
          <w:rFonts w:ascii="ITC Avant Garde" w:hAnsi="ITC Avant Garde"/>
          <w:lang w:val="es-MX"/>
        </w:rPr>
        <w:t>á</w:t>
      </w:r>
      <w:r w:rsidR="0099731C" w:rsidRPr="00852698">
        <w:rPr>
          <w:rFonts w:ascii="ITC Avant Garde" w:hAnsi="ITC Avant Garde"/>
          <w:lang w:val="es-MX"/>
        </w:rPr>
        <w:t>lculo sitio a sitio</w:t>
      </w:r>
      <w:bookmarkEnd w:id="22"/>
    </w:p>
    <w:p w14:paraId="4F47F4F2" w14:textId="40B7682F" w:rsidR="0099731C" w:rsidRPr="00681CB9" w:rsidRDefault="007E1153" w:rsidP="0099731C">
      <w:pPr>
        <w:pStyle w:val="IFTnormal"/>
      </w:pPr>
      <w:r>
        <w:t>Siguiendo con la descripción metodológica, c</w:t>
      </w:r>
      <w:r w:rsidR="0099731C" w:rsidRPr="00681CB9">
        <w:t>omo primera etapa</w:t>
      </w:r>
      <w:r w:rsidR="007765FC" w:rsidRPr="00681CB9">
        <w:t>,</w:t>
      </w:r>
      <w:r w:rsidR="0099731C" w:rsidRPr="00681CB9">
        <w:t xml:space="preserve"> el </w:t>
      </w:r>
      <w:r w:rsidR="00F7470F">
        <w:rPr>
          <w:rStyle w:val="IFTnormalCar"/>
        </w:rPr>
        <w:t>Modelo de Acceso a Torres</w:t>
      </w:r>
      <w:r w:rsidR="0099731C" w:rsidRPr="00681CB9">
        <w:t xml:space="preserve"> considera las características técnicas de cada uno de los sitios a modelar, con base en la información provista por </w:t>
      </w:r>
      <w:r w:rsidR="00CF17F6">
        <w:t>TELMEX</w:t>
      </w:r>
      <w:r w:rsidR="00BA2F77">
        <w:t xml:space="preserve"> y </w:t>
      </w:r>
      <w:r w:rsidR="00CF17F6">
        <w:t>TELNOR</w:t>
      </w:r>
      <w:r w:rsidR="0099731C" w:rsidRPr="00681CB9">
        <w:t xml:space="preserve"> y algunos parámetros particulares que permitirán dimensionar cada uno de los sitios y calcular las tarifas de </w:t>
      </w:r>
      <w:r w:rsidR="00CF17F6">
        <w:t>Espacio Aprobado en Piso</w:t>
      </w:r>
      <w:r w:rsidR="00BA2F77" w:rsidRPr="00681CB9">
        <w:t xml:space="preserve"> </w:t>
      </w:r>
      <w:r w:rsidR="0099731C" w:rsidRPr="00681CB9">
        <w:t xml:space="preserve">y </w:t>
      </w:r>
      <w:r w:rsidR="00CF17F6">
        <w:t>Espacio Aprobado en Torre</w:t>
      </w:r>
      <w:r w:rsidR="0099731C" w:rsidRPr="00681CB9">
        <w:t>. Para ello se considerarán parámetros de los sitios que se mantendrán fijos (en lo sucesivo, “parámetros fijos”) y otras que se modificarán de acuerdo al tipo de sitio a modelar (en lo sucesivo</w:t>
      </w:r>
      <w:r w:rsidR="007765FC" w:rsidRPr="00681CB9">
        <w:t>,</w:t>
      </w:r>
      <w:r w:rsidR="0099731C" w:rsidRPr="00681CB9">
        <w:t xml:space="preserve"> “parámetros variables”).</w:t>
      </w:r>
    </w:p>
    <w:p w14:paraId="168CC61A" w14:textId="5724BB4C" w:rsidR="0099731C" w:rsidRPr="00681CB9" w:rsidRDefault="00011446" w:rsidP="00CA3814">
      <w:pPr>
        <w:pStyle w:val="Ttulo3"/>
        <w:spacing w:after="240"/>
        <w:ind w:firstLine="708"/>
        <w:rPr>
          <w:rFonts w:ascii="ITC Avant Garde" w:hAnsi="ITC Avant Garde"/>
          <w:b/>
          <w:color w:val="auto"/>
          <w:sz w:val="22"/>
        </w:rPr>
      </w:pPr>
      <w:bookmarkStart w:id="23" w:name="_Toc107852348"/>
      <w:r>
        <w:rPr>
          <w:rFonts w:ascii="ITC Avant Garde" w:hAnsi="ITC Avant Garde"/>
          <w:b/>
          <w:color w:val="auto"/>
          <w:sz w:val="22"/>
        </w:rPr>
        <w:t>4</w:t>
      </w:r>
      <w:r w:rsidR="00CA3814" w:rsidRPr="00681CB9">
        <w:rPr>
          <w:rFonts w:ascii="ITC Avant Garde" w:hAnsi="ITC Avant Garde"/>
          <w:b/>
          <w:color w:val="auto"/>
          <w:sz w:val="22"/>
        </w:rPr>
        <w:t>.</w:t>
      </w:r>
      <w:r w:rsidR="002D7873">
        <w:rPr>
          <w:rFonts w:ascii="ITC Avant Garde" w:hAnsi="ITC Avant Garde"/>
          <w:b/>
          <w:color w:val="auto"/>
          <w:sz w:val="22"/>
        </w:rPr>
        <w:t>1</w:t>
      </w:r>
      <w:r w:rsidR="00CA3814" w:rsidRPr="00681CB9">
        <w:rPr>
          <w:rFonts w:ascii="ITC Avant Garde" w:hAnsi="ITC Avant Garde"/>
          <w:b/>
          <w:color w:val="auto"/>
          <w:sz w:val="22"/>
        </w:rPr>
        <w:t xml:space="preserve">.1 </w:t>
      </w:r>
      <w:r w:rsidR="0099731C" w:rsidRPr="00681CB9">
        <w:rPr>
          <w:rFonts w:ascii="ITC Avant Garde" w:hAnsi="ITC Avant Garde"/>
          <w:b/>
          <w:color w:val="auto"/>
          <w:sz w:val="22"/>
        </w:rPr>
        <w:t>Parámetros fijos</w:t>
      </w:r>
      <w:bookmarkEnd w:id="23"/>
    </w:p>
    <w:p w14:paraId="31989349" w14:textId="21A81147" w:rsidR="0099731C" w:rsidRPr="00681CB9" w:rsidRDefault="0099731C" w:rsidP="0099731C">
      <w:pPr>
        <w:pStyle w:val="IFTnormal"/>
      </w:pPr>
      <w:r w:rsidRPr="00681CB9">
        <w:t xml:space="preserve">Ciertas variables, sin importar el tipo de sitio, se mantendrán sin cambio en el proceso de costeo de tarifa individual que ayudará a generar las tarifas promedio por </w:t>
      </w:r>
      <w:proofErr w:type="spellStart"/>
      <w:r w:rsidRPr="00681CB9">
        <w:t>geotipo</w:t>
      </w:r>
      <w:proofErr w:type="spellEnd"/>
      <w:r w:rsidRPr="00681CB9">
        <w:t xml:space="preserve">. </w:t>
      </w:r>
    </w:p>
    <w:p w14:paraId="45572811" w14:textId="2715931A" w:rsidR="0099731C" w:rsidRPr="00681CB9" w:rsidRDefault="0099731C" w:rsidP="0099731C">
      <w:pPr>
        <w:pStyle w:val="IFTnormal"/>
      </w:pPr>
      <w:r w:rsidRPr="00681CB9">
        <w:t xml:space="preserve">En lo referente al </w:t>
      </w:r>
      <w:r w:rsidR="00CF17F6">
        <w:t>Espacio Aprobado en Torre</w:t>
      </w:r>
      <w:r w:rsidRPr="00681CB9">
        <w:t xml:space="preserve">, se supondrá que </w:t>
      </w:r>
      <w:r w:rsidRPr="00681CB9">
        <w:rPr>
          <w:lang w:val="es-419"/>
        </w:rPr>
        <w:t>el espacio ocupado por los</w:t>
      </w:r>
      <w:r w:rsidRPr="00681CB9">
        <w:t xml:space="preserve"> CS </w:t>
      </w:r>
      <w:r w:rsidRPr="00681CB9">
        <w:rPr>
          <w:lang w:val="es-419"/>
        </w:rPr>
        <w:t>en una torre</w:t>
      </w:r>
      <w:r w:rsidRPr="00681CB9">
        <w:t xml:space="preserve"> corresponde a una </w:t>
      </w:r>
      <w:r w:rsidRPr="00681CB9">
        <w:rPr>
          <w:lang w:val="es-419"/>
        </w:rPr>
        <w:t>franja</w:t>
      </w:r>
      <w:r w:rsidRPr="00681CB9">
        <w:t xml:space="preserve"> de 4 metros lineales para instalar sus equipos (en el caso de que la infraestructura así lo permita)</w:t>
      </w:r>
      <w:r w:rsidR="00E208D2">
        <w:t xml:space="preserve">, en consistencia con la estructura autorizada por el Instituto en la </w:t>
      </w:r>
      <w:r w:rsidR="007E1153">
        <w:t>O</w:t>
      </w:r>
      <w:r w:rsidR="00E208D2">
        <w:t xml:space="preserve">ferta de </w:t>
      </w:r>
      <w:r w:rsidR="007E1153">
        <w:t>R</w:t>
      </w:r>
      <w:r w:rsidR="00E208D2">
        <w:t>eferencia</w:t>
      </w:r>
      <w:r w:rsidRPr="00681CB9">
        <w:t xml:space="preserve">. </w:t>
      </w:r>
    </w:p>
    <w:p w14:paraId="3BA8F821" w14:textId="370A0FAD" w:rsidR="0099731C" w:rsidRPr="00681CB9" w:rsidRDefault="0099731C" w:rsidP="0099731C">
      <w:pPr>
        <w:pStyle w:val="IFTnormal"/>
      </w:pPr>
      <w:r w:rsidRPr="00681CB9">
        <w:t xml:space="preserve">Por otra parte, en dicho enfoque </w:t>
      </w:r>
      <w:r w:rsidR="002D7873">
        <w:t xml:space="preserve">en la Oferta de Referencia </w:t>
      </w:r>
      <w:r w:rsidRPr="00681CB9">
        <w:t xml:space="preserve">se </w:t>
      </w:r>
      <w:r w:rsidR="007E1153">
        <w:t>considera</w:t>
      </w:r>
      <w:r w:rsidR="007E1153" w:rsidRPr="00681CB9">
        <w:t xml:space="preserve"> </w:t>
      </w:r>
      <w:r w:rsidRPr="00681CB9">
        <w:t xml:space="preserve">que el </w:t>
      </w:r>
      <w:r w:rsidR="00CF17F6">
        <w:t>Espacio Aprobado en Piso</w:t>
      </w:r>
      <w:r w:rsidRPr="00681CB9">
        <w:t xml:space="preserve"> mínimo que pueda usar un concesionario para cualquier estructura, excluyendo el espacio necesario para la instalación de la torre, es de 6.6 metros cuadrados.</w:t>
      </w:r>
    </w:p>
    <w:p w14:paraId="5C43EFAA" w14:textId="69BAF4C5" w:rsidR="0099731C" w:rsidRPr="00681CB9" w:rsidRDefault="0099731C" w:rsidP="0099731C">
      <w:pPr>
        <w:pStyle w:val="IFTnormal"/>
      </w:pPr>
      <w:r w:rsidRPr="00681CB9">
        <w:t xml:space="preserve">Adicionalmente, se supondrá que todos los sitios se localizan en un sitio en el que </w:t>
      </w:r>
      <w:r w:rsidR="00CF17F6">
        <w:t>TELMEX</w:t>
      </w:r>
      <w:r w:rsidR="00C7403A">
        <w:t xml:space="preserve"> y </w:t>
      </w:r>
      <w:r w:rsidR="00CF17F6">
        <w:t>TELNOR</w:t>
      </w:r>
      <w:r w:rsidRPr="00681CB9">
        <w:t xml:space="preserve"> es poseedor de la propiedad</w:t>
      </w:r>
      <w:r w:rsidRPr="00681CB9">
        <w:rPr>
          <w:rStyle w:val="Refdenotaalpie"/>
        </w:rPr>
        <w:footnoteReference w:id="13"/>
      </w:r>
      <w:r w:rsidRPr="00681CB9">
        <w:t xml:space="preserve">.  </w:t>
      </w:r>
    </w:p>
    <w:p w14:paraId="354E3941" w14:textId="180828C2" w:rsidR="0099731C" w:rsidRPr="00681CB9" w:rsidRDefault="00011446" w:rsidP="00B54183">
      <w:pPr>
        <w:pStyle w:val="Ttulo3"/>
        <w:spacing w:after="240"/>
        <w:ind w:firstLine="708"/>
        <w:rPr>
          <w:rFonts w:ascii="ITC Avant Garde" w:hAnsi="ITC Avant Garde"/>
          <w:b/>
          <w:color w:val="auto"/>
          <w:sz w:val="22"/>
        </w:rPr>
      </w:pPr>
      <w:bookmarkStart w:id="24" w:name="_Toc107852349"/>
      <w:r>
        <w:rPr>
          <w:rFonts w:ascii="ITC Avant Garde" w:hAnsi="ITC Avant Garde"/>
          <w:b/>
          <w:color w:val="auto"/>
          <w:sz w:val="22"/>
        </w:rPr>
        <w:t>4</w:t>
      </w:r>
      <w:r w:rsidR="00B54183" w:rsidRPr="00681CB9">
        <w:rPr>
          <w:rFonts w:ascii="ITC Avant Garde" w:hAnsi="ITC Avant Garde"/>
          <w:b/>
          <w:color w:val="auto"/>
          <w:sz w:val="22"/>
        </w:rPr>
        <w:t>.</w:t>
      </w:r>
      <w:r w:rsidR="002D7873">
        <w:rPr>
          <w:rFonts w:ascii="ITC Avant Garde" w:hAnsi="ITC Avant Garde"/>
          <w:b/>
          <w:color w:val="auto"/>
          <w:sz w:val="22"/>
        </w:rPr>
        <w:t>1</w:t>
      </w:r>
      <w:r w:rsidR="00B54183" w:rsidRPr="00681CB9">
        <w:rPr>
          <w:rFonts w:ascii="ITC Avant Garde" w:hAnsi="ITC Avant Garde"/>
          <w:b/>
          <w:color w:val="auto"/>
          <w:sz w:val="22"/>
        </w:rPr>
        <w:t xml:space="preserve">.2 </w:t>
      </w:r>
      <w:r w:rsidR="0099731C" w:rsidRPr="00681CB9">
        <w:rPr>
          <w:rFonts w:ascii="ITC Avant Garde" w:hAnsi="ITC Avant Garde"/>
          <w:b/>
          <w:color w:val="auto"/>
          <w:sz w:val="22"/>
        </w:rPr>
        <w:t>Parámetros variables</w:t>
      </w:r>
      <w:bookmarkEnd w:id="24"/>
    </w:p>
    <w:p w14:paraId="14F74D0E" w14:textId="6B7F38C0" w:rsidR="0099731C" w:rsidRPr="00681CB9" w:rsidRDefault="0099731C" w:rsidP="0099731C">
      <w:pPr>
        <w:pStyle w:val="IFTnormal"/>
      </w:pPr>
      <w:r w:rsidRPr="00681CB9">
        <w:t xml:space="preserve">Es relevante destacar </w:t>
      </w:r>
      <w:r w:rsidR="00852698" w:rsidRPr="00681CB9">
        <w:t>que,</w:t>
      </w:r>
      <w:r w:rsidRPr="00681CB9">
        <w:t xml:space="preserve"> en esta primera etapa de cálculo de tarifas </w:t>
      </w:r>
      <w:r w:rsidR="00F71A91" w:rsidRPr="00681CB9">
        <w:t xml:space="preserve">de </w:t>
      </w:r>
      <w:r w:rsidRPr="00681CB9">
        <w:t>sitio</w:t>
      </w:r>
      <w:r w:rsidR="00776925" w:rsidRPr="00681CB9">
        <w:t xml:space="preserve"> </w:t>
      </w:r>
      <w:r w:rsidRPr="00681CB9">
        <w:t>a sitio</w:t>
      </w:r>
      <w:r w:rsidR="00B54183" w:rsidRPr="00681CB9">
        <w:t>,</w:t>
      </w:r>
      <w:r w:rsidRPr="00681CB9">
        <w:t xml:space="preserve"> se identificaron elementos que son variables y se ajustan a la infraestructura pasiva proporcionada por </w:t>
      </w:r>
      <w:r w:rsidR="00E208D2">
        <w:t>TELMEX y TELNOR</w:t>
      </w:r>
      <w:r w:rsidRPr="00681CB9">
        <w:t xml:space="preserve">, de tal forma que la particularidad de los sitios corresponde con la especificación de sitios </w:t>
      </w:r>
      <w:r w:rsidR="00BA2F77">
        <w:t xml:space="preserve">de </w:t>
      </w:r>
      <w:r w:rsidR="0009086D">
        <w:t>estas empresas</w:t>
      </w:r>
      <w:r w:rsidRPr="00681CB9">
        <w:t xml:space="preserve">. Entre tales parámetros se encuentran: 1) tipo de torre, 2) altura de la torre, 3) carga de viento, 4) demanda de ocupación </w:t>
      </w:r>
      <w:r w:rsidR="002D7873">
        <w:t>promedio</w:t>
      </w:r>
      <w:r w:rsidR="00610ABD">
        <w:t xml:space="preserve"> </w:t>
      </w:r>
      <w:r w:rsidR="002D7873">
        <w:t>en la torre</w:t>
      </w:r>
      <w:r w:rsidRPr="00681CB9">
        <w:t>, 5) dimensiones de diversos elementos del predio</w:t>
      </w:r>
      <w:r w:rsidRPr="00681CB9">
        <w:rPr>
          <w:rStyle w:val="Refdenotaalpie"/>
        </w:rPr>
        <w:footnoteReference w:id="14"/>
      </w:r>
      <w:r w:rsidRPr="00681CB9">
        <w:t xml:space="preserve"> y</w:t>
      </w:r>
      <w:r w:rsidR="00B54183" w:rsidRPr="00681CB9">
        <w:t>,</w:t>
      </w:r>
      <w:r w:rsidRPr="00681CB9">
        <w:t xml:space="preserve"> 6) </w:t>
      </w:r>
      <w:proofErr w:type="spellStart"/>
      <w:r w:rsidRPr="00681CB9">
        <w:t>geotipo</w:t>
      </w:r>
      <w:proofErr w:type="spellEnd"/>
      <w:r w:rsidRPr="00681CB9">
        <w:t>.</w:t>
      </w:r>
      <w:r w:rsidR="00776925" w:rsidRPr="00681CB9">
        <w:t xml:space="preserve"> </w:t>
      </w:r>
      <w:r w:rsidR="00BA2F77">
        <w:t>Dicha selección puede realizarse e</w:t>
      </w:r>
      <w:r w:rsidR="00776925" w:rsidRPr="00681CB9">
        <w:t xml:space="preserve">n la hoja “Control” </w:t>
      </w:r>
      <w:r w:rsidR="00BA2F77">
        <w:t xml:space="preserve">del </w:t>
      </w:r>
      <w:r w:rsidR="00F7470F">
        <w:rPr>
          <w:rStyle w:val="IFTnormalCar"/>
        </w:rPr>
        <w:t>Modelo de Acceso a Torres</w:t>
      </w:r>
      <w:r w:rsidR="00776925" w:rsidRPr="00681CB9">
        <w:t>.</w:t>
      </w:r>
    </w:p>
    <w:p w14:paraId="6E53CEC6" w14:textId="1BBEBF5B" w:rsidR="0099731C" w:rsidRPr="00681CB9" w:rsidRDefault="0099731C" w:rsidP="0099731C">
      <w:pPr>
        <w:pStyle w:val="IFTnormal"/>
      </w:pPr>
      <w:r w:rsidRPr="00681CB9">
        <w:lastRenderedPageBreak/>
        <w:t xml:space="preserve">El tipo de torre es un parámetro ajustable de acuerdo al sitio que se pretende modelar. De hecho, en el modelo se consideran dos tipologías de torres: </w:t>
      </w:r>
      <w:r w:rsidRPr="00681CB9">
        <w:rPr>
          <w:lang w:val="es-419"/>
        </w:rPr>
        <w:t>a</w:t>
      </w:r>
      <w:proofErr w:type="spellStart"/>
      <w:r w:rsidRPr="00681CB9">
        <w:t>utosoportada</w:t>
      </w:r>
      <w:proofErr w:type="spellEnd"/>
      <w:r w:rsidRPr="00681CB9">
        <w:t xml:space="preserve"> y </w:t>
      </w:r>
      <w:r w:rsidRPr="00681CB9">
        <w:rPr>
          <w:lang w:val="es-419"/>
        </w:rPr>
        <w:t>a</w:t>
      </w:r>
      <w:proofErr w:type="spellStart"/>
      <w:r w:rsidRPr="00681CB9">
        <w:t>rriostrada</w:t>
      </w:r>
      <w:proofErr w:type="spellEnd"/>
      <w:r w:rsidRPr="00681CB9">
        <w:rPr>
          <w:rStyle w:val="Refdenotaalpie"/>
        </w:rPr>
        <w:footnoteReference w:id="15"/>
      </w:r>
      <w:r w:rsidRPr="00681CB9">
        <w:t>.</w:t>
      </w:r>
    </w:p>
    <w:p w14:paraId="20308714" w14:textId="7C86A695" w:rsidR="0099731C" w:rsidRPr="00681CB9" w:rsidRDefault="0099731C" w:rsidP="0099731C">
      <w:pPr>
        <w:pStyle w:val="IFTnormal"/>
      </w:pPr>
      <w:r w:rsidRPr="00681CB9">
        <w:t xml:space="preserve">La altura de la torre es otro parámetro que varía de acuerdo al tipo de torre presente en el sitio modelado y que es medido en metros. Además, la carga de viento máxima prevista para cada una de las torres también es variable, </w:t>
      </w:r>
      <w:r w:rsidR="00C2269C">
        <w:t xml:space="preserve">la cual </w:t>
      </w:r>
      <w:r w:rsidRPr="00681CB9">
        <w:t>mide el rango de carga de viento en kilómetros por hora (km/h).</w:t>
      </w:r>
    </w:p>
    <w:p w14:paraId="00BADB91" w14:textId="69E06476" w:rsidR="0099731C" w:rsidRPr="00681CB9" w:rsidRDefault="0099731C" w:rsidP="0099731C">
      <w:pPr>
        <w:pStyle w:val="IFTnormal"/>
      </w:pPr>
      <w:r w:rsidRPr="00681CB9">
        <w:t>Por otra parte, la demanda de ocupación promedio de</w:t>
      </w:r>
      <w:r w:rsidR="009F1CFA">
        <w:t xml:space="preserve"> </w:t>
      </w:r>
      <w:r w:rsidR="002D7873">
        <w:t>espacio</w:t>
      </w:r>
      <w:r w:rsidR="00CF17F6">
        <w:t xml:space="preserve"> en Torre</w:t>
      </w:r>
      <w:r w:rsidR="00852698">
        <w:t xml:space="preserve"> </w:t>
      </w:r>
      <w:r w:rsidR="00852698" w:rsidRPr="00681CB9">
        <w:t>se</w:t>
      </w:r>
      <w:r w:rsidRPr="00681CB9">
        <w:t xml:space="preserve"> refiere al espacio lineal ocupado </w:t>
      </w:r>
      <w:r w:rsidRPr="00681CB9">
        <w:rPr>
          <w:lang w:val="es-419"/>
        </w:rPr>
        <w:t>actualmente</w:t>
      </w:r>
      <w:r w:rsidR="00FA1204" w:rsidRPr="00681CB9">
        <w:rPr>
          <w:lang w:val="es-419"/>
        </w:rPr>
        <w:t>,</w:t>
      </w:r>
      <w:r w:rsidR="00776925" w:rsidRPr="00681CB9">
        <w:rPr>
          <w:lang w:val="es-419"/>
        </w:rPr>
        <w:t xml:space="preserve"> </w:t>
      </w:r>
      <w:r w:rsidRPr="00681CB9">
        <w:rPr>
          <w:lang w:val="es-419"/>
        </w:rPr>
        <w:t xml:space="preserve">según la información presentada por </w:t>
      </w:r>
      <w:r w:rsidR="00CF17F6">
        <w:rPr>
          <w:lang w:val="es-419"/>
        </w:rPr>
        <w:t>TELMEX</w:t>
      </w:r>
      <w:r w:rsidR="00C9660A">
        <w:rPr>
          <w:lang w:val="es-419"/>
        </w:rPr>
        <w:t xml:space="preserve"> y </w:t>
      </w:r>
      <w:r w:rsidR="00CF17F6">
        <w:rPr>
          <w:lang w:val="es-419"/>
        </w:rPr>
        <w:t>TELNOR</w:t>
      </w:r>
      <w:r w:rsidRPr="00681CB9">
        <w:t xml:space="preserve"> </w:t>
      </w:r>
      <w:r w:rsidRPr="00681CB9">
        <w:rPr>
          <w:lang w:val="es-419"/>
        </w:rPr>
        <w:t>en cada</w:t>
      </w:r>
      <w:r w:rsidRPr="00681CB9">
        <w:t xml:space="preserve"> sitio</w:t>
      </w:r>
      <w:r w:rsidR="00584945" w:rsidRPr="00681CB9">
        <w:t xml:space="preserve"> y computado para cada sitio</w:t>
      </w:r>
      <w:r w:rsidRPr="00681CB9">
        <w:t xml:space="preserve">. </w:t>
      </w:r>
      <w:r w:rsidR="00C2269C">
        <w:t>Este</w:t>
      </w:r>
      <w:r w:rsidRPr="00681CB9">
        <w:t xml:space="preserve"> parámetro se estima a través de la cantidad de </w:t>
      </w:r>
      <w:r w:rsidRPr="00681CB9">
        <w:rPr>
          <w:lang w:val="es-419"/>
        </w:rPr>
        <w:t>franjas</w:t>
      </w:r>
      <w:r w:rsidRPr="00681CB9">
        <w:t xml:space="preserve"> </w:t>
      </w:r>
      <w:r w:rsidR="00C2269C">
        <w:t xml:space="preserve">promedio ocupadas </w:t>
      </w:r>
      <w:r w:rsidRPr="00681CB9">
        <w:t>en todas las torres de sus sitios</w:t>
      </w:r>
      <w:r w:rsidRPr="00681CB9">
        <w:rPr>
          <w:rStyle w:val="Refdenotaalpie"/>
        </w:rPr>
        <w:footnoteReference w:id="16"/>
      </w:r>
      <w:r w:rsidRPr="00681CB9">
        <w:t>.</w:t>
      </w:r>
    </w:p>
    <w:p w14:paraId="1B86003A" w14:textId="636884D4" w:rsidR="0099731C" w:rsidRPr="00681CB9" w:rsidRDefault="0099731C" w:rsidP="0099731C">
      <w:pPr>
        <w:pStyle w:val="IFTnormal"/>
      </w:pPr>
      <w:r w:rsidRPr="00681CB9">
        <w:t xml:space="preserve">Asimismo, en el modelo también se involucra la dimensión promedio de diversos elementos que conforman al sitio modelado: 1) el predio, es decir, el área ocupada por el sitio </w:t>
      </w:r>
      <w:r w:rsidR="00C7403A">
        <w:t xml:space="preserve">de </w:t>
      </w:r>
      <w:r w:rsidR="00CF17F6">
        <w:t>TELMEX</w:t>
      </w:r>
      <w:r w:rsidR="00C7403A">
        <w:t xml:space="preserve"> y </w:t>
      </w:r>
      <w:r w:rsidR="00CF17F6">
        <w:t>TELNOR</w:t>
      </w:r>
      <w:r w:rsidRPr="00681CB9">
        <w:t xml:space="preserve"> donde se ubica la torre, 2) la </w:t>
      </w:r>
      <w:r w:rsidRPr="00681CB9">
        <w:rPr>
          <w:lang w:val="es-419"/>
        </w:rPr>
        <w:t>azotea</w:t>
      </w:r>
      <w:r w:rsidRPr="00681CB9">
        <w:t xml:space="preserve"> de los edificios presentes en el sitio</w:t>
      </w:r>
      <w:r w:rsidR="00852698">
        <w:t>,</w:t>
      </w:r>
      <w:r w:rsidRPr="00681CB9">
        <w:t xml:space="preserve"> 3) la extensión de una caseta que forma parte del sitio</w:t>
      </w:r>
      <w:r w:rsidR="00852698">
        <w:t xml:space="preserve"> y,</w:t>
      </w:r>
      <w:r w:rsidRPr="00681CB9">
        <w:t xml:space="preserve"> 4) espacio ocupado por la base de la torre, esto es, el área que ocupa la estructura que sirve de soporte a la torre y que se encuentra dentro del predio modelado. </w:t>
      </w:r>
    </w:p>
    <w:p w14:paraId="531C59D4" w14:textId="39797A34" w:rsidR="00C9660A" w:rsidRDefault="0099731C" w:rsidP="0099731C">
      <w:pPr>
        <w:pStyle w:val="IFTnormal"/>
      </w:pPr>
      <w:r w:rsidRPr="00681CB9">
        <w:t xml:space="preserve">Finalmente, el </w:t>
      </w:r>
      <w:proofErr w:type="spellStart"/>
      <w:r w:rsidRPr="00681CB9">
        <w:t>geotipo</w:t>
      </w:r>
      <w:proofErr w:type="spellEnd"/>
      <w:r w:rsidRPr="00681CB9">
        <w:t xml:space="preserve"> es un parámetro variable con el que </w:t>
      </w:r>
      <w:r w:rsidR="00C9660A">
        <w:t>se</w:t>
      </w:r>
      <w:r w:rsidRPr="00681CB9">
        <w:t xml:space="preserve"> clasifica cada uno de </w:t>
      </w:r>
      <w:r w:rsidR="00335D12">
        <w:t>los</w:t>
      </w:r>
      <w:r w:rsidRPr="00681CB9">
        <w:t xml:space="preserve"> sitios</w:t>
      </w:r>
      <w:r w:rsidR="00C9660A">
        <w:t xml:space="preserve"> de </w:t>
      </w:r>
      <w:r w:rsidR="00CF17F6">
        <w:t>TELMEX</w:t>
      </w:r>
      <w:r w:rsidR="00C9660A">
        <w:t xml:space="preserve"> y </w:t>
      </w:r>
      <w:r w:rsidR="00CF17F6">
        <w:t>TELNOR</w:t>
      </w:r>
      <w:r w:rsidR="00C9660A">
        <w:t xml:space="preserve"> </w:t>
      </w:r>
      <w:r w:rsidR="00C7403A">
        <w:t xml:space="preserve">el cual fue geolocalizado y asociado a cada una de las clasificaciones autorizadas por el Instituto en la </w:t>
      </w:r>
      <w:r w:rsidR="00C2269C">
        <w:t>o</w:t>
      </w:r>
      <w:r w:rsidR="00C7403A">
        <w:t xml:space="preserve">ferta de </w:t>
      </w:r>
      <w:r w:rsidR="00C2269C">
        <w:t>r</w:t>
      </w:r>
      <w:r w:rsidR="00C7403A">
        <w:t>eferencia mayorista, conforme a lo señ</w:t>
      </w:r>
      <w:r w:rsidR="00C9660A">
        <w:t>alado en</w:t>
      </w:r>
      <w:r w:rsidR="002D7873">
        <w:t xml:space="preserve"> el numeral 4</w:t>
      </w:r>
      <w:r w:rsidR="00C9660A">
        <w:t>presente documento</w:t>
      </w:r>
      <w:r w:rsidRPr="00681CB9">
        <w:t xml:space="preserve">. </w:t>
      </w:r>
    </w:p>
    <w:p w14:paraId="11A8B9DD" w14:textId="31ADC7C1" w:rsidR="0099731C" w:rsidRPr="00243F06" w:rsidRDefault="00011446" w:rsidP="00D22967">
      <w:pPr>
        <w:pStyle w:val="Ttulo2"/>
        <w:ind w:left="360"/>
        <w:rPr>
          <w:rFonts w:ascii="ITC Avant Garde" w:hAnsi="ITC Avant Garde"/>
          <w:lang w:val="es-MX"/>
        </w:rPr>
      </w:pPr>
      <w:bookmarkStart w:id="25" w:name="_Toc107852350"/>
      <w:r w:rsidRPr="00243F06">
        <w:rPr>
          <w:rFonts w:ascii="ITC Avant Garde" w:hAnsi="ITC Avant Garde"/>
          <w:lang w:val="es-MX"/>
        </w:rPr>
        <w:t>4</w:t>
      </w:r>
      <w:r w:rsidR="00D22967" w:rsidRPr="00243F06">
        <w:rPr>
          <w:rFonts w:ascii="ITC Avant Garde" w:hAnsi="ITC Avant Garde"/>
          <w:lang w:val="es-MX"/>
        </w:rPr>
        <w:t>.</w:t>
      </w:r>
      <w:r w:rsidR="00243F06" w:rsidRPr="00243F06">
        <w:rPr>
          <w:rFonts w:ascii="ITC Avant Garde" w:hAnsi="ITC Avant Garde"/>
          <w:lang w:val="es-MX"/>
        </w:rPr>
        <w:t>2</w:t>
      </w:r>
      <w:r w:rsidR="00D22967" w:rsidRPr="00243F06">
        <w:rPr>
          <w:rFonts w:ascii="ITC Avant Garde" w:hAnsi="ITC Avant Garde"/>
          <w:lang w:val="es-MX"/>
        </w:rPr>
        <w:t xml:space="preserve"> </w:t>
      </w:r>
      <w:r w:rsidR="0099731C" w:rsidRPr="00243F06">
        <w:rPr>
          <w:rFonts w:ascii="ITC Avant Garde" w:hAnsi="ITC Avant Garde"/>
          <w:lang w:val="es-MX"/>
        </w:rPr>
        <w:t>Proceso de cálculo sitio a sitio</w:t>
      </w:r>
      <w:bookmarkEnd w:id="25"/>
    </w:p>
    <w:p w14:paraId="3F97F958" w14:textId="2FD21E20" w:rsidR="0099731C" w:rsidRPr="00681CB9" w:rsidRDefault="0099731C" w:rsidP="0099731C">
      <w:pPr>
        <w:pStyle w:val="IFTnormal"/>
      </w:pPr>
      <w:r w:rsidRPr="00681CB9">
        <w:t>Una vez descritos los parámetros fijos y variables, se procede a calcular las tarifas asociadas por sitio</w:t>
      </w:r>
      <w:r w:rsidR="00714A33" w:rsidRPr="00681CB9">
        <w:t xml:space="preserve"> </w:t>
      </w:r>
      <w:r w:rsidRPr="00681CB9">
        <w:t>utilizando cada un</w:t>
      </w:r>
      <w:r w:rsidR="006B12FA" w:rsidRPr="00681CB9">
        <w:t>o</w:t>
      </w:r>
      <w:r w:rsidRPr="00681CB9">
        <w:t xml:space="preserve"> de los parámetros anteriormente mencionados. De esta manera, se calcula el gasto anual para cada sitio</w:t>
      </w:r>
      <w:r w:rsidR="00584945" w:rsidRPr="00681CB9">
        <w:t xml:space="preserve"> </w:t>
      </w:r>
      <w:r w:rsidRPr="00681CB9">
        <w:t xml:space="preserve">de los elementos necesarios para la provisión de los servicios de </w:t>
      </w:r>
      <w:r w:rsidR="00CF17F6">
        <w:t>Espacio Aprobado en Torre</w:t>
      </w:r>
      <w:r w:rsidRPr="00681CB9">
        <w:t xml:space="preserve"> y </w:t>
      </w:r>
      <w:r w:rsidR="00CF17F6">
        <w:t>Espacio Aprobado en Piso</w:t>
      </w:r>
      <w:r w:rsidRPr="00681CB9">
        <w:t xml:space="preserve">. </w:t>
      </w:r>
    </w:p>
    <w:p w14:paraId="444582A1" w14:textId="18BB78BB" w:rsidR="0099731C" w:rsidRPr="00681CB9" w:rsidRDefault="0099731C" w:rsidP="0099731C">
      <w:pPr>
        <w:pStyle w:val="IFTnormal"/>
      </w:pPr>
      <w:r w:rsidRPr="00681CB9">
        <w:t xml:space="preserve">Para las tarifas del </w:t>
      </w:r>
      <w:r w:rsidR="00CF17F6">
        <w:t>Espacio Aprobado en Piso</w:t>
      </w:r>
      <w:r w:rsidRPr="00681CB9">
        <w:t xml:space="preserve"> por sitio interviene el costo del espacio total modelado para el piso, así como los montos derivados de la obra civil por motivo de azoteas o casetas presentes en el sitio en cuestión. </w:t>
      </w:r>
    </w:p>
    <w:p w14:paraId="51C0409C" w14:textId="0451E9B2" w:rsidR="00C7403A" w:rsidRDefault="0099731C" w:rsidP="0099731C">
      <w:pPr>
        <w:pStyle w:val="IFTnormal"/>
      </w:pPr>
      <w:r w:rsidRPr="00681CB9">
        <w:t xml:space="preserve">Por su parte, para las tarifas de </w:t>
      </w:r>
      <w:r w:rsidR="00CF17F6">
        <w:t>Espacio Aprobado en Torre</w:t>
      </w:r>
      <w:r w:rsidRPr="00681CB9">
        <w:t xml:space="preserve">, únicamente se considerarán los costos asociados al propio elemento, es decir a la propia torre, así </w:t>
      </w:r>
      <w:r w:rsidRPr="00681CB9">
        <w:lastRenderedPageBreak/>
        <w:t>como los derivados de obras civiles para construcción de torre, licencias y permisos de construcción de torre, y los relativos a la instalación de sistemas/equipos de seguridad para torre (en el caso de torres que se localizan en azoteas) y adicionales.</w:t>
      </w:r>
      <w:r w:rsidR="00C7403A">
        <w:t xml:space="preserve"> </w:t>
      </w:r>
    </w:p>
    <w:p w14:paraId="1CAA0209" w14:textId="56CBA1F8" w:rsidR="0007023D" w:rsidRDefault="00C75312" w:rsidP="00C7403A">
      <w:pPr>
        <w:pStyle w:val="IFTnormal"/>
        <w:rPr>
          <w:rFonts w:eastAsia="Calibri" w:cs="Arial"/>
          <w:color w:val="000000"/>
          <w:lang w:eastAsia="es-ES"/>
        </w:rPr>
      </w:pPr>
      <w:r>
        <w:t>Estos valores de</w:t>
      </w:r>
      <w:r w:rsidR="00C7403A">
        <w:t xml:space="preserve"> CAPEX </w:t>
      </w:r>
      <w:r>
        <w:t>fueron actualizados al valor nominal correspondiente, adicional a las revisiones en los niveles de CAPEX de torres (en particular, adquisición de torres y obra civil)</w:t>
      </w:r>
      <w:r w:rsidR="000D4FC2">
        <w:t xml:space="preserve"> </w:t>
      </w:r>
      <w:r>
        <w:t>referidas</w:t>
      </w:r>
      <w:r w:rsidR="00C7403A">
        <w:t xml:space="preserve"> en el numeral 3.1.6.1 del presente documento, en el cual se llevó a cabo una actualización de los niveles de CAPEX</w:t>
      </w:r>
      <w:r>
        <w:t>.</w:t>
      </w:r>
      <w:r w:rsidR="000D4FC2">
        <w:t xml:space="preserve"> </w:t>
      </w:r>
      <w:r w:rsidR="0007023D">
        <w:t xml:space="preserve">En este contexto, también se encuentra incluidos </w:t>
      </w:r>
      <w:r w:rsidR="00C7403A">
        <w:t xml:space="preserve">los niveles de </w:t>
      </w:r>
      <w:r w:rsidR="00FA2A57" w:rsidRPr="00681CB9">
        <w:rPr>
          <w:rFonts w:eastAsia="Calibri" w:cs="Arial"/>
          <w:color w:val="000000"/>
          <w:lang w:eastAsia="es-ES"/>
        </w:rPr>
        <w:t>CAPEX asociado</w:t>
      </w:r>
      <w:r w:rsidR="0007023D">
        <w:rPr>
          <w:rFonts w:eastAsia="Calibri" w:cs="Arial"/>
          <w:color w:val="000000"/>
          <w:lang w:eastAsia="es-ES"/>
        </w:rPr>
        <w:t>s</w:t>
      </w:r>
      <w:r w:rsidR="00FA2A57" w:rsidRPr="00681CB9">
        <w:rPr>
          <w:rFonts w:eastAsia="Calibri" w:cs="Arial"/>
          <w:color w:val="000000"/>
          <w:lang w:eastAsia="es-ES"/>
        </w:rPr>
        <w:t xml:space="preserve"> a “Instalación de sistemas/equipos de seguridad”</w:t>
      </w:r>
      <w:r w:rsidR="00FA2A57" w:rsidRPr="00681CB9">
        <w:rPr>
          <w:rStyle w:val="Refdenotaalpie"/>
          <w:rFonts w:eastAsia="Calibri" w:cs="Arial"/>
          <w:color w:val="000000"/>
          <w:lang w:eastAsia="es-ES"/>
        </w:rPr>
        <w:footnoteReference w:id="17"/>
      </w:r>
      <w:r w:rsidR="00FA2A57" w:rsidRPr="00681CB9">
        <w:rPr>
          <w:rFonts w:eastAsia="Calibri" w:cs="Arial"/>
          <w:color w:val="000000"/>
          <w:lang w:eastAsia="es-ES"/>
        </w:rPr>
        <w:t xml:space="preserve"> en la tarifa de </w:t>
      </w:r>
      <w:r w:rsidR="00CF17F6">
        <w:rPr>
          <w:rFonts w:eastAsia="Calibri" w:cs="Arial"/>
          <w:color w:val="000000"/>
          <w:lang w:eastAsia="es-ES"/>
        </w:rPr>
        <w:t>Espacio Aprobado en Torre</w:t>
      </w:r>
      <w:r w:rsidR="00FA2A57" w:rsidRPr="00681CB9">
        <w:rPr>
          <w:rFonts w:eastAsia="Calibri" w:cs="Arial"/>
          <w:color w:val="000000"/>
          <w:lang w:eastAsia="es-ES"/>
        </w:rPr>
        <w:t xml:space="preserve"> de acuerdo con el espacio</w:t>
      </w:r>
      <w:r w:rsidR="008436F0" w:rsidRPr="00681CB9">
        <w:rPr>
          <w:rFonts w:eastAsia="Calibri" w:cs="Arial"/>
          <w:color w:val="000000"/>
          <w:lang w:eastAsia="es-ES"/>
        </w:rPr>
        <w:t xml:space="preserve"> promedio </w:t>
      </w:r>
      <w:r w:rsidR="00FA2A57" w:rsidRPr="00681CB9">
        <w:rPr>
          <w:rFonts w:eastAsia="Calibri" w:cs="Arial"/>
          <w:color w:val="000000"/>
          <w:lang w:eastAsia="es-ES"/>
        </w:rPr>
        <w:t xml:space="preserve">que ocupa la torre en el sitio. </w:t>
      </w:r>
      <w:r w:rsidR="008436F0" w:rsidRPr="00681CB9">
        <w:rPr>
          <w:rFonts w:eastAsia="Calibri" w:cs="Arial"/>
          <w:color w:val="000000"/>
          <w:lang w:eastAsia="es-ES"/>
        </w:rPr>
        <w:t>El costo de los sistemas y equipos de seguridad y la diferente distribución de las torres explica la variación de tarifas entre espacio de torre en terreno y en azotea.</w:t>
      </w:r>
    </w:p>
    <w:p w14:paraId="672B08E3" w14:textId="5AA16210" w:rsidR="0099731C" w:rsidRPr="00681CB9" w:rsidRDefault="0099731C" w:rsidP="00C7403A">
      <w:pPr>
        <w:pStyle w:val="IFTnormal"/>
      </w:pPr>
      <w:r w:rsidRPr="00681CB9">
        <w:t xml:space="preserve">Una vez identificados estos elementos se obtiene el gasto anual por cada elemento necesario para la provisión de los servicios. Dicha cantidad por cada elemento se obtiene de la suma del CAPEX y OPEX calculado conforme </w:t>
      </w:r>
      <w:r w:rsidR="007C0B96" w:rsidRPr="00681CB9">
        <w:t xml:space="preserve">a </w:t>
      </w:r>
      <w:r w:rsidRPr="00681CB9">
        <w:t xml:space="preserve">lo expuesto en </w:t>
      </w:r>
      <w:r w:rsidR="00C56D87" w:rsidRPr="00681CB9">
        <w:t xml:space="preserve">el numeral </w:t>
      </w:r>
      <w:r w:rsidR="00BD4BD8">
        <w:t>3.1.6</w:t>
      </w:r>
      <w:r w:rsidR="00201412" w:rsidRPr="00681CB9">
        <w:t xml:space="preserve"> </w:t>
      </w:r>
    </w:p>
    <w:p w14:paraId="7D910780" w14:textId="43677E65" w:rsidR="0007023D" w:rsidRDefault="0099731C" w:rsidP="0099731C">
      <w:pPr>
        <w:pStyle w:val="IFTnormal"/>
      </w:pPr>
      <w:r w:rsidRPr="00681CB9">
        <w:t xml:space="preserve">Cabe destacar que para el caso del servicio de </w:t>
      </w:r>
      <w:r w:rsidR="00CF17F6">
        <w:t>Espacio Aprobado en Torre</w:t>
      </w:r>
      <w:r w:rsidRPr="00681CB9">
        <w:rPr>
          <w:lang w:val="es-419"/>
        </w:rPr>
        <w:t xml:space="preserve"> se asignan a los CS 4 metros lineales de</w:t>
      </w:r>
      <w:r w:rsidRPr="00610ABD">
        <w:rPr>
          <w:lang w:val="es-419"/>
        </w:rPr>
        <w:t xml:space="preserve"> la demanda promedio actual</w:t>
      </w:r>
      <w:r w:rsidRPr="00610ABD">
        <w:t xml:space="preserve">, </w:t>
      </w:r>
      <w:r w:rsidR="0007023D" w:rsidRPr="00610ABD">
        <w:t>adi</w:t>
      </w:r>
      <w:r w:rsidR="0007023D">
        <w:t>cional a</w:t>
      </w:r>
      <w:r w:rsidRPr="00681CB9">
        <w:rPr>
          <w:lang w:val="es-419"/>
        </w:rPr>
        <w:t xml:space="preserve"> la </w:t>
      </w:r>
      <w:r w:rsidRPr="00681CB9">
        <w:t>demanda de ocupación promedio d</w:t>
      </w:r>
      <w:r w:rsidR="00DB69F1">
        <w:t>e espacio</w:t>
      </w:r>
      <w:r w:rsidR="00CF17F6">
        <w:t xml:space="preserve"> en Torre</w:t>
      </w:r>
      <w:r w:rsidRPr="00681CB9">
        <w:t xml:space="preserve"> ocupado </w:t>
      </w:r>
      <w:r w:rsidRPr="00681CB9">
        <w:rPr>
          <w:lang w:val="es-419"/>
        </w:rPr>
        <w:t xml:space="preserve">actualmente por </w:t>
      </w:r>
      <w:r w:rsidR="00CF17F6">
        <w:rPr>
          <w:lang w:val="es-419"/>
        </w:rPr>
        <w:t>TELMEX</w:t>
      </w:r>
      <w:r w:rsidR="0007023D">
        <w:rPr>
          <w:lang w:val="es-419"/>
        </w:rPr>
        <w:t xml:space="preserve"> y </w:t>
      </w:r>
      <w:r w:rsidR="00CF17F6">
        <w:rPr>
          <w:lang w:val="es-419"/>
        </w:rPr>
        <w:t>TELNOR</w:t>
      </w:r>
      <w:r w:rsidR="0007023D">
        <w:rPr>
          <w:lang w:val="es-419"/>
        </w:rPr>
        <w:t>, así como de los</w:t>
      </w:r>
      <w:r w:rsidR="00D31A84">
        <w:t xml:space="preserve"> integrantes</w:t>
      </w:r>
      <w:r w:rsidR="00551E46" w:rsidRPr="00681CB9">
        <w:t xml:space="preserve"> </w:t>
      </w:r>
      <w:r w:rsidR="0007023D">
        <w:t xml:space="preserve">del AEP </w:t>
      </w:r>
      <w:r w:rsidR="00610ABD" w:rsidRPr="00681CB9">
        <w:rPr>
          <w:lang w:val="es-419"/>
        </w:rPr>
        <w:t>cómo</w:t>
      </w:r>
      <w:r w:rsidRPr="00681CB9">
        <w:rPr>
          <w:lang w:val="es-419"/>
        </w:rPr>
        <w:t xml:space="preserve"> se mencionó anteriormente</w:t>
      </w:r>
      <w:r w:rsidR="005A126B" w:rsidRPr="00681CB9">
        <w:t>.</w:t>
      </w:r>
    </w:p>
    <w:p w14:paraId="7C76D47B" w14:textId="06A4E82D" w:rsidR="0007023D" w:rsidRDefault="00551E46" w:rsidP="0099731C">
      <w:pPr>
        <w:pStyle w:val="IFTnormal"/>
        <w:rPr>
          <w:lang w:val="es-419"/>
        </w:rPr>
      </w:pPr>
      <w:r w:rsidRPr="00681CB9">
        <w:t xml:space="preserve">Por ello, la </w:t>
      </w:r>
      <w:r w:rsidR="005A126B" w:rsidRPr="00681CB9">
        <w:t>d</w:t>
      </w:r>
      <w:r w:rsidRPr="00681CB9">
        <w:t xml:space="preserve">emanda de ocupación en torre de la hoja Características Técnicas es la ocupación promedio de </w:t>
      </w:r>
      <w:r w:rsidR="00CF17F6">
        <w:t>Espacio Aprobado en Torre</w:t>
      </w:r>
      <w:r w:rsidRPr="00681CB9">
        <w:t xml:space="preserve"> por </w:t>
      </w:r>
      <w:r w:rsidR="00CF17F6">
        <w:t>TELMEX</w:t>
      </w:r>
      <w:r w:rsidR="0007023D">
        <w:t xml:space="preserve"> y </w:t>
      </w:r>
      <w:r w:rsidR="00CF17F6">
        <w:t>TELNOR</w:t>
      </w:r>
      <w:r w:rsidR="0007023D">
        <w:t>, así como de los integrantes del AEP,</w:t>
      </w:r>
      <w:r w:rsidRPr="00681CB9">
        <w:t xml:space="preserve"> </w:t>
      </w:r>
      <w:r w:rsidR="00DB69F1">
        <w:t xml:space="preserve">así como el dimensionamiento </w:t>
      </w:r>
      <w:r w:rsidR="00DB69F1" w:rsidRPr="00681CB9">
        <w:t>corresponde</w:t>
      </w:r>
      <w:r w:rsidR="00F40FDB" w:rsidRPr="00681CB9">
        <w:t xml:space="preserve"> a la franja asignada al supuesto</w:t>
      </w:r>
      <w:r w:rsidRPr="00681CB9">
        <w:t xml:space="preserve"> CS</w:t>
      </w:r>
      <w:r w:rsidR="00F40FDB" w:rsidRPr="00681CB9">
        <w:t xml:space="preserve"> entrante</w:t>
      </w:r>
      <w:r w:rsidR="005D68F9">
        <w:t xml:space="preserve"> en el espacio ocupado actualmente</w:t>
      </w:r>
      <w:r w:rsidRPr="00681CB9">
        <w:rPr>
          <w:lang w:val="es-419"/>
        </w:rPr>
        <w:t>.</w:t>
      </w:r>
      <w:r w:rsidR="005A126B" w:rsidRPr="00681CB9">
        <w:rPr>
          <w:lang w:val="es-419"/>
        </w:rPr>
        <w:t xml:space="preserve"> </w:t>
      </w:r>
      <w:r w:rsidR="001A4F9A" w:rsidRPr="00681CB9">
        <w:rPr>
          <w:lang w:val="es-419"/>
        </w:rPr>
        <w:t xml:space="preserve">De esta manera, esta asignación no modifica el promedio total de ocupación actual de las torres </w:t>
      </w:r>
      <w:r w:rsidR="00D062E0">
        <w:rPr>
          <w:lang w:val="es-419"/>
        </w:rPr>
        <w:t xml:space="preserve">de </w:t>
      </w:r>
      <w:r w:rsidR="00CF17F6">
        <w:rPr>
          <w:lang w:val="es-419"/>
        </w:rPr>
        <w:t>TELMEX</w:t>
      </w:r>
      <w:r w:rsidR="00D062E0">
        <w:rPr>
          <w:lang w:val="es-419"/>
        </w:rPr>
        <w:t xml:space="preserve"> y </w:t>
      </w:r>
      <w:r w:rsidR="00CF17F6">
        <w:rPr>
          <w:lang w:val="es-419"/>
        </w:rPr>
        <w:t>TELNOR</w:t>
      </w:r>
      <w:r w:rsidR="001A4F9A" w:rsidRPr="00681CB9">
        <w:rPr>
          <w:lang w:val="es-419"/>
        </w:rPr>
        <w:t xml:space="preserve">. </w:t>
      </w:r>
    </w:p>
    <w:p w14:paraId="7900CAB9" w14:textId="029F9B66" w:rsidR="0099731C" w:rsidRPr="00681CB9" w:rsidRDefault="00551E46" w:rsidP="0099731C">
      <w:pPr>
        <w:pStyle w:val="IFTnormal"/>
      </w:pPr>
      <w:r w:rsidRPr="00681CB9">
        <w:t>E</w:t>
      </w:r>
      <w:r w:rsidR="0099731C" w:rsidRPr="00681CB9">
        <w:t>l gasto anual se reparte</w:t>
      </w:r>
      <w:r w:rsidR="0099731C" w:rsidRPr="00681CB9">
        <w:rPr>
          <w:lang w:val="es-419"/>
        </w:rPr>
        <w:t xml:space="preserve"> en proporción de </w:t>
      </w:r>
      <w:r w:rsidR="001A4F9A" w:rsidRPr="00681CB9">
        <w:rPr>
          <w:lang w:val="es-419"/>
        </w:rPr>
        <w:t>l</w:t>
      </w:r>
      <w:r w:rsidR="0099731C" w:rsidRPr="00681CB9">
        <w:rPr>
          <w:lang w:val="es-419"/>
        </w:rPr>
        <w:t xml:space="preserve">os 4 metros lineales para el supuesto CS entrante y el restante se le asigna </w:t>
      </w:r>
      <w:r w:rsidR="00D062E0">
        <w:rPr>
          <w:lang w:val="es-419"/>
        </w:rPr>
        <w:t xml:space="preserve">a </w:t>
      </w:r>
      <w:r w:rsidR="00CF17F6">
        <w:rPr>
          <w:lang w:val="es-419"/>
        </w:rPr>
        <w:t>TELMEX</w:t>
      </w:r>
      <w:r w:rsidR="00D062E0">
        <w:rPr>
          <w:lang w:val="es-419"/>
        </w:rPr>
        <w:t xml:space="preserve"> y </w:t>
      </w:r>
      <w:r w:rsidR="00CF17F6">
        <w:rPr>
          <w:lang w:val="es-419"/>
        </w:rPr>
        <w:t>TELNOR</w:t>
      </w:r>
      <w:r w:rsidR="0099731C" w:rsidRPr="00681CB9">
        <w:t xml:space="preserve">. </w:t>
      </w:r>
      <w:r w:rsidR="00AF5906">
        <w:t>Adicionalmente, e</w:t>
      </w:r>
      <w:r w:rsidR="0099731C" w:rsidRPr="00681CB9">
        <w:t xml:space="preserve">l gasto anual del espacio restante (es decir, el espacio vertical en torre que no es ocupado de manera directa por los operadores) se reparte </w:t>
      </w:r>
      <w:r w:rsidR="00FA2A57" w:rsidRPr="00681CB9">
        <w:rPr>
          <w:lang w:val="es-419"/>
        </w:rPr>
        <w:t xml:space="preserve">entre </w:t>
      </w:r>
      <w:r w:rsidR="00CF17F6">
        <w:rPr>
          <w:lang w:val="es-419"/>
        </w:rPr>
        <w:t>TELMEX</w:t>
      </w:r>
      <w:r w:rsidR="00D062E0">
        <w:rPr>
          <w:lang w:val="es-419"/>
        </w:rPr>
        <w:t xml:space="preserve"> y </w:t>
      </w:r>
      <w:r w:rsidR="00CF17F6">
        <w:rPr>
          <w:lang w:val="es-419"/>
        </w:rPr>
        <w:t>TELNOR</w:t>
      </w:r>
      <w:r w:rsidR="00FA2A57" w:rsidRPr="00681CB9">
        <w:rPr>
          <w:lang w:val="es-419"/>
        </w:rPr>
        <w:t xml:space="preserve"> y el supuesto CS</w:t>
      </w:r>
      <w:r w:rsidR="00D062E0">
        <w:rPr>
          <w:lang w:val="es-419"/>
        </w:rPr>
        <w:t xml:space="preserve"> </w:t>
      </w:r>
      <w:r w:rsidR="00FA2A57" w:rsidRPr="00681CB9">
        <w:rPr>
          <w:lang w:val="es-419"/>
        </w:rPr>
        <w:t>entrante</w:t>
      </w:r>
      <w:r w:rsidR="00D062E0">
        <w:rPr>
          <w:lang w:val="es-419"/>
        </w:rPr>
        <w:t>,</w:t>
      </w:r>
      <w:r w:rsidR="00FA2A57" w:rsidRPr="00681CB9">
        <w:t xml:space="preserve"> </w:t>
      </w:r>
      <w:r w:rsidR="0099731C" w:rsidRPr="00681CB9">
        <w:t xml:space="preserve">de manera proporcional </w:t>
      </w:r>
      <w:r w:rsidR="00FA2A57" w:rsidRPr="00681CB9">
        <w:t>al espacio vertical</w:t>
      </w:r>
      <w:r w:rsidR="00FA2A57" w:rsidRPr="00681CB9">
        <w:rPr>
          <w:lang w:val="es-419"/>
        </w:rPr>
        <w:t xml:space="preserve"> </w:t>
      </w:r>
      <w:r w:rsidR="00FA2A57" w:rsidRPr="00681CB9">
        <w:t xml:space="preserve">empleado por </w:t>
      </w:r>
      <w:r w:rsidR="00CF17F6">
        <w:t>TELMEX</w:t>
      </w:r>
      <w:r w:rsidR="00D062E0">
        <w:t xml:space="preserve"> y </w:t>
      </w:r>
      <w:r w:rsidR="00CF17F6">
        <w:t>TELNOR</w:t>
      </w:r>
      <w:r w:rsidR="00FA2A57" w:rsidRPr="00681CB9">
        <w:t xml:space="preserve"> y los CS</w:t>
      </w:r>
      <w:r w:rsidR="00FA2A57" w:rsidRPr="00681CB9">
        <w:rPr>
          <w:lang w:val="es-419"/>
        </w:rPr>
        <w:t xml:space="preserve">. Es decir </w:t>
      </w:r>
      <w:r w:rsidR="00116D3D" w:rsidRPr="00681CB9">
        <w:rPr>
          <w:lang w:val="es-419"/>
        </w:rPr>
        <w:t>que,</w:t>
      </w:r>
      <w:r w:rsidR="00FA2A57" w:rsidRPr="00681CB9">
        <w:rPr>
          <w:lang w:val="es-419"/>
        </w:rPr>
        <w:t xml:space="preserve"> si el CS ocupa 4 de los 43 metros lineales totales ocupados en la torre, se le asignará 9.3% </w:t>
      </w:r>
      <w:r w:rsidR="002136A7" w:rsidRPr="00681CB9">
        <w:rPr>
          <w:lang w:val="es-419"/>
        </w:rPr>
        <w:t xml:space="preserve">(4/43 x100) </w:t>
      </w:r>
      <w:r w:rsidR="00FA2A57" w:rsidRPr="00681CB9">
        <w:rPr>
          <w:lang w:val="es-419"/>
        </w:rPr>
        <w:t xml:space="preserve">del espacio lineal </w:t>
      </w:r>
      <w:r w:rsidR="00FA2A57" w:rsidRPr="00681CB9">
        <w:rPr>
          <w:lang w:val="es-419"/>
        </w:rPr>
        <w:lastRenderedPageBreak/>
        <w:t xml:space="preserve">residual de la torre. </w:t>
      </w:r>
      <w:r w:rsidR="00FA2A57" w:rsidRPr="00681CB9">
        <w:t xml:space="preserve"> Dicha asignación de </w:t>
      </w:r>
      <w:r w:rsidR="00CF17F6">
        <w:t>Espacio Aprobado en Torre</w:t>
      </w:r>
      <w:r w:rsidR="00FA2A57" w:rsidRPr="00681CB9">
        <w:t xml:space="preserve"> se lleva a cabo en la hoja </w:t>
      </w:r>
      <w:r w:rsidR="00D062E0">
        <w:t>“</w:t>
      </w:r>
      <w:r w:rsidR="00AF5906">
        <w:t>Dimensionado” y “Precio</w:t>
      </w:r>
      <w:r w:rsidR="00D062E0">
        <w:t>”</w:t>
      </w:r>
      <w:r w:rsidR="00FA2A57" w:rsidRPr="00681CB9">
        <w:t xml:space="preserve">. </w:t>
      </w:r>
    </w:p>
    <w:p w14:paraId="2E6E0861" w14:textId="6054CD3C" w:rsidR="0099731C" w:rsidRPr="00681CB9" w:rsidRDefault="0099731C" w:rsidP="0099731C">
      <w:pPr>
        <w:pStyle w:val="IFTnormal"/>
        <w:rPr>
          <w:lang w:val="es-419"/>
        </w:rPr>
      </w:pPr>
      <w:r w:rsidRPr="00681CB9">
        <w:t xml:space="preserve">Por otro lado, para el caso de los servicios de </w:t>
      </w:r>
      <w:r w:rsidR="00CF17F6">
        <w:t>Espacio Aprobado en Piso</w:t>
      </w:r>
      <w:r w:rsidRPr="00681CB9">
        <w:t xml:space="preserve">, dado que se modela un sitio cuya propiedad es </w:t>
      </w:r>
      <w:r w:rsidR="00CF17F6">
        <w:t>TELMEX</w:t>
      </w:r>
      <w:r w:rsidR="0007023D">
        <w:t xml:space="preserve"> y </w:t>
      </w:r>
      <w:r w:rsidR="00CF17F6">
        <w:t>TELNOR</w:t>
      </w:r>
      <w:r w:rsidRPr="00681CB9">
        <w:t xml:space="preserve">, se estima el valor del gasto anual total en la superficie, así como de espacio de azotea y caseta presente en los sitios.  Por tanto, el gasto anual asignado por cada operador dependerá enteramente del gasto anual total de los elementos que intervienen para la prestación de los servicios, el cual deberá repartirse </w:t>
      </w:r>
      <w:r w:rsidRPr="00681CB9">
        <w:rPr>
          <w:lang w:val="es-419"/>
        </w:rPr>
        <w:t>para los CS de acuerdo a la ocupación de 6.6 metros cuadrados,</w:t>
      </w:r>
      <w:r w:rsidRPr="00681CB9">
        <w:t xml:space="preserve"> un uso de espacio</w:t>
      </w:r>
      <w:r w:rsidRPr="00681CB9">
        <w:rPr>
          <w:lang w:val="es-419"/>
        </w:rPr>
        <w:t xml:space="preserve"> común al espacio en predio y el espacio demandado</w:t>
      </w:r>
      <w:r w:rsidRPr="00681CB9">
        <w:rPr>
          <w:vertAlign w:val="superscript"/>
          <w:lang w:val="es-419"/>
        </w:rPr>
        <w:footnoteReference w:id="18"/>
      </w:r>
      <w:r w:rsidRPr="00681CB9">
        <w:t xml:space="preserve">, así como una porción del </w:t>
      </w:r>
      <w:r w:rsidRPr="00681CB9">
        <w:rPr>
          <w:lang w:val="es-419"/>
        </w:rPr>
        <w:t>Espacio ocupado</w:t>
      </w:r>
      <w:r w:rsidRPr="00681CB9">
        <w:t xml:space="preserve"> por la</w:t>
      </w:r>
      <w:r w:rsidRPr="00681CB9">
        <w:rPr>
          <w:lang w:val="es-419"/>
        </w:rPr>
        <w:t xml:space="preserve"> Base</w:t>
      </w:r>
      <w:r w:rsidRPr="00681CB9">
        <w:t xml:space="preserve"> de la torre</w:t>
      </w:r>
      <w:r w:rsidRPr="00681CB9">
        <w:rPr>
          <w:vertAlign w:val="superscript"/>
        </w:rPr>
        <w:footnoteReference w:id="19"/>
      </w:r>
      <w:r w:rsidRPr="00681CB9">
        <w:rPr>
          <w:lang w:val="es-419"/>
        </w:rPr>
        <w:t xml:space="preserve"> y para </w:t>
      </w:r>
      <w:r w:rsidR="00CF17F6">
        <w:rPr>
          <w:lang w:val="es-419"/>
        </w:rPr>
        <w:t>TELMEX</w:t>
      </w:r>
      <w:r w:rsidR="00DC206D">
        <w:rPr>
          <w:lang w:val="es-419"/>
        </w:rPr>
        <w:t xml:space="preserve"> y </w:t>
      </w:r>
      <w:r w:rsidR="00CF17F6">
        <w:rPr>
          <w:lang w:val="es-419"/>
        </w:rPr>
        <w:t>TELNOR</w:t>
      </w:r>
      <w:r w:rsidRPr="00681CB9">
        <w:rPr>
          <w:lang w:val="es-419"/>
        </w:rPr>
        <w:t xml:space="preserve"> como el complemento del espacio total ocupado por el CS entrante. </w:t>
      </w:r>
    </w:p>
    <w:p w14:paraId="4E443DBD" w14:textId="40194397" w:rsidR="0099731C" w:rsidRPr="00681CB9" w:rsidRDefault="0099731C" w:rsidP="0099731C">
      <w:pPr>
        <w:pStyle w:val="IFTnormal"/>
      </w:pPr>
      <w:r w:rsidRPr="00681CB9">
        <w:t xml:space="preserve">A efecto de facilitar el entendimiento del proceso de asignación de costos de </w:t>
      </w:r>
      <w:r w:rsidR="00CF17F6">
        <w:t>Espacio Aprobado en Torre</w:t>
      </w:r>
      <w:r w:rsidRPr="00681CB9">
        <w:t xml:space="preserve"> y </w:t>
      </w:r>
      <w:r w:rsidR="00CF17F6">
        <w:t>Espacio Aprobado en Piso</w:t>
      </w:r>
      <w:r w:rsidRPr="00681CB9">
        <w:t xml:space="preserve">, implementado en el </w:t>
      </w:r>
      <w:r w:rsidR="00F7470F">
        <w:rPr>
          <w:rStyle w:val="IFTnormalCar"/>
        </w:rPr>
        <w:t>Modelo de Acceso a Torres</w:t>
      </w:r>
      <w:r w:rsidRPr="00681CB9">
        <w:t>, en la siguiente tabla se describen los principales criterios de asignación:</w:t>
      </w:r>
    </w:p>
    <w:tbl>
      <w:tblPr>
        <w:tblStyle w:val="Tablaconcuadrcula5oscura-nfasis5"/>
        <w:tblW w:w="8731" w:type="dxa"/>
        <w:tblLook w:val="0420" w:firstRow="1" w:lastRow="0" w:firstColumn="0" w:lastColumn="0" w:noHBand="0" w:noVBand="1"/>
        <w:tblCaption w:val="Figura 3: Estrutura del modelo de costos de coubicación móvil (Fuente: IFT, 2015)"/>
        <w:tblDescription w:val="Se divida en hoja de cálculo y descripción"/>
      </w:tblPr>
      <w:tblGrid>
        <w:gridCol w:w="2263"/>
        <w:gridCol w:w="6468"/>
      </w:tblGrid>
      <w:tr w:rsidR="0099731C" w:rsidRPr="00681CB9" w14:paraId="3E968EE6" w14:textId="77777777" w:rsidTr="00D74957">
        <w:trPr>
          <w:cnfStyle w:val="100000000000" w:firstRow="1" w:lastRow="0" w:firstColumn="0" w:lastColumn="0" w:oddVBand="0" w:evenVBand="0" w:oddHBand="0" w:evenHBand="0" w:firstRowFirstColumn="0" w:firstRowLastColumn="0" w:lastRowFirstColumn="0" w:lastRowLastColumn="0"/>
          <w:trHeight w:val="351"/>
          <w:tblHeader/>
        </w:trPr>
        <w:tc>
          <w:tcPr>
            <w:tcW w:w="2263" w:type="dxa"/>
            <w:vAlign w:val="center"/>
          </w:tcPr>
          <w:p w14:paraId="2B0166F6" w14:textId="77777777" w:rsidR="0099731C" w:rsidRPr="00681CB9" w:rsidRDefault="0099731C" w:rsidP="006379DB">
            <w:pPr>
              <w:pStyle w:val="Tableheading"/>
              <w:jc w:val="center"/>
              <w:rPr>
                <w:rFonts w:ascii="ITC Avant Garde" w:hAnsi="ITC Avant Garde"/>
                <w:b/>
                <w:i/>
                <w:szCs w:val="18"/>
                <w:lang w:val="es-ES_tradnl"/>
              </w:rPr>
            </w:pPr>
            <w:r w:rsidRPr="00681CB9">
              <w:rPr>
                <w:rFonts w:ascii="ITC Avant Garde" w:hAnsi="ITC Avant Garde"/>
                <w:szCs w:val="18"/>
                <w:lang w:val="es-ES_tradnl"/>
              </w:rPr>
              <w:t>Concepto</w:t>
            </w:r>
          </w:p>
        </w:tc>
        <w:tc>
          <w:tcPr>
            <w:tcW w:w="6468" w:type="dxa"/>
            <w:vAlign w:val="center"/>
          </w:tcPr>
          <w:p w14:paraId="6FD7A309" w14:textId="77777777" w:rsidR="0099731C" w:rsidRPr="00681CB9" w:rsidRDefault="0099731C" w:rsidP="006379DB">
            <w:pPr>
              <w:pStyle w:val="Tableheading"/>
              <w:jc w:val="center"/>
              <w:rPr>
                <w:rFonts w:ascii="ITC Avant Garde" w:hAnsi="ITC Avant Garde"/>
                <w:b/>
                <w:i/>
                <w:szCs w:val="18"/>
                <w:lang w:val="es-ES_tradnl"/>
              </w:rPr>
            </w:pPr>
            <w:r w:rsidRPr="00681CB9">
              <w:rPr>
                <w:rFonts w:ascii="ITC Avant Garde" w:hAnsi="ITC Avant Garde"/>
                <w:szCs w:val="18"/>
                <w:lang w:val="es-ES_tradnl"/>
              </w:rPr>
              <w:t>Criterio de asignación de Costos</w:t>
            </w:r>
          </w:p>
        </w:tc>
      </w:tr>
      <w:tr w:rsidR="0099731C" w:rsidRPr="00681CB9" w14:paraId="0701D57E" w14:textId="77777777" w:rsidTr="00D74957">
        <w:trPr>
          <w:cnfStyle w:val="000000100000" w:firstRow="0" w:lastRow="0" w:firstColumn="0" w:lastColumn="0" w:oddVBand="0" w:evenVBand="0" w:oddHBand="1" w:evenHBand="0" w:firstRowFirstColumn="0" w:firstRowLastColumn="0" w:lastRowFirstColumn="0" w:lastRowLastColumn="0"/>
          <w:trHeight w:val="351"/>
        </w:trPr>
        <w:tc>
          <w:tcPr>
            <w:tcW w:w="2263" w:type="dxa"/>
          </w:tcPr>
          <w:p w14:paraId="30F4E67F" w14:textId="50AC3CDB" w:rsidR="0099731C" w:rsidRPr="00681CB9" w:rsidRDefault="00CF17F6" w:rsidP="0099731C">
            <w:pPr>
              <w:pStyle w:val="Tablecells"/>
              <w:rPr>
                <w:rFonts w:ascii="ITC Avant Garde" w:hAnsi="ITC Avant Garde"/>
                <w:szCs w:val="18"/>
                <w:lang w:val="es-ES_tradnl"/>
              </w:rPr>
            </w:pPr>
            <w:r>
              <w:rPr>
                <w:rFonts w:ascii="ITC Avant Garde" w:hAnsi="ITC Avant Garde"/>
                <w:b/>
                <w:i/>
                <w:szCs w:val="18"/>
                <w:lang w:val="es-ES_tradnl"/>
              </w:rPr>
              <w:t>Espacio Aprobado en Torre</w:t>
            </w:r>
          </w:p>
        </w:tc>
        <w:tc>
          <w:tcPr>
            <w:tcW w:w="6468" w:type="dxa"/>
          </w:tcPr>
          <w:p w14:paraId="3E3B60EA" w14:textId="4B2AAF92" w:rsidR="0099731C" w:rsidRPr="00681CB9" w:rsidRDefault="0099731C" w:rsidP="0099731C">
            <w:pPr>
              <w:pStyle w:val="Tablecells"/>
              <w:jc w:val="both"/>
              <w:rPr>
                <w:rFonts w:ascii="ITC Avant Garde" w:hAnsi="ITC Avant Garde"/>
                <w:szCs w:val="18"/>
                <w:lang w:val="es-ES_tradnl"/>
              </w:rPr>
            </w:pPr>
            <w:r w:rsidRPr="00681CB9">
              <w:rPr>
                <w:rFonts w:ascii="ITC Avant Garde" w:hAnsi="ITC Avant Garde"/>
                <w:szCs w:val="18"/>
                <w:lang w:val="es-ES_tradnl"/>
              </w:rPr>
              <w:t>Costo de la torre proporcional al espacio vertical</w:t>
            </w:r>
            <w:r w:rsidRPr="00681CB9">
              <w:rPr>
                <w:rFonts w:ascii="ITC Avant Garde" w:hAnsi="ITC Avant Garde"/>
                <w:szCs w:val="18"/>
                <w:lang w:val="es-419"/>
              </w:rPr>
              <w:t xml:space="preserve"> </w:t>
            </w:r>
            <w:r w:rsidRPr="00681CB9">
              <w:rPr>
                <w:rFonts w:ascii="ITC Avant Garde" w:hAnsi="ITC Avant Garde"/>
                <w:szCs w:val="18"/>
                <w:lang w:val="es-ES_tradnl"/>
              </w:rPr>
              <w:t xml:space="preserve">empleado por </w:t>
            </w:r>
            <w:r w:rsidR="00CF17F6">
              <w:rPr>
                <w:rFonts w:ascii="ITC Avant Garde" w:hAnsi="ITC Avant Garde"/>
                <w:szCs w:val="18"/>
                <w:lang w:val="es-ES_tradnl"/>
              </w:rPr>
              <w:t>TELMEX</w:t>
            </w:r>
            <w:r w:rsidR="00DC206D">
              <w:rPr>
                <w:rFonts w:ascii="ITC Avant Garde" w:hAnsi="ITC Avant Garde"/>
                <w:szCs w:val="18"/>
                <w:lang w:val="es-ES_tradnl"/>
              </w:rPr>
              <w:t xml:space="preserve"> y </w:t>
            </w:r>
            <w:r w:rsidR="00CF17F6">
              <w:rPr>
                <w:rFonts w:ascii="ITC Avant Garde" w:hAnsi="ITC Avant Garde"/>
                <w:szCs w:val="18"/>
                <w:lang w:val="es-ES_tradnl"/>
              </w:rPr>
              <w:t>TELNOR</w:t>
            </w:r>
            <w:r w:rsidRPr="00681CB9">
              <w:rPr>
                <w:rFonts w:ascii="ITC Avant Garde" w:hAnsi="ITC Avant Garde"/>
                <w:szCs w:val="18"/>
                <w:lang w:val="es-ES_tradnl"/>
              </w:rPr>
              <w:t xml:space="preserve"> y </w:t>
            </w:r>
            <w:r w:rsidR="00DC206D">
              <w:rPr>
                <w:rFonts w:ascii="ITC Avant Garde" w:hAnsi="ITC Avant Garde"/>
                <w:szCs w:val="18"/>
                <w:lang w:val="es-ES_tradnl"/>
              </w:rPr>
              <w:t xml:space="preserve">el </w:t>
            </w:r>
            <w:r w:rsidRPr="00681CB9">
              <w:rPr>
                <w:rFonts w:ascii="ITC Avant Garde" w:hAnsi="ITC Avant Garde"/>
                <w:szCs w:val="18"/>
                <w:lang w:val="es-ES_tradnl"/>
              </w:rPr>
              <w:t>CS, de acuerdo con lo siguiente:</w:t>
            </w:r>
          </w:p>
        </w:tc>
      </w:tr>
      <w:tr w:rsidR="0099731C" w:rsidRPr="00681CB9" w14:paraId="3A79A281" w14:textId="77777777" w:rsidTr="00D74957">
        <w:tc>
          <w:tcPr>
            <w:tcW w:w="2263" w:type="dxa"/>
          </w:tcPr>
          <w:p w14:paraId="6C67E623" w14:textId="77777777" w:rsidR="0099731C" w:rsidRPr="00681CB9" w:rsidRDefault="0099731C" w:rsidP="0099731C">
            <w:pPr>
              <w:pStyle w:val="Tablecells"/>
              <w:rPr>
                <w:rFonts w:ascii="ITC Avant Garde" w:hAnsi="ITC Avant Garde"/>
                <w:b/>
                <w:i/>
                <w:szCs w:val="18"/>
                <w:lang w:val="es-ES_tradnl"/>
              </w:rPr>
            </w:pPr>
          </w:p>
        </w:tc>
        <w:tc>
          <w:tcPr>
            <w:tcW w:w="6468" w:type="dxa"/>
          </w:tcPr>
          <w:p w14:paraId="68F4C2BA" w14:textId="34DCBC68" w:rsidR="0099731C" w:rsidRPr="00681CB9" w:rsidRDefault="0099731C" w:rsidP="0099731C">
            <w:pPr>
              <w:pStyle w:val="Tablecells"/>
              <w:numPr>
                <w:ilvl w:val="0"/>
                <w:numId w:val="8"/>
              </w:numPr>
              <w:jc w:val="both"/>
              <w:rPr>
                <w:rFonts w:ascii="ITC Avant Garde" w:hAnsi="ITC Avant Garde"/>
                <w:szCs w:val="18"/>
                <w:lang w:val="es-ES_tradnl"/>
              </w:rPr>
            </w:pPr>
            <w:r w:rsidRPr="00681CB9">
              <w:rPr>
                <w:rFonts w:ascii="ITC Avant Garde" w:hAnsi="ITC Avant Garde"/>
                <w:b/>
                <w:szCs w:val="18"/>
                <w:lang w:val="es-ES_tradnl"/>
              </w:rPr>
              <w:t>Espacio ocupado directamente por operadores:</w:t>
            </w:r>
            <w:r w:rsidRPr="00681CB9">
              <w:rPr>
                <w:rFonts w:ascii="ITC Avant Garde" w:hAnsi="ITC Avant Garde"/>
                <w:i/>
                <w:szCs w:val="18"/>
                <w:lang w:val="es-ES_tradnl"/>
              </w:rPr>
              <w:t xml:space="preserve"> </w:t>
            </w:r>
            <w:r w:rsidRPr="00681CB9">
              <w:rPr>
                <w:rFonts w:ascii="ITC Avant Garde" w:hAnsi="ITC Avant Garde"/>
                <w:szCs w:val="18"/>
                <w:lang w:val="es-ES_tradnl"/>
              </w:rPr>
              <w:t xml:space="preserve">Proporcional a ocupación de metros lineales </w:t>
            </w:r>
            <w:r w:rsidR="00DC206D">
              <w:rPr>
                <w:rFonts w:ascii="ITC Avant Garde" w:hAnsi="ITC Avant Garde"/>
                <w:szCs w:val="18"/>
                <w:lang w:val="es-ES_tradnl"/>
              </w:rPr>
              <w:t xml:space="preserve">de </w:t>
            </w:r>
            <w:r w:rsidR="00CF17F6">
              <w:rPr>
                <w:rFonts w:ascii="ITC Avant Garde" w:hAnsi="ITC Avant Garde"/>
                <w:szCs w:val="18"/>
                <w:lang w:val="es-ES_tradnl"/>
              </w:rPr>
              <w:t>TELMEX</w:t>
            </w:r>
            <w:r w:rsidR="00DC206D">
              <w:rPr>
                <w:rFonts w:ascii="ITC Avant Garde" w:hAnsi="ITC Avant Garde"/>
                <w:szCs w:val="18"/>
                <w:lang w:val="es-ES_tradnl"/>
              </w:rPr>
              <w:t xml:space="preserve"> y </w:t>
            </w:r>
            <w:r w:rsidR="00CF17F6">
              <w:rPr>
                <w:rFonts w:ascii="ITC Avant Garde" w:hAnsi="ITC Avant Garde"/>
                <w:szCs w:val="18"/>
                <w:lang w:val="es-ES_tradnl"/>
              </w:rPr>
              <w:t>TELNOR</w:t>
            </w:r>
            <w:r w:rsidRPr="00681CB9">
              <w:rPr>
                <w:rFonts w:ascii="ITC Avant Garde" w:hAnsi="ITC Avant Garde"/>
                <w:szCs w:val="18"/>
                <w:lang w:val="es-ES_tradnl"/>
              </w:rPr>
              <w:t xml:space="preserve"> y CS.</w:t>
            </w:r>
          </w:p>
          <w:p w14:paraId="10DF36B6" w14:textId="77777777" w:rsidR="0099731C" w:rsidRPr="00681CB9" w:rsidRDefault="0099731C" w:rsidP="0099731C">
            <w:pPr>
              <w:pStyle w:val="Tablecells"/>
              <w:jc w:val="both"/>
              <w:rPr>
                <w:rFonts w:ascii="ITC Avant Garde" w:hAnsi="ITC Avant Garde"/>
                <w:szCs w:val="18"/>
                <w:lang w:val="es-ES_tradnl"/>
              </w:rPr>
            </w:pPr>
          </w:p>
          <w:p w14:paraId="5E428F20" w14:textId="62DFE629" w:rsidR="0099731C" w:rsidRPr="00681CB9" w:rsidRDefault="0099731C" w:rsidP="00F55ACE">
            <w:pPr>
              <w:pStyle w:val="Tablecells"/>
              <w:numPr>
                <w:ilvl w:val="0"/>
                <w:numId w:val="8"/>
              </w:numPr>
              <w:jc w:val="both"/>
              <w:rPr>
                <w:rFonts w:ascii="ITC Avant Garde" w:hAnsi="ITC Avant Garde"/>
                <w:szCs w:val="18"/>
                <w:lang w:val="es-ES_tradnl"/>
              </w:rPr>
            </w:pPr>
            <w:r w:rsidRPr="00681CB9">
              <w:rPr>
                <w:rFonts w:ascii="ITC Avant Garde" w:hAnsi="ITC Avant Garde"/>
                <w:b/>
                <w:szCs w:val="18"/>
                <w:lang w:val="es-ES_tradnl"/>
              </w:rPr>
              <w:t>Espacio restante:</w:t>
            </w:r>
            <w:r w:rsidRPr="00681CB9">
              <w:rPr>
                <w:rFonts w:ascii="ITC Avant Garde" w:hAnsi="ITC Avant Garde"/>
                <w:i/>
                <w:szCs w:val="18"/>
                <w:lang w:val="es-ES_tradnl"/>
              </w:rPr>
              <w:t xml:space="preserve"> </w:t>
            </w:r>
            <w:r w:rsidRPr="00681CB9">
              <w:rPr>
                <w:rFonts w:ascii="ITC Avant Garde" w:hAnsi="ITC Avant Garde"/>
                <w:szCs w:val="18"/>
                <w:lang w:val="es-ES_tradnl"/>
              </w:rPr>
              <w:t xml:space="preserve">Proporcional </w:t>
            </w:r>
            <w:r w:rsidR="00DC206D" w:rsidRPr="00681CB9">
              <w:rPr>
                <w:rFonts w:ascii="ITC Avant Garde" w:hAnsi="ITC Avant Garde"/>
                <w:szCs w:val="18"/>
                <w:lang w:val="es-ES_tradnl"/>
              </w:rPr>
              <w:t>al espacio</w:t>
            </w:r>
            <w:r w:rsidR="00F55ACE" w:rsidRPr="00681CB9">
              <w:rPr>
                <w:rFonts w:ascii="ITC Avant Garde" w:hAnsi="ITC Avant Garde"/>
                <w:szCs w:val="18"/>
                <w:lang w:val="es-ES_tradnl"/>
              </w:rPr>
              <w:t xml:space="preserve"> ocupado</w:t>
            </w:r>
            <w:r w:rsidRPr="00681CB9">
              <w:rPr>
                <w:rFonts w:ascii="ITC Avant Garde" w:hAnsi="ITC Avant Garde"/>
                <w:szCs w:val="18"/>
                <w:lang w:val="es-ES_tradnl"/>
              </w:rPr>
              <w:t xml:space="preserve"> en torres </w:t>
            </w:r>
          </w:p>
        </w:tc>
      </w:tr>
      <w:tr w:rsidR="0099731C" w:rsidRPr="00681CB9" w14:paraId="71B12918" w14:textId="77777777" w:rsidTr="00D74957">
        <w:trPr>
          <w:cnfStyle w:val="000000100000" w:firstRow="0" w:lastRow="0" w:firstColumn="0" w:lastColumn="0" w:oddVBand="0" w:evenVBand="0" w:oddHBand="1" w:evenHBand="0" w:firstRowFirstColumn="0" w:firstRowLastColumn="0" w:lastRowFirstColumn="0" w:lastRowLastColumn="0"/>
        </w:trPr>
        <w:tc>
          <w:tcPr>
            <w:tcW w:w="2263" w:type="dxa"/>
          </w:tcPr>
          <w:p w14:paraId="675C0D92" w14:textId="61A33097" w:rsidR="0099731C" w:rsidRPr="00681CB9" w:rsidRDefault="00CF17F6" w:rsidP="0099731C">
            <w:pPr>
              <w:pStyle w:val="Tablecells"/>
              <w:rPr>
                <w:rFonts w:ascii="ITC Avant Garde" w:hAnsi="ITC Avant Garde"/>
                <w:i/>
                <w:szCs w:val="18"/>
                <w:lang w:val="es-ES_tradnl"/>
              </w:rPr>
            </w:pPr>
            <w:r>
              <w:rPr>
                <w:rFonts w:ascii="ITC Avant Garde" w:hAnsi="ITC Avant Garde"/>
                <w:b/>
                <w:i/>
                <w:szCs w:val="18"/>
                <w:lang w:val="es-ES_tradnl"/>
              </w:rPr>
              <w:t>Espacio Aprobado en Piso</w:t>
            </w:r>
          </w:p>
        </w:tc>
        <w:tc>
          <w:tcPr>
            <w:tcW w:w="6468" w:type="dxa"/>
          </w:tcPr>
          <w:p w14:paraId="51818AA8" w14:textId="66A4903D" w:rsidR="0099731C" w:rsidRPr="00681CB9" w:rsidRDefault="0099731C" w:rsidP="0099731C">
            <w:pPr>
              <w:pStyle w:val="Tablecells"/>
              <w:jc w:val="both"/>
              <w:rPr>
                <w:rFonts w:ascii="ITC Avant Garde" w:hAnsi="ITC Avant Garde"/>
                <w:szCs w:val="18"/>
                <w:lang w:val="es-ES_tradnl"/>
              </w:rPr>
            </w:pPr>
            <w:r w:rsidRPr="00681CB9">
              <w:rPr>
                <w:rFonts w:ascii="ITC Avant Garde" w:eastAsia="Times New Roman" w:hAnsi="ITC Avant Garde" w:cs="Arial"/>
                <w:color w:val="000000"/>
                <w:kern w:val="24"/>
                <w:sz w:val="20"/>
                <w:szCs w:val="20"/>
                <w:lang w:val="es-MX" w:eastAsia="es-MX"/>
              </w:rPr>
              <w:t xml:space="preserve"> </w:t>
            </w:r>
            <w:r w:rsidRPr="00681CB9">
              <w:rPr>
                <w:rFonts w:ascii="ITC Avant Garde" w:hAnsi="ITC Avant Garde"/>
                <w:szCs w:val="18"/>
                <w:lang w:val="es-ES_tradnl"/>
              </w:rPr>
              <w:t xml:space="preserve">Costo de los activos Predio, Azotea y Caseta proporcional al espacio horizontal empleado por </w:t>
            </w:r>
            <w:r w:rsidR="00CF17F6">
              <w:rPr>
                <w:rFonts w:ascii="ITC Avant Garde" w:hAnsi="ITC Avant Garde"/>
                <w:szCs w:val="18"/>
                <w:lang w:val="es-ES_tradnl"/>
              </w:rPr>
              <w:t>TELMEX</w:t>
            </w:r>
            <w:r w:rsidR="00DC206D">
              <w:rPr>
                <w:rFonts w:ascii="ITC Avant Garde" w:hAnsi="ITC Avant Garde"/>
                <w:szCs w:val="18"/>
                <w:lang w:val="es-ES_tradnl"/>
              </w:rPr>
              <w:t xml:space="preserve"> y </w:t>
            </w:r>
            <w:r w:rsidR="00CF17F6">
              <w:rPr>
                <w:rFonts w:ascii="ITC Avant Garde" w:hAnsi="ITC Avant Garde"/>
                <w:szCs w:val="18"/>
                <w:lang w:val="es-ES_tradnl"/>
              </w:rPr>
              <w:t>TELNOR</w:t>
            </w:r>
            <w:r w:rsidR="00DC206D">
              <w:rPr>
                <w:rFonts w:ascii="ITC Avant Garde" w:hAnsi="ITC Avant Garde"/>
                <w:szCs w:val="18"/>
                <w:lang w:val="es-ES_tradnl"/>
              </w:rPr>
              <w:t xml:space="preserve"> </w:t>
            </w:r>
            <w:r w:rsidRPr="00681CB9">
              <w:rPr>
                <w:rFonts w:ascii="ITC Avant Garde" w:hAnsi="ITC Avant Garde"/>
                <w:szCs w:val="18"/>
                <w:lang w:val="es-ES_tradnl"/>
              </w:rPr>
              <w:t xml:space="preserve">y </w:t>
            </w:r>
            <w:r w:rsidR="00DC206D">
              <w:rPr>
                <w:rFonts w:ascii="ITC Avant Garde" w:hAnsi="ITC Avant Garde"/>
                <w:szCs w:val="18"/>
                <w:lang w:val="es-ES_tradnl"/>
              </w:rPr>
              <w:t xml:space="preserve">el </w:t>
            </w:r>
            <w:r w:rsidRPr="00681CB9">
              <w:rPr>
                <w:rFonts w:ascii="ITC Avant Garde" w:hAnsi="ITC Avant Garde"/>
                <w:szCs w:val="18"/>
                <w:lang w:val="es-ES_tradnl"/>
              </w:rPr>
              <w:t>CS, de acuerdo con lo siguiente:</w:t>
            </w:r>
          </w:p>
        </w:tc>
      </w:tr>
      <w:tr w:rsidR="0099731C" w:rsidRPr="00681CB9" w14:paraId="16A22DCE" w14:textId="77777777" w:rsidTr="00D74957">
        <w:tc>
          <w:tcPr>
            <w:tcW w:w="2263" w:type="dxa"/>
          </w:tcPr>
          <w:p w14:paraId="3482644C" w14:textId="77777777" w:rsidR="0099731C" w:rsidRPr="00681CB9" w:rsidRDefault="0099731C" w:rsidP="0099731C">
            <w:pPr>
              <w:pStyle w:val="Tablecells"/>
              <w:ind w:left="313"/>
              <w:rPr>
                <w:rFonts w:ascii="ITC Avant Garde" w:hAnsi="ITC Avant Garde"/>
                <w:i/>
                <w:szCs w:val="18"/>
                <w:lang w:val="es-ES_tradnl"/>
              </w:rPr>
            </w:pPr>
            <w:r w:rsidRPr="00681CB9">
              <w:rPr>
                <w:rFonts w:ascii="ITC Avant Garde" w:hAnsi="ITC Avant Garde"/>
                <w:i/>
                <w:szCs w:val="18"/>
                <w:lang w:val="es-ES_tradnl"/>
              </w:rPr>
              <w:t>En Predio:</w:t>
            </w:r>
          </w:p>
        </w:tc>
        <w:tc>
          <w:tcPr>
            <w:tcW w:w="6468" w:type="dxa"/>
          </w:tcPr>
          <w:p w14:paraId="094E84B7" w14:textId="77777777" w:rsidR="0099731C" w:rsidRPr="00681CB9" w:rsidRDefault="0099731C" w:rsidP="0099731C">
            <w:pPr>
              <w:pStyle w:val="Tablecells"/>
              <w:numPr>
                <w:ilvl w:val="0"/>
                <w:numId w:val="8"/>
              </w:numPr>
              <w:jc w:val="both"/>
              <w:rPr>
                <w:rFonts w:ascii="ITC Avant Garde" w:hAnsi="ITC Avant Garde"/>
                <w:b/>
                <w:szCs w:val="18"/>
                <w:lang w:val="es-ES_tradnl"/>
              </w:rPr>
            </w:pPr>
            <w:r w:rsidRPr="00681CB9">
              <w:rPr>
                <w:rFonts w:ascii="ITC Avant Garde" w:hAnsi="ITC Avant Garde"/>
                <w:b/>
                <w:szCs w:val="18"/>
                <w:lang w:val="es-ES_tradnl"/>
              </w:rPr>
              <w:t>Espacio ocupado por el CS, obtenido como la suma de:</w:t>
            </w:r>
          </w:p>
          <w:p w14:paraId="24461070" w14:textId="77777777" w:rsidR="0099731C" w:rsidRPr="00681CB9" w:rsidRDefault="0099731C" w:rsidP="0099731C">
            <w:pPr>
              <w:pStyle w:val="Tablecells"/>
              <w:numPr>
                <w:ilvl w:val="1"/>
                <w:numId w:val="5"/>
              </w:numPr>
              <w:jc w:val="both"/>
              <w:rPr>
                <w:rFonts w:ascii="ITC Avant Garde" w:hAnsi="ITC Avant Garde"/>
                <w:szCs w:val="18"/>
                <w:lang w:val="es-ES_tradnl"/>
              </w:rPr>
            </w:pPr>
            <w:r w:rsidRPr="00681CB9">
              <w:rPr>
                <w:rFonts w:ascii="ITC Avant Garde" w:hAnsi="ITC Avant Garde"/>
                <w:szCs w:val="18"/>
                <w:lang w:val="es-ES_tradnl"/>
              </w:rPr>
              <w:t xml:space="preserve">Espacio demandado </w:t>
            </w:r>
          </w:p>
          <w:p w14:paraId="2EF155C1" w14:textId="77777777" w:rsidR="0099731C" w:rsidRPr="00681CB9" w:rsidRDefault="0099731C" w:rsidP="0099731C">
            <w:pPr>
              <w:pStyle w:val="Tablecells"/>
              <w:numPr>
                <w:ilvl w:val="1"/>
                <w:numId w:val="5"/>
              </w:numPr>
              <w:jc w:val="both"/>
              <w:rPr>
                <w:rFonts w:ascii="ITC Avant Garde" w:hAnsi="ITC Avant Garde"/>
                <w:szCs w:val="18"/>
                <w:lang w:val="es-ES_tradnl"/>
              </w:rPr>
            </w:pPr>
            <w:r w:rsidRPr="00681CB9">
              <w:rPr>
                <w:rFonts w:ascii="ITC Avant Garde" w:hAnsi="ITC Avant Garde"/>
                <w:szCs w:val="18"/>
                <w:lang w:val="es-ES_tradnl"/>
              </w:rPr>
              <w:t>Espacio común de acuerdo al espacio demandado en Predio (10% del espacio demandado)</w:t>
            </w:r>
          </w:p>
          <w:p w14:paraId="7B73A85F" w14:textId="3BBEC21D" w:rsidR="0099731C" w:rsidRPr="00681CB9" w:rsidRDefault="0099731C" w:rsidP="0099731C">
            <w:pPr>
              <w:pStyle w:val="Tablecells"/>
              <w:numPr>
                <w:ilvl w:val="1"/>
                <w:numId w:val="5"/>
              </w:numPr>
              <w:jc w:val="both"/>
              <w:rPr>
                <w:rFonts w:ascii="ITC Avant Garde" w:hAnsi="ITC Avant Garde"/>
                <w:szCs w:val="18"/>
                <w:lang w:val="es-ES_tradnl"/>
              </w:rPr>
            </w:pPr>
            <w:r w:rsidRPr="00681CB9">
              <w:rPr>
                <w:rFonts w:ascii="ITC Avant Garde" w:hAnsi="ITC Avant Garde"/>
                <w:szCs w:val="18"/>
                <w:lang w:val="es-ES_tradnl"/>
              </w:rPr>
              <w:t xml:space="preserve">Espacio ocupado por Base de Torre (proporcional al número de operadores; es decir </w:t>
            </w:r>
            <w:r w:rsidR="00CF17F6">
              <w:rPr>
                <w:rFonts w:ascii="ITC Avant Garde" w:hAnsi="ITC Avant Garde"/>
                <w:szCs w:val="18"/>
                <w:lang w:val="es-ES_tradnl"/>
              </w:rPr>
              <w:t>TELMEX</w:t>
            </w:r>
            <w:r w:rsidR="00ED036D">
              <w:rPr>
                <w:rFonts w:ascii="ITC Avant Garde" w:hAnsi="ITC Avant Garde"/>
                <w:szCs w:val="18"/>
                <w:lang w:val="es-ES_tradnl"/>
              </w:rPr>
              <w:t xml:space="preserve"> y </w:t>
            </w:r>
            <w:r w:rsidR="00CF17F6">
              <w:rPr>
                <w:rFonts w:ascii="ITC Avant Garde" w:hAnsi="ITC Avant Garde"/>
                <w:szCs w:val="18"/>
                <w:lang w:val="es-ES_tradnl"/>
              </w:rPr>
              <w:t>TELNOR</w:t>
            </w:r>
            <w:r w:rsidRPr="00681CB9">
              <w:rPr>
                <w:rFonts w:ascii="ITC Avant Garde" w:hAnsi="ITC Avant Garde"/>
                <w:szCs w:val="18"/>
                <w:lang w:val="es-ES_tradnl"/>
              </w:rPr>
              <w:t xml:space="preserve"> + CS)</w:t>
            </w:r>
          </w:p>
          <w:p w14:paraId="1F0F4DDC" w14:textId="77777777" w:rsidR="0099731C" w:rsidRPr="00681CB9" w:rsidRDefault="0099731C" w:rsidP="0099731C">
            <w:pPr>
              <w:pStyle w:val="Tablecells"/>
              <w:numPr>
                <w:ilvl w:val="1"/>
                <w:numId w:val="5"/>
              </w:numPr>
              <w:jc w:val="both"/>
              <w:rPr>
                <w:rFonts w:ascii="ITC Avant Garde" w:hAnsi="ITC Avant Garde"/>
                <w:szCs w:val="18"/>
                <w:lang w:val="es-ES_tradnl"/>
              </w:rPr>
            </w:pPr>
            <w:r w:rsidRPr="00681CB9">
              <w:rPr>
                <w:rFonts w:ascii="ITC Avant Garde" w:hAnsi="ITC Avant Garde"/>
                <w:szCs w:val="18"/>
                <w:lang w:val="es-ES_tradnl"/>
              </w:rPr>
              <w:t xml:space="preserve">Espacio </w:t>
            </w:r>
            <w:proofErr w:type="spellStart"/>
            <w:r w:rsidRPr="00681CB9">
              <w:rPr>
                <w:rFonts w:ascii="ITC Avant Garde" w:hAnsi="ITC Avant Garde"/>
                <w:szCs w:val="18"/>
                <w:lang w:val="es-ES_tradnl"/>
              </w:rPr>
              <w:t>Overheads</w:t>
            </w:r>
            <w:proofErr w:type="spellEnd"/>
            <w:r w:rsidRPr="00681CB9">
              <w:rPr>
                <w:rFonts w:ascii="ITC Avant Garde" w:hAnsi="ITC Avant Garde"/>
                <w:szCs w:val="18"/>
                <w:lang w:val="es-ES_tradnl"/>
              </w:rPr>
              <w:t xml:space="preserve"> (10% de Espacio restante en predio)</w:t>
            </w:r>
          </w:p>
          <w:p w14:paraId="292AA274" w14:textId="77777777" w:rsidR="0099731C" w:rsidRPr="00681CB9" w:rsidRDefault="0099731C" w:rsidP="0099731C">
            <w:pPr>
              <w:pStyle w:val="Tablecells"/>
              <w:jc w:val="both"/>
              <w:rPr>
                <w:rFonts w:ascii="ITC Avant Garde" w:hAnsi="ITC Avant Garde"/>
                <w:b/>
                <w:szCs w:val="18"/>
                <w:lang w:val="es-ES_tradnl"/>
              </w:rPr>
            </w:pPr>
          </w:p>
          <w:p w14:paraId="63A6F216" w14:textId="76263A51" w:rsidR="0099731C" w:rsidRPr="00681CB9" w:rsidRDefault="0099731C" w:rsidP="0099731C">
            <w:pPr>
              <w:pStyle w:val="Tablecells"/>
              <w:numPr>
                <w:ilvl w:val="0"/>
                <w:numId w:val="8"/>
              </w:numPr>
              <w:jc w:val="both"/>
              <w:rPr>
                <w:rFonts w:ascii="ITC Avant Garde" w:hAnsi="ITC Avant Garde"/>
                <w:szCs w:val="18"/>
                <w:lang w:val="es-ES_tradnl"/>
              </w:rPr>
            </w:pPr>
            <w:r w:rsidRPr="00681CB9">
              <w:rPr>
                <w:rFonts w:ascii="ITC Avant Garde" w:hAnsi="ITC Avant Garde"/>
                <w:b/>
                <w:szCs w:val="18"/>
                <w:lang w:val="es-ES_tradnl"/>
              </w:rPr>
              <w:t xml:space="preserve">Espacio ocupado por </w:t>
            </w:r>
            <w:r w:rsidR="00CF17F6">
              <w:rPr>
                <w:rFonts w:ascii="ITC Avant Garde" w:hAnsi="ITC Avant Garde"/>
                <w:b/>
                <w:szCs w:val="18"/>
                <w:lang w:val="es-ES_tradnl"/>
              </w:rPr>
              <w:t>TELMEX</w:t>
            </w:r>
            <w:r w:rsidR="00ED036D">
              <w:rPr>
                <w:rFonts w:ascii="ITC Avant Garde" w:hAnsi="ITC Avant Garde"/>
                <w:b/>
                <w:szCs w:val="18"/>
                <w:lang w:val="es-ES_tradnl"/>
              </w:rPr>
              <w:t xml:space="preserve"> y </w:t>
            </w:r>
            <w:r w:rsidR="00CF17F6">
              <w:rPr>
                <w:rFonts w:ascii="ITC Avant Garde" w:hAnsi="ITC Avant Garde"/>
                <w:b/>
                <w:szCs w:val="18"/>
                <w:lang w:val="es-ES_tradnl"/>
              </w:rPr>
              <w:t>TELNOR</w:t>
            </w:r>
            <w:r w:rsidRPr="00681CB9">
              <w:rPr>
                <w:rFonts w:ascii="ITC Avant Garde" w:hAnsi="ITC Avant Garde"/>
                <w:b/>
                <w:szCs w:val="18"/>
                <w:lang w:val="es-ES_tradnl"/>
              </w:rPr>
              <w:t>:</w:t>
            </w:r>
            <w:r w:rsidRPr="00681CB9">
              <w:rPr>
                <w:rFonts w:ascii="ITC Avant Garde" w:hAnsi="ITC Avant Garde"/>
                <w:szCs w:val="18"/>
                <w:lang w:val="es-ES_tradnl"/>
              </w:rPr>
              <w:t xml:space="preserve"> Complemento del espacio ocupado por el CS.</w:t>
            </w:r>
          </w:p>
        </w:tc>
      </w:tr>
      <w:tr w:rsidR="0099731C" w:rsidRPr="00681CB9" w14:paraId="44868083" w14:textId="77777777" w:rsidTr="00D74957">
        <w:trPr>
          <w:cnfStyle w:val="000000100000" w:firstRow="0" w:lastRow="0" w:firstColumn="0" w:lastColumn="0" w:oddVBand="0" w:evenVBand="0" w:oddHBand="1" w:evenHBand="0" w:firstRowFirstColumn="0" w:firstRowLastColumn="0" w:lastRowFirstColumn="0" w:lastRowLastColumn="0"/>
        </w:trPr>
        <w:tc>
          <w:tcPr>
            <w:tcW w:w="2263" w:type="dxa"/>
          </w:tcPr>
          <w:p w14:paraId="66C3FC51" w14:textId="77777777" w:rsidR="0099731C" w:rsidRPr="00681CB9" w:rsidRDefault="0099731C" w:rsidP="0099731C">
            <w:pPr>
              <w:pStyle w:val="Tablecells"/>
              <w:ind w:left="313"/>
              <w:rPr>
                <w:rFonts w:ascii="ITC Avant Garde" w:hAnsi="ITC Avant Garde"/>
                <w:i/>
                <w:szCs w:val="18"/>
                <w:lang w:val="es-ES_tradnl"/>
              </w:rPr>
            </w:pPr>
            <w:r w:rsidRPr="00681CB9">
              <w:rPr>
                <w:rFonts w:ascii="ITC Avant Garde" w:hAnsi="ITC Avant Garde"/>
                <w:i/>
                <w:szCs w:val="18"/>
                <w:lang w:val="es-ES_tradnl"/>
              </w:rPr>
              <w:t>En Azotea:</w:t>
            </w:r>
          </w:p>
        </w:tc>
        <w:tc>
          <w:tcPr>
            <w:tcW w:w="6468" w:type="dxa"/>
          </w:tcPr>
          <w:p w14:paraId="07B3B062" w14:textId="77777777" w:rsidR="0099731C" w:rsidRPr="00681CB9" w:rsidRDefault="0099731C" w:rsidP="0099731C">
            <w:pPr>
              <w:pStyle w:val="Tablecells"/>
              <w:numPr>
                <w:ilvl w:val="0"/>
                <w:numId w:val="8"/>
              </w:numPr>
              <w:jc w:val="both"/>
              <w:rPr>
                <w:rFonts w:ascii="ITC Avant Garde" w:hAnsi="ITC Avant Garde"/>
                <w:b/>
                <w:szCs w:val="18"/>
                <w:lang w:val="es-ES_tradnl"/>
              </w:rPr>
            </w:pPr>
            <w:r w:rsidRPr="00681CB9">
              <w:rPr>
                <w:rFonts w:ascii="ITC Avant Garde" w:hAnsi="ITC Avant Garde"/>
                <w:b/>
                <w:szCs w:val="18"/>
                <w:lang w:val="es-ES_tradnl"/>
              </w:rPr>
              <w:t>Espacio ocupado por el CS, obtenido como la suma de:</w:t>
            </w:r>
          </w:p>
          <w:p w14:paraId="138243DF" w14:textId="77777777" w:rsidR="0099731C" w:rsidRPr="00681CB9" w:rsidRDefault="0099731C" w:rsidP="0099731C">
            <w:pPr>
              <w:pStyle w:val="Tablecells"/>
              <w:numPr>
                <w:ilvl w:val="0"/>
                <w:numId w:val="9"/>
              </w:numPr>
              <w:jc w:val="both"/>
              <w:rPr>
                <w:rFonts w:ascii="ITC Avant Garde" w:hAnsi="ITC Avant Garde"/>
                <w:szCs w:val="18"/>
                <w:lang w:val="es-ES_tradnl"/>
              </w:rPr>
            </w:pPr>
            <w:r w:rsidRPr="00681CB9">
              <w:rPr>
                <w:rFonts w:ascii="ITC Avant Garde" w:hAnsi="ITC Avant Garde"/>
                <w:szCs w:val="18"/>
                <w:lang w:val="es-ES_tradnl"/>
              </w:rPr>
              <w:lastRenderedPageBreak/>
              <w:t>Espacio ocupado por el CS En Predio</w:t>
            </w:r>
          </w:p>
          <w:p w14:paraId="07727232" w14:textId="77777777" w:rsidR="0099731C" w:rsidRPr="00681CB9" w:rsidRDefault="0099731C" w:rsidP="0099731C">
            <w:pPr>
              <w:pStyle w:val="Tablecells"/>
              <w:numPr>
                <w:ilvl w:val="0"/>
                <w:numId w:val="9"/>
              </w:numPr>
              <w:jc w:val="both"/>
              <w:rPr>
                <w:rFonts w:ascii="ITC Avant Garde" w:hAnsi="ITC Avant Garde"/>
                <w:szCs w:val="18"/>
                <w:lang w:val="es-ES_tradnl"/>
              </w:rPr>
            </w:pPr>
            <w:r w:rsidRPr="00681CB9">
              <w:rPr>
                <w:rFonts w:ascii="ITC Avant Garde" w:hAnsi="ITC Avant Garde"/>
                <w:szCs w:val="18"/>
                <w:lang w:val="es-ES_tradnl"/>
              </w:rPr>
              <w:t>Espacio demandado en azotea</w:t>
            </w:r>
          </w:p>
          <w:p w14:paraId="4C9393C6" w14:textId="77777777" w:rsidR="0099731C" w:rsidRPr="00681CB9" w:rsidRDefault="0099731C" w:rsidP="0099731C">
            <w:pPr>
              <w:pStyle w:val="Tablecells"/>
              <w:numPr>
                <w:ilvl w:val="0"/>
                <w:numId w:val="9"/>
              </w:numPr>
              <w:jc w:val="both"/>
              <w:rPr>
                <w:rFonts w:ascii="ITC Avant Garde" w:hAnsi="ITC Avant Garde"/>
                <w:szCs w:val="18"/>
                <w:lang w:val="es-ES_tradnl"/>
              </w:rPr>
            </w:pPr>
            <w:r w:rsidRPr="00681CB9">
              <w:rPr>
                <w:rFonts w:ascii="ITC Avant Garde" w:hAnsi="ITC Avant Garde"/>
                <w:szCs w:val="18"/>
                <w:lang w:val="es-ES_tradnl"/>
              </w:rPr>
              <w:t>Espacio común de acuerdo al espacio demandado en azotea (10% del espacio demandado)</w:t>
            </w:r>
          </w:p>
          <w:p w14:paraId="5498E1D4" w14:textId="77777777" w:rsidR="0099731C" w:rsidRPr="00681CB9" w:rsidRDefault="0099731C" w:rsidP="0099731C">
            <w:pPr>
              <w:pStyle w:val="Tablecells"/>
              <w:jc w:val="both"/>
              <w:rPr>
                <w:rFonts w:ascii="ITC Avant Garde" w:hAnsi="ITC Avant Garde"/>
                <w:b/>
                <w:szCs w:val="18"/>
                <w:lang w:val="es-ES_tradnl"/>
              </w:rPr>
            </w:pPr>
            <w:r w:rsidRPr="00681CB9">
              <w:rPr>
                <w:rFonts w:ascii="ITC Avant Garde" w:hAnsi="ITC Avant Garde"/>
                <w:b/>
                <w:szCs w:val="18"/>
                <w:lang w:val="es-ES_tradnl"/>
              </w:rPr>
              <w:t xml:space="preserve"> </w:t>
            </w:r>
          </w:p>
          <w:p w14:paraId="081C6620" w14:textId="6F7F6821" w:rsidR="0099731C" w:rsidRPr="00681CB9" w:rsidRDefault="0099731C" w:rsidP="0099731C">
            <w:pPr>
              <w:pStyle w:val="Tablecells"/>
              <w:numPr>
                <w:ilvl w:val="0"/>
                <w:numId w:val="8"/>
              </w:numPr>
              <w:jc w:val="both"/>
              <w:rPr>
                <w:rFonts w:ascii="ITC Avant Garde" w:hAnsi="ITC Avant Garde"/>
                <w:szCs w:val="18"/>
                <w:lang w:val="es-ES_tradnl"/>
              </w:rPr>
            </w:pPr>
            <w:r w:rsidRPr="00681CB9">
              <w:rPr>
                <w:rFonts w:ascii="ITC Avant Garde" w:hAnsi="ITC Avant Garde"/>
                <w:b/>
                <w:szCs w:val="18"/>
                <w:lang w:val="es-ES_tradnl"/>
              </w:rPr>
              <w:t xml:space="preserve">Espacio ocupado por </w:t>
            </w:r>
            <w:r w:rsidR="00CF17F6">
              <w:rPr>
                <w:rFonts w:ascii="ITC Avant Garde" w:hAnsi="ITC Avant Garde"/>
                <w:b/>
                <w:szCs w:val="18"/>
                <w:lang w:val="es-ES_tradnl"/>
              </w:rPr>
              <w:t>TELMEX</w:t>
            </w:r>
            <w:r w:rsidR="00ED036D">
              <w:rPr>
                <w:rFonts w:ascii="ITC Avant Garde" w:hAnsi="ITC Avant Garde"/>
                <w:b/>
                <w:szCs w:val="18"/>
                <w:lang w:val="es-ES_tradnl"/>
              </w:rPr>
              <w:t xml:space="preserve"> y </w:t>
            </w:r>
            <w:r w:rsidR="00CF17F6">
              <w:rPr>
                <w:rFonts w:ascii="ITC Avant Garde" w:hAnsi="ITC Avant Garde"/>
                <w:b/>
                <w:szCs w:val="18"/>
                <w:lang w:val="es-ES_tradnl"/>
              </w:rPr>
              <w:t>TELNOR</w:t>
            </w:r>
            <w:r w:rsidRPr="00681CB9">
              <w:rPr>
                <w:rFonts w:ascii="ITC Avant Garde" w:hAnsi="ITC Avant Garde"/>
                <w:b/>
                <w:szCs w:val="18"/>
                <w:lang w:val="es-ES_tradnl"/>
              </w:rPr>
              <w:t>:</w:t>
            </w:r>
            <w:r w:rsidRPr="00681CB9">
              <w:rPr>
                <w:rFonts w:ascii="ITC Avant Garde" w:hAnsi="ITC Avant Garde"/>
                <w:szCs w:val="18"/>
                <w:lang w:val="es-ES_tradnl"/>
              </w:rPr>
              <w:t xml:space="preserve"> Complemento del espacio ocupado por el CS.</w:t>
            </w:r>
          </w:p>
        </w:tc>
      </w:tr>
      <w:tr w:rsidR="0099731C" w:rsidRPr="00681CB9" w14:paraId="7B7750AF" w14:textId="77777777" w:rsidTr="00D74957">
        <w:tc>
          <w:tcPr>
            <w:tcW w:w="2263" w:type="dxa"/>
          </w:tcPr>
          <w:p w14:paraId="76FD05D7" w14:textId="77777777" w:rsidR="0099731C" w:rsidRPr="00681CB9" w:rsidRDefault="0099731C" w:rsidP="0099731C">
            <w:pPr>
              <w:pStyle w:val="Tablecells"/>
              <w:ind w:left="313"/>
              <w:rPr>
                <w:rFonts w:ascii="ITC Avant Garde" w:hAnsi="ITC Avant Garde"/>
                <w:i/>
                <w:szCs w:val="18"/>
                <w:lang w:val="es-ES_tradnl"/>
              </w:rPr>
            </w:pPr>
            <w:r w:rsidRPr="00681CB9">
              <w:rPr>
                <w:rFonts w:ascii="ITC Avant Garde" w:hAnsi="ITC Avant Garde"/>
                <w:i/>
                <w:szCs w:val="18"/>
                <w:lang w:val="es-ES_tradnl"/>
              </w:rPr>
              <w:lastRenderedPageBreak/>
              <w:t>En Caseta:</w:t>
            </w:r>
          </w:p>
        </w:tc>
        <w:tc>
          <w:tcPr>
            <w:tcW w:w="6468" w:type="dxa"/>
          </w:tcPr>
          <w:p w14:paraId="63D60AA8" w14:textId="77777777" w:rsidR="0099731C" w:rsidRPr="00681CB9" w:rsidRDefault="0099731C" w:rsidP="0099731C">
            <w:pPr>
              <w:pStyle w:val="Tablecells"/>
              <w:numPr>
                <w:ilvl w:val="0"/>
                <w:numId w:val="8"/>
              </w:numPr>
              <w:jc w:val="both"/>
              <w:rPr>
                <w:rFonts w:ascii="ITC Avant Garde" w:hAnsi="ITC Avant Garde"/>
                <w:b/>
                <w:szCs w:val="18"/>
                <w:lang w:val="es-ES_tradnl"/>
              </w:rPr>
            </w:pPr>
            <w:r w:rsidRPr="00681CB9">
              <w:rPr>
                <w:rFonts w:ascii="ITC Avant Garde" w:hAnsi="ITC Avant Garde"/>
                <w:b/>
                <w:szCs w:val="18"/>
                <w:lang w:val="es-ES_tradnl"/>
              </w:rPr>
              <w:t>Espacio ocupado por el CS, obtenido como la suma de:</w:t>
            </w:r>
          </w:p>
          <w:p w14:paraId="2563AB1F" w14:textId="77777777" w:rsidR="0099731C" w:rsidRPr="00681CB9" w:rsidRDefault="0099731C" w:rsidP="0099731C">
            <w:pPr>
              <w:pStyle w:val="Tablecells"/>
              <w:numPr>
                <w:ilvl w:val="1"/>
                <w:numId w:val="5"/>
              </w:numPr>
              <w:jc w:val="both"/>
              <w:rPr>
                <w:rFonts w:ascii="ITC Avant Garde" w:hAnsi="ITC Avant Garde"/>
                <w:szCs w:val="18"/>
                <w:lang w:val="es-ES_tradnl"/>
              </w:rPr>
            </w:pPr>
            <w:r w:rsidRPr="00681CB9">
              <w:rPr>
                <w:rFonts w:ascii="ITC Avant Garde" w:hAnsi="ITC Avant Garde"/>
                <w:szCs w:val="18"/>
                <w:lang w:val="es-ES_tradnl"/>
              </w:rPr>
              <w:t>Espacio ocupado por el CS En Predio</w:t>
            </w:r>
          </w:p>
          <w:p w14:paraId="7BA880CD" w14:textId="77777777" w:rsidR="0099731C" w:rsidRPr="00681CB9" w:rsidRDefault="0099731C" w:rsidP="0099731C">
            <w:pPr>
              <w:pStyle w:val="Tablecells"/>
              <w:numPr>
                <w:ilvl w:val="1"/>
                <w:numId w:val="5"/>
              </w:numPr>
              <w:jc w:val="both"/>
              <w:rPr>
                <w:rFonts w:ascii="ITC Avant Garde" w:hAnsi="ITC Avant Garde"/>
                <w:szCs w:val="18"/>
                <w:lang w:val="es-ES_tradnl"/>
              </w:rPr>
            </w:pPr>
            <w:r w:rsidRPr="00681CB9">
              <w:rPr>
                <w:rFonts w:ascii="ITC Avant Garde" w:hAnsi="ITC Avant Garde"/>
                <w:szCs w:val="18"/>
                <w:lang w:val="es-ES_tradnl"/>
              </w:rPr>
              <w:t>Espacio demandado en caseta</w:t>
            </w:r>
          </w:p>
          <w:p w14:paraId="0A622FB0" w14:textId="77777777" w:rsidR="0099731C" w:rsidRPr="00681CB9" w:rsidRDefault="0099731C" w:rsidP="0099731C">
            <w:pPr>
              <w:pStyle w:val="Tablecells"/>
              <w:numPr>
                <w:ilvl w:val="1"/>
                <w:numId w:val="5"/>
              </w:numPr>
              <w:jc w:val="both"/>
              <w:rPr>
                <w:rFonts w:ascii="ITC Avant Garde" w:hAnsi="ITC Avant Garde"/>
                <w:szCs w:val="18"/>
                <w:lang w:val="es-ES_tradnl"/>
              </w:rPr>
            </w:pPr>
            <w:r w:rsidRPr="00681CB9">
              <w:rPr>
                <w:rFonts w:ascii="ITC Avant Garde" w:hAnsi="ITC Avant Garde"/>
                <w:szCs w:val="18"/>
                <w:lang w:val="es-ES_tradnl"/>
              </w:rPr>
              <w:t>Espacio común de acuerdo al espacio demandado en caseta (10% del espacio demandado)</w:t>
            </w:r>
          </w:p>
          <w:p w14:paraId="73CC261C" w14:textId="77777777" w:rsidR="0099731C" w:rsidRPr="00681CB9" w:rsidRDefault="0099731C" w:rsidP="0099731C">
            <w:pPr>
              <w:pStyle w:val="Tablecells"/>
              <w:jc w:val="both"/>
              <w:rPr>
                <w:rFonts w:ascii="ITC Avant Garde" w:hAnsi="ITC Avant Garde"/>
                <w:b/>
                <w:szCs w:val="18"/>
                <w:lang w:val="es-ES_tradnl"/>
              </w:rPr>
            </w:pPr>
          </w:p>
          <w:p w14:paraId="79DF02B2" w14:textId="4B4D7308" w:rsidR="0099731C" w:rsidRPr="00681CB9" w:rsidRDefault="0099731C" w:rsidP="0099731C">
            <w:pPr>
              <w:pStyle w:val="Tablecells"/>
              <w:numPr>
                <w:ilvl w:val="0"/>
                <w:numId w:val="8"/>
              </w:numPr>
              <w:jc w:val="both"/>
              <w:rPr>
                <w:rFonts w:ascii="ITC Avant Garde" w:hAnsi="ITC Avant Garde"/>
                <w:szCs w:val="18"/>
                <w:lang w:val="es-ES_tradnl"/>
              </w:rPr>
            </w:pPr>
            <w:r w:rsidRPr="00681CB9">
              <w:rPr>
                <w:rFonts w:ascii="ITC Avant Garde" w:hAnsi="ITC Avant Garde"/>
                <w:b/>
                <w:szCs w:val="18"/>
                <w:lang w:val="es-ES_tradnl"/>
              </w:rPr>
              <w:t xml:space="preserve">Espacio ocupado por </w:t>
            </w:r>
            <w:r w:rsidR="00CF17F6">
              <w:rPr>
                <w:rFonts w:ascii="ITC Avant Garde" w:hAnsi="ITC Avant Garde"/>
                <w:b/>
                <w:szCs w:val="18"/>
                <w:lang w:val="es-ES_tradnl"/>
              </w:rPr>
              <w:t>TELMEX</w:t>
            </w:r>
            <w:r w:rsidR="00ED036D">
              <w:rPr>
                <w:rFonts w:ascii="ITC Avant Garde" w:hAnsi="ITC Avant Garde"/>
                <w:b/>
                <w:szCs w:val="18"/>
                <w:lang w:val="es-ES_tradnl"/>
              </w:rPr>
              <w:t xml:space="preserve"> y </w:t>
            </w:r>
            <w:r w:rsidR="00CF17F6">
              <w:rPr>
                <w:rFonts w:ascii="ITC Avant Garde" w:hAnsi="ITC Avant Garde"/>
                <w:b/>
                <w:szCs w:val="18"/>
                <w:lang w:val="es-ES_tradnl"/>
              </w:rPr>
              <w:t>TELNOR</w:t>
            </w:r>
            <w:r w:rsidRPr="00681CB9">
              <w:rPr>
                <w:rFonts w:ascii="ITC Avant Garde" w:hAnsi="ITC Avant Garde"/>
                <w:b/>
                <w:szCs w:val="18"/>
                <w:lang w:val="es-ES_tradnl"/>
              </w:rPr>
              <w:t>:</w:t>
            </w:r>
            <w:r w:rsidRPr="00681CB9">
              <w:rPr>
                <w:rFonts w:ascii="ITC Avant Garde" w:hAnsi="ITC Avant Garde"/>
                <w:szCs w:val="18"/>
                <w:lang w:val="es-ES_tradnl"/>
              </w:rPr>
              <w:t xml:space="preserve"> Complemento del espacio ocupado por el CS.</w:t>
            </w:r>
          </w:p>
        </w:tc>
      </w:tr>
    </w:tbl>
    <w:p w14:paraId="2B5F4AAD" w14:textId="2442BFCA" w:rsidR="0099731C" w:rsidRPr="00681CB9" w:rsidRDefault="00ED036D" w:rsidP="0099731C">
      <w:pPr>
        <w:pStyle w:val="IFTnormal"/>
        <w:spacing w:before="120"/>
        <w:ind w:left="720"/>
        <w:jc w:val="center"/>
      </w:pPr>
      <w:r w:rsidRPr="00ED036D">
        <w:rPr>
          <w:b/>
          <w:sz w:val="18"/>
        </w:rPr>
        <w:t xml:space="preserve">Cuadro </w:t>
      </w:r>
      <w:r w:rsidR="00BC494B">
        <w:rPr>
          <w:b/>
          <w:sz w:val="18"/>
        </w:rPr>
        <w:t>6</w:t>
      </w:r>
      <w:r w:rsidR="0099731C" w:rsidRPr="00ED036D">
        <w:rPr>
          <w:b/>
          <w:sz w:val="18"/>
        </w:rPr>
        <w:t>:</w:t>
      </w:r>
      <w:r w:rsidR="0099731C" w:rsidRPr="00681CB9">
        <w:rPr>
          <w:i/>
          <w:sz w:val="18"/>
        </w:rPr>
        <w:t xml:space="preserve"> Principales criterio de asignación de costos del </w:t>
      </w:r>
      <w:r w:rsidR="00F7470F" w:rsidRPr="00F7470F">
        <w:rPr>
          <w:i/>
          <w:sz w:val="18"/>
        </w:rPr>
        <w:t>Modelo de Acceso a Torres</w:t>
      </w:r>
    </w:p>
    <w:p w14:paraId="01C0A77E" w14:textId="5E5CF7C9" w:rsidR="0099731C" w:rsidRPr="00681CB9" w:rsidRDefault="0099731C" w:rsidP="0099731C">
      <w:pPr>
        <w:pStyle w:val="IFTnormal"/>
      </w:pPr>
      <w:r w:rsidRPr="00681CB9">
        <w:t xml:space="preserve">Una vez obtenidos los montos que resultan de la asignación del gasto anual, se contabilizan aquellas aplicables para los CS en el sitio, de tal forma que para el </w:t>
      </w:r>
      <w:r w:rsidR="0001760F">
        <w:t>s</w:t>
      </w:r>
      <w:r w:rsidRPr="00681CB9">
        <w:t xml:space="preserve">ervicio de </w:t>
      </w:r>
      <w:r w:rsidR="00CF17F6">
        <w:t>Espacio Aprobado en Piso</w:t>
      </w:r>
      <w:r w:rsidRPr="00681CB9">
        <w:t xml:space="preserve"> se pueda obtener la tarifa por la ocupación efectiva de </w:t>
      </w:r>
      <w:r w:rsidR="00CF17F6">
        <w:t>Espacio Aprobado en Piso</w:t>
      </w:r>
      <w:r w:rsidRPr="00681CB9">
        <w:t xml:space="preserve"> por mes</w:t>
      </w:r>
      <w:r w:rsidRPr="00681CB9">
        <w:rPr>
          <w:rStyle w:val="Refdenotaalpie"/>
        </w:rPr>
        <w:footnoteReference w:id="20"/>
      </w:r>
      <w:r w:rsidRPr="00681CB9">
        <w:t xml:space="preserve">; mientras que para la tarifa correspondiente a </w:t>
      </w:r>
      <w:r w:rsidR="00CF17F6">
        <w:t>Espacio Aprobado en Torre</w:t>
      </w:r>
      <w:r w:rsidRPr="00681CB9">
        <w:t xml:space="preserve"> se obtiene en términos de 4 metros lineales por CS.</w:t>
      </w:r>
    </w:p>
    <w:p w14:paraId="56E63BAD" w14:textId="084F9CF1" w:rsidR="0099731C" w:rsidRPr="00243F06" w:rsidRDefault="00011446" w:rsidP="00757493">
      <w:pPr>
        <w:pStyle w:val="Ttulo2"/>
        <w:ind w:left="360"/>
        <w:rPr>
          <w:rFonts w:ascii="ITC Avant Garde" w:hAnsi="ITC Avant Garde"/>
          <w:lang w:val="es-MX"/>
        </w:rPr>
      </w:pPr>
      <w:bookmarkStart w:id="26" w:name="_Toc107852351"/>
      <w:r w:rsidRPr="00243F06">
        <w:rPr>
          <w:rFonts w:ascii="ITC Avant Garde" w:hAnsi="ITC Avant Garde"/>
          <w:lang w:val="es-MX"/>
        </w:rPr>
        <w:t>4</w:t>
      </w:r>
      <w:r w:rsidR="00757493" w:rsidRPr="00243F06">
        <w:rPr>
          <w:rFonts w:ascii="ITC Avant Garde" w:hAnsi="ITC Avant Garde"/>
          <w:lang w:val="es-MX"/>
        </w:rPr>
        <w:t>.</w:t>
      </w:r>
      <w:r w:rsidR="00243F06" w:rsidRPr="00243F06">
        <w:rPr>
          <w:rFonts w:ascii="ITC Avant Garde" w:hAnsi="ITC Avant Garde"/>
          <w:lang w:val="es-MX"/>
        </w:rPr>
        <w:t>3</w:t>
      </w:r>
      <w:r w:rsidR="00757493" w:rsidRPr="00243F06">
        <w:rPr>
          <w:rFonts w:ascii="ITC Avant Garde" w:hAnsi="ITC Avant Garde"/>
          <w:lang w:val="es-MX"/>
        </w:rPr>
        <w:t xml:space="preserve"> </w:t>
      </w:r>
      <w:r w:rsidR="0099731C" w:rsidRPr="00243F06">
        <w:rPr>
          <w:rFonts w:ascii="ITC Avant Garde" w:hAnsi="ITC Avant Garde"/>
          <w:lang w:val="es-MX"/>
        </w:rPr>
        <w:t>C</w:t>
      </w:r>
      <w:r w:rsidR="00757493" w:rsidRPr="00243F06">
        <w:rPr>
          <w:rFonts w:ascii="ITC Avant Garde" w:hAnsi="ITC Avant Garde"/>
          <w:lang w:val="es-MX"/>
        </w:rPr>
        <w:t>á</w:t>
      </w:r>
      <w:r w:rsidR="0099731C" w:rsidRPr="00243F06">
        <w:rPr>
          <w:rFonts w:ascii="ITC Avant Garde" w:hAnsi="ITC Avant Garde"/>
          <w:lang w:val="es-MX"/>
        </w:rPr>
        <w:t xml:space="preserve">lculo de tarifa por </w:t>
      </w:r>
      <w:proofErr w:type="spellStart"/>
      <w:r w:rsidR="0099731C" w:rsidRPr="00243F06">
        <w:rPr>
          <w:rFonts w:ascii="ITC Avant Garde" w:hAnsi="ITC Avant Garde"/>
          <w:lang w:val="es-MX"/>
        </w:rPr>
        <w:t>geotipo</w:t>
      </w:r>
      <w:bookmarkEnd w:id="26"/>
      <w:proofErr w:type="spellEnd"/>
    </w:p>
    <w:p w14:paraId="598C50D0" w14:textId="790CA5FB" w:rsidR="005A1065" w:rsidRPr="00681CB9" w:rsidRDefault="00157F2D" w:rsidP="005A1065">
      <w:pPr>
        <w:pStyle w:val="IFTnormal"/>
      </w:pPr>
      <w:r w:rsidRPr="00681CB9">
        <w:t>L</w:t>
      </w:r>
      <w:r w:rsidR="005A1065" w:rsidRPr="00681CB9">
        <w:t xml:space="preserve">a estructura tarifaria “Por el acceso y uso de </w:t>
      </w:r>
      <w:r w:rsidR="00CF17F6">
        <w:t>Espacio Aprobado en Piso</w:t>
      </w:r>
      <w:r w:rsidRPr="00681CB9">
        <w:t>” se realiza</w:t>
      </w:r>
      <w:r w:rsidR="005A1065" w:rsidRPr="00681CB9">
        <w:t xml:space="preserve"> mediante un conjunto </w:t>
      </w:r>
      <w:r w:rsidR="008E693A" w:rsidRPr="00681CB9">
        <w:t xml:space="preserve">de </w:t>
      </w:r>
      <w:r w:rsidR="005A1065" w:rsidRPr="00681CB9">
        <w:t xml:space="preserve">clasificaciones de los sitios del </w:t>
      </w:r>
      <w:r w:rsidR="00CF17F6">
        <w:t>TELMEX</w:t>
      </w:r>
      <w:r w:rsidR="00F27142">
        <w:t xml:space="preserve"> Y </w:t>
      </w:r>
      <w:r w:rsidR="00CF17F6">
        <w:t>TELNOR</w:t>
      </w:r>
      <w:r w:rsidR="005A1065" w:rsidRPr="00681CB9">
        <w:t xml:space="preserve"> en los cuales se encuentra la infraestructura pasiva susceptible de ser compartida, denotadas como “Alto”, “Medio Alto”, “Medio”, “Medio Bajo” y “Bajo”, considerando el siguiente proceso metodológico para su definición:</w:t>
      </w:r>
    </w:p>
    <w:p w14:paraId="2853E31C" w14:textId="2FC48140" w:rsidR="0007023D" w:rsidRDefault="005A1065" w:rsidP="00C3345D">
      <w:pPr>
        <w:pStyle w:val="IFTnormal"/>
        <w:numPr>
          <w:ilvl w:val="0"/>
          <w:numId w:val="10"/>
        </w:numPr>
      </w:pPr>
      <w:r w:rsidRPr="00681CB9">
        <w:rPr>
          <w:b/>
        </w:rPr>
        <w:t>Ubicación de los sitos:</w:t>
      </w:r>
      <w:r w:rsidRPr="00681CB9">
        <w:t xml:space="preserve"> A partir de la ubicación</w:t>
      </w:r>
      <w:r w:rsidR="00D31A84">
        <w:t xml:space="preserve"> y validación</w:t>
      </w:r>
      <w:r w:rsidRPr="00681CB9">
        <w:t xml:space="preserve"> en coordenadas del sitio</w:t>
      </w:r>
      <w:r w:rsidR="0007023D">
        <w:rPr>
          <w:lang w:val="es-419"/>
        </w:rPr>
        <w:t xml:space="preserve"> proporcionadas</w:t>
      </w:r>
      <w:r w:rsidR="00157F2D" w:rsidRPr="00681CB9">
        <w:rPr>
          <w:lang w:val="es-419"/>
        </w:rPr>
        <w:t xml:space="preserve"> </w:t>
      </w:r>
      <w:r w:rsidR="00D31A84">
        <w:rPr>
          <w:lang w:val="es-419"/>
        </w:rPr>
        <w:t xml:space="preserve">de </w:t>
      </w:r>
      <w:r w:rsidR="00CF17F6">
        <w:rPr>
          <w:lang w:val="es-419"/>
        </w:rPr>
        <w:t>TELMEX</w:t>
      </w:r>
      <w:r w:rsidR="00D31A84">
        <w:rPr>
          <w:lang w:val="es-419"/>
        </w:rPr>
        <w:t xml:space="preserve"> y </w:t>
      </w:r>
      <w:r w:rsidR="00CF17F6">
        <w:rPr>
          <w:lang w:val="es-419"/>
        </w:rPr>
        <w:t>TELNOR</w:t>
      </w:r>
      <w:r w:rsidR="00D31A84">
        <w:rPr>
          <w:lang w:val="es-419"/>
        </w:rPr>
        <w:t xml:space="preserve"> </w:t>
      </w:r>
      <w:r w:rsidR="00157F2D" w:rsidRPr="00681CB9">
        <w:rPr>
          <w:lang w:val="es-419"/>
        </w:rPr>
        <w:t xml:space="preserve">se </w:t>
      </w:r>
      <w:r w:rsidR="0007023D">
        <w:rPr>
          <w:lang w:val="es-419"/>
        </w:rPr>
        <w:t>confirmó</w:t>
      </w:r>
      <w:r w:rsidRPr="00681CB9">
        <w:t xml:space="preserve"> la información de su localización</w:t>
      </w:r>
      <w:r w:rsidR="0007023D">
        <w:t xml:space="preserve"> a nivel </w:t>
      </w:r>
      <w:r w:rsidRPr="00681CB9">
        <w:t>entidad federativa, municipio</w:t>
      </w:r>
      <w:r w:rsidR="008E693A" w:rsidRPr="00681CB9">
        <w:t xml:space="preserve"> y</w:t>
      </w:r>
      <w:r w:rsidRPr="00681CB9">
        <w:t xml:space="preserve"> localidad</w:t>
      </w:r>
      <w:r w:rsidR="008E693A" w:rsidRPr="00681CB9">
        <w:t>,</w:t>
      </w:r>
      <w:r w:rsidRPr="00681CB9">
        <w:t xml:space="preserve"> emplea</w:t>
      </w:r>
      <w:r w:rsidR="00157F2D" w:rsidRPr="00681CB9">
        <w:t>n</w:t>
      </w:r>
      <w:r w:rsidRPr="00681CB9">
        <w:t>do los marcos geoestadísticos del INEGI</w:t>
      </w:r>
      <w:r w:rsidRPr="00681CB9">
        <w:rPr>
          <w:rStyle w:val="Refdenotaalpie"/>
        </w:rPr>
        <w:footnoteReference w:id="21"/>
      </w:r>
      <w:r w:rsidR="00C3345D">
        <w:t>.</w:t>
      </w:r>
      <w:r w:rsidRPr="00681CB9">
        <w:t xml:space="preserve"> </w:t>
      </w:r>
    </w:p>
    <w:p w14:paraId="77051ACB" w14:textId="19A916EC" w:rsidR="005A1065" w:rsidRPr="00681CB9" w:rsidRDefault="0007023D" w:rsidP="0007023D">
      <w:pPr>
        <w:pStyle w:val="IFTnormal"/>
        <w:ind w:left="1080"/>
      </w:pPr>
      <w:r>
        <w:lastRenderedPageBreak/>
        <w:t>A partir de dicha validación y asignación de clave geoestadística a nivel localidad se procedió a la asignación de su correspondiente Índice de Marginación</w:t>
      </w:r>
      <w:r w:rsidR="005A1065" w:rsidRPr="00681CB9">
        <w:rPr>
          <w:rStyle w:val="Refdenotaalpie"/>
        </w:rPr>
        <w:footnoteReference w:id="22"/>
      </w:r>
      <w:r w:rsidR="005A1065" w:rsidRPr="00681CB9">
        <w:rPr>
          <w:lang w:val="es-419"/>
        </w:rPr>
        <w:t xml:space="preserve"> a nivel</w:t>
      </w:r>
      <w:r w:rsidR="005A1065" w:rsidRPr="00681CB9">
        <w:t xml:space="preserve"> </w:t>
      </w:r>
      <w:r w:rsidR="004E21B4" w:rsidRPr="00681CB9">
        <w:t>localidad</w:t>
      </w:r>
      <w:r w:rsidR="005A1065" w:rsidRPr="00681CB9">
        <w:t>.</w:t>
      </w:r>
    </w:p>
    <w:p w14:paraId="19E1D8C8" w14:textId="48C2B508" w:rsidR="005A1065" w:rsidRPr="00681CB9" w:rsidRDefault="005A1065" w:rsidP="005A1065">
      <w:pPr>
        <w:pStyle w:val="IFTnormal"/>
        <w:ind w:left="1080"/>
      </w:pPr>
      <w:r w:rsidRPr="00681CB9">
        <w:t xml:space="preserve">Con base en </w:t>
      </w:r>
      <w:r w:rsidRPr="00681CB9">
        <w:rPr>
          <w:lang w:val="es-419"/>
        </w:rPr>
        <w:t>lo</w:t>
      </w:r>
      <w:r w:rsidRPr="00681CB9">
        <w:t xml:space="preserve"> anterior, el conjunto de sitios donde se encuentra la infraestructura pasiva susceptible de ser compartida se clasifica de acuerdo con el </w:t>
      </w:r>
      <w:r w:rsidR="00157F2D" w:rsidRPr="00681CB9">
        <w:t>Índice de Marginación</w:t>
      </w:r>
      <w:r w:rsidRPr="00681CB9">
        <w:t xml:space="preserve"> correspondiente. </w:t>
      </w:r>
    </w:p>
    <w:p w14:paraId="08462E07" w14:textId="5302C629" w:rsidR="005A1065" w:rsidRPr="00681CB9" w:rsidRDefault="005A1065" w:rsidP="005A1065">
      <w:pPr>
        <w:pStyle w:val="IFTnormal"/>
        <w:numPr>
          <w:ilvl w:val="0"/>
          <w:numId w:val="10"/>
        </w:numPr>
      </w:pPr>
      <w:r w:rsidRPr="00681CB9">
        <w:rPr>
          <w:b/>
        </w:rPr>
        <w:t>Definición de las clasificaciones:</w:t>
      </w:r>
      <w:r w:rsidRPr="00681CB9">
        <w:t xml:space="preserve"> Empleando la información anterior, los niveles correspondientes se definirán </w:t>
      </w:r>
      <w:r w:rsidR="00D31A84">
        <w:t>conforme a la clasificación propuesta en el numeral 4.1 del presente documento.</w:t>
      </w:r>
    </w:p>
    <w:p w14:paraId="1BF0516B" w14:textId="5EF83950" w:rsidR="00476734" w:rsidRPr="00681CB9" w:rsidRDefault="00476734" w:rsidP="00476734">
      <w:pPr>
        <w:pStyle w:val="IFTnormal"/>
      </w:pPr>
      <w:r w:rsidRPr="00681CB9">
        <w:t xml:space="preserve">Con la información de la clasificación obtenida por </w:t>
      </w:r>
      <w:proofErr w:type="spellStart"/>
      <w:r w:rsidRPr="00681CB9">
        <w:t>geotipo</w:t>
      </w:r>
      <w:proofErr w:type="spellEnd"/>
      <w:r w:rsidRPr="00681CB9">
        <w:t xml:space="preserve"> de cada torre, se asigna un valor de terreno, azotea, edificio y caseta descrito en </w:t>
      </w:r>
      <w:r w:rsidR="00601647" w:rsidRPr="00681CB9">
        <w:t>el numeral 3.1</w:t>
      </w:r>
      <w:r w:rsidRPr="00681CB9">
        <w:t xml:space="preserve"> para luego calcular el promedio ponderado de las tarifas de </w:t>
      </w:r>
      <w:r w:rsidR="00CF17F6">
        <w:t>Espacio Aprobado en Piso</w:t>
      </w:r>
      <w:r w:rsidRPr="00681CB9">
        <w:t xml:space="preserve"> por cada </w:t>
      </w:r>
      <w:proofErr w:type="spellStart"/>
      <w:r w:rsidRPr="00681CB9">
        <w:t>geotipo</w:t>
      </w:r>
      <w:proofErr w:type="spellEnd"/>
      <w:r w:rsidRPr="00681CB9">
        <w:t>.</w:t>
      </w:r>
    </w:p>
    <w:p w14:paraId="6D702440" w14:textId="13C096B6" w:rsidR="004E3DD1" w:rsidRDefault="004E3DD1">
      <w:pPr>
        <w:rPr>
          <w:rFonts w:ascii="ITC Avant Garde" w:eastAsia="MS Mincho" w:hAnsi="ITC Avant Garde" w:cs="Calibri"/>
          <w:bCs/>
        </w:rPr>
      </w:pPr>
    </w:p>
    <w:p w14:paraId="5E62786A" w14:textId="02B27279" w:rsidR="00243F06" w:rsidRDefault="00243F06">
      <w:pPr>
        <w:rPr>
          <w:rFonts w:ascii="ITC Avant Garde" w:eastAsia="MS Mincho" w:hAnsi="ITC Avant Garde" w:cs="Calibri"/>
          <w:bCs/>
        </w:rPr>
      </w:pPr>
    </w:p>
    <w:p w14:paraId="12DE3805" w14:textId="0F7FA512" w:rsidR="00243F06" w:rsidRDefault="00243F06">
      <w:pPr>
        <w:rPr>
          <w:rFonts w:ascii="ITC Avant Garde" w:eastAsia="MS Mincho" w:hAnsi="ITC Avant Garde" w:cs="Calibri"/>
          <w:bCs/>
        </w:rPr>
      </w:pPr>
    </w:p>
    <w:p w14:paraId="2EEC5418" w14:textId="4C71D6C5" w:rsidR="00243F06" w:rsidRDefault="00243F06">
      <w:pPr>
        <w:rPr>
          <w:rFonts w:ascii="ITC Avant Garde" w:eastAsia="MS Mincho" w:hAnsi="ITC Avant Garde" w:cs="Calibri"/>
          <w:bCs/>
        </w:rPr>
      </w:pPr>
    </w:p>
    <w:p w14:paraId="46492593" w14:textId="58CA34E2" w:rsidR="00243F06" w:rsidRDefault="00243F06">
      <w:pPr>
        <w:rPr>
          <w:rFonts w:ascii="ITC Avant Garde" w:eastAsia="MS Mincho" w:hAnsi="ITC Avant Garde" w:cs="Calibri"/>
          <w:bCs/>
        </w:rPr>
      </w:pPr>
    </w:p>
    <w:p w14:paraId="605B9BA4" w14:textId="103D4E80" w:rsidR="00243F06" w:rsidRDefault="00243F06">
      <w:pPr>
        <w:rPr>
          <w:rFonts w:ascii="ITC Avant Garde" w:eastAsia="MS Mincho" w:hAnsi="ITC Avant Garde" w:cs="Calibri"/>
          <w:bCs/>
        </w:rPr>
      </w:pPr>
    </w:p>
    <w:p w14:paraId="1AF937FA" w14:textId="6BD4A37B" w:rsidR="00243F06" w:rsidRDefault="00243F06">
      <w:pPr>
        <w:rPr>
          <w:rFonts w:ascii="ITC Avant Garde" w:eastAsia="MS Mincho" w:hAnsi="ITC Avant Garde" w:cs="Calibri"/>
          <w:bCs/>
        </w:rPr>
      </w:pPr>
    </w:p>
    <w:p w14:paraId="579097CC" w14:textId="6DEE54CD" w:rsidR="00243F06" w:rsidRDefault="00243F06">
      <w:pPr>
        <w:rPr>
          <w:rFonts w:ascii="ITC Avant Garde" w:eastAsia="MS Mincho" w:hAnsi="ITC Avant Garde" w:cs="Calibri"/>
          <w:bCs/>
        </w:rPr>
      </w:pPr>
    </w:p>
    <w:p w14:paraId="6B3838DA" w14:textId="54137882" w:rsidR="00243F06" w:rsidRDefault="00243F06">
      <w:pPr>
        <w:rPr>
          <w:rFonts w:ascii="ITC Avant Garde" w:eastAsia="MS Mincho" w:hAnsi="ITC Avant Garde" w:cs="Calibri"/>
          <w:bCs/>
        </w:rPr>
      </w:pPr>
    </w:p>
    <w:p w14:paraId="0A02F503" w14:textId="600D5A6C" w:rsidR="00243F06" w:rsidRDefault="00243F06">
      <w:pPr>
        <w:rPr>
          <w:rFonts w:ascii="ITC Avant Garde" w:eastAsia="MS Mincho" w:hAnsi="ITC Avant Garde" w:cs="Calibri"/>
          <w:bCs/>
        </w:rPr>
      </w:pPr>
    </w:p>
    <w:p w14:paraId="7B52DDB0" w14:textId="695378A6" w:rsidR="00243F06" w:rsidRDefault="00243F06">
      <w:pPr>
        <w:rPr>
          <w:rFonts w:ascii="ITC Avant Garde" w:eastAsia="MS Mincho" w:hAnsi="ITC Avant Garde" w:cs="Calibri"/>
          <w:bCs/>
        </w:rPr>
      </w:pPr>
    </w:p>
    <w:p w14:paraId="42485AB0" w14:textId="0A3E7584" w:rsidR="00243F06" w:rsidRDefault="00243F06">
      <w:pPr>
        <w:rPr>
          <w:rFonts w:ascii="ITC Avant Garde" w:eastAsia="MS Mincho" w:hAnsi="ITC Avant Garde" w:cs="Calibri"/>
          <w:bCs/>
        </w:rPr>
      </w:pPr>
    </w:p>
    <w:p w14:paraId="192F09D8" w14:textId="0E542E0C" w:rsidR="00243F06" w:rsidRDefault="00243F06">
      <w:pPr>
        <w:rPr>
          <w:rFonts w:ascii="ITC Avant Garde" w:eastAsia="MS Mincho" w:hAnsi="ITC Avant Garde" w:cs="Calibri"/>
          <w:bCs/>
        </w:rPr>
      </w:pPr>
    </w:p>
    <w:p w14:paraId="4E773D8D" w14:textId="3BA6BDAA" w:rsidR="00243F06" w:rsidRDefault="00243F06">
      <w:pPr>
        <w:rPr>
          <w:rFonts w:ascii="ITC Avant Garde" w:eastAsia="MS Mincho" w:hAnsi="ITC Avant Garde" w:cs="Calibri"/>
          <w:bCs/>
        </w:rPr>
      </w:pPr>
    </w:p>
    <w:p w14:paraId="06C7036B" w14:textId="77A33509" w:rsidR="00243F06" w:rsidRDefault="00243F06">
      <w:pPr>
        <w:rPr>
          <w:rFonts w:ascii="ITC Avant Garde" w:eastAsia="MS Mincho" w:hAnsi="ITC Avant Garde" w:cs="Calibri"/>
          <w:bCs/>
        </w:rPr>
      </w:pPr>
    </w:p>
    <w:p w14:paraId="4B36A530" w14:textId="77777777" w:rsidR="00243F06" w:rsidRDefault="00243F06">
      <w:pPr>
        <w:rPr>
          <w:rFonts w:ascii="ITC Avant Garde" w:eastAsia="MS Mincho" w:hAnsi="ITC Avant Garde" w:cs="Calibri"/>
          <w:bCs/>
        </w:rPr>
      </w:pPr>
    </w:p>
    <w:p w14:paraId="022B95CD" w14:textId="71F3BD3B" w:rsidR="0099731C" w:rsidRPr="00681CB9" w:rsidRDefault="0099731C" w:rsidP="004A101A">
      <w:pPr>
        <w:pStyle w:val="T2IFT"/>
      </w:pPr>
      <w:bookmarkStart w:id="27" w:name="_Toc107852352"/>
      <w:r w:rsidRPr="00681CB9">
        <w:lastRenderedPageBreak/>
        <w:t>Estructura del modelo (diagrama de flujo)</w:t>
      </w:r>
      <w:bookmarkEnd w:id="27"/>
    </w:p>
    <w:p w14:paraId="79C7044A" w14:textId="209F3810" w:rsidR="0099731C" w:rsidRPr="00681CB9" w:rsidRDefault="0099731C" w:rsidP="0099731C">
      <w:pPr>
        <w:pStyle w:val="IFTnormal"/>
      </w:pPr>
      <w:r w:rsidRPr="00681CB9">
        <w:t xml:space="preserve">En línea con lo expuesto anteriormente, el </w:t>
      </w:r>
      <w:r w:rsidR="00F7470F">
        <w:rPr>
          <w:rStyle w:val="IFTnormalCar"/>
        </w:rPr>
        <w:t>Modelo de Acceso a Torres</w:t>
      </w:r>
      <w:r w:rsidRPr="00681CB9">
        <w:t xml:space="preserve"> consta de dos módulos claramente diferenciados: una parte que se encarga de estimar tarifas por sitio y</w:t>
      </w:r>
      <w:r w:rsidR="003A556C" w:rsidRPr="00681CB9">
        <w:t>,</w:t>
      </w:r>
      <w:r w:rsidRPr="00681CB9">
        <w:t xml:space="preserve"> una parte que estima tarifas por </w:t>
      </w:r>
      <w:proofErr w:type="spellStart"/>
      <w:r w:rsidRPr="00681CB9">
        <w:t>geotipo</w:t>
      </w:r>
      <w:proofErr w:type="spellEnd"/>
      <w:r w:rsidRPr="00681CB9">
        <w:t xml:space="preserve">, alimentándose de los cálculos previamente realizados en la parte por sitios. </w:t>
      </w:r>
    </w:p>
    <w:p w14:paraId="62FC950C" w14:textId="1736800D" w:rsidR="0099731C" w:rsidRPr="00681CB9" w:rsidRDefault="0099731C" w:rsidP="0099731C">
      <w:pPr>
        <w:pStyle w:val="IFTnormal"/>
      </w:pPr>
      <w:r w:rsidRPr="00681CB9">
        <w:t xml:space="preserve">A </w:t>
      </w:r>
      <w:r w:rsidR="003A556C" w:rsidRPr="00681CB9">
        <w:t>continuación,</w:t>
      </w:r>
      <w:r w:rsidRPr="00681CB9">
        <w:t xml:space="preserve"> se presenta de manera esquemática las etapas de cálculo antes descritas que considera el modelo para llevar a cabo el cálculo de las tarifas de </w:t>
      </w:r>
      <w:r w:rsidR="00CF17F6">
        <w:t>Espacio Aprobado en Torre</w:t>
      </w:r>
      <w:r w:rsidRPr="00681CB9">
        <w:t xml:space="preserve"> y </w:t>
      </w:r>
      <w:r w:rsidR="00CF17F6">
        <w:t>Espacio Aprobado en Piso</w:t>
      </w:r>
      <w:r w:rsidRPr="00681CB9">
        <w:t xml:space="preserve"> generadas en el </w:t>
      </w:r>
      <w:r w:rsidR="00F7470F">
        <w:rPr>
          <w:rStyle w:val="IFTnormalCar"/>
        </w:rPr>
        <w:t>Modelo de Acceso a Torres</w:t>
      </w:r>
      <w:r w:rsidRPr="00681CB9">
        <w:t>.</w:t>
      </w:r>
    </w:p>
    <w:p w14:paraId="0EEEEB78" w14:textId="77777777" w:rsidR="0099731C" w:rsidRPr="00681CB9" w:rsidRDefault="00890CE8" w:rsidP="0099731C">
      <w:pPr>
        <w:jc w:val="center"/>
        <w:rPr>
          <w:rFonts w:ascii="ITC Avant Garde" w:hAnsi="ITC Avant Garde"/>
        </w:rPr>
      </w:pPr>
      <w:r w:rsidRPr="00681CB9">
        <w:rPr>
          <w:rFonts w:ascii="ITC Avant Garde" w:hAnsi="ITC Avant Garde"/>
          <w:noProof/>
          <w:lang w:eastAsia="es-MX"/>
        </w:rPr>
        <w:drawing>
          <wp:inline distT="0" distB="0" distL="0" distR="0" wp14:anchorId="326FE1CE" wp14:editId="09366365">
            <wp:extent cx="4977856" cy="341894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9315" t="28816" r="15906" b="28715"/>
                    <a:stretch/>
                  </pic:blipFill>
                  <pic:spPr bwMode="auto">
                    <a:xfrm>
                      <a:off x="0" y="0"/>
                      <a:ext cx="5032418" cy="3456424"/>
                    </a:xfrm>
                    <a:prstGeom prst="rect">
                      <a:avLst/>
                    </a:prstGeom>
                    <a:ln>
                      <a:noFill/>
                    </a:ln>
                    <a:extLst>
                      <a:ext uri="{53640926-AAD7-44D8-BBD7-CCE9431645EC}">
                        <a14:shadowObscured xmlns:a14="http://schemas.microsoft.com/office/drawing/2010/main"/>
                      </a:ext>
                    </a:extLst>
                  </pic:spPr>
                </pic:pic>
              </a:graphicData>
            </a:graphic>
          </wp:inline>
        </w:drawing>
      </w:r>
    </w:p>
    <w:p w14:paraId="7ECC029A" w14:textId="20DB3C14" w:rsidR="0099731C" w:rsidRPr="00681CB9" w:rsidRDefault="0099731C" w:rsidP="0099731C">
      <w:pPr>
        <w:jc w:val="center"/>
        <w:rPr>
          <w:rFonts w:ascii="ITC Avant Garde" w:hAnsi="ITC Avant Garde"/>
          <w:lang w:val="es-ES_tradnl"/>
        </w:rPr>
      </w:pPr>
      <w:r w:rsidRPr="00F27142">
        <w:rPr>
          <w:rFonts w:ascii="ITC Avant Garde" w:hAnsi="ITC Avant Garde"/>
          <w:b/>
          <w:sz w:val="18"/>
        </w:rPr>
        <w:t xml:space="preserve">Figura </w:t>
      </w:r>
      <w:r w:rsidR="00F27142" w:rsidRPr="00F27142">
        <w:rPr>
          <w:rFonts w:ascii="ITC Avant Garde" w:hAnsi="ITC Avant Garde"/>
          <w:b/>
          <w:sz w:val="18"/>
        </w:rPr>
        <w:t>3</w:t>
      </w:r>
      <w:r w:rsidRPr="00F27142">
        <w:rPr>
          <w:rFonts w:ascii="ITC Avant Garde" w:hAnsi="ITC Avant Garde"/>
          <w:b/>
          <w:sz w:val="18"/>
        </w:rPr>
        <w:t>:</w:t>
      </w:r>
      <w:r w:rsidRPr="00681CB9">
        <w:rPr>
          <w:rFonts w:ascii="ITC Avant Garde" w:hAnsi="ITC Avant Garde"/>
          <w:i/>
          <w:sz w:val="18"/>
        </w:rPr>
        <w:t xml:space="preserve"> Diagrama de flujo del </w:t>
      </w:r>
      <w:r w:rsidR="00F7470F" w:rsidRPr="00F7470F">
        <w:rPr>
          <w:rFonts w:ascii="ITC Avant Garde" w:hAnsi="ITC Avant Garde"/>
          <w:i/>
          <w:sz w:val="18"/>
        </w:rPr>
        <w:t>Modelo de Acceso a Torres</w:t>
      </w:r>
      <w:r w:rsidR="00D74957">
        <w:rPr>
          <w:rFonts w:ascii="ITC Avant Garde" w:hAnsi="ITC Avant Garde"/>
          <w:i/>
          <w:sz w:val="18"/>
        </w:rPr>
        <w:t>.</w:t>
      </w:r>
    </w:p>
    <w:p w14:paraId="1ADC7B6E" w14:textId="77777777" w:rsidR="00F27142" w:rsidRDefault="00F27142" w:rsidP="0099731C">
      <w:pPr>
        <w:jc w:val="both"/>
        <w:rPr>
          <w:rFonts w:ascii="ITC Avant Garde" w:hAnsi="ITC Avant Garde"/>
          <w:lang w:val="es-ES_tradnl"/>
        </w:rPr>
      </w:pPr>
    </w:p>
    <w:p w14:paraId="738CCDFF" w14:textId="159C9E70" w:rsidR="0099731C" w:rsidRPr="00681CB9" w:rsidRDefault="0099731C" w:rsidP="0099731C">
      <w:pPr>
        <w:jc w:val="both"/>
        <w:rPr>
          <w:rFonts w:ascii="ITC Avant Garde" w:hAnsi="ITC Avant Garde"/>
          <w:lang w:val="es-ES_tradnl"/>
        </w:rPr>
      </w:pPr>
      <w:r w:rsidRPr="00681CB9">
        <w:rPr>
          <w:rFonts w:ascii="ITC Avant Garde" w:hAnsi="ITC Avant Garde"/>
          <w:lang w:val="es-ES_tradnl"/>
        </w:rPr>
        <w:t xml:space="preserve">Asimismo, la estructura del archivo en formato Excel que contiene al </w:t>
      </w:r>
      <w:r w:rsidR="00F7470F">
        <w:rPr>
          <w:rStyle w:val="IFTnormalCar"/>
        </w:rPr>
        <w:t>Modelo de Acceso a Torres</w:t>
      </w:r>
      <w:r w:rsidRPr="00681CB9">
        <w:rPr>
          <w:rFonts w:ascii="ITC Avant Garde" w:hAnsi="ITC Avant Garde"/>
          <w:lang w:val="es-ES_tradnl"/>
        </w:rPr>
        <w:t xml:space="preserve"> se resume en la siguiente tabla:</w:t>
      </w:r>
    </w:p>
    <w:tbl>
      <w:tblPr>
        <w:tblStyle w:val="Tablaconcuadrcula4-nfasis5"/>
        <w:tblW w:w="8731" w:type="dxa"/>
        <w:jc w:val="center"/>
        <w:tblLook w:val="0420" w:firstRow="1" w:lastRow="0" w:firstColumn="0" w:lastColumn="0" w:noHBand="0" w:noVBand="1"/>
        <w:tblCaption w:val="Figura 3: Estrutura del modelo de costos de coubicación móvil (Fuente: IFT, 2015)"/>
        <w:tblDescription w:val="Se divida en hoja de cálculo y descripción"/>
      </w:tblPr>
      <w:tblGrid>
        <w:gridCol w:w="1843"/>
        <w:gridCol w:w="6888"/>
      </w:tblGrid>
      <w:tr w:rsidR="0099731C" w:rsidRPr="00681CB9" w14:paraId="31FD9BC6" w14:textId="77777777" w:rsidTr="006379DB">
        <w:trPr>
          <w:cnfStyle w:val="100000000000" w:firstRow="1" w:lastRow="0" w:firstColumn="0" w:lastColumn="0" w:oddVBand="0" w:evenVBand="0" w:oddHBand="0" w:evenHBand="0" w:firstRowFirstColumn="0" w:firstRowLastColumn="0" w:lastRowFirstColumn="0" w:lastRowLastColumn="0"/>
          <w:trHeight w:val="351"/>
          <w:tblHeader/>
          <w:jc w:val="center"/>
        </w:trPr>
        <w:tc>
          <w:tcPr>
            <w:tcW w:w="1843" w:type="dxa"/>
            <w:vAlign w:val="center"/>
          </w:tcPr>
          <w:p w14:paraId="7BC799CF" w14:textId="77777777" w:rsidR="0099731C" w:rsidRPr="00681CB9" w:rsidRDefault="0099731C" w:rsidP="006379DB">
            <w:pPr>
              <w:pStyle w:val="Tableheading"/>
              <w:jc w:val="center"/>
              <w:rPr>
                <w:rFonts w:ascii="ITC Avant Garde" w:hAnsi="ITC Avant Garde"/>
                <w:b/>
                <w:i/>
                <w:szCs w:val="18"/>
                <w:lang w:val="es-ES_tradnl"/>
              </w:rPr>
            </w:pPr>
            <w:r w:rsidRPr="00681CB9">
              <w:rPr>
                <w:rFonts w:ascii="ITC Avant Garde" w:hAnsi="ITC Avant Garde"/>
                <w:szCs w:val="18"/>
                <w:lang w:val="es-ES_tradnl"/>
              </w:rPr>
              <w:t>Hoja de cálculo</w:t>
            </w:r>
          </w:p>
        </w:tc>
        <w:tc>
          <w:tcPr>
            <w:tcW w:w="6888" w:type="dxa"/>
            <w:vAlign w:val="center"/>
          </w:tcPr>
          <w:p w14:paraId="336482E0" w14:textId="77777777" w:rsidR="0099731C" w:rsidRPr="00681CB9" w:rsidRDefault="0099731C" w:rsidP="006379DB">
            <w:pPr>
              <w:pStyle w:val="Tableheading"/>
              <w:jc w:val="center"/>
              <w:rPr>
                <w:rFonts w:ascii="ITC Avant Garde" w:hAnsi="ITC Avant Garde"/>
                <w:b/>
                <w:i/>
                <w:szCs w:val="18"/>
                <w:lang w:val="es-ES_tradnl"/>
              </w:rPr>
            </w:pPr>
            <w:r w:rsidRPr="00681CB9">
              <w:rPr>
                <w:rFonts w:ascii="ITC Avant Garde" w:hAnsi="ITC Avant Garde"/>
                <w:szCs w:val="18"/>
                <w:lang w:val="es-ES_tradnl"/>
              </w:rPr>
              <w:t>Descripción</w:t>
            </w:r>
          </w:p>
        </w:tc>
      </w:tr>
      <w:tr w:rsidR="0099731C" w:rsidRPr="00681CB9" w14:paraId="19F9F421" w14:textId="77777777" w:rsidTr="006379DB">
        <w:trPr>
          <w:cnfStyle w:val="000000100000" w:firstRow="0" w:lastRow="0" w:firstColumn="0" w:lastColumn="0" w:oddVBand="0" w:evenVBand="0" w:oddHBand="1" w:evenHBand="0" w:firstRowFirstColumn="0" w:firstRowLastColumn="0" w:lastRowFirstColumn="0" w:lastRowLastColumn="0"/>
          <w:jc w:val="center"/>
        </w:trPr>
        <w:tc>
          <w:tcPr>
            <w:tcW w:w="1843" w:type="dxa"/>
          </w:tcPr>
          <w:p w14:paraId="694DD0F2" w14:textId="77777777" w:rsidR="0099731C" w:rsidRPr="00681CB9" w:rsidRDefault="0099731C" w:rsidP="0099731C">
            <w:pPr>
              <w:pStyle w:val="Tablecells"/>
              <w:rPr>
                <w:rFonts w:ascii="ITC Avant Garde" w:hAnsi="ITC Avant Garde"/>
                <w:i/>
                <w:szCs w:val="18"/>
                <w:lang w:val="es-ES_tradnl"/>
              </w:rPr>
            </w:pPr>
            <w:r w:rsidRPr="00681CB9">
              <w:rPr>
                <w:rFonts w:ascii="ITC Avant Garde" w:hAnsi="ITC Avant Garde"/>
                <w:i/>
                <w:szCs w:val="18"/>
                <w:lang w:val="es-ES_tradnl"/>
              </w:rPr>
              <w:t>Control</w:t>
            </w:r>
          </w:p>
        </w:tc>
        <w:tc>
          <w:tcPr>
            <w:tcW w:w="6888" w:type="dxa"/>
          </w:tcPr>
          <w:p w14:paraId="6955C1D5" w14:textId="1B891ED2" w:rsidR="0099731C" w:rsidRPr="00681CB9" w:rsidRDefault="0099731C" w:rsidP="0099731C">
            <w:pPr>
              <w:pStyle w:val="Tablecells"/>
              <w:jc w:val="both"/>
              <w:rPr>
                <w:rFonts w:ascii="ITC Avant Garde" w:hAnsi="ITC Avant Garde"/>
                <w:szCs w:val="18"/>
                <w:lang w:val="es-ES_tradnl"/>
              </w:rPr>
            </w:pPr>
            <w:r w:rsidRPr="00681CB9">
              <w:rPr>
                <w:rFonts w:ascii="ITC Avant Garde" w:hAnsi="ITC Avant Garde"/>
                <w:szCs w:val="18"/>
                <w:lang w:val="es-ES_tradnl"/>
              </w:rPr>
              <w:t>Permite seleccionar el año de referencia, la configuración y las características del sitio a dimensionar, y los datos de demanda (</w:t>
            </w:r>
            <w:r w:rsidR="00CF17F6">
              <w:rPr>
                <w:rFonts w:ascii="ITC Avant Garde" w:hAnsi="ITC Avant Garde"/>
                <w:szCs w:val="18"/>
                <w:lang w:val="es-ES_tradnl"/>
              </w:rPr>
              <w:t>TELMEX</w:t>
            </w:r>
            <w:r w:rsidR="00F27142">
              <w:rPr>
                <w:rFonts w:ascii="ITC Avant Garde" w:hAnsi="ITC Avant Garde"/>
                <w:szCs w:val="18"/>
                <w:lang w:val="es-ES_tradnl"/>
              </w:rPr>
              <w:t xml:space="preserve"> y </w:t>
            </w:r>
            <w:r w:rsidR="00CF17F6">
              <w:rPr>
                <w:rFonts w:ascii="ITC Avant Garde" w:hAnsi="ITC Avant Garde"/>
                <w:szCs w:val="18"/>
                <w:lang w:val="es-ES_tradnl"/>
              </w:rPr>
              <w:t>TELNOR</w:t>
            </w:r>
            <w:r w:rsidRPr="00681CB9">
              <w:rPr>
                <w:rFonts w:ascii="ITC Avant Garde" w:hAnsi="ITC Avant Garde"/>
                <w:szCs w:val="18"/>
                <w:lang w:val="es-ES_tradnl"/>
              </w:rPr>
              <w:t xml:space="preserve"> y CS) en términos espacio lineal en torre. También permite seleccionar el Tipo de Uso de Sitio, Predio o Espacio Físico a modelar (</w:t>
            </w:r>
            <w:r w:rsidR="00F27142">
              <w:rPr>
                <w:rFonts w:ascii="ITC Avant Garde" w:hAnsi="ITC Avant Garde"/>
                <w:szCs w:val="18"/>
                <w:lang w:val="es-ES_tradnl"/>
              </w:rPr>
              <w:t>e</w:t>
            </w:r>
            <w:r w:rsidRPr="00681CB9">
              <w:rPr>
                <w:rFonts w:ascii="ITC Avant Garde" w:hAnsi="ITC Avant Garde"/>
                <w:szCs w:val="18"/>
                <w:lang w:val="es-ES_tradnl"/>
              </w:rPr>
              <w:t xml:space="preserve">spacio en </w:t>
            </w:r>
            <w:r w:rsidR="00F27142">
              <w:rPr>
                <w:rFonts w:ascii="ITC Avant Garde" w:hAnsi="ITC Avant Garde"/>
                <w:szCs w:val="18"/>
                <w:lang w:val="es-ES_tradnl"/>
              </w:rPr>
              <w:t>p</w:t>
            </w:r>
            <w:r w:rsidRPr="00681CB9">
              <w:rPr>
                <w:rFonts w:ascii="ITC Avant Garde" w:hAnsi="ITC Avant Garde"/>
                <w:szCs w:val="18"/>
                <w:lang w:val="es-ES_tradnl"/>
              </w:rPr>
              <w:t xml:space="preserve">redio, </w:t>
            </w:r>
            <w:r w:rsidR="00F27142">
              <w:rPr>
                <w:rFonts w:ascii="ITC Avant Garde" w:hAnsi="ITC Avant Garde"/>
                <w:szCs w:val="18"/>
                <w:lang w:val="es-ES_tradnl"/>
              </w:rPr>
              <w:t>e</w:t>
            </w:r>
            <w:r w:rsidRPr="00681CB9">
              <w:rPr>
                <w:rFonts w:ascii="ITC Avant Garde" w:hAnsi="ITC Avant Garde"/>
                <w:szCs w:val="18"/>
                <w:lang w:val="es-ES_tradnl"/>
              </w:rPr>
              <w:t xml:space="preserve">spacio en </w:t>
            </w:r>
            <w:r w:rsidR="00F27142">
              <w:rPr>
                <w:rFonts w:ascii="ITC Avant Garde" w:hAnsi="ITC Avant Garde"/>
                <w:szCs w:val="18"/>
                <w:lang w:val="es-ES_tradnl"/>
              </w:rPr>
              <w:t>a</w:t>
            </w:r>
            <w:r w:rsidRPr="00681CB9">
              <w:rPr>
                <w:rFonts w:ascii="ITC Avant Garde" w:hAnsi="ITC Avant Garde"/>
                <w:szCs w:val="18"/>
                <w:lang w:val="es-ES_tradnl"/>
              </w:rPr>
              <w:t xml:space="preserve">zotea o </w:t>
            </w:r>
            <w:r w:rsidR="00F27142">
              <w:rPr>
                <w:rFonts w:ascii="ITC Avant Garde" w:hAnsi="ITC Avant Garde"/>
                <w:szCs w:val="18"/>
                <w:lang w:val="es-ES_tradnl"/>
              </w:rPr>
              <w:t>e</w:t>
            </w:r>
            <w:r w:rsidRPr="00681CB9">
              <w:rPr>
                <w:rFonts w:ascii="ITC Avant Garde" w:hAnsi="ITC Avant Garde"/>
                <w:szCs w:val="18"/>
                <w:lang w:val="es-ES_tradnl"/>
              </w:rPr>
              <w:t xml:space="preserve">spacio en </w:t>
            </w:r>
            <w:r w:rsidR="00F27142">
              <w:rPr>
                <w:rFonts w:ascii="ITC Avant Garde" w:hAnsi="ITC Avant Garde"/>
                <w:szCs w:val="18"/>
                <w:lang w:val="es-ES_tradnl"/>
              </w:rPr>
              <w:t>c</w:t>
            </w:r>
            <w:r w:rsidRPr="00681CB9">
              <w:rPr>
                <w:rFonts w:ascii="ITC Avant Garde" w:hAnsi="ITC Avant Garde"/>
                <w:szCs w:val="18"/>
                <w:lang w:val="es-ES_tradnl"/>
              </w:rPr>
              <w:t>aseta).</w:t>
            </w:r>
          </w:p>
        </w:tc>
      </w:tr>
      <w:tr w:rsidR="0078404E" w:rsidRPr="00681CB9" w14:paraId="39314728" w14:textId="77777777" w:rsidTr="006379DB">
        <w:trPr>
          <w:jc w:val="center"/>
        </w:trPr>
        <w:tc>
          <w:tcPr>
            <w:tcW w:w="1843" w:type="dxa"/>
          </w:tcPr>
          <w:p w14:paraId="2517511C" w14:textId="77777777" w:rsidR="0078404E" w:rsidRPr="00681CB9" w:rsidRDefault="0078404E" w:rsidP="0078404E">
            <w:pPr>
              <w:pStyle w:val="Tablecells"/>
              <w:rPr>
                <w:rFonts w:ascii="ITC Avant Garde" w:hAnsi="ITC Avant Garde"/>
                <w:i/>
                <w:szCs w:val="18"/>
                <w:lang w:val="es-MX"/>
              </w:rPr>
            </w:pPr>
            <w:r w:rsidRPr="00681CB9">
              <w:rPr>
                <w:rFonts w:ascii="ITC Avant Garde" w:hAnsi="ITC Avant Garde"/>
                <w:i/>
                <w:szCs w:val="18"/>
                <w:lang w:val="es-ES_tradnl"/>
              </w:rPr>
              <w:t>Costos unitarios</w:t>
            </w:r>
          </w:p>
        </w:tc>
        <w:tc>
          <w:tcPr>
            <w:tcW w:w="6888" w:type="dxa"/>
          </w:tcPr>
          <w:p w14:paraId="0A8F5EB7" w14:textId="77777777" w:rsidR="0078404E" w:rsidRPr="00681CB9" w:rsidRDefault="0078404E" w:rsidP="0078404E">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Incluye los costos unitarios del modelo para los diferentes activos. </w:t>
            </w:r>
          </w:p>
        </w:tc>
      </w:tr>
      <w:tr w:rsidR="0078404E" w:rsidRPr="00681CB9" w14:paraId="4C7F04A1" w14:textId="77777777" w:rsidTr="006379DB">
        <w:trPr>
          <w:cnfStyle w:val="000000100000" w:firstRow="0" w:lastRow="0" w:firstColumn="0" w:lastColumn="0" w:oddVBand="0" w:evenVBand="0" w:oddHBand="1" w:evenHBand="0" w:firstRowFirstColumn="0" w:firstRowLastColumn="0" w:lastRowFirstColumn="0" w:lastRowLastColumn="0"/>
          <w:jc w:val="center"/>
        </w:trPr>
        <w:tc>
          <w:tcPr>
            <w:tcW w:w="1843" w:type="dxa"/>
          </w:tcPr>
          <w:p w14:paraId="3283979C" w14:textId="77777777" w:rsidR="0078404E" w:rsidRPr="00681CB9" w:rsidRDefault="0078404E" w:rsidP="0078404E">
            <w:pPr>
              <w:pStyle w:val="Tablecells"/>
              <w:rPr>
                <w:rFonts w:ascii="ITC Avant Garde" w:hAnsi="ITC Avant Garde"/>
                <w:i/>
                <w:szCs w:val="18"/>
                <w:lang w:val="es-ES_tradnl"/>
              </w:rPr>
            </w:pPr>
            <w:r w:rsidRPr="00681CB9">
              <w:rPr>
                <w:rFonts w:ascii="ITC Avant Garde" w:hAnsi="ITC Avant Garde"/>
                <w:i/>
                <w:szCs w:val="18"/>
                <w:lang w:val="es-ES_tradnl"/>
              </w:rPr>
              <w:lastRenderedPageBreak/>
              <w:t>Dimensionado</w:t>
            </w:r>
          </w:p>
        </w:tc>
        <w:tc>
          <w:tcPr>
            <w:tcW w:w="6888" w:type="dxa"/>
          </w:tcPr>
          <w:p w14:paraId="7D5BF97C" w14:textId="63E56480" w:rsidR="0078404E" w:rsidRPr="00681CB9" w:rsidRDefault="0078404E" w:rsidP="0078404E">
            <w:pPr>
              <w:pStyle w:val="Tablecells"/>
              <w:jc w:val="both"/>
              <w:rPr>
                <w:rFonts w:ascii="ITC Avant Garde" w:hAnsi="ITC Avant Garde"/>
                <w:szCs w:val="18"/>
                <w:lang w:val="es-ES_tradnl"/>
              </w:rPr>
            </w:pPr>
            <w:r w:rsidRPr="00681CB9">
              <w:rPr>
                <w:rFonts w:ascii="ITC Avant Garde" w:hAnsi="ITC Avant Garde"/>
                <w:szCs w:val="18"/>
                <w:lang w:val="es-ES_tradnl"/>
              </w:rPr>
              <w:t>Procesa la demanda y los otros parámetros de entrada del modelo para calcular el dimensionamiento del sitio a modelar. Produce como resultado el número de activos y su tamaño correspondiente.</w:t>
            </w:r>
          </w:p>
        </w:tc>
      </w:tr>
      <w:tr w:rsidR="0078404E" w:rsidRPr="00681CB9" w14:paraId="100EEFA5" w14:textId="77777777" w:rsidTr="006379DB">
        <w:trPr>
          <w:jc w:val="center"/>
        </w:trPr>
        <w:tc>
          <w:tcPr>
            <w:tcW w:w="1843" w:type="dxa"/>
          </w:tcPr>
          <w:p w14:paraId="3FE1749F" w14:textId="77777777" w:rsidR="0078404E" w:rsidRPr="00681CB9" w:rsidRDefault="0078404E" w:rsidP="0078404E">
            <w:pPr>
              <w:pStyle w:val="Tablecells"/>
              <w:rPr>
                <w:rFonts w:ascii="ITC Avant Garde" w:hAnsi="ITC Avant Garde"/>
                <w:i/>
                <w:szCs w:val="18"/>
                <w:lang w:val="es-ES_tradnl"/>
              </w:rPr>
            </w:pPr>
            <w:r w:rsidRPr="00681CB9">
              <w:rPr>
                <w:rFonts w:ascii="ITC Avant Garde" w:hAnsi="ITC Avant Garde"/>
                <w:i/>
                <w:szCs w:val="18"/>
                <w:lang w:val="es-ES_tradnl"/>
              </w:rPr>
              <w:t>Cálculos secundarios</w:t>
            </w:r>
          </w:p>
        </w:tc>
        <w:tc>
          <w:tcPr>
            <w:tcW w:w="6888" w:type="dxa"/>
          </w:tcPr>
          <w:p w14:paraId="4743D353" w14:textId="0E3C803B" w:rsidR="0078404E" w:rsidRPr="00681CB9" w:rsidRDefault="0078404E" w:rsidP="0078404E">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Agrupa cálculos adicionales requeridos para la asignación de costos relacionados con los costos de mantenimiento y de CAPEX de las </w:t>
            </w:r>
            <w:r w:rsidR="004A101A" w:rsidRPr="00681CB9">
              <w:rPr>
                <w:rFonts w:ascii="ITC Avant Garde" w:hAnsi="ITC Avant Garde"/>
                <w:szCs w:val="18"/>
                <w:lang w:val="es-ES_tradnl"/>
              </w:rPr>
              <w:t>torres.</w:t>
            </w:r>
          </w:p>
        </w:tc>
      </w:tr>
      <w:tr w:rsidR="0078404E" w:rsidRPr="00681CB9" w14:paraId="20BABCEA" w14:textId="77777777" w:rsidTr="006379DB">
        <w:trPr>
          <w:cnfStyle w:val="000000100000" w:firstRow="0" w:lastRow="0" w:firstColumn="0" w:lastColumn="0" w:oddVBand="0" w:evenVBand="0" w:oddHBand="1" w:evenHBand="0" w:firstRowFirstColumn="0" w:firstRowLastColumn="0" w:lastRowFirstColumn="0" w:lastRowLastColumn="0"/>
          <w:jc w:val="center"/>
        </w:trPr>
        <w:tc>
          <w:tcPr>
            <w:tcW w:w="1843" w:type="dxa"/>
          </w:tcPr>
          <w:p w14:paraId="280C5446" w14:textId="77777777" w:rsidR="0078404E" w:rsidRPr="00681CB9" w:rsidRDefault="0078404E" w:rsidP="0078404E">
            <w:pPr>
              <w:pStyle w:val="Tablecells"/>
              <w:rPr>
                <w:rFonts w:ascii="ITC Avant Garde" w:hAnsi="ITC Avant Garde"/>
                <w:i/>
                <w:szCs w:val="18"/>
                <w:lang w:val="es-ES_tradnl"/>
              </w:rPr>
            </w:pPr>
            <w:r w:rsidRPr="00681CB9">
              <w:rPr>
                <w:rFonts w:ascii="ITC Avant Garde" w:hAnsi="ITC Avant Garde"/>
                <w:i/>
                <w:szCs w:val="18"/>
                <w:lang w:val="es-ES_tradnl"/>
              </w:rPr>
              <w:t>Características técnicas</w:t>
            </w:r>
          </w:p>
        </w:tc>
        <w:tc>
          <w:tcPr>
            <w:tcW w:w="6888" w:type="dxa"/>
          </w:tcPr>
          <w:p w14:paraId="7C09D845" w14:textId="469404C9" w:rsidR="0078404E" w:rsidRPr="00681CB9" w:rsidRDefault="0078404E" w:rsidP="0078404E">
            <w:pPr>
              <w:pStyle w:val="Tablecells"/>
              <w:jc w:val="both"/>
              <w:rPr>
                <w:rFonts w:ascii="ITC Avant Garde" w:hAnsi="ITC Avant Garde"/>
                <w:szCs w:val="18"/>
                <w:lang w:val="es-ES_tradnl"/>
              </w:rPr>
            </w:pPr>
            <w:r w:rsidRPr="00681CB9">
              <w:rPr>
                <w:rFonts w:ascii="ITC Avant Garde" w:hAnsi="ITC Avant Garde"/>
                <w:szCs w:val="18"/>
                <w:lang w:val="es-ES_tradnl"/>
              </w:rPr>
              <w:t>Incluye los datos de superficie estimada para diferentes elementos de los sitios de</w:t>
            </w:r>
            <w:r w:rsidR="004A101A">
              <w:rPr>
                <w:rFonts w:ascii="ITC Avant Garde" w:hAnsi="ITC Avant Garde"/>
                <w:szCs w:val="18"/>
                <w:lang w:val="es-ES_tradnl"/>
              </w:rPr>
              <w:t xml:space="preserve"> </w:t>
            </w:r>
            <w:r w:rsidR="00CF17F6">
              <w:rPr>
                <w:rFonts w:ascii="ITC Avant Garde" w:hAnsi="ITC Avant Garde"/>
                <w:szCs w:val="18"/>
                <w:lang w:val="es-ES_tradnl"/>
              </w:rPr>
              <w:t>TELMEX</w:t>
            </w:r>
            <w:r w:rsidR="004A101A">
              <w:rPr>
                <w:rFonts w:ascii="ITC Avant Garde" w:hAnsi="ITC Avant Garde"/>
                <w:szCs w:val="18"/>
                <w:lang w:val="es-ES_tradnl"/>
              </w:rPr>
              <w:t xml:space="preserve"> y </w:t>
            </w:r>
            <w:r w:rsidR="00CF17F6">
              <w:rPr>
                <w:rFonts w:ascii="ITC Avant Garde" w:hAnsi="ITC Avant Garde"/>
                <w:szCs w:val="18"/>
                <w:lang w:val="es-ES_tradnl"/>
              </w:rPr>
              <w:t>TELNOR</w:t>
            </w:r>
            <w:r w:rsidRPr="00681CB9">
              <w:rPr>
                <w:rFonts w:ascii="ITC Avant Garde" w:hAnsi="ITC Avant Garde"/>
                <w:szCs w:val="18"/>
                <w:lang w:val="es-ES_tradnl"/>
              </w:rPr>
              <w:t>: Número de franjas</w:t>
            </w:r>
            <w:r w:rsidR="00EF3969" w:rsidRPr="00681CB9">
              <w:rPr>
                <w:rFonts w:ascii="ITC Avant Garde" w:hAnsi="ITC Avant Garde"/>
                <w:szCs w:val="18"/>
                <w:lang w:val="es-ES_tradnl"/>
              </w:rPr>
              <w:t xml:space="preserve"> promedio</w:t>
            </w:r>
            <w:r w:rsidRPr="00681CB9">
              <w:rPr>
                <w:rFonts w:ascii="ITC Avant Garde" w:hAnsi="ITC Avant Garde"/>
                <w:szCs w:val="18"/>
                <w:lang w:val="es-ES_tradnl"/>
              </w:rPr>
              <w:t xml:space="preserve"> ocupadas por tipo de Torre, Área Promedio de Terreno, Área Promedio de Base de Torre, Área Promedio de Azotea y Área Promedio de Base de Caseta.</w:t>
            </w:r>
          </w:p>
        </w:tc>
      </w:tr>
      <w:tr w:rsidR="0078404E" w:rsidRPr="00681CB9" w14:paraId="3224420D" w14:textId="77777777" w:rsidTr="006379DB">
        <w:trPr>
          <w:jc w:val="center"/>
        </w:trPr>
        <w:tc>
          <w:tcPr>
            <w:tcW w:w="1843" w:type="dxa"/>
          </w:tcPr>
          <w:p w14:paraId="36EE1B93" w14:textId="77777777" w:rsidR="0078404E" w:rsidRPr="00681CB9" w:rsidRDefault="0078404E" w:rsidP="0078404E">
            <w:pPr>
              <w:pStyle w:val="Tablecells"/>
              <w:rPr>
                <w:rFonts w:ascii="ITC Avant Garde" w:hAnsi="ITC Avant Garde"/>
                <w:i/>
                <w:szCs w:val="18"/>
                <w:lang w:val="es-ES_tradnl"/>
              </w:rPr>
            </w:pPr>
            <w:r w:rsidRPr="00681CB9">
              <w:rPr>
                <w:rFonts w:ascii="ITC Avant Garde" w:hAnsi="ITC Avant Garde"/>
                <w:i/>
                <w:szCs w:val="18"/>
                <w:lang w:val="es-ES_tradnl"/>
              </w:rPr>
              <w:t>Costeo</w:t>
            </w:r>
          </w:p>
        </w:tc>
        <w:tc>
          <w:tcPr>
            <w:tcW w:w="6888" w:type="dxa"/>
          </w:tcPr>
          <w:p w14:paraId="67A4A394" w14:textId="6690BC41" w:rsidR="0078404E" w:rsidRPr="00681CB9" w:rsidRDefault="0078404E" w:rsidP="0078404E">
            <w:pPr>
              <w:pStyle w:val="Tablecells"/>
              <w:jc w:val="both"/>
              <w:rPr>
                <w:rFonts w:ascii="ITC Avant Garde" w:hAnsi="ITC Avant Garde"/>
                <w:spacing w:val="-4"/>
                <w:szCs w:val="18"/>
                <w:lang w:val="es-ES_tradnl"/>
              </w:rPr>
            </w:pPr>
            <w:r w:rsidRPr="00681CB9">
              <w:rPr>
                <w:rFonts w:ascii="ITC Avant Garde" w:hAnsi="ITC Avant Garde"/>
                <w:spacing w:val="-4"/>
                <w:szCs w:val="18"/>
                <w:lang w:val="es-ES_tradnl"/>
              </w:rPr>
              <w:t xml:space="preserve">Toma los costos unitarios calculados en la hoja </w:t>
            </w:r>
            <w:r w:rsidR="004A101A">
              <w:rPr>
                <w:rFonts w:ascii="ITC Avant Garde" w:hAnsi="ITC Avant Garde"/>
                <w:spacing w:val="-4"/>
                <w:szCs w:val="18"/>
                <w:lang w:val="es-ES_tradnl"/>
              </w:rPr>
              <w:t>“</w:t>
            </w:r>
            <w:r w:rsidRPr="00681CB9">
              <w:rPr>
                <w:rFonts w:ascii="ITC Avant Garde" w:hAnsi="ITC Avant Garde"/>
                <w:i/>
                <w:spacing w:val="-4"/>
                <w:szCs w:val="18"/>
                <w:lang w:val="es-ES_tradnl"/>
              </w:rPr>
              <w:t>Costos</w:t>
            </w:r>
            <w:r w:rsidRPr="00681CB9">
              <w:rPr>
                <w:rFonts w:ascii="ITC Avant Garde" w:hAnsi="ITC Avant Garde"/>
                <w:spacing w:val="-4"/>
                <w:szCs w:val="18"/>
                <w:lang w:val="es-ES_tradnl"/>
              </w:rPr>
              <w:t xml:space="preserve"> </w:t>
            </w:r>
            <w:r w:rsidRPr="00681CB9">
              <w:rPr>
                <w:rFonts w:ascii="ITC Avant Garde" w:hAnsi="ITC Avant Garde"/>
                <w:i/>
                <w:spacing w:val="-4"/>
                <w:szCs w:val="18"/>
                <w:lang w:val="es-ES_tradnl"/>
              </w:rPr>
              <w:t>unitarios</w:t>
            </w:r>
            <w:r w:rsidR="004A101A">
              <w:rPr>
                <w:rFonts w:ascii="ITC Avant Garde" w:hAnsi="ITC Avant Garde"/>
                <w:i/>
                <w:spacing w:val="-4"/>
                <w:szCs w:val="18"/>
                <w:lang w:val="es-ES_tradnl"/>
              </w:rPr>
              <w:t>”</w:t>
            </w:r>
            <w:r w:rsidRPr="00681CB9">
              <w:rPr>
                <w:rFonts w:ascii="ITC Avant Garde" w:hAnsi="ITC Avant Garde"/>
                <w:spacing w:val="-4"/>
                <w:szCs w:val="18"/>
                <w:lang w:val="es-ES_tradnl"/>
              </w:rPr>
              <w:t xml:space="preserve"> y los multiplica por las unidades de activos obtenidos en la hoja </w:t>
            </w:r>
            <w:r w:rsidR="004A101A">
              <w:rPr>
                <w:rFonts w:ascii="ITC Avant Garde" w:hAnsi="ITC Avant Garde"/>
                <w:spacing w:val="-4"/>
                <w:szCs w:val="18"/>
                <w:lang w:val="es-ES_tradnl"/>
              </w:rPr>
              <w:t>“</w:t>
            </w:r>
            <w:r w:rsidRPr="00681CB9">
              <w:rPr>
                <w:rFonts w:ascii="ITC Avant Garde" w:hAnsi="ITC Avant Garde"/>
                <w:i/>
                <w:spacing w:val="-4"/>
                <w:szCs w:val="18"/>
                <w:lang w:val="es-ES_tradnl"/>
              </w:rPr>
              <w:t>Dimensionado</w:t>
            </w:r>
            <w:r w:rsidR="004A101A">
              <w:rPr>
                <w:rFonts w:ascii="ITC Avant Garde" w:hAnsi="ITC Avant Garde"/>
                <w:i/>
                <w:spacing w:val="-4"/>
                <w:szCs w:val="18"/>
                <w:lang w:val="es-ES_tradnl"/>
              </w:rPr>
              <w:t>”</w:t>
            </w:r>
            <w:r w:rsidRPr="00681CB9">
              <w:rPr>
                <w:rFonts w:ascii="ITC Avant Garde" w:hAnsi="ITC Avant Garde"/>
                <w:i/>
                <w:spacing w:val="-4"/>
                <w:szCs w:val="18"/>
                <w:lang w:val="es-ES_tradnl"/>
              </w:rPr>
              <w:t>.</w:t>
            </w:r>
          </w:p>
        </w:tc>
      </w:tr>
      <w:tr w:rsidR="0078404E" w:rsidRPr="00681CB9" w14:paraId="1742F5F5" w14:textId="77777777" w:rsidTr="006379DB">
        <w:trPr>
          <w:cnfStyle w:val="000000100000" w:firstRow="0" w:lastRow="0" w:firstColumn="0" w:lastColumn="0" w:oddVBand="0" w:evenVBand="0" w:oddHBand="1" w:evenHBand="0" w:firstRowFirstColumn="0" w:firstRowLastColumn="0" w:lastRowFirstColumn="0" w:lastRowLastColumn="0"/>
          <w:jc w:val="center"/>
        </w:trPr>
        <w:tc>
          <w:tcPr>
            <w:tcW w:w="1843" w:type="dxa"/>
          </w:tcPr>
          <w:p w14:paraId="3406CC08" w14:textId="77777777" w:rsidR="0078404E" w:rsidRPr="00681CB9" w:rsidRDefault="0078404E" w:rsidP="0078404E">
            <w:pPr>
              <w:pStyle w:val="Tablecells"/>
              <w:rPr>
                <w:rFonts w:ascii="ITC Avant Garde" w:hAnsi="ITC Avant Garde"/>
                <w:i/>
                <w:szCs w:val="18"/>
                <w:lang w:val="es-ES_tradnl"/>
              </w:rPr>
            </w:pPr>
            <w:r w:rsidRPr="00681CB9">
              <w:rPr>
                <w:rFonts w:ascii="ITC Avant Garde" w:hAnsi="ITC Avant Garde"/>
                <w:i/>
                <w:szCs w:val="18"/>
                <w:lang w:val="es-ES_tradnl"/>
              </w:rPr>
              <w:t>Precio</w:t>
            </w:r>
          </w:p>
        </w:tc>
        <w:tc>
          <w:tcPr>
            <w:tcW w:w="6888" w:type="dxa"/>
          </w:tcPr>
          <w:p w14:paraId="03CE2A8C" w14:textId="59FE7912" w:rsidR="0078404E" w:rsidRPr="00681CB9" w:rsidRDefault="0078404E" w:rsidP="0078404E">
            <w:pPr>
              <w:pStyle w:val="Tablecells"/>
              <w:jc w:val="both"/>
              <w:rPr>
                <w:rFonts w:ascii="ITC Avant Garde" w:hAnsi="ITC Avant Garde"/>
                <w:szCs w:val="18"/>
                <w:lang w:val="es-ES_tradnl"/>
              </w:rPr>
            </w:pPr>
            <w:r w:rsidRPr="00681CB9">
              <w:rPr>
                <w:rFonts w:ascii="ITC Avant Garde" w:hAnsi="ITC Avant Garde"/>
                <w:szCs w:val="18"/>
                <w:lang w:val="es-ES_tradnl"/>
              </w:rPr>
              <w:t>Se asignan los costos de la red a los distintos servicios y se calcula el precio final del servicio mayorista</w:t>
            </w:r>
            <w:r w:rsidR="00400B1E" w:rsidRPr="00681CB9">
              <w:rPr>
                <w:rFonts w:ascii="ITC Avant Garde" w:hAnsi="ITC Avant Garde"/>
                <w:szCs w:val="18"/>
                <w:lang w:val="es-ES_tradnl"/>
              </w:rPr>
              <w:t xml:space="preserve"> (en caso de precio igual al costo)</w:t>
            </w:r>
            <w:r w:rsidRPr="00681CB9">
              <w:rPr>
                <w:rFonts w:ascii="ITC Avant Garde" w:hAnsi="ITC Avant Garde"/>
                <w:szCs w:val="18"/>
                <w:lang w:val="es-ES_tradnl"/>
              </w:rPr>
              <w:t>.</w:t>
            </w:r>
          </w:p>
        </w:tc>
      </w:tr>
      <w:tr w:rsidR="0078404E" w:rsidRPr="00681CB9" w14:paraId="2C7C9C7D" w14:textId="77777777" w:rsidTr="006379DB">
        <w:trPr>
          <w:jc w:val="center"/>
        </w:trPr>
        <w:tc>
          <w:tcPr>
            <w:tcW w:w="1843" w:type="dxa"/>
          </w:tcPr>
          <w:p w14:paraId="7EE27B36" w14:textId="77777777" w:rsidR="0078404E" w:rsidRPr="00681CB9" w:rsidRDefault="0078404E" w:rsidP="0078404E">
            <w:pPr>
              <w:pStyle w:val="Tablecells"/>
              <w:rPr>
                <w:rFonts w:ascii="ITC Avant Garde" w:hAnsi="ITC Avant Garde"/>
                <w:i/>
                <w:szCs w:val="18"/>
                <w:lang w:val="es-ES_tradnl"/>
              </w:rPr>
            </w:pPr>
            <w:r w:rsidRPr="00681CB9">
              <w:rPr>
                <w:rFonts w:ascii="ITC Avant Garde" w:hAnsi="ITC Avant Garde"/>
                <w:i/>
                <w:szCs w:val="18"/>
                <w:lang w:val="es-ES_tradnl"/>
              </w:rPr>
              <w:t>Torres en Azotea</w:t>
            </w:r>
          </w:p>
        </w:tc>
        <w:tc>
          <w:tcPr>
            <w:tcW w:w="6888" w:type="dxa"/>
          </w:tcPr>
          <w:p w14:paraId="519DC432" w14:textId="064EA150" w:rsidR="0078404E" w:rsidRPr="00681CB9" w:rsidRDefault="00523373" w:rsidP="0078404E">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Agrupa cálculos adicionales requeridos para estimar las tarifas correspondientes al servicio de acceso y uso de </w:t>
            </w:r>
            <w:r w:rsidR="00CF17F6">
              <w:rPr>
                <w:rFonts w:ascii="ITC Avant Garde" w:hAnsi="ITC Avant Garde"/>
                <w:szCs w:val="18"/>
                <w:lang w:val="es-ES_tradnl"/>
              </w:rPr>
              <w:t>Espacio Aprobado en Torre</w:t>
            </w:r>
            <w:r w:rsidRPr="00681CB9">
              <w:rPr>
                <w:rFonts w:ascii="ITC Avant Garde" w:hAnsi="ITC Avant Garde"/>
                <w:szCs w:val="18"/>
                <w:lang w:val="es-ES_tradnl"/>
              </w:rPr>
              <w:t xml:space="preserve"> en azotea.</w:t>
            </w:r>
          </w:p>
        </w:tc>
      </w:tr>
      <w:tr w:rsidR="00523373" w:rsidRPr="00681CB9" w14:paraId="4864AC3A" w14:textId="77777777" w:rsidTr="006379DB">
        <w:trPr>
          <w:cnfStyle w:val="000000100000" w:firstRow="0" w:lastRow="0" w:firstColumn="0" w:lastColumn="0" w:oddVBand="0" w:evenVBand="0" w:oddHBand="1" w:evenHBand="0" w:firstRowFirstColumn="0" w:firstRowLastColumn="0" w:lastRowFirstColumn="0" w:lastRowLastColumn="0"/>
          <w:jc w:val="center"/>
        </w:trPr>
        <w:tc>
          <w:tcPr>
            <w:tcW w:w="1843" w:type="dxa"/>
          </w:tcPr>
          <w:p w14:paraId="438C3795" w14:textId="77777777" w:rsidR="00523373" w:rsidRPr="00681CB9" w:rsidRDefault="00523373" w:rsidP="00523373">
            <w:pPr>
              <w:pStyle w:val="Tablecells"/>
              <w:rPr>
                <w:rFonts w:ascii="ITC Avant Garde" w:hAnsi="ITC Avant Garde"/>
                <w:i/>
                <w:szCs w:val="18"/>
                <w:lang w:val="es-ES_tradnl"/>
              </w:rPr>
            </w:pPr>
            <w:r w:rsidRPr="00681CB9">
              <w:rPr>
                <w:rFonts w:ascii="ITC Avant Garde" w:hAnsi="ITC Avant Garde"/>
                <w:i/>
                <w:szCs w:val="18"/>
                <w:lang w:val="es-ES_tradnl"/>
              </w:rPr>
              <w:t>Torres en Terreno</w:t>
            </w:r>
          </w:p>
        </w:tc>
        <w:tc>
          <w:tcPr>
            <w:tcW w:w="6888" w:type="dxa"/>
          </w:tcPr>
          <w:p w14:paraId="753D369A" w14:textId="3F5C7B94" w:rsidR="00523373" w:rsidRPr="00681CB9" w:rsidRDefault="00523373" w:rsidP="00523373">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Agrupa cálculos adicionales requeridos para estimar las tarifas correspondientes al servicio de acceso y uso de </w:t>
            </w:r>
            <w:r w:rsidR="00CF17F6">
              <w:rPr>
                <w:rFonts w:ascii="ITC Avant Garde" w:hAnsi="ITC Avant Garde"/>
                <w:szCs w:val="18"/>
                <w:lang w:val="es-ES_tradnl"/>
              </w:rPr>
              <w:t>Espacio Aprobado en Torre</w:t>
            </w:r>
            <w:r w:rsidRPr="00681CB9">
              <w:rPr>
                <w:rFonts w:ascii="ITC Avant Garde" w:hAnsi="ITC Avant Garde"/>
                <w:szCs w:val="18"/>
                <w:lang w:val="es-ES_tradnl"/>
              </w:rPr>
              <w:t xml:space="preserve"> en terreno.</w:t>
            </w:r>
          </w:p>
        </w:tc>
      </w:tr>
      <w:tr w:rsidR="00523373" w:rsidRPr="00681CB9" w14:paraId="0417A654" w14:textId="77777777" w:rsidTr="006379DB">
        <w:trPr>
          <w:jc w:val="center"/>
        </w:trPr>
        <w:tc>
          <w:tcPr>
            <w:tcW w:w="1843" w:type="dxa"/>
          </w:tcPr>
          <w:p w14:paraId="593017B1" w14:textId="12779097" w:rsidR="00523373" w:rsidRPr="00681CB9" w:rsidRDefault="00523373" w:rsidP="00523373">
            <w:pPr>
              <w:pStyle w:val="Tablecells"/>
              <w:rPr>
                <w:rFonts w:ascii="ITC Avant Garde" w:hAnsi="ITC Avant Garde"/>
                <w:i/>
                <w:szCs w:val="18"/>
                <w:lang w:val="es-ES_tradnl"/>
              </w:rPr>
            </w:pPr>
            <w:r w:rsidRPr="00681CB9">
              <w:rPr>
                <w:rFonts w:ascii="ITC Avant Garde" w:hAnsi="ITC Avant Garde"/>
                <w:i/>
                <w:szCs w:val="18"/>
                <w:lang w:val="es-ES_tradnl"/>
              </w:rPr>
              <w:t xml:space="preserve">Output Alto </w:t>
            </w:r>
          </w:p>
        </w:tc>
        <w:tc>
          <w:tcPr>
            <w:tcW w:w="6888" w:type="dxa"/>
          </w:tcPr>
          <w:p w14:paraId="2509CD59" w14:textId="788320A0" w:rsidR="00523373" w:rsidRPr="00681CB9" w:rsidRDefault="00523373" w:rsidP="00523373">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Agrupa cálculos adicionales requeridos para estimar las tarifas correspondientes al servicio de acceso y uso de </w:t>
            </w:r>
            <w:r w:rsidR="00CF17F6">
              <w:rPr>
                <w:rFonts w:ascii="ITC Avant Garde" w:hAnsi="ITC Avant Garde"/>
                <w:szCs w:val="18"/>
                <w:lang w:val="es-ES_tradnl"/>
              </w:rPr>
              <w:t>Espacio Aprobado en Torre,</w:t>
            </w:r>
            <w:r w:rsidR="004A101A">
              <w:rPr>
                <w:rFonts w:ascii="ITC Avant Garde" w:hAnsi="ITC Avant Garde"/>
                <w:szCs w:val="18"/>
                <w:lang w:val="es-ES_tradnl"/>
              </w:rPr>
              <w:t xml:space="preserve"> </w:t>
            </w:r>
            <w:r w:rsidR="00CF17F6">
              <w:rPr>
                <w:rFonts w:ascii="ITC Avant Garde" w:hAnsi="ITC Avant Garde"/>
                <w:szCs w:val="18"/>
                <w:lang w:val="es-ES_tradnl"/>
              </w:rPr>
              <w:t>Espacio Aprobado en Piso</w:t>
            </w:r>
            <w:r w:rsidRPr="00681CB9">
              <w:rPr>
                <w:rFonts w:ascii="ITC Avant Garde" w:hAnsi="ITC Avant Garde"/>
                <w:szCs w:val="18"/>
                <w:lang w:val="es-ES_tradnl"/>
              </w:rPr>
              <w:t xml:space="preserve">, para el </w:t>
            </w:r>
            <w:proofErr w:type="spellStart"/>
            <w:r w:rsidRPr="00681CB9">
              <w:rPr>
                <w:rFonts w:ascii="ITC Avant Garde" w:hAnsi="ITC Avant Garde"/>
                <w:szCs w:val="18"/>
                <w:lang w:val="es-ES_tradnl"/>
              </w:rPr>
              <w:t>geotipo</w:t>
            </w:r>
            <w:proofErr w:type="spellEnd"/>
            <w:r w:rsidRPr="00681CB9">
              <w:rPr>
                <w:rFonts w:ascii="ITC Avant Garde" w:hAnsi="ITC Avant Garde"/>
                <w:szCs w:val="18"/>
                <w:lang w:val="es-ES_tradnl"/>
              </w:rPr>
              <w:t xml:space="preserve"> denominado Output Alto.</w:t>
            </w:r>
          </w:p>
        </w:tc>
      </w:tr>
      <w:tr w:rsidR="00523373" w:rsidRPr="00681CB9" w14:paraId="68BE01C1" w14:textId="77777777" w:rsidTr="006379DB">
        <w:trPr>
          <w:cnfStyle w:val="000000100000" w:firstRow="0" w:lastRow="0" w:firstColumn="0" w:lastColumn="0" w:oddVBand="0" w:evenVBand="0" w:oddHBand="1" w:evenHBand="0" w:firstRowFirstColumn="0" w:firstRowLastColumn="0" w:lastRowFirstColumn="0" w:lastRowLastColumn="0"/>
          <w:jc w:val="center"/>
        </w:trPr>
        <w:tc>
          <w:tcPr>
            <w:tcW w:w="1843" w:type="dxa"/>
          </w:tcPr>
          <w:p w14:paraId="1A549393" w14:textId="7F1DBDDE" w:rsidR="00523373" w:rsidRPr="00681CB9" w:rsidRDefault="00523373" w:rsidP="00523373">
            <w:pPr>
              <w:pStyle w:val="Tablecells"/>
              <w:rPr>
                <w:rFonts w:ascii="ITC Avant Garde" w:hAnsi="ITC Avant Garde"/>
                <w:i/>
                <w:szCs w:val="18"/>
                <w:lang w:val="es-ES_tradnl"/>
              </w:rPr>
            </w:pPr>
            <w:r w:rsidRPr="00681CB9">
              <w:rPr>
                <w:rFonts w:ascii="ITC Avant Garde" w:hAnsi="ITC Avant Garde"/>
                <w:i/>
                <w:szCs w:val="18"/>
                <w:lang w:val="es-ES_tradnl"/>
              </w:rPr>
              <w:t>Output Medio Alto</w:t>
            </w:r>
          </w:p>
        </w:tc>
        <w:tc>
          <w:tcPr>
            <w:tcW w:w="6888" w:type="dxa"/>
          </w:tcPr>
          <w:p w14:paraId="39AE2494" w14:textId="433B0EA0" w:rsidR="00523373" w:rsidRPr="00681CB9" w:rsidRDefault="00523373" w:rsidP="00523373">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Agrupa cálculos adicionales requeridos para estimar las tarifas correspondientes al servicio de acceso y uso de </w:t>
            </w:r>
            <w:r w:rsidR="00CF17F6">
              <w:rPr>
                <w:rFonts w:ascii="ITC Avant Garde" w:hAnsi="ITC Avant Garde"/>
                <w:szCs w:val="18"/>
                <w:lang w:val="es-ES_tradnl"/>
              </w:rPr>
              <w:t>Espacio Aprobado en Torre</w:t>
            </w:r>
            <w:r w:rsidRPr="00681CB9">
              <w:rPr>
                <w:rFonts w:ascii="ITC Avant Garde" w:hAnsi="ITC Avant Garde"/>
                <w:szCs w:val="18"/>
                <w:lang w:val="es-ES_tradnl"/>
              </w:rPr>
              <w:t xml:space="preserve"> y </w:t>
            </w:r>
            <w:r w:rsidR="00CF17F6">
              <w:rPr>
                <w:rFonts w:ascii="ITC Avant Garde" w:hAnsi="ITC Avant Garde"/>
                <w:szCs w:val="18"/>
                <w:lang w:val="es-ES_tradnl"/>
              </w:rPr>
              <w:t>Espacio Aprobado en Piso</w:t>
            </w:r>
            <w:r w:rsidRPr="00681CB9">
              <w:rPr>
                <w:rFonts w:ascii="ITC Avant Garde" w:hAnsi="ITC Avant Garde"/>
                <w:szCs w:val="18"/>
                <w:lang w:val="es-ES_tradnl"/>
              </w:rPr>
              <w:t xml:space="preserve">, para el </w:t>
            </w:r>
            <w:proofErr w:type="spellStart"/>
            <w:r w:rsidRPr="00681CB9">
              <w:rPr>
                <w:rFonts w:ascii="ITC Avant Garde" w:hAnsi="ITC Avant Garde"/>
                <w:szCs w:val="18"/>
                <w:lang w:val="es-ES_tradnl"/>
              </w:rPr>
              <w:t>geotipo</w:t>
            </w:r>
            <w:proofErr w:type="spellEnd"/>
            <w:r w:rsidRPr="00681CB9">
              <w:rPr>
                <w:rFonts w:ascii="ITC Avant Garde" w:hAnsi="ITC Avant Garde"/>
                <w:szCs w:val="18"/>
                <w:lang w:val="es-ES_tradnl"/>
              </w:rPr>
              <w:t xml:space="preserve"> denominado Output Medio Alto.</w:t>
            </w:r>
          </w:p>
        </w:tc>
      </w:tr>
      <w:tr w:rsidR="00523373" w:rsidRPr="00681CB9" w14:paraId="7A5DC7AB" w14:textId="77777777" w:rsidTr="006379DB">
        <w:trPr>
          <w:jc w:val="center"/>
        </w:trPr>
        <w:tc>
          <w:tcPr>
            <w:tcW w:w="1843" w:type="dxa"/>
          </w:tcPr>
          <w:p w14:paraId="5C562799" w14:textId="00EAE8B3" w:rsidR="00523373" w:rsidRPr="00681CB9" w:rsidRDefault="00523373" w:rsidP="00523373">
            <w:pPr>
              <w:pStyle w:val="Tablecells"/>
              <w:rPr>
                <w:rFonts w:ascii="ITC Avant Garde" w:hAnsi="ITC Avant Garde"/>
                <w:i/>
                <w:szCs w:val="18"/>
                <w:lang w:val="es-ES_tradnl"/>
              </w:rPr>
            </w:pPr>
            <w:r w:rsidRPr="00681CB9">
              <w:rPr>
                <w:rFonts w:ascii="ITC Avant Garde" w:hAnsi="ITC Avant Garde"/>
                <w:i/>
                <w:szCs w:val="18"/>
                <w:lang w:val="es-ES_tradnl"/>
              </w:rPr>
              <w:t xml:space="preserve">Output Medio </w:t>
            </w:r>
          </w:p>
        </w:tc>
        <w:tc>
          <w:tcPr>
            <w:tcW w:w="6888" w:type="dxa"/>
          </w:tcPr>
          <w:p w14:paraId="7039F44B" w14:textId="40BB7B61" w:rsidR="00523373" w:rsidRPr="00681CB9" w:rsidRDefault="00523373" w:rsidP="00523373">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Agrupa cálculos adicionales requeridos para estimar las tarifas correspondientes al servicio de acceso y uso de </w:t>
            </w:r>
            <w:r w:rsidR="00CF17F6">
              <w:rPr>
                <w:rFonts w:ascii="ITC Avant Garde" w:hAnsi="ITC Avant Garde"/>
                <w:szCs w:val="18"/>
                <w:lang w:val="es-ES_tradnl"/>
              </w:rPr>
              <w:t>Espacio Aprobado en Torre</w:t>
            </w:r>
            <w:r w:rsidRPr="00681CB9">
              <w:rPr>
                <w:rFonts w:ascii="ITC Avant Garde" w:hAnsi="ITC Avant Garde"/>
                <w:szCs w:val="18"/>
                <w:lang w:val="es-ES_tradnl"/>
              </w:rPr>
              <w:t xml:space="preserve"> y </w:t>
            </w:r>
            <w:r w:rsidR="00CF17F6">
              <w:rPr>
                <w:rFonts w:ascii="ITC Avant Garde" w:hAnsi="ITC Avant Garde"/>
                <w:szCs w:val="18"/>
                <w:lang w:val="es-ES_tradnl"/>
              </w:rPr>
              <w:t>Espacio Aprobado en Piso</w:t>
            </w:r>
            <w:r w:rsidRPr="00681CB9">
              <w:rPr>
                <w:rFonts w:ascii="ITC Avant Garde" w:hAnsi="ITC Avant Garde"/>
                <w:szCs w:val="18"/>
                <w:lang w:val="es-ES_tradnl"/>
              </w:rPr>
              <w:t xml:space="preserve">, para el </w:t>
            </w:r>
            <w:proofErr w:type="spellStart"/>
            <w:r w:rsidRPr="00681CB9">
              <w:rPr>
                <w:rFonts w:ascii="ITC Avant Garde" w:hAnsi="ITC Avant Garde"/>
                <w:szCs w:val="18"/>
                <w:lang w:val="es-ES_tradnl"/>
              </w:rPr>
              <w:t>geotipo</w:t>
            </w:r>
            <w:proofErr w:type="spellEnd"/>
            <w:r w:rsidRPr="00681CB9">
              <w:rPr>
                <w:rFonts w:ascii="ITC Avant Garde" w:hAnsi="ITC Avant Garde"/>
                <w:szCs w:val="18"/>
                <w:lang w:val="es-ES_tradnl"/>
              </w:rPr>
              <w:t xml:space="preserve"> denominado Output Medio.</w:t>
            </w:r>
          </w:p>
        </w:tc>
      </w:tr>
      <w:tr w:rsidR="00523373" w:rsidRPr="00681CB9" w14:paraId="47AAFEEE" w14:textId="77777777" w:rsidTr="006379DB">
        <w:trPr>
          <w:cnfStyle w:val="000000100000" w:firstRow="0" w:lastRow="0" w:firstColumn="0" w:lastColumn="0" w:oddVBand="0" w:evenVBand="0" w:oddHBand="1" w:evenHBand="0" w:firstRowFirstColumn="0" w:firstRowLastColumn="0" w:lastRowFirstColumn="0" w:lastRowLastColumn="0"/>
          <w:jc w:val="center"/>
        </w:trPr>
        <w:tc>
          <w:tcPr>
            <w:tcW w:w="1843" w:type="dxa"/>
          </w:tcPr>
          <w:p w14:paraId="7AC1F702" w14:textId="261C7D3A" w:rsidR="00523373" w:rsidRPr="00681CB9" w:rsidRDefault="00523373" w:rsidP="00523373">
            <w:pPr>
              <w:pStyle w:val="Tablecells"/>
              <w:rPr>
                <w:rFonts w:ascii="ITC Avant Garde" w:hAnsi="ITC Avant Garde"/>
                <w:i/>
                <w:szCs w:val="18"/>
                <w:lang w:val="es-ES_tradnl"/>
              </w:rPr>
            </w:pPr>
            <w:r w:rsidRPr="00681CB9">
              <w:rPr>
                <w:rFonts w:ascii="ITC Avant Garde" w:hAnsi="ITC Avant Garde"/>
                <w:i/>
                <w:szCs w:val="18"/>
                <w:lang w:val="es-ES_tradnl"/>
              </w:rPr>
              <w:t>Output Medio Bajo</w:t>
            </w:r>
          </w:p>
        </w:tc>
        <w:tc>
          <w:tcPr>
            <w:tcW w:w="6888" w:type="dxa"/>
          </w:tcPr>
          <w:p w14:paraId="7E2E0CB9" w14:textId="08E7E1B9" w:rsidR="00523373" w:rsidRPr="00681CB9" w:rsidRDefault="00523373" w:rsidP="00523373">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Agrupa cálculos adicionales requeridos para estimar las tarifas correspondientes al servicio de acceso y uso de </w:t>
            </w:r>
            <w:r w:rsidR="00CF17F6">
              <w:rPr>
                <w:rFonts w:ascii="ITC Avant Garde" w:hAnsi="ITC Avant Garde"/>
                <w:szCs w:val="18"/>
                <w:lang w:val="es-ES_tradnl"/>
              </w:rPr>
              <w:t>Espacio Aprobado en Torre</w:t>
            </w:r>
            <w:r w:rsidRPr="00681CB9">
              <w:rPr>
                <w:rFonts w:ascii="ITC Avant Garde" w:hAnsi="ITC Avant Garde"/>
                <w:szCs w:val="18"/>
                <w:lang w:val="es-ES_tradnl"/>
              </w:rPr>
              <w:t xml:space="preserve"> y </w:t>
            </w:r>
            <w:r w:rsidR="00CF17F6">
              <w:rPr>
                <w:rFonts w:ascii="ITC Avant Garde" w:hAnsi="ITC Avant Garde"/>
                <w:szCs w:val="18"/>
                <w:lang w:val="es-ES_tradnl"/>
              </w:rPr>
              <w:t>Espacio Aprobado en Piso</w:t>
            </w:r>
            <w:r w:rsidRPr="00681CB9">
              <w:rPr>
                <w:rFonts w:ascii="ITC Avant Garde" w:hAnsi="ITC Avant Garde"/>
                <w:szCs w:val="18"/>
                <w:lang w:val="es-ES_tradnl"/>
              </w:rPr>
              <w:t xml:space="preserve">, para el </w:t>
            </w:r>
            <w:proofErr w:type="spellStart"/>
            <w:r w:rsidRPr="00681CB9">
              <w:rPr>
                <w:rFonts w:ascii="ITC Avant Garde" w:hAnsi="ITC Avant Garde"/>
                <w:szCs w:val="18"/>
                <w:lang w:val="es-ES_tradnl"/>
              </w:rPr>
              <w:t>geotipo</w:t>
            </w:r>
            <w:proofErr w:type="spellEnd"/>
            <w:r w:rsidRPr="00681CB9">
              <w:rPr>
                <w:rFonts w:ascii="ITC Avant Garde" w:hAnsi="ITC Avant Garde"/>
                <w:szCs w:val="18"/>
                <w:lang w:val="es-ES_tradnl"/>
              </w:rPr>
              <w:t xml:space="preserve"> denominado Output Medio Bajo.</w:t>
            </w:r>
          </w:p>
        </w:tc>
      </w:tr>
      <w:tr w:rsidR="00523373" w:rsidRPr="00681CB9" w14:paraId="07A21BB7" w14:textId="77777777" w:rsidTr="006379DB">
        <w:trPr>
          <w:jc w:val="center"/>
        </w:trPr>
        <w:tc>
          <w:tcPr>
            <w:tcW w:w="1843" w:type="dxa"/>
          </w:tcPr>
          <w:p w14:paraId="0602D5B1" w14:textId="2DF0BB6F" w:rsidR="00523373" w:rsidRPr="00681CB9" w:rsidRDefault="00523373" w:rsidP="00523373">
            <w:pPr>
              <w:pStyle w:val="Tablecells"/>
              <w:rPr>
                <w:rFonts w:ascii="ITC Avant Garde" w:hAnsi="ITC Avant Garde"/>
                <w:i/>
                <w:szCs w:val="18"/>
                <w:lang w:val="es-ES_tradnl"/>
              </w:rPr>
            </w:pPr>
            <w:r w:rsidRPr="00681CB9">
              <w:rPr>
                <w:rFonts w:ascii="ITC Avant Garde" w:hAnsi="ITC Avant Garde"/>
                <w:i/>
                <w:szCs w:val="18"/>
                <w:lang w:val="es-ES_tradnl"/>
              </w:rPr>
              <w:t>Output Bajo</w:t>
            </w:r>
          </w:p>
        </w:tc>
        <w:tc>
          <w:tcPr>
            <w:tcW w:w="6888" w:type="dxa"/>
          </w:tcPr>
          <w:p w14:paraId="35CCA9FD" w14:textId="074A2D68" w:rsidR="00523373" w:rsidRPr="00681CB9" w:rsidRDefault="00523373" w:rsidP="00523373">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Agrupa cálculos adicionales requeridos para estimar las tarifas correspondientes al servicio de acceso y uso de </w:t>
            </w:r>
            <w:r w:rsidR="00CF17F6">
              <w:rPr>
                <w:rFonts w:ascii="ITC Avant Garde" w:hAnsi="ITC Avant Garde"/>
                <w:szCs w:val="18"/>
                <w:lang w:val="es-ES_tradnl"/>
              </w:rPr>
              <w:t>Espacio Aprobado en Torre</w:t>
            </w:r>
            <w:r w:rsidRPr="00681CB9">
              <w:rPr>
                <w:rFonts w:ascii="ITC Avant Garde" w:hAnsi="ITC Avant Garde"/>
                <w:szCs w:val="18"/>
                <w:lang w:val="es-ES_tradnl"/>
              </w:rPr>
              <w:t xml:space="preserve"> y </w:t>
            </w:r>
            <w:r w:rsidR="00CF17F6">
              <w:rPr>
                <w:rFonts w:ascii="ITC Avant Garde" w:hAnsi="ITC Avant Garde"/>
                <w:szCs w:val="18"/>
                <w:lang w:val="es-ES_tradnl"/>
              </w:rPr>
              <w:t>Espacio Aprobado en Piso</w:t>
            </w:r>
            <w:r w:rsidRPr="00681CB9">
              <w:rPr>
                <w:rFonts w:ascii="ITC Avant Garde" w:hAnsi="ITC Avant Garde"/>
                <w:szCs w:val="18"/>
                <w:lang w:val="es-ES_tradnl"/>
              </w:rPr>
              <w:t xml:space="preserve">, para el </w:t>
            </w:r>
            <w:proofErr w:type="spellStart"/>
            <w:r w:rsidRPr="00681CB9">
              <w:rPr>
                <w:rFonts w:ascii="ITC Avant Garde" w:hAnsi="ITC Avant Garde"/>
                <w:szCs w:val="18"/>
                <w:lang w:val="es-ES_tradnl"/>
              </w:rPr>
              <w:t>geotipo</w:t>
            </w:r>
            <w:proofErr w:type="spellEnd"/>
            <w:r w:rsidRPr="00681CB9">
              <w:rPr>
                <w:rFonts w:ascii="ITC Avant Garde" w:hAnsi="ITC Avant Garde"/>
                <w:szCs w:val="18"/>
                <w:lang w:val="es-ES_tradnl"/>
              </w:rPr>
              <w:t xml:space="preserve"> denominado Output Bajo.</w:t>
            </w:r>
          </w:p>
        </w:tc>
      </w:tr>
      <w:tr w:rsidR="00523373" w:rsidRPr="00681CB9" w14:paraId="048F8426" w14:textId="77777777" w:rsidTr="006379DB">
        <w:trPr>
          <w:cnfStyle w:val="000000100000" w:firstRow="0" w:lastRow="0" w:firstColumn="0" w:lastColumn="0" w:oddVBand="0" w:evenVBand="0" w:oddHBand="1" w:evenHBand="0" w:firstRowFirstColumn="0" w:firstRowLastColumn="0" w:lastRowFirstColumn="0" w:lastRowLastColumn="0"/>
          <w:jc w:val="center"/>
        </w:trPr>
        <w:tc>
          <w:tcPr>
            <w:tcW w:w="1843" w:type="dxa"/>
          </w:tcPr>
          <w:p w14:paraId="710DF5EC" w14:textId="77777777" w:rsidR="00523373" w:rsidRPr="00681CB9" w:rsidRDefault="00523373" w:rsidP="00523373">
            <w:pPr>
              <w:pStyle w:val="Tablecells"/>
              <w:rPr>
                <w:rFonts w:ascii="ITC Avant Garde" w:hAnsi="ITC Avant Garde"/>
                <w:i/>
                <w:szCs w:val="18"/>
                <w:lang w:val="es-ES_tradnl"/>
              </w:rPr>
            </w:pPr>
            <w:r w:rsidRPr="00681CB9">
              <w:rPr>
                <w:rFonts w:ascii="ITC Avant Garde" w:hAnsi="ITC Avant Garde"/>
                <w:i/>
                <w:szCs w:val="18"/>
                <w:lang w:val="es-ES_tradnl"/>
              </w:rPr>
              <w:t>Output</w:t>
            </w:r>
          </w:p>
        </w:tc>
        <w:tc>
          <w:tcPr>
            <w:tcW w:w="6888" w:type="dxa"/>
          </w:tcPr>
          <w:p w14:paraId="3FA052A6" w14:textId="3481A87B" w:rsidR="00523373" w:rsidRPr="00681CB9" w:rsidRDefault="00523373" w:rsidP="00523373">
            <w:pPr>
              <w:pStyle w:val="Tablecells"/>
              <w:jc w:val="both"/>
              <w:rPr>
                <w:rFonts w:ascii="ITC Avant Garde" w:hAnsi="ITC Avant Garde"/>
                <w:szCs w:val="18"/>
                <w:lang w:val="es-ES_tradnl"/>
              </w:rPr>
            </w:pPr>
            <w:r w:rsidRPr="00681CB9">
              <w:rPr>
                <w:rFonts w:ascii="ITC Avant Garde" w:hAnsi="ITC Avant Garde"/>
                <w:szCs w:val="18"/>
                <w:lang w:val="es-ES_tradnl"/>
              </w:rPr>
              <w:t xml:space="preserve">Contiene un botón con la leyenda “Ejecutar resultados” que acciona una macro mediante la cual el modelo simula diversos escenarios para calcular tarifas de los servicios de </w:t>
            </w:r>
            <w:r w:rsidR="00CF17F6">
              <w:rPr>
                <w:rFonts w:ascii="ITC Avant Garde" w:hAnsi="ITC Avant Garde"/>
                <w:szCs w:val="18"/>
                <w:lang w:val="es-ES_tradnl"/>
              </w:rPr>
              <w:t>Espacio Aprobado en Torre</w:t>
            </w:r>
            <w:r w:rsidRPr="00681CB9">
              <w:rPr>
                <w:rFonts w:ascii="ITC Avant Garde" w:hAnsi="ITC Avant Garde"/>
                <w:szCs w:val="18"/>
                <w:lang w:val="es-ES_tradnl"/>
              </w:rPr>
              <w:t xml:space="preserve"> diferenciadas por ubicación y de </w:t>
            </w:r>
            <w:r w:rsidR="00CF17F6">
              <w:rPr>
                <w:rFonts w:ascii="ITC Avant Garde" w:hAnsi="ITC Avant Garde"/>
                <w:szCs w:val="18"/>
                <w:lang w:val="es-ES_tradnl"/>
              </w:rPr>
              <w:t>Espacio Aprobado en Piso</w:t>
            </w:r>
            <w:r w:rsidRPr="00681CB9">
              <w:rPr>
                <w:rFonts w:ascii="ITC Avant Garde" w:hAnsi="ITC Avant Garde"/>
                <w:szCs w:val="18"/>
                <w:lang w:val="es-ES_tradnl"/>
              </w:rPr>
              <w:t xml:space="preserve"> diferenciados según </w:t>
            </w:r>
            <w:proofErr w:type="spellStart"/>
            <w:r w:rsidRPr="00681CB9">
              <w:rPr>
                <w:rFonts w:ascii="ITC Avant Garde" w:hAnsi="ITC Avant Garde"/>
                <w:szCs w:val="18"/>
                <w:lang w:val="es-ES_tradnl"/>
              </w:rPr>
              <w:t>geotipo</w:t>
            </w:r>
            <w:proofErr w:type="spellEnd"/>
            <w:r w:rsidRPr="00681CB9">
              <w:rPr>
                <w:rFonts w:ascii="ITC Avant Garde" w:hAnsi="ITC Avant Garde"/>
                <w:szCs w:val="18"/>
                <w:lang w:val="es-ES_tradnl"/>
              </w:rPr>
              <w:t>.</w:t>
            </w:r>
          </w:p>
        </w:tc>
      </w:tr>
    </w:tbl>
    <w:p w14:paraId="10CD511E" w14:textId="53614DCE" w:rsidR="0099731C" w:rsidRPr="00681CB9" w:rsidRDefault="006379DB" w:rsidP="0099731C">
      <w:pPr>
        <w:jc w:val="center"/>
        <w:rPr>
          <w:rFonts w:ascii="ITC Avant Garde" w:hAnsi="ITC Avant Garde"/>
          <w:i/>
          <w:sz w:val="18"/>
        </w:rPr>
      </w:pPr>
      <w:r w:rsidRPr="006379DB">
        <w:rPr>
          <w:rFonts w:ascii="ITC Avant Garde" w:hAnsi="ITC Avant Garde"/>
          <w:b/>
          <w:sz w:val="18"/>
        </w:rPr>
        <w:t xml:space="preserve">Cuadro </w:t>
      </w:r>
      <w:r w:rsidR="00BC494B">
        <w:rPr>
          <w:rFonts w:ascii="ITC Avant Garde" w:hAnsi="ITC Avant Garde"/>
          <w:b/>
          <w:sz w:val="18"/>
        </w:rPr>
        <w:t>7</w:t>
      </w:r>
      <w:r w:rsidR="0099731C" w:rsidRPr="006379DB">
        <w:rPr>
          <w:rFonts w:ascii="ITC Avant Garde" w:hAnsi="ITC Avant Garde"/>
          <w:b/>
          <w:sz w:val="18"/>
        </w:rPr>
        <w:t>:</w:t>
      </w:r>
      <w:r w:rsidR="0099731C" w:rsidRPr="00681CB9">
        <w:rPr>
          <w:rFonts w:ascii="ITC Avant Garde" w:hAnsi="ITC Avant Garde"/>
          <w:i/>
          <w:sz w:val="18"/>
        </w:rPr>
        <w:t xml:space="preserve"> Resumen de la Estructura del </w:t>
      </w:r>
      <w:r w:rsidR="00F7470F" w:rsidRPr="00F7470F">
        <w:rPr>
          <w:rFonts w:ascii="ITC Avant Garde" w:hAnsi="ITC Avant Garde"/>
          <w:i/>
          <w:sz w:val="18"/>
        </w:rPr>
        <w:t>Modelo de Acceso a Torres</w:t>
      </w:r>
      <w:r w:rsidR="0099731C" w:rsidRPr="00681CB9">
        <w:rPr>
          <w:rFonts w:ascii="ITC Avant Garde" w:hAnsi="ITC Avant Garde"/>
          <w:i/>
          <w:sz w:val="18"/>
        </w:rPr>
        <w:t>.</w:t>
      </w:r>
    </w:p>
    <w:p w14:paraId="41A60B1C" w14:textId="7468D2A3" w:rsidR="002767D0" w:rsidRDefault="002767D0" w:rsidP="00610ABD">
      <w:pPr>
        <w:jc w:val="both"/>
      </w:pPr>
    </w:p>
    <w:p w14:paraId="7465B145" w14:textId="7C4EA038" w:rsidR="00610ABD" w:rsidRDefault="00610ABD" w:rsidP="00610ABD">
      <w:pPr>
        <w:jc w:val="both"/>
      </w:pPr>
    </w:p>
    <w:p w14:paraId="6F6583CB" w14:textId="6F685A11" w:rsidR="00610ABD" w:rsidRDefault="00610ABD" w:rsidP="00610ABD">
      <w:pPr>
        <w:jc w:val="both"/>
      </w:pPr>
    </w:p>
    <w:p w14:paraId="32B6B853" w14:textId="56F2AB15" w:rsidR="0099731C" w:rsidRPr="00681CB9" w:rsidRDefault="0099731C" w:rsidP="004A101A">
      <w:pPr>
        <w:pStyle w:val="T2IFT"/>
      </w:pPr>
      <w:bookmarkStart w:id="28" w:name="_Toc107852353"/>
      <w:r w:rsidRPr="00681CB9">
        <w:lastRenderedPageBreak/>
        <w:t xml:space="preserve">Tarifas estimadas por el </w:t>
      </w:r>
      <w:r w:rsidR="00F7470F">
        <w:rPr>
          <w:rStyle w:val="IFTnormalCar"/>
        </w:rPr>
        <w:t>Modelo de Acceso a Torres</w:t>
      </w:r>
      <w:r w:rsidRPr="00681CB9">
        <w:t>.</w:t>
      </w:r>
      <w:bookmarkEnd w:id="28"/>
    </w:p>
    <w:p w14:paraId="316A7742" w14:textId="77777777" w:rsidR="0099731C" w:rsidRPr="00681CB9" w:rsidRDefault="0099731C" w:rsidP="0099731C">
      <w:pPr>
        <w:jc w:val="both"/>
        <w:rPr>
          <w:rFonts w:ascii="ITC Avant Garde" w:hAnsi="ITC Avant Garde"/>
          <w:lang w:val="es-ES_tradnl"/>
        </w:rPr>
      </w:pPr>
      <w:r w:rsidRPr="00681CB9">
        <w:rPr>
          <w:rFonts w:ascii="ITC Avant Garde" w:hAnsi="ITC Avant Garde"/>
          <w:lang w:val="es-ES_tradnl"/>
        </w:rPr>
        <w:t>El modelo calcula el costo unitario mensual de los siguientes servicios para cada operador:</w:t>
      </w:r>
    </w:p>
    <w:p w14:paraId="5C6DFFDC" w14:textId="3BE71FEE" w:rsidR="0099731C" w:rsidRPr="00681CB9" w:rsidRDefault="00011446" w:rsidP="00927C8F">
      <w:pPr>
        <w:pStyle w:val="Ttulo2"/>
        <w:ind w:left="360"/>
        <w:rPr>
          <w:rFonts w:ascii="ITC Avant Garde" w:hAnsi="ITC Avant Garde"/>
          <w:sz w:val="22"/>
          <w:lang w:val="es-MX"/>
        </w:rPr>
      </w:pPr>
      <w:bookmarkStart w:id="29" w:name="_Toc107852354"/>
      <w:r>
        <w:rPr>
          <w:rFonts w:ascii="ITC Avant Garde" w:hAnsi="ITC Avant Garde"/>
          <w:sz w:val="22"/>
          <w:lang w:val="es-MX"/>
        </w:rPr>
        <w:t>6</w:t>
      </w:r>
      <w:r w:rsidR="00927C8F" w:rsidRPr="00681CB9">
        <w:rPr>
          <w:rFonts w:ascii="ITC Avant Garde" w:hAnsi="ITC Avant Garde"/>
          <w:sz w:val="22"/>
          <w:lang w:val="es-MX"/>
        </w:rPr>
        <w:t xml:space="preserve">.1 </w:t>
      </w:r>
      <w:r w:rsidR="00133F12" w:rsidRPr="00133F12">
        <w:rPr>
          <w:rFonts w:ascii="ITC Avant Garde" w:hAnsi="ITC Avant Garde"/>
          <w:sz w:val="22"/>
          <w:lang w:val="es-MX"/>
        </w:rPr>
        <w:t xml:space="preserve">Por el acceso y uso de </w:t>
      </w:r>
      <w:r w:rsidR="00CF17F6">
        <w:rPr>
          <w:rFonts w:ascii="ITC Avant Garde" w:hAnsi="ITC Avant Garde"/>
          <w:sz w:val="22"/>
          <w:lang w:val="es-MX"/>
        </w:rPr>
        <w:t>Espacio Aprobado en Torre</w:t>
      </w:r>
      <w:bookmarkEnd w:id="29"/>
    </w:p>
    <w:p w14:paraId="14A63269" w14:textId="6F7656D2" w:rsidR="00F26EAC" w:rsidRPr="00F26EAC" w:rsidRDefault="00F26EAC" w:rsidP="001A265A">
      <w:pPr>
        <w:pStyle w:val="Ttulo3"/>
        <w:spacing w:after="240"/>
        <w:ind w:firstLine="708"/>
        <w:rPr>
          <w:rFonts w:ascii="ITC Avant Garde" w:hAnsi="ITC Avant Garde"/>
          <w:b/>
          <w:color w:val="auto"/>
          <w:sz w:val="22"/>
        </w:rPr>
      </w:pPr>
      <w:bookmarkStart w:id="30" w:name="_Toc107852355"/>
      <w:r w:rsidRPr="00F26EAC">
        <w:rPr>
          <w:rFonts w:ascii="ITC Avant Garde" w:hAnsi="ITC Avant Garde"/>
          <w:b/>
          <w:color w:val="auto"/>
          <w:sz w:val="22"/>
        </w:rPr>
        <w:t>6.1.1 Estructura situada en una azotea</w:t>
      </w:r>
      <w:bookmarkEnd w:id="30"/>
      <w:r w:rsidRPr="00F26EAC">
        <w:rPr>
          <w:rFonts w:ascii="ITC Avant Garde" w:hAnsi="ITC Avant Garde"/>
          <w:b/>
          <w:color w:val="auto"/>
          <w:sz w:val="22"/>
        </w:rPr>
        <w:t xml:space="preserve"> </w:t>
      </w:r>
    </w:p>
    <w:p w14:paraId="46E8A3F6" w14:textId="77777777" w:rsidR="00F26EAC" w:rsidRPr="001A265A" w:rsidRDefault="00F26EAC" w:rsidP="00F26EAC">
      <w:pPr>
        <w:pStyle w:val="ListParagraph1"/>
        <w:spacing w:after="0"/>
        <w:ind w:left="360"/>
        <w:contextualSpacing w:val="0"/>
        <w:jc w:val="both"/>
        <w:rPr>
          <w:rFonts w:ascii="ITC Avant Garde" w:hAnsi="ITC Avant Garde" w:cs="Arial"/>
          <w:u w:val="single"/>
        </w:rPr>
      </w:pPr>
    </w:p>
    <w:p w14:paraId="65E6E896" w14:textId="7B823CF1" w:rsidR="00F26EAC" w:rsidRPr="00F26EAC" w:rsidRDefault="00F26EAC" w:rsidP="00F26EAC">
      <w:pPr>
        <w:pStyle w:val="ListParagraph1"/>
        <w:spacing w:after="0"/>
        <w:ind w:left="0"/>
        <w:contextualSpacing w:val="0"/>
        <w:jc w:val="both"/>
        <w:rPr>
          <w:rFonts w:ascii="ITC Avant Garde" w:eastAsiaTheme="minorHAnsi" w:hAnsi="ITC Avant Garde" w:cstheme="minorBidi"/>
          <w:lang w:val="es-ES_tradnl"/>
        </w:rPr>
      </w:pPr>
      <w:r w:rsidRPr="00F26EAC">
        <w:rPr>
          <w:rFonts w:ascii="ITC Avant Garde" w:eastAsiaTheme="minorHAnsi" w:hAnsi="ITC Avant Garde" w:cstheme="minorBidi"/>
          <w:lang w:val="es-ES_tradnl"/>
        </w:rPr>
        <w:t xml:space="preserve">La tarifa mensual por el uso de </w:t>
      </w:r>
      <w:r w:rsidR="00CF17F6">
        <w:rPr>
          <w:rFonts w:ascii="ITC Avant Garde" w:eastAsiaTheme="minorHAnsi" w:hAnsi="ITC Avant Garde" w:cstheme="minorBidi"/>
          <w:lang w:val="es-ES_tradnl"/>
        </w:rPr>
        <w:t>Espacio Aprobado en Torre</w:t>
      </w:r>
      <w:r w:rsidRPr="00F26EAC">
        <w:rPr>
          <w:rFonts w:ascii="ITC Avant Garde" w:eastAsiaTheme="minorHAnsi" w:hAnsi="ITC Avant Garde" w:cstheme="minorBidi"/>
          <w:lang w:val="es-ES_tradnl"/>
        </w:rPr>
        <w:t xml:space="preserve"> de 8.5 metros cuadrados (m2) y una franja de 4 metros lineales (ml); independientemente de sus dimensiones, de acuerdo a las características de las torres instaladas en azoteas se describe a continuación:</w:t>
      </w:r>
    </w:p>
    <w:p w14:paraId="6675A2A0" w14:textId="77777777" w:rsidR="00F26EAC" w:rsidRPr="00F26EAC" w:rsidRDefault="00F26EAC" w:rsidP="00F26EAC">
      <w:pPr>
        <w:pStyle w:val="ListParagraph1"/>
        <w:spacing w:after="0"/>
        <w:ind w:left="0"/>
        <w:contextualSpacing w:val="0"/>
        <w:jc w:val="both"/>
        <w:rPr>
          <w:rFonts w:ascii="ITC Avant Garde" w:hAnsi="ITC Avant Garde" w:cs="Arial"/>
        </w:rPr>
      </w:pPr>
    </w:p>
    <w:tbl>
      <w:tblPr>
        <w:tblStyle w:val="Tablaconcuadrcula4-nfasis5"/>
        <w:tblW w:w="5000" w:type="pct"/>
        <w:tblLook w:val="04A0" w:firstRow="1" w:lastRow="0" w:firstColumn="1" w:lastColumn="0" w:noHBand="0" w:noVBand="1"/>
      </w:tblPr>
      <w:tblGrid>
        <w:gridCol w:w="3503"/>
        <w:gridCol w:w="1976"/>
        <w:gridCol w:w="3349"/>
      </w:tblGrid>
      <w:tr w:rsidR="00F26EAC" w:rsidRPr="00F26EAC" w14:paraId="7225CE16" w14:textId="77777777" w:rsidTr="00F26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tcPr>
          <w:p w14:paraId="49ECAFB0" w14:textId="77777777" w:rsidR="00F26EAC" w:rsidRPr="00F26EAC" w:rsidRDefault="00F26EAC" w:rsidP="00C86745">
            <w:pPr>
              <w:pStyle w:val="ListParagraph1"/>
              <w:spacing w:after="0"/>
              <w:ind w:left="0"/>
              <w:contextualSpacing w:val="0"/>
              <w:rPr>
                <w:rFonts w:ascii="ITC Avant Garde" w:hAnsi="ITC Avant Garde" w:cs="Arial"/>
                <w:b w:val="0"/>
                <w:sz w:val="20"/>
                <w:szCs w:val="20"/>
              </w:rPr>
            </w:pPr>
            <w:r w:rsidRPr="00F26EAC">
              <w:rPr>
                <w:rFonts w:ascii="ITC Avant Garde" w:hAnsi="ITC Avant Garde" w:cs="Arial"/>
                <w:sz w:val="20"/>
                <w:szCs w:val="20"/>
              </w:rPr>
              <w:t xml:space="preserve">Tipo de </w:t>
            </w:r>
            <w:r w:rsidRPr="00F26EAC">
              <w:rPr>
                <w:rFonts w:ascii="ITC Avant Garde" w:hAnsi="ITC Avant Garde" w:cs="Arial"/>
                <w:sz w:val="20"/>
                <w:szCs w:val="20"/>
                <w:lang w:val="uz-Cyrl-UZ"/>
              </w:rPr>
              <w:t>Estructura</w:t>
            </w:r>
          </w:p>
        </w:tc>
        <w:tc>
          <w:tcPr>
            <w:tcW w:w="1119" w:type="pct"/>
          </w:tcPr>
          <w:p w14:paraId="181CCB6E" w14:textId="77777777" w:rsidR="00F26EAC" w:rsidRPr="00F26EAC" w:rsidRDefault="00F26EAC" w:rsidP="00C86745">
            <w:pPr>
              <w:pStyle w:val="ListParagraph1"/>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sz w:val="20"/>
                <w:szCs w:val="20"/>
              </w:rPr>
              <w:t>Unidad</w:t>
            </w:r>
          </w:p>
        </w:tc>
        <w:tc>
          <w:tcPr>
            <w:tcW w:w="1897" w:type="pct"/>
          </w:tcPr>
          <w:p w14:paraId="23B5024B" w14:textId="77777777" w:rsidR="00F26EAC" w:rsidRPr="00F26EAC" w:rsidRDefault="00F26EAC" w:rsidP="00C86745">
            <w:pPr>
              <w:pStyle w:val="ListParagraph1"/>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sz w:val="20"/>
                <w:szCs w:val="20"/>
              </w:rPr>
              <w:t>Valor</w:t>
            </w:r>
          </w:p>
        </w:tc>
      </w:tr>
      <w:tr w:rsidR="00F26EAC" w:rsidRPr="00F26EAC" w14:paraId="197F08AF" w14:textId="77777777" w:rsidTr="00F26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pct"/>
          </w:tcPr>
          <w:p w14:paraId="2F600FD7" w14:textId="77777777" w:rsidR="00F26EAC" w:rsidRPr="00F26EAC" w:rsidRDefault="00F26EAC" w:rsidP="00C86745">
            <w:pPr>
              <w:pStyle w:val="ListParagraph1"/>
              <w:spacing w:after="0"/>
              <w:ind w:left="0"/>
              <w:jc w:val="both"/>
              <w:rPr>
                <w:rFonts w:ascii="ITC Avant Garde" w:hAnsi="ITC Avant Garde" w:cs="Arial"/>
                <w:sz w:val="20"/>
                <w:szCs w:val="20"/>
              </w:rPr>
            </w:pPr>
            <w:r w:rsidRPr="00F26EAC">
              <w:rPr>
                <w:rFonts w:ascii="ITC Avant Garde" w:hAnsi="ITC Avant Garde" w:cs="Arial"/>
                <w:sz w:val="20"/>
                <w:szCs w:val="20"/>
                <w:lang w:val="uz-Cyrl-UZ"/>
              </w:rPr>
              <w:t xml:space="preserve">Torre </w:t>
            </w:r>
            <w:r w:rsidRPr="00F26EAC">
              <w:rPr>
                <w:rFonts w:ascii="ITC Avant Garde" w:hAnsi="ITC Avant Garde" w:cs="Arial"/>
                <w:sz w:val="20"/>
                <w:szCs w:val="20"/>
              </w:rPr>
              <w:t>Arriostrada</w:t>
            </w:r>
          </w:p>
        </w:tc>
        <w:tc>
          <w:tcPr>
            <w:tcW w:w="1119" w:type="pct"/>
          </w:tcPr>
          <w:p w14:paraId="134C69AC" w14:textId="77777777" w:rsidR="00F26EAC" w:rsidRPr="00F26EAC" w:rsidRDefault="00F26EAC" w:rsidP="00C86745">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F26EAC">
              <w:rPr>
                <w:rFonts w:ascii="ITC Avant Garde" w:hAnsi="ITC Avant Garde" w:cs="Arial"/>
                <w:sz w:val="20"/>
                <w:szCs w:val="20"/>
              </w:rPr>
              <w:t>MXN / Mes</w:t>
            </w:r>
          </w:p>
        </w:tc>
        <w:tc>
          <w:tcPr>
            <w:tcW w:w="1897" w:type="pct"/>
          </w:tcPr>
          <w:p w14:paraId="757EB8A8" w14:textId="22E63150" w:rsidR="00F26EAC" w:rsidRPr="000D4FC2" w:rsidRDefault="000D4FC2" w:rsidP="000D4FC2">
            <w:pPr>
              <w:pStyle w:val="ListParagraph1"/>
              <w:spacing w:after="0"/>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20"/>
                <w:szCs w:val="20"/>
              </w:rPr>
            </w:pPr>
            <w:r w:rsidRPr="000D4FC2">
              <w:rPr>
                <w:rFonts w:ascii="ITC Avant Garde" w:hAnsi="ITC Avant Garde" w:cs="Arial"/>
                <w:bCs/>
                <w:sz w:val="20"/>
                <w:szCs w:val="20"/>
              </w:rPr>
              <w:t xml:space="preserve">        16,438.69 </w:t>
            </w:r>
          </w:p>
        </w:tc>
      </w:tr>
      <w:tr w:rsidR="00F26EAC" w:rsidRPr="00F26EAC" w14:paraId="25D5BBDC" w14:textId="77777777" w:rsidTr="00F26EAC">
        <w:tc>
          <w:tcPr>
            <w:cnfStyle w:val="001000000000" w:firstRow="0" w:lastRow="0" w:firstColumn="1" w:lastColumn="0" w:oddVBand="0" w:evenVBand="0" w:oddHBand="0" w:evenHBand="0" w:firstRowFirstColumn="0" w:firstRowLastColumn="0" w:lastRowFirstColumn="0" w:lastRowLastColumn="0"/>
            <w:tcW w:w="1984" w:type="pct"/>
          </w:tcPr>
          <w:p w14:paraId="397CDA98" w14:textId="77777777" w:rsidR="00F26EAC" w:rsidRPr="00F26EAC" w:rsidRDefault="00F26EAC" w:rsidP="00C86745">
            <w:pPr>
              <w:pStyle w:val="ListParagraph1"/>
              <w:spacing w:after="0"/>
              <w:ind w:left="0"/>
              <w:jc w:val="both"/>
              <w:rPr>
                <w:rFonts w:ascii="ITC Avant Garde" w:hAnsi="ITC Avant Garde" w:cs="Arial"/>
                <w:sz w:val="20"/>
                <w:szCs w:val="20"/>
              </w:rPr>
            </w:pPr>
            <w:r w:rsidRPr="00F26EAC">
              <w:rPr>
                <w:rFonts w:ascii="ITC Avant Garde" w:hAnsi="ITC Avant Garde" w:cs="Arial"/>
                <w:sz w:val="20"/>
                <w:szCs w:val="20"/>
                <w:lang w:val="uz-Cyrl-UZ"/>
              </w:rPr>
              <w:t xml:space="preserve">Torre </w:t>
            </w:r>
            <w:proofErr w:type="spellStart"/>
            <w:r w:rsidRPr="00F26EAC">
              <w:rPr>
                <w:rFonts w:ascii="ITC Avant Garde" w:hAnsi="ITC Avant Garde" w:cs="Arial"/>
                <w:sz w:val="20"/>
                <w:szCs w:val="20"/>
              </w:rPr>
              <w:t>Autosoportada</w:t>
            </w:r>
            <w:proofErr w:type="spellEnd"/>
          </w:p>
        </w:tc>
        <w:tc>
          <w:tcPr>
            <w:tcW w:w="1119" w:type="pct"/>
          </w:tcPr>
          <w:p w14:paraId="05DADBD4" w14:textId="77777777" w:rsidR="00F26EAC" w:rsidRPr="00F26EAC" w:rsidRDefault="00F26EAC" w:rsidP="00C86745">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F26EAC">
              <w:rPr>
                <w:rFonts w:ascii="ITC Avant Garde" w:hAnsi="ITC Avant Garde" w:cs="Arial"/>
                <w:sz w:val="20"/>
                <w:szCs w:val="20"/>
              </w:rPr>
              <w:t>MXN / Mes</w:t>
            </w:r>
          </w:p>
        </w:tc>
        <w:tc>
          <w:tcPr>
            <w:tcW w:w="1897" w:type="pct"/>
          </w:tcPr>
          <w:p w14:paraId="383008FE" w14:textId="4644989E" w:rsidR="00F26EAC" w:rsidRPr="000D4FC2" w:rsidRDefault="000D4FC2" w:rsidP="00C86745">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0D4FC2">
              <w:rPr>
                <w:rFonts w:ascii="ITC Avant Garde" w:hAnsi="ITC Avant Garde" w:cs="Arial"/>
                <w:sz w:val="20"/>
                <w:szCs w:val="20"/>
              </w:rPr>
              <w:t>18,303.82</w:t>
            </w:r>
          </w:p>
        </w:tc>
      </w:tr>
    </w:tbl>
    <w:p w14:paraId="0CDEE306" w14:textId="2977C750" w:rsidR="000D4FC2" w:rsidRPr="00681CB9" w:rsidRDefault="000D4FC2" w:rsidP="000D4FC2">
      <w:pPr>
        <w:jc w:val="center"/>
        <w:rPr>
          <w:rFonts w:ascii="ITC Avant Garde" w:hAnsi="ITC Avant Garde"/>
          <w:i/>
          <w:sz w:val="18"/>
        </w:rPr>
      </w:pPr>
      <w:r w:rsidRPr="006379DB">
        <w:rPr>
          <w:rFonts w:ascii="ITC Avant Garde" w:hAnsi="ITC Avant Garde"/>
          <w:b/>
          <w:sz w:val="18"/>
        </w:rPr>
        <w:t xml:space="preserve">Cuadro </w:t>
      </w:r>
      <w:r>
        <w:rPr>
          <w:rFonts w:ascii="ITC Avant Garde" w:hAnsi="ITC Avant Garde"/>
          <w:b/>
          <w:sz w:val="18"/>
        </w:rPr>
        <w:t>8</w:t>
      </w:r>
      <w:r w:rsidRPr="006379DB">
        <w:rPr>
          <w:rFonts w:ascii="ITC Avant Garde" w:hAnsi="ITC Avant Garde"/>
          <w:b/>
          <w:sz w:val="18"/>
        </w:rPr>
        <w:t>:</w:t>
      </w:r>
      <w:r w:rsidRPr="00681CB9">
        <w:rPr>
          <w:rFonts w:ascii="ITC Avant Garde" w:hAnsi="ITC Avant Garde"/>
          <w:i/>
          <w:sz w:val="18"/>
        </w:rPr>
        <w:t xml:space="preserve"> </w:t>
      </w:r>
      <w:r>
        <w:rPr>
          <w:rFonts w:ascii="ITC Avant Garde" w:hAnsi="ITC Avant Garde"/>
          <w:i/>
          <w:sz w:val="18"/>
        </w:rPr>
        <w:t xml:space="preserve">Tarifa mensual por el uso de </w:t>
      </w:r>
      <w:r w:rsidR="00CF17F6">
        <w:rPr>
          <w:rFonts w:ascii="ITC Avant Garde" w:hAnsi="ITC Avant Garde"/>
          <w:i/>
          <w:sz w:val="18"/>
        </w:rPr>
        <w:t>Espacio Aprobado en Torre</w:t>
      </w:r>
      <w:r>
        <w:rPr>
          <w:rFonts w:ascii="ITC Avant Garde" w:hAnsi="ITC Avant Garde"/>
          <w:i/>
          <w:sz w:val="18"/>
        </w:rPr>
        <w:t xml:space="preserve"> en azotea.</w:t>
      </w:r>
    </w:p>
    <w:p w14:paraId="18AF26A4" w14:textId="77777777" w:rsidR="00F26EAC" w:rsidRPr="00F26EAC" w:rsidRDefault="00F26EAC" w:rsidP="00F26EAC">
      <w:pPr>
        <w:pStyle w:val="ListParagraph1"/>
        <w:spacing w:after="0"/>
        <w:ind w:left="0"/>
        <w:contextualSpacing w:val="0"/>
        <w:jc w:val="both"/>
        <w:rPr>
          <w:rFonts w:ascii="ITC Avant Garde" w:eastAsiaTheme="minorHAnsi" w:hAnsi="ITC Avant Garde" w:cstheme="minorBidi"/>
          <w:lang w:val="es-ES_tradnl"/>
        </w:rPr>
      </w:pPr>
    </w:p>
    <w:p w14:paraId="126A2F35" w14:textId="77777777" w:rsidR="00F26EAC" w:rsidRPr="00F26EAC" w:rsidRDefault="00F26EAC" w:rsidP="00F26EAC">
      <w:pPr>
        <w:pStyle w:val="ListParagraph1"/>
        <w:spacing w:after="0"/>
        <w:ind w:left="0"/>
        <w:contextualSpacing w:val="0"/>
        <w:jc w:val="both"/>
        <w:rPr>
          <w:rFonts w:ascii="ITC Avant Garde" w:eastAsiaTheme="minorHAnsi" w:hAnsi="ITC Avant Garde" w:cstheme="minorBidi"/>
          <w:lang w:val="es-ES_tradnl"/>
        </w:rPr>
      </w:pPr>
      <w:r w:rsidRPr="00F26EAC">
        <w:rPr>
          <w:rFonts w:ascii="ITC Avant Garde" w:eastAsiaTheme="minorHAnsi" w:hAnsi="ITC Avant Garde" w:cstheme="minorBidi"/>
          <w:lang w:val="es-ES_tradnl"/>
        </w:rPr>
        <w:t>En complemento, cualquier excedente de los 8.5 m2 o de la franja de los 4 ml, será pagado de acuerdo a la cantidad que resulte de multiplicar el Área de antena en m2, por la Altura del centro de radiación (NCR) que es la distancia del punto medio de la antena al suelo en metros, por la cantidad de:</w:t>
      </w:r>
    </w:p>
    <w:p w14:paraId="0EA1BEA0" w14:textId="6E791C16" w:rsidR="00F26EAC" w:rsidRPr="00F26EAC" w:rsidRDefault="00F26EAC" w:rsidP="00F26EAC">
      <w:pPr>
        <w:pStyle w:val="ListParagraph1"/>
        <w:spacing w:after="0"/>
        <w:ind w:left="0"/>
        <w:contextualSpacing w:val="0"/>
        <w:jc w:val="both"/>
        <w:rPr>
          <w:rFonts w:ascii="ITC Avant Garde" w:hAnsi="ITC Avant Garde" w:cs="Arial"/>
        </w:rPr>
      </w:pPr>
    </w:p>
    <w:tbl>
      <w:tblPr>
        <w:tblStyle w:val="Tablaconcuadrcula4-nfasis5"/>
        <w:tblW w:w="5000" w:type="pct"/>
        <w:tblLook w:val="04A0" w:firstRow="1" w:lastRow="0" w:firstColumn="1" w:lastColumn="0" w:noHBand="0" w:noVBand="1"/>
      </w:tblPr>
      <w:tblGrid>
        <w:gridCol w:w="2107"/>
        <w:gridCol w:w="2108"/>
        <w:gridCol w:w="2256"/>
        <w:gridCol w:w="2357"/>
      </w:tblGrid>
      <w:tr w:rsidR="00F26EAC" w:rsidRPr="00F26EAC" w14:paraId="7B20D668" w14:textId="77777777" w:rsidTr="00F26EAC">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193" w:type="pct"/>
            <w:noWrap/>
            <w:vAlign w:val="center"/>
          </w:tcPr>
          <w:p w14:paraId="6E1AC6B4" w14:textId="77777777" w:rsidR="00F26EAC" w:rsidRPr="00F26EAC" w:rsidRDefault="00F26EAC" w:rsidP="00F26EAC">
            <w:pPr>
              <w:pStyle w:val="ListParagraph1"/>
              <w:spacing w:after="0"/>
              <w:ind w:left="0"/>
              <w:jc w:val="center"/>
              <w:rPr>
                <w:rFonts w:ascii="ITC Avant Garde" w:hAnsi="ITC Avant Garde" w:cs="Arial"/>
                <w:b w:val="0"/>
                <w:sz w:val="20"/>
                <w:szCs w:val="20"/>
              </w:rPr>
            </w:pPr>
            <w:r w:rsidRPr="00F26EAC">
              <w:rPr>
                <w:rFonts w:ascii="ITC Avant Garde" w:hAnsi="ITC Avant Garde" w:cs="Arial"/>
                <w:sz w:val="20"/>
                <w:szCs w:val="20"/>
              </w:rPr>
              <w:t>Elemento</w:t>
            </w:r>
          </w:p>
        </w:tc>
        <w:tc>
          <w:tcPr>
            <w:tcW w:w="1194" w:type="pct"/>
            <w:noWrap/>
            <w:vAlign w:val="center"/>
          </w:tcPr>
          <w:p w14:paraId="1445EBA4" w14:textId="77777777" w:rsidR="00F26EAC" w:rsidRPr="00F26EAC" w:rsidRDefault="00F26EAC" w:rsidP="00F26EAC">
            <w:pPr>
              <w:pStyle w:val="ListParagraph1"/>
              <w:spacing w:after="0"/>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sz w:val="20"/>
                <w:szCs w:val="20"/>
              </w:rPr>
              <w:t>Unidad</w:t>
            </w:r>
          </w:p>
        </w:tc>
        <w:tc>
          <w:tcPr>
            <w:tcW w:w="1278" w:type="pct"/>
            <w:noWrap/>
            <w:vAlign w:val="center"/>
          </w:tcPr>
          <w:p w14:paraId="596DBCFB" w14:textId="77777777" w:rsidR="00F26EAC" w:rsidRPr="00F26EAC" w:rsidRDefault="00F26EAC" w:rsidP="00F26EAC">
            <w:pPr>
              <w:pStyle w:val="ListParagraph1"/>
              <w:spacing w:after="0"/>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sz w:val="20"/>
                <w:szCs w:val="20"/>
              </w:rPr>
              <w:t>Torre Arriostrada</w:t>
            </w:r>
          </w:p>
        </w:tc>
        <w:tc>
          <w:tcPr>
            <w:tcW w:w="1335" w:type="pct"/>
            <w:noWrap/>
            <w:vAlign w:val="center"/>
          </w:tcPr>
          <w:p w14:paraId="61F7D12F" w14:textId="77777777" w:rsidR="00F26EAC" w:rsidRPr="00F26EAC" w:rsidRDefault="00F26EAC" w:rsidP="00F26EAC">
            <w:pPr>
              <w:pStyle w:val="ListParagraph1"/>
              <w:spacing w:after="0"/>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sz w:val="20"/>
                <w:szCs w:val="20"/>
              </w:rPr>
              <w:t xml:space="preserve">Torre </w:t>
            </w:r>
            <w:proofErr w:type="spellStart"/>
            <w:r w:rsidRPr="00F26EAC">
              <w:rPr>
                <w:rFonts w:ascii="ITC Avant Garde" w:hAnsi="ITC Avant Garde" w:cs="Arial"/>
                <w:sz w:val="20"/>
                <w:szCs w:val="20"/>
              </w:rPr>
              <w:t>Autosoportada</w:t>
            </w:r>
            <w:proofErr w:type="spellEnd"/>
          </w:p>
        </w:tc>
      </w:tr>
      <w:tr w:rsidR="00F26EAC" w:rsidRPr="00F26EAC" w14:paraId="0A82716F" w14:textId="77777777" w:rsidTr="00F26EA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93" w:type="pct"/>
            <w:noWrap/>
            <w:vAlign w:val="center"/>
            <w:hideMark/>
          </w:tcPr>
          <w:p w14:paraId="35CE47EC" w14:textId="77777777" w:rsidR="00F26EAC" w:rsidRPr="00F26EAC" w:rsidRDefault="00F26EAC" w:rsidP="00F26EAC">
            <w:pPr>
              <w:pStyle w:val="ListParagraph1"/>
              <w:spacing w:after="0"/>
              <w:ind w:left="0"/>
              <w:jc w:val="center"/>
              <w:rPr>
                <w:rFonts w:ascii="ITC Avant Garde" w:hAnsi="ITC Avant Garde" w:cs="Arial"/>
                <w:b w:val="0"/>
                <w:sz w:val="20"/>
                <w:szCs w:val="20"/>
              </w:rPr>
            </w:pPr>
            <w:r w:rsidRPr="00F26EAC">
              <w:rPr>
                <w:rFonts w:ascii="ITC Avant Garde" w:hAnsi="ITC Avant Garde" w:cs="Arial"/>
                <w:sz w:val="20"/>
                <w:szCs w:val="20"/>
              </w:rPr>
              <w:t>Factor de cobro</w:t>
            </w:r>
          </w:p>
        </w:tc>
        <w:tc>
          <w:tcPr>
            <w:tcW w:w="1194" w:type="pct"/>
            <w:noWrap/>
            <w:vAlign w:val="center"/>
            <w:hideMark/>
          </w:tcPr>
          <w:p w14:paraId="45A9F131" w14:textId="77777777" w:rsidR="00F26EAC" w:rsidRPr="00F26EAC" w:rsidRDefault="00F26EAC" w:rsidP="00F26EA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20"/>
                <w:szCs w:val="20"/>
                <w:vertAlign w:val="superscript"/>
              </w:rPr>
            </w:pPr>
            <w:r w:rsidRPr="00F26EAC">
              <w:rPr>
                <w:rFonts w:ascii="ITC Avant Garde" w:hAnsi="ITC Avant Garde" w:cs="Arial"/>
                <w:sz w:val="20"/>
                <w:szCs w:val="20"/>
              </w:rPr>
              <w:t>M.N./m</w:t>
            </w:r>
            <w:r w:rsidRPr="00F26EAC">
              <w:rPr>
                <w:rFonts w:ascii="ITC Avant Garde" w:hAnsi="ITC Avant Garde" w:cs="Arial"/>
                <w:sz w:val="20"/>
                <w:szCs w:val="20"/>
                <w:vertAlign w:val="superscript"/>
              </w:rPr>
              <w:t>3</w:t>
            </w:r>
          </w:p>
        </w:tc>
        <w:tc>
          <w:tcPr>
            <w:tcW w:w="1278" w:type="pct"/>
            <w:noWrap/>
            <w:vAlign w:val="center"/>
          </w:tcPr>
          <w:p w14:paraId="2396B114" w14:textId="1EA863AC" w:rsidR="00F26EAC" w:rsidRPr="00F26EAC" w:rsidRDefault="000D4FC2" w:rsidP="00F26EA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0D4FC2">
              <w:rPr>
                <w:rFonts w:ascii="ITC Avant Garde" w:hAnsi="ITC Avant Garde" w:cs="Arial"/>
                <w:sz w:val="20"/>
                <w:szCs w:val="20"/>
              </w:rPr>
              <w:t>84.52</w:t>
            </w:r>
          </w:p>
        </w:tc>
        <w:tc>
          <w:tcPr>
            <w:tcW w:w="1335" w:type="pct"/>
            <w:noWrap/>
            <w:vAlign w:val="center"/>
          </w:tcPr>
          <w:p w14:paraId="671422A8" w14:textId="4068EE73" w:rsidR="00F26EAC" w:rsidRPr="00F26EAC" w:rsidRDefault="000D4FC2" w:rsidP="00F26EA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0D4FC2">
              <w:rPr>
                <w:rFonts w:ascii="ITC Avant Garde" w:hAnsi="ITC Avant Garde" w:cs="Arial"/>
                <w:sz w:val="20"/>
                <w:szCs w:val="20"/>
              </w:rPr>
              <w:t>58.58</w:t>
            </w:r>
          </w:p>
        </w:tc>
      </w:tr>
    </w:tbl>
    <w:p w14:paraId="06FB8D13" w14:textId="1B535523" w:rsidR="000D4FC2" w:rsidRPr="00681CB9" w:rsidRDefault="000D4FC2" w:rsidP="000D4FC2">
      <w:pPr>
        <w:jc w:val="center"/>
        <w:rPr>
          <w:rFonts w:ascii="ITC Avant Garde" w:hAnsi="ITC Avant Garde"/>
          <w:i/>
          <w:sz w:val="18"/>
        </w:rPr>
      </w:pPr>
      <w:r w:rsidRPr="006379DB">
        <w:rPr>
          <w:rFonts w:ascii="ITC Avant Garde" w:hAnsi="ITC Avant Garde"/>
          <w:b/>
          <w:sz w:val="18"/>
        </w:rPr>
        <w:t xml:space="preserve">Cuadro </w:t>
      </w:r>
      <w:r>
        <w:rPr>
          <w:rFonts w:ascii="ITC Avant Garde" w:hAnsi="ITC Avant Garde"/>
          <w:b/>
          <w:sz w:val="18"/>
        </w:rPr>
        <w:t>9</w:t>
      </w:r>
      <w:r w:rsidRPr="006379DB">
        <w:rPr>
          <w:rFonts w:ascii="ITC Avant Garde" w:hAnsi="ITC Avant Garde"/>
          <w:b/>
          <w:sz w:val="18"/>
        </w:rPr>
        <w:t>:</w:t>
      </w:r>
      <w:r w:rsidRPr="00681CB9">
        <w:rPr>
          <w:rFonts w:ascii="ITC Avant Garde" w:hAnsi="ITC Avant Garde"/>
          <w:i/>
          <w:sz w:val="18"/>
        </w:rPr>
        <w:t xml:space="preserve"> </w:t>
      </w:r>
      <w:r w:rsidR="00374AFC">
        <w:rPr>
          <w:rFonts w:ascii="ITC Avant Garde" w:hAnsi="ITC Avant Garde"/>
          <w:i/>
          <w:sz w:val="18"/>
        </w:rPr>
        <w:t>Factor de cobro (antena fuera de banda) en azotea.</w:t>
      </w:r>
    </w:p>
    <w:p w14:paraId="2BE1A8CD" w14:textId="77777777" w:rsidR="00F26EAC" w:rsidRPr="00F26EAC" w:rsidRDefault="00F26EAC" w:rsidP="00F26EAC">
      <w:pPr>
        <w:pStyle w:val="ListParagraph1"/>
        <w:spacing w:after="0"/>
        <w:ind w:left="0"/>
        <w:contextualSpacing w:val="0"/>
        <w:jc w:val="both"/>
        <w:rPr>
          <w:rFonts w:ascii="ITC Avant Garde" w:hAnsi="ITC Avant Garde" w:cs="Arial"/>
        </w:rPr>
      </w:pPr>
      <w:r w:rsidRPr="00F26EAC">
        <w:rPr>
          <w:rFonts w:ascii="ITC Avant Garde" w:hAnsi="ITC Avant Garde" w:cs="Arial"/>
        </w:rPr>
        <w:t xml:space="preserve">Para ello, se seguirá el siguiente procedimiento de cálculo de acuerdo al tipo de estructura que corresponda: </w:t>
      </w:r>
    </w:p>
    <w:p w14:paraId="0B1594C5" w14:textId="77777777" w:rsidR="00F26EAC" w:rsidRPr="00F26EAC" w:rsidRDefault="00F26EAC" w:rsidP="00F26EAC">
      <w:pPr>
        <w:pStyle w:val="ListParagraph1"/>
        <w:spacing w:after="0"/>
        <w:ind w:left="0"/>
        <w:contextualSpacing w:val="0"/>
        <w:jc w:val="both"/>
        <w:rPr>
          <w:rFonts w:ascii="ITC Avant Garde" w:hAnsi="ITC Avant Garde" w:cs="Arial"/>
        </w:rPr>
      </w:pPr>
    </w:p>
    <w:p w14:paraId="55F90A4E" w14:textId="77777777" w:rsidR="00F26EAC" w:rsidRPr="00F26EAC" w:rsidRDefault="00F26EAC" w:rsidP="00F26EAC">
      <w:pPr>
        <w:pStyle w:val="ListParagraph1"/>
        <w:spacing w:after="0"/>
        <w:ind w:left="0"/>
        <w:contextualSpacing w:val="0"/>
        <w:jc w:val="center"/>
        <w:rPr>
          <w:rFonts w:ascii="ITC Avant Garde" w:hAnsi="ITC Avant Garde" w:cs="Arial"/>
        </w:rPr>
      </w:pPr>
      <w:r w:rsidRPr="00F26EAC">
        <w:rPr>
          <w:rFonts w:ascii="ITC Avant Garde" w:hAnsi="ITC Avant Garde" w:cs="Arial"/>
        </w:rPr>
        <w:t>Costo Adicional = Área de Antena m</w:t>
      </w:r>
      <w:r w:rsidRPr="00F26EAC">
        <w:rPr>
          <w:rFonts w:ascii="ITC Avant Garde" w:hAnsi="ITC Avant Garde" w:cs="Arial"/>
          <w:vertAlign w:val="superscript"/>
        </w:rPr>
        <w:t>2</w:t>
      </w:r>
      <w:r w:rsidRPr="00F26EAC">
        <w:rPr>
          <w:rFonts w:ascii="ITC Avant Garde" w:hAnsi="ITC Avant Garde" w:cs="Arial"/>
        </w:rPr>
        <w:t xml:space="preserve"> * Altura NCR en metros * Factor de cobro </w:t>
      </w:r>
    </w:p>
    <w:p w14:paraId="35237855" w14:textId="77777777" w:rsidR="00F26EAC" w:rsidRDefault="00F26EAC" w:rsidP="00F26EAC">
      <w:pPr>
        <w:pStyle w:val="ListParagraph1"/>
        <w:spacing w:after="0"/>
        <w:ind w:left="0"/>
        <w:contextualSpacing w:val="0"/>
        <w:jc w:val="both"/>
        <w:rPr>
          <w:rFonts w:ascii="ITC Avant Garde" w:hAnsi="ITC Avant Garde" w:cs="Arial"/>
        </w:rPr>
      </w:pPr>
    </w:p>
    <w:p w14:paraId="6A089028" w14:textId="65F98A39" w:rsidR="00F26EAC" w:rsidRPr="00F26EAC" w:rsidRDefault="00F26EAC" w:rsidP="001A265A">
      <w:pPr>
        <w:pStyle w:val="Ttulo3"/>
        <w:spacing w:after="240"/>
        <w:ind w:firstLine="708"/>
        <w:rPr>
          <w:rFonts w:ascii="ITC Avant Garde" w:hAnsi="ITC Avant Garde"/>
          <w:b/>
          <w:color w:val="auto"/>
          <w:sz w:val="22"/>
        </w:rPr>
      </w:pPr>
      <w:bookmarkStart w:id="31" w:name="_Toc107852356"/>
      <w:r w:rsidRPr="00F26EAC">
        <w:rPr>
          <w:rFonts w:ascii="ITC Avant Garde" w:hAnsi="ITC Avant Garde"/>
          <w:b/>
          <w:color w:val="auto"/>
          <w:sz w:val="22"/>
        </w:rPr>
        <w:t>6.1.2 Estructura situada al nivel del suelo</w:t>
      </w:r>
      <w:bookmarkEnd w:id="31"/>
    </w:p>
    <w:p w14:paraId="427F39FE" w14:textId="7C5BD2D3" w:rsidR="00F26EAC" w:rsidRPr="00F26EAC" w:rsidRDefault="00F26EAC" w:rsidP="00F26EAC">
      <w:pPr>
        <w:pStyle w:val="ListParagraph1"/>
        <w:spacing w:after="0"/>
        <w:ind w:left="0"/>
        <w:contextualSpacing w:val="0"/>
        <w:jc w:val="both"/>
        <w:rPr>
          <w:rFonts w:ascii="ITC Avant Garde" w:hAnsi="ITC Avant Garde" w:cs="Arial"/>
        </w:rPr>
      </w:pPr>
      <w:r w:rsidRPr="00F26EAC">
        <w:rPr>
          <w:rFonts w:ascii="ITC Avant Garde" w:hAnsi="ITC Avant Garde" w:cs="Arial"/>
        </w:rPr>
        <w:t xml:space="preserve">La tarifa mensual por el uso de </w:t>
      </w:r>
      <w:r w:rsidR="00CF17F6">
        <w:rPr>
          <w:rFonts w:ascii="ITC Avant Garde" w:hAnsi="ITC Avant Garde" w:cs="Arial"/>
        </w:rPr>
        <w:t>Espacio Aprobado en Torre</w:t>
      </w:r>
      <w:r w:rsidRPr="00F26EAC">
        <w:rPr>
          <w:rFonts w:ascii="ITC Avant Garde" w:hAnsi="ITC Avant Garde" w:cs="Arial"/>
        </w:rPr>
        <w:t xml:space="preserve"> de 8.5 metros cuadrados (m</w:t>
      </w:r>
      <w:r w:rsidRPr="00F26EAC">
        <w:rPr>
          <w:rFonts w:ascii="ITC Avant Garde" w:hAnsi="ITC Avant Garde" w:cs="Arial"/>
          <w:vertAlign w:val="superscript"/>
        </w:rPr>
        <w:t>2</w:t>
      </w:r>
      <w:r w:rsidRPr="00F26EAC">
        <w:rPr>
          <w:rFonts w:ascii="ITC Avant Garde" w:hAnsi="ITC Avant Garde" w:cs="Arial"/>
        </w:rPr>
        <w:t>) y una franja de 4 metros lineales (ml); independientemente de sus dimensiones, de acuerdo a las características de las torres no instaladas en azoteas se describe a continuación:</w:t>
      </w:r>
    </w:p>
    <w:p w14:paraId="25E08EA1" w14:textId="77777777" w:rsidR="00F26EAC" w:rsidRPr="00F26EAC" w:rsidRDefault="00F26EAC" w:rsidP="00F26EAC">
      <w:pPr>
        <w:pStyle w:val="ListParagraph1"/>
        <w:spacing w:after="0"/>
        <w:ind w:left="0"/>
        <w:contextualSpacing w:val="0"/>
        <w:jc w:val="both"/>
        <w:rPr>
          <w:rFonts w:ascii="ITC Avant Garde" w:hAnsi="ITC Avant Garde" w:cs="Arial"/>
        </w:rPr>
      </w:pPr>
    </w:p>
    <w:tbl>
      <w:tblPr>
        <w:tblStyle w:val="Tablaconcuadrcula4-nfasis5"/>
        <w:tblW w:w="5000" w:type="pct"/>
        <w:tblLook w:val="04A0" w:firstRow="1" w:lastRow="0" w:firstColumn="1" w:lastColumn="0" w:noHBand="0" w:noVBand="1"/>
      </w:tblPr>
      <w:tblGrid>
        <w:gridCol w:w="3323"/>
        <w:gridCol w:w="2565"/>
        <w:gridCol w:w="2940"/>
      </w:tblGrid>
      <w:tr w:rsidR="00F26EAC" w:rsidRPr="00F26EAC" w14:paraId="64A1CB31" w14:textId="77777777" w:rsidTr="00374AFC">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882" w:type="pct"/>
            <w:vAlign w:val="center"/>
          </w:tcPr>
          <w:p w14:paraId="32CC89A9" w14:textId="77777777" w:rsidR="00F26EAC" w:rsidRPr="00F26EAC" w:rsidRDefault="00F26EAC" w:rsidP="00F26EAC">
            <w:pPr>
              <w:pStyle w:val="ListParagraph1"/>
              <w:spacing w:after="0"/>
              <w:ind w:left="0"/>
              <w:jc w:val="center"/>
              <w:rPr>
                <w:rFonts w:ascii="ITC Avant Garde" w:hAnsi="ITC Avant Garde" w:cs="Arial"/>
                <w:b w:val="0"/>
                <w:sz w:val="20"/>
                <w:szCs w:val="20"/>
              </w:rPr>
            </w:pPr>
            <w:r w:rsidRPr="00F26EAC">
              <w:rPr>
                <w:rFonts w:ascii="ITC Avant Garde" w:hAnsi="ITC Avant Garde" w:cs="Arial"/>
                <w:sz w:val="20"/>
                <w:szCs w:val="20"/>
              </w:rPr>
              <w:lastRenderedPageBreak/>
              <w:t xml:space="preserve">Tipo de </w:t>
            </w:r>
            <w:r w:rsidRPr="00F26EAC">
              <w:rPr>
                <w:rFonts w:ascii="ITC Avant Garde" w:hAnsi="ITC Avant Garde" w:cs="Arial"/>
                <w:sz w:val="20"/>
                <w:szCs w:val="20"/>
                <w:lang w:val="uz-Cyrl-UZ"/>
              </w:rPr>
              <w:t>Estructura</w:t>
            </w:r>
          </w:p>
        </w:tc>
        <w:tc>
          <w:tcPr>
            <w:tcW w:w="1453" w:type="pct"/>
            <w:vAlign w:val="center"/>
          </w:tcPr>
          <w:p w14:paraId="6BC9E3B2" w14:textId="77777777" w:rsidR="00F26EAC" w:rsidRPr="00F26EAC" w:rsidRDefault="00F26EAC" w:rsidP="00F26EAC">
            <w:pPr>
              <w:pStyle w:val="ListParagraph1"/>
              <w:spacing w:after="0"/>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sz w:val="20"/>
                <w:szCs w:val="20"/>
              </w:rPr>
              <w:t>Unidad</w:t>
            </w:r>
          </w:p>
        </w:tc>
        <w:tc>
          <w:tcPr>
            <w:tcW w:w="1666" w:type="pct"/>
            <w:vAlign w:val="center"/>
          </w:tcPr>
          <w:p w14:paraId="3B31128F" w14:textId="77777777" w:rsidR="00F26EAC" w:rsidRPr="00F26EAC" w:rsidRDefault="00F26EAC" w:rsidP="00F26EAC">
            <w:pPr>
              <w:pStyle w:val="ListParagraph1"/>
              <w:spacing w:after="0"/>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sz w:val="20"/>
                <w:szCs w:val="20"/>
              </w:rPr>
              <w:t>Valor</w:t>
            </w:r>
          </w:p>
        </w:tc>
      </w:tr>
      <w:tr w:rsidR="00F26EAC" w:rsidRPr="00F26EAC" w14:paraId="2ACED224" w14:textId="77777777" w:rsidTr="00374AFC">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82" w:type="pct"/>
            <w:vAlign w:val="center"/>
          </w:tcPr>
          <w:p w14:paraId="2DFD0F70" w14:textId="77777777" w:rsidR="00F26EAC" w:rsidRPr="00F26EAC" w:rsidRDefault="00F26EAC" w:rsidP="00F26EAC">
            <w:pPr>
              <w:pStyle w:val="ListParagraph1"/>
              <w:spacing w:after="0"/>
              <w:ind w:left="0"/>
              <w:rPr>
                <w:rFonts w:ascii="ITC Avant Garde" w:hAnsi="ITC Avant Garde" w:cs="Arial"/>
                <w:sz w:val="20"/>
                <w:szCs w:val="20"/>
              </w:rPr>
            </w:pPr>
            <w:r w:rsidRPr="00F26EAC">
              <w:rPr>
                <w:rFonts w:ascii="ITC Avant Garde" w:hAnsi="ITC Avant Garde" w:cs="Arial"/>
                <w:sz w:val="20"/>
                <w:szCs w:val="20"/>
                <w:lang w:val="uz-Cyrl-UZ"/>
              </w:rPr>
              <w:t xml:space="preserve">Torre </w:t>
            </w:r>
            <w:r w:rsidRPr="00F26EAC">
              <w:rPr>
                <w:rFonts w:ascii="ITC Avant Garde" w:hAnsi="ITC Avant Garde" w:cs="Arial"/>
                <w:sz w:val="20"/>
                <w:szCs w:val="20"/>
              </w:rPr>
              <w:t>Arriostrada</w:t>
            </w:r>
          </w:p>
        </w:tc>
        <w:tc>
          <w:tcPr>
            <w:tcW w:w="1453" w:type="pct"/>
            <w:vAlign w:val="center"/>
          </w:tcPr>
          <w:p w14:paraId="60460018" w14:textId="77777777" w:rsidR="00F26EAC" w:rsidRPr="00F26EAC" w:rsidRDefault="00F26EAC" w:rsidP="00F26EA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F26EAC">
              <w:rPr>
                <w:rFonts w:ascii="ITC Avant Garde" w:hAnsi="ITC Avant Garde" w:cs="Arial"/>
                <w:sz w:val="20"/>
                <w:szCs w:val="20"/>
              </w:rPr>
              <w:t>MXN / Mes</w:t>
            </w:r>
          </w:p>
        </w:tc>
        <w:tc>
          <w:tcPr>
            <w:tcW w:w="1666" w:type="pct"/>
            <w:vAlign w:val="center"/>
          </w:tcPr>
          <w:p w14:paraId="787E92B3" w14:textId="2AE21201" w:rsidR="00F26EAC" w:rsidRPr="00F26EAC" w:rsidRDefault="00374AFC" w:rsidP="00F26EA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74AFC">
              <w:rPr>
                <w:rFonts w:ascii="ITC Avant Garde" w:hAnsi="ITC Avant Garde" w:cs="Arial"/>
                <w:sz w:val="20"/>
                <w:szCs w:val="20"/>
              </w:rPr>
              <w:t>16,952.45</w:t>
            </w:r>
          </w:p>
        </w:tc>
      </w:tr>
      <w:tr w:rsidR="00F26EAC" w:rsidRPr="00F26EAC" w14:paraId="49697675" w14:textId="77777777" w:rsidTr="00374AFC">
        <w:trPr>
          <w:trHeight w:val="467"/>
        </w:trPr>
        <w:tc>
          <w:tcPr>
            <w:cnfStyle w:val="001000000000" w:firstRow="0" w:lastRow="0" w:firstColumn="1" w:lastColumn="0" w:oddVBand="0" w:evenVBand="0" w:oddHBand="0" w:evenHBand="0" w:firstRowFirstColumn="0" w:firstRowLastColumn="0" w:lastRowFirstColumn="0" w:lastRowLastColumn="0"/>
            <w:tcW w:w="1882" w:type="pct"/>
            <w:vAlign w:val="center"/>
          </w:tcPr>
          <w:p w14:paraId="5B608552" w14:textId="77777777" w:rsidR="00F26EAC" w:rsidRPr="00F26EAC" w:rsidRDefault="00F26EAC" w:rsidP="00F26EAC">
            <w:pPr>
              <w:pStyle w:val="ListParagraph1"/>
              <w:spacing w:after="0"/>
              <w:ind w:left="0"/>
              <w:rPr>
                <w:rFonts w:ascii="ITC Avant Garde" w:hAnsi="ITC Avant Garde" w:cs="Arial"/>
                <w:sz w:val="20"/>
                <w:szCs w:val="20"/>
              </w:rPr>
            </w:pPr>
            <w:r w:rsidRPr="00F26EAC">
              <w:rPr>
                <w:rFonts w:ascii="ITC Avant Garde" w:hAnsi="ITC Avant Garde" w:cs="Arial"/>
                <w:sz w:val="20"/>
                <w:szCs w:val="20"/>
                <w:lang w:val="uz-Cyrl-UZ"/>
              </w:rPr>
              <w:t xml:space="preserve">Torre </w:t>
            </w:r>
            <w:proofErr w:type="spellStart"/>
            <w:r w:rsidRPr="00F26EAC">
              <w:rPr>
                <w:rFonts w:ascii="ITC Avant Garde" w:hAnsi="ITC Avant Garde" w:cs="Arial"/>
                <w:sz w:val="20"/>
                <w:szCs w:val="20"/>
              </w:rPr>
              <w:t>Autosoportada</w:t>
            </w:r>
            <w:proofErr w:type="spellEnd"/>
          </w:p>
        </w:tc>
        <w:tc>
          <w:tcPr>
            <w:tcW w:w="1453" w:type="pct"/>
            <w:vAlign w:val="center"/>
          </w:tcPr>
          <w:p w14:paraId="20E77741" w14:textId="77777777" w:rsidR="00F26EAC" w:rsidRPr="00F26EAC" w:rsidRDefault="00F26EAC" w:rsidP="00F26EA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F26EAC">
              <w:rPr>
                <w:rFonts w:ascii="ITC Avant Garde" w:hAnsi="ITC Avant Garde" w:cs="Arial"/>
                <w:sz w:val="20"/>
                <w:szCs w:val="20"/>
              </w:rPr>
              <w:t>MXN / Mes</w:t>
            </w:r>
          </w:p>
        </w:tc>
        <w:tc>
          <w:tcPr>
            <w:tcW w:w="1666" w:type="pct"/>
            <w:vAlign w:val="center"/>
          </w:tcPr>
          <w:p w14:paraId="6AD6B1A2" w14:textId="565D8B98" w:rsidR="00F26EAC" w:rsidRPr="00F26EAC" w:rsidRDefault="00374AFC" w:rsidP="00F26EA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374AFC">
              <w:rPr>
                <w:rFonts w:ascii="ITC Avant Garde" w:hAnsi="ITC Avant Garde" w:cs="Arial"/>
                <w:sz w:val="20"/>
                <w:szCs w:val="20"/>
              </w:rPr>
              <w:t>18,265.98</w:t>
            </w:r>
          </w:p>
        </w:tc>
      </w:tr>
    </w:tbl>
    <w:p w14:paraId="57227829" w14:textId="32559535" w:rsidR="00374AFC" w:rsidRPr="00681CB9" w:rsidRDefault="00374AFC" w:rsidP="00374AFC">
      <w:pPr>
        <w:jc w:val="center"/>
        <w:rPr>
          <w:rFonts w:ascii="ITC Avant Garde" w:hAnsi="ITC Avant Garde"/>
          <w:i/>
          <w:sz w:val="18"/>
        </w:rPr>
      </w:pPr>
      <w:r w:rsidRPr="006379DB">
        <w:rPr>
          <w:rFonts w:ascii="ITC Avant Garde" w:hAnsi="ITC Avant Garde"/>
          <w:b/>
          <w:sz w:val="18"/>
        </w:rPr>
        <w:t xml:space="preserve">Cuadro </w:t>
      </w:r>
      <w:r>
        <w:rPr>
          <w:rFonts w:ascii="ITC Avant Garde" w:hAnsi="ITC Avant Garde"/>
          <w:b/>
          <w:sz w:val="18"/>
        </w:rPr>
        <w:t>10</w:t>
      </w:r>
      <w:r w:rsidRPr="006379DB">
        <w:rPr>
          <w:rFonts w:ascii="ITC Avant Garde" w:hAnsi="ITC Avant Garde"/>
          <w:b/>
          <w:sz w:val="18"/>
        </w:rPr>
        <w:t>:</w:t>
      </w:r>
      <w:r w:rsidRPr="00681CB9">
        <w:rPr>
          <w:rFonts w:ascii="ITC Avant Garde" w:hAnsi="ITC Avant Garde"/>
          <w:i/>
          <w:sz w:val="18"/>
        </w:rPr>
        <w:t xml:space="preserve"> </w:t>
      </w:r>
      <w:r>
        <w:rPr>
          <w:rFonts w:ascii="ITC Avant Garde" w:hAnsi="ITC Avant Garde"/>
          <w:i/>
          <w:sz w:val="18"/>
        </w:rPr>
        <w:t xml:space="preserve">Tarifa mensual por el uso de </w:t>
      </w:r>
      <w:r w:rsidR="00CF17F6">
        <w:rPr>
          <w:rFonts w:ascii="ITC Avant Garde" w:hAnsi="ITC Avant Garde"/>
          <w:i/>
          <w:sz w:val="18"/>
        </w:rPr>
        <w:t>Espacio Aprobado en Torre</w:t>
      </w:r>
      <w:r>
        <w:rPr>
          <w:rFonts w:ascii="ITC Avant Garde" w:hAnsi="ITC Avant Garde"/>
          <w:i/>
          <w:sz w:val="18"/>
        </w:rPr>
        <w:t xml:space="preserve"> en piso.</w:t>
      </w:r>
    </w:p>
    <w:p w14:paraId="28B1411F" w14:textId="3E2060F3" w:rsidR="00F26EAC" w:rsidRPr="00F26EAC" w:rsidRDefault="00F26EAC" w:rsidP="00F26EAC">
      <w:pPr>
        <w:pStyle w:val="ListParagraph1"/>
        <w:spacing w:after="0"/>
        <w:ind w:left="0"/>
        <w:contextualSpacing w:val="0"/>
        <w:jc w:val="both"/>
        <w:rPr>
          <w:rFonts w:ascii="ITC Avant Garde" w:hAnsi="ITC Avant Garde" w:cs="Arial"/>
        </w:rPr>
      </w:pPr>
    </w:p>
    <w:p w14:paraId="53BA794E" w14:textId="77777777" w:rsidR="00F26EAC" w:rsidRPr="00F26EAC" w:rsidRDefault="00F26EAC" w:rsidP="00F26EAC">
      <w:pPr>
        <w:pStyle w:val="ListParagraph1"/>
        <w:spacing w:after="0"/>
        <w:ind w:left="0"/>
        <w:contextualSpacing w:val="0"/>
        <w:jc w:val="both"/>
        <w:rPr>
          <w:rFonts w:ascii="ITC Avant Garde" w:hAnsi="ITC Avant Garde" w:cs="Arial"/>
        </w:rPr>
      </w:pPr>
      <w:r w:rsidRPr="00F26EAC">
        <w:rPr>
          <w:rFonts w:ascii="ITC Avant Garde" w:hAnsi="ITC Avant Garde" w:cs="Arial"/>
        </w:rPr>
        <w:t>En complemento, cualquier excedente de los 8.5 m</w:t>
      </w:r>
      <w:r w:rsidRPr="00F26EAC">
        <w:rPr>
          <w:rFonts w:ascii="ITC Avant Garde" w:hAnsi="ITC Avant Garde" w:cs="Arial"/>
          <w:vertAlign w:val="superscript"/>
        </w:rPr>
        <w:t xml:space="preserve">2 </w:t>
      </w:r>
      <w:r w:rsidRPr="00F26EAC">
        <w:rPr>
          <w:rFonts w:ascii="ITC Avant Garde" w:hAnsi="ITC Avant Garde" w:cs="Arial"/>
        </w:rPr>
        <w:t>o de la franja de los 4 ml, será pagado de acuerdo a la cantidad que resulte de multiplicar el Área de antena en m</w:t>
      </w:r>
      <w:r w:rsidRPr="00F26EAC">
        <w:rPr>
          <w:rFonts w:ascii="ITC Avant Garde" w:hAnsi="ITC Avant Garde" w:cs="Arial"/>
          <w:vertAlign w:val="superscript"/>
        </w:rPr>
        <w:t>2</w:t>
      </w:r>
      <w:r w:rsidRPr="00F26EAC">
        <w:rPr>
          <w:rFonts w:ascii="ITC Avant Garde" w:hAnsi="ITC Avant Garde" w:cs="Arial"/>
        </w:rPr>
        <w:t>, por la Altura del centro de radiación (NCR) que es la distancia del punto medio de la antena al suelo en metros, por la cantidad de:</w:t>
      </w:r>
    </w:p>
    <w:p w14:paraId="33CC7F1A" w14:textId="77777777" w:rsidR="00F26EAC" w:rsidRPr="00F26EAC" w:rsidRDefault="00F26EAC" w:rsidP="00F26EAC">
      <w:pPr>
        <w:pStyle w:val="ListParagraph1"/>
        <w:spacing w:after="0"/>
        <w:ind w:left="0"/>
        <w:contextualSpacing w:val="0"/>
        <w:jc w:val="both"/>
        <w:rPr>
          <w:rFonts w:ascii="ITC Avant Garde" w:hAnsi="ITC Avant Garde" w:cs="Arial"/>
        </w:rPr>
      </w:pPr>
    </w:p>
    <w:tbl>
      <w:tblPr>
        <w:tblStyle w:val="Tablaconcuadrcula4-nfasis5"/>
        <w:tblW w:w="5000" w:type="pct"/>
        <w:tblLook w:val="04A0" w:firstRow="1" w:lastRow="0" w:firstColumn="1" w:lastColumn="0" w:noHBand="0" w:noVBand="1"/>
      </w:tblPr>
      <w:tblGrid>
        <w:gridCol w:w="2395"/>
        <w:gridCol w:w="1864"/>
        <w:gridCol w:w="2348"/>
        <w:gridCol w:w="2221"/>
      </w:tblGrid>
      <w:tr w:rsidR="00F26EAC" w:rsidRPr="00F26EAC" w14:paraId="14427AC3" w14:textId="77777777" w:rsidTr="00374AFC">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356" w:type="pct"/>
            <w:noWrap/>
            <w:vAlign w:val="center"/>
          </w:tcPr>
          <w:p w14:paraId="4734D326" w14:textId="77777777" w:rsidR="00F26EAC" w:rsidRPr="00F26EAC" w:rsidRDefault="00F26EAC" w:rsidP="00374AFC">
            <w:pPr>
              <w:pStyle w:val="ListParagraph1"/>
              <w:spacing w:after="0"/>
              <w:ind w:left="0"/>
              <w:jc w:val="center"/>
              <w:rPr>
                <w:rFonts w:ascii="ITC Avant Garde" w:hAnsi="ITC Avant Garde" w:cs="Arial"/>
                <w:b w:val="0"/>
                <w:sz w:val="20"/>
                <w:szCs w:val="20"/>
              </w:rPr>
            </w:pPr>
            <w:r w:rsidRPr="00F26EAC">
              <w:rPr>
                <w:rFonts w:ascii="ITC Avant Garde" w:hAnsi="ITC Avant Garde" w:cs="Arial"/>
                <w:b w:val="0"/>
                <w:sz w:val="20"/>
                <w:szCs w:val="20"/>
              </w:rPr>
              <w:t>Elemento</w:t>
            </w:r>
          </w:p>
        </w:tc>
        <w:tc>
          <w:tcPr>
            <w:tcW w:w="1056" w:type="pct"/>
            <w:noWrap/>
            <w:vAlign w:val="center"/>
          </w:tcPr>
          <w:p w14:paraId="50953651" w14:textId="77777777" w:rsidR="00F26EAC" w:rsidRPr="00F26EAC" w:rsidRDefault="00F26EAC" w:rsidP="00374AFC">
            <w:pPr>
              <w:pStyle w:val="ListParagraph1"/>
              <w:spacing w:after="0"/>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b w:val="0"/>
                <w:sz w:val="20"/>
                <w:szCs w:val="20"/>
              </w:rPr>
              <w:t>Unidad</w:t>
            </w:r>
          </w:p>
        </w:tc>
        <w:tc>
          <w:tcPr>
            <w:tcW w:w="1330" w:type="pct"/>
            <w:noWrap/>
            <w:vAlign w:val="center"/>
          </w:tcPr>
          <w:p w14:paraId="07518F48" w14:textId="77777777" w:rsidR="00F26EAC" w:rsidRPr="00F26EAC" w:rsidRDefault="00F26EAC" w:rsidP="00374AFC">
            <w:pPr>
              <w:pStyle w:val="ListParagraph1"/>
              <w:spacing w:after="0"/>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b w:val="0"/>
                <w:sz w:val="20"/>
                <w:szCs w:val="20"/>
              </w:rPr>
              <w:t>Torre Arriostrada</w:t>
            </w:r>
          </w:p>
        </w:tc>
        <w:tc>
          <w:tcPr>
            <w:tcW w:w="1258" w:type="pct"/>
            <w:noWrap/>
            <w:vAlign w:val="center"/>
          </w:tcPr>
          <w:p w14:paraId="5EF26611" w14:textId="77777777" w:rsidR="00F26EAC" w:rsidRPr="00F26EAC" w:rsidRDefault="00F26EAC" w:rsidP="00374AFC">
            <w:pPr>
              <w:pStyle w:val="ListParagraph1"/>
              <w:spacing w:after="0"/>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20"/>
                <w:szCs w:val="20"/>
              </w:rPr>
            </w:pPr>
            <w:r w:rsidRPr="00F26EAC">
              <w:rPr>
                <w:rFonts w:ascii="ITC Avant Garde" w:hAnsi="ITC Avant Garde" w:cs="Arial"/>
                <w:b w:val="0"/>
                <w:sz w:val="20"/>
                <w:szCs w:val="20"/>
              </w:rPr>
              <w:t xml:space="preserve">Torre </w:t>
            </w:r>
            <w:proofErr w:type="spellStart"/>
            <w:r w:rsidRPr="00F26EAC">
              <w:rPr>
                <w:rFonts w:ascii="ITC Avant Garde" w:hAnsi="ITC Avant Garde" w:cs="Arial"/>
                <w:b w:val="0"/>
                <w:sz w:val="20"/>
                <w:szCs w:val="20"/>
              </w:rPr>
              <w:t>Autosoportada</w:t>
            </w:r>
            <w:proofErr w:type="spellEnd"/>
          </w:p>
        </w:tc>
      </w:tr>
      <w:tr w:rsidR="00F26EAC" w:rsidRPr="00F26EAC" w14:paraId="3EBFD24A" w14:textId="77777777" w:rsidTr="00374AFC">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56" w:type="pct"/>
            <w:noWrap/>
            <w:vAlign w:val="center"/>
            <w:hideMark/>
          </w:tcPr>
          <w:p w14:paraId="556C437C" w14:textId="77777777" w:rsidR="00F26EAC" w:rsidRPr="00F26EAC" w:rsidRDefault="00F26EAC" w:rsidP="00374AFC">
            <w:pPr>
              <w:pStyle w:val="ListParagraph1"/>
              <w:spacing w:after="0"/>
              <w:ind w:left="0"/>
              <w:rPr>
                <w:rFonts w:ascii="ITC Avant Garde" w:hAnsi="ITC Avant Garde" w:cs="Arial"/>
                <w:b w:val="0"/>
                <w:sz w:val="20"/>
                <w:szCs w:val="20"/>
              </w:rPr>
            </w:pPr>
            <w:r w:rsidRPr="00F26EAC">
              <w:rPr>
                <w:rFonts w:ascii="ITC Avant Garde" w:hAnsi="ITC Avant Garde" w:cs="Arial"/>
                <w:sz w:val="20"/>
                <w:szCs w:val="20"/>
              </w:rPr>
              <w:t>Factor de cobro</w:t>
            </w:r>
          </w:p>
        </w:tc>
        <w:tc>
          <w:tcPr>
            <w:tcW w:w="1056" w:type="pct"/>
            <w:noWrap/>
            <w:vAlign w:val="center"/>
            <w:hideMark/>
          </w:tcPr>
          <w:p w14:paraId="3565D22D" w14:textId="77777777" w:rsidR="00F26EAC" w:rsidRPr="00F26EAC" w:rsidRDefault="00F26EA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20"/>
                <w:szCs w:val="20"/>
                <w:vertAlign w:val="superscript"/>
              </w:rPr>
            </w:pPr>
            <w:r w:rsidRPr="00F26EAC">
              <w:rPr>
                <w:rFonts w:ascii="ITC Avant Garde" w:hAnsi="ITC Avant Garde" w:cs="Arial"/>
                <w:sz w:val="20"/>
                <w:szCs w:val="20"/>
              </w:rPr>
              <w:t>M.N./m</w:t>
            </w:r>
            <w:r w:rsidRPr="00F26EAC">
              <w:rPr>
                <w:rFonts w:ascii="ITC Avant Garde" w:hAnsi="ITC Avant Garde" w:cs="Arial"/>
                <w:sz w:val="20"/>
                <w:szCs w:val="20"/>
                <w:vertAlign w:val="superscript"/>
              </w:rPr>
              <w:t>3</w:t>
            </w:r>
          </w:p>
        </w:tc>
        <w:tc>
          <w:tcPr>
            <w:tcW w:w="1330" w:type="pct"/>
            <w:noWrap/>
            <w:vAlign w:val="center"/>
          </w:tcPr>
          <w:p w14:paraId="1E3CD1EE" w14:textId="5C7DF8AB" w:rsidR="00F26EAC" w:rsidRPr="00F26EAC" w:rsidRDefault="00374AF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74AFC">
              <w:rPr>
                <w:rFonts w:ascii="ITC Avant Garde" w:hAnsi="ITC Avant Garde" w:cs="Arial"/>
                <w:sz w:val="20"/>
                <w:szCs w:val="20"/>
              </w:rPr>
              <w:t>57.58</w:t>
            </w:r>
          </w:p>
        </w:tc>
        <w:tc>
          <w:tcPr>
            <w:tcW w:w="1258" w:type="pct"/>
            <w:noWrap/>
            <w:vAlign w:val="center"/>
          </w:tcPr>
          <w:p w14:paraId="1E4E592D" w14:textId="01627F05" w:rsidR="00F26EAC" w:rsidRPr="00F26EAC" w:rsidRDefault="00374AF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374AFC">
              <w:rPr>
                <w:rFonts w:ascii="ITC Avant Garde" w:hAnsi="ITC Avant Garde" w:cs="Arial"/>
                <w:sz w:val="20"/>
                <w:szCs w:val="20"/>
              </w:rPr>
              <w:t>67.86</w:t>
            </w:r>
          </w:p>
        </w:tc>
      </w:tr>
    </w:tbl>
    <w:p w14:paraId="7D64CA12" w14:textId="500E87D7" w:rsidR="00374AFC" w:rsidRPr="00681CB9" w:rsidRDefault="00374AFC" w:rsidP="00374AFC">
      <w:pPr>
        <w:jc w:val="center"/>
        <w:rPr>
          <w:rFonts w:ascii="ITC Avant Garde" w:hAnsi="ITC Avant Garde"/>
          <w:i/>
          <w:sz w:val="18"/>
        </w:rPr>
      </w:pPr>
      <w:r w:rsidRPr="006379DB">
        <w:rPr>
          <w:rFonts w:ascii="ITC Avant Garde" w:hAnsi="ITC Avant Garde"/>
          <w:b/>
          <w:sz w:val="18"/>
        </w:rPr>
        <w:t xml:space="preserve">Cuadro </w:t>
      </w:r>
      <w:r>
        <w:rPr>
          <w:rFonts w:ascii="ITC Avant Garde" w:hAnsi="ITC Avant Garde"/>
          <w:b/>
          <w:sz w:val="18"/>
        </w:rPr>
        <w:t>11</w:t>
      </w:r>
      <w:r w:rsidRPr="006379DB">
        <w:rPr>
          <w:rFonts w:ascii="ITC Avant Garde" w:hAnsi="ITC Avant Garde"/>
          <w:b/>
          <w:sz w:val="18"/>
        </w:rPr>
        <w:t>:</w:t>
      </w:r>
      <w:r w:rsidRPr="00681CB9">
        <w:rPr>
          <w:rFonts w:ascii="ITC Avant Garde" w:hAnsi="ITC Avant Garde"/>
          <w:i/>
          <w:sz w:val="18"/>
        </w:rPr>
        <w:t xml:space="preserve"> </w:t>
      </w:r>
      <w:r>
        <w:rPr>
          <w:rFonts w:ascii="ITC Avant Garde" w:hAnsi="ITC Avant Garde"/>
          <w:i/>
          <w:sz w:val="18"/>
        </w:rPr>
        <w:t>Factor de cobro (antena fuera de banda) en piso.</w:t>
      </w:r>
    </w:p>
    <w:p w14:paraId="0EB3B8D1" w14:textId="77777777" w:rsidR="00F26EAC" w:rsidRPr="00F26EAC" w:rsidRDefault="00F26EAC" w:rsidP="00F26EAC">
      <w:pPr>
        <w:pStyle w:val="ListParagraph1"/>
        <w:spacing w:after="0"/>
        <w:ind w:left="0"/>
        <w:contextualSpacing w:val="0"/>
        <w:rPr>
          <w:rFonts w:ascii="ITC Avant Garde" w:hAnsi="ITC Avant Garde" w:cs="Arial"/>
          <w:bCs/>
          <w:lang w:val="es-ES_tradnl"/>
        </w:rPr>
      </w:pPr>
      <w:r w:rsidRPr="00F26EAC">
        <w:rPr>
          <w:rFonts w:ascii="ITC Avant Garde" w:hAnsi="ITC Avant Garde" w:cs="Arial"/>
          <w:bCs/>
          <w:lang w:val="es-ES_tradnl"/>
        </w:rPr>
        <w:t xml:space="preserve">Para ello, se seguirá el siguiente procedimiento de cálculo de acuerdo al tipo de estructura que corresponda: </w:t>
      </w:r>
    </w:p>
    <w:p w14:paraId="1FC5E4BF" w14:textId="77777777" w:rsidR="00F26EAC" w:rsidRPr="00F26EAC" w:rsidRDefault="00F26EAC" w:rsidP="00F26EAC">
      <w:pPr>
        <w:pStyle w:val="ListParagraph1"/>
        <w:spacing w:after="0"/>
        <w:ind w:left="0"/>
        <w:contextualSpacing w:val="0"/>
        <w:rPr>
          <w:rFonts w:ascii="ITC Avant Garde" w:hAnsi="ITC Avant Garde" w:cs="Arial"/>
          <w:bCs/>
          <w:lang w:val="es-ES_tradnl"/>
        </w:rPr>
      </w:pPr>
    </w:p>
    <w:p w14:paraId="05E53D6B" w14:textId="77777777" w:rsidR="00F26EAC" w:rsidRPr="00F26EAC" w:rsidRDefault="00F26EAC" w:rsidP="00F26EAC">
      <w:pPr>
        <w:pStyle w:val="ListParagraph1"/>
        <w:spacing w:after="0"/>
        <w:ind w:left="0"/>
        <w:contextualSpacing w:val="0"/>
        <w:jc w:val="center"/>
        <w:rPr>
          <w:rFonts w:ascii="ITC Avant Garde" w:hAnsi="ITC Avant Garde" w:cs="Arial"/>
        </w:rPr>
      </w:pPr>
      <w:r w:rsidRPr="00F26EAC">
        <w:rPr>
          <w:rFonts w:ascii="ITC Avant Garde" w:hAnsi="ITC Avant Garde" w:cs="Arial"/>
        </w:rPr>
        <w:t>Costo Adicional = Área de Antena m</w:t>
      </w:r>
      <w:r w:rsidRPr="00F26EAC">
        <w:rPr>
          <w:rFonts w:ascii="ITC Avant Garde" w:hAnsi="ITC Avant Garde" w:cs="Arial"/>
          <w:vertAlign w:val="superscript"/>
        </w:rPr>
        <w:t>2</w:t>
      </w:r>
      <w:r w:rsidRPr="00F26EAC">
        <w:rPr>
          <w:rFonts w:ascii="ITC Avant Garde" w:hAnsi="ITC Avant Garde" w:cs="Arial"/>
        </w:rPr>
        <w:t xml:space="preserve"> * Altura NCR en metros * Factor de cobro</w:t>
      </w:r>
    </w:p>
    <w:p w14:paraId="30ABDDAF" w14:textId="5EDADA82" w:rsidR="0099731C" w:rsidRPr="00681CB9" w:rsidRDefault="00011446" w:rsidP="00927C8F">
      <w:pPr>
        <w:pStyle w:val="Ttulo2"/>
        <w:ind w:left="360"/>
        <w:rPr>
          <w:rFonts w:ascii="ITC Avant Garde" w:hAnsi="ITC Avant Garde"/>
          <w:sz w:val="22"/>
          <w:lang w:val="es-MX"/>
        </w:rPr>
      </w:pPr>
      <w:bookmarkStart w:id="32" w:name="_Toc107852357"/>
      <w:r>
        <w:rPr>
          <w:rFonts w:ascii="ITC Avant Garde" w:hAnsi="ITC Avant Garde"/>
          <w:sz w:val="22"/>
          <w:lang w:val="es-MX"/>
        </w:rPr>
        <w:t>6</w:t>
      </w:r>
      <w:r w:rsidR="00927C8F" w:rsidRPr="00681CB9">
        <w:rPr>
          <w:rFonts w:ascii="ITC Avant Garde" w:hAnsi="ITC Avant Garde"/>
          <w:sz w:val="22"/>
          <w:lang w:val="es-MX"/>
        </w:rPr>
        <w:t xml:space="preserve">.2 </w:t>
      </w:r>
      <w:r w:rsidR="0099731C" w:rsidRPr="00681CB9">
        <w:rPr>
          <w:rFonts w:ascii="ITC Avant Garde" w:hAnsi="ITC Avant Garde"/>
          <w:sz w:val="22"/>
          <w:lang w:val="es-MX"/>
        </w:rPr>
        <w:t xml:space="preserve">Por el acceso y uso de </w:t>
      </w:r>
      <w:r w:rsidR="00CF17F6">
        <w:rPr>
          <w:rFonts w:ascii="ITC Avant Garde" w:hAnsi="ITC Avant Garde"/>
          <w:sz w:val="22"/>
          <w:lang w:val="es-MX"/>
        </w:rPr>
        <w:t>Espacio Aprobado en Piso</w:t>
      </w:r>
      <w:bookmarkEnd w:id="32"/>
    </w:p>
    <w:p w14:paraId="22D8B10F" w14:textId="783284D5" w:rsidR="00F26EAC" w:rsidRPr="000D4FC2" w:rsidRDefault="00F26EAC" w:rsidP="00F26EAC">
      <w:pPr>
        <w:pStyle w:val="ListParagraph1"/>
        <w:spacing w:after="0"/>
        <w:ind w:left="0"/>
        <w:contextualSpacing w:val="0"/>
        <w:jc w:val="both"/>
        <w:rPr>
          <w:rFonts w:ascii="ITC Avant Garde" w:hAnsi="ITC Avant Garde" w:cs="Arial"/>
          <w:bCs/>
          <w:lang w:val="es-ES_tradnl"/>
        </w:rPr>
      </w:pPr>
      <w:r w:rsidRPr="000D4FC2">
        <w:rPr>
          <w:rFonts w:ascii="ITC Avant Garde" w:hAnsi="ITC Avant Garde" w:cs="Arial"/>
          <w:bCs/>
          <w:lang w:val="es-ES_tradnl"/>
        </w:rPr>
        <w:t xml:space="preserve">La tarifa por el acceso y uso de </w:t>
      </w:r>
      <w:r w:rsidR="00CF17F6">
        <w:rPr>
          <w:rFonts w:ascii="ITC Avant Garde" w:hAnsi="ITC Avant Garde" w:cs="Arial"/>
          <w:bCs/>
          <w:lang w:val="es-ES_tradnl"/>
        </w:rPr>
        <w:t>Espacio Aprobado en Piso</w:t>
      </w:r>
      <w:r w:rsidRPr="000D4FC2">
        <w:rPr>
          <w:rFonts w:ascii="ITC Avant Garde" w:hAnsi="ITC Avant Garde" w:cs="Arial"/>
          <w:bCs/>
          <w:lang w:val="es-ES_tradnl"/>
        </w:rPr>
        <w:t xml:space="preserve"> </w:t>
      </w:r>
      <w:r w:rsidR="00C27184">
        <w:rPr>
          <w:rFonts w:ascii="ITC Avant Garde" w:hAnsi="ITC Avant Garde" w:cs="Arial"/>
          <w:bCs/>
          <w:lang w:val="es-ES_tradnl"/>
        </w:rPr>
        <w:t>ofrece los siguientes niveles</w:t>
      </w:r>
      <w:r w:rsidRPr="000D4FC2">
        <w:rPr>
          <w:rFonts w:ascii="ITC Avant Garde" w:hAnsi="ITC Avant Garde" w:cs="Arial"/>
          <w:bCs/>
          <w:lang w:val="es-ES_tradnl"/>
        </w:rPr>
        <w:t xml:space="preserve"> de cobro:</w:t>
      </w:r>
    </w:p>
    <w:tbl>
      <w:tblPr>
        <w:tblStyle w:val="Tablaconcuadrcula4-nfasis5"/>
        <w:tblW w:w="5000" w:type="pct"/>
        <w:tblLook w:val="04A0" w:firstRow="1" w:lastRow="0" w:firstColumn="1" w:lastColumn="0" w:noHBand="0" w:noVBand="1"/>
      </w:tblPr>
      <w:tblGrid>
        <w:gridCol w:w="1363"/>
        <w:gridCol w:w="1829"/>
        <w:gridCol w:w="1201"/>
        <w:gridCol w:w="1464"/>
        <w:gridCol w:w="1465"/>
        <w:gridCol w:w="1506"/>
      </w:tblGrid>
      <w:tr w:rsidR="00243F06" w:rsidRPr="001A265A" w14:paraId="73B2A42D" w14:textId="77777777" w:rsidTr="00243F06">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488" w:type="pct"/>
            <w:gridSpan w:val="3"/>
            <w:tcBorders>
              <w:top w:val="single" w:sz="4" w:space="0" w:color="FFFFFF" w:themeColor="background1"/>
              <w:left w:val="single" w:sz="4" w:space="0" w:color="FFFFFF" w:themeColor="background1"/>
            </w:tcBorders>
            <w:shd w:val="clear" w:color="auto" w:fill="auto"/>
          </w:tcPr>
          <w:p w14:paraId="4153536A" w14:textId="77777777" w:rsidR="00243F06" w:rsidRPr="001A265A" w:rsidRDefault="00243F06" w:rsidP="00C86745">
            <w:pPr>
              <w:pStyle w:val="ListParagraph1"/>
              <w:spacing w:after="0"/>
              <w:ind w:left="0"/>
              <w:jc w:val="center"/>
              <w:rPr>
                <w:rFonts w:ascii="ITC Avant Garde" w:hAnsi="ITC Avant Garde" w:cs="Arial"/>
                <w:sz w:val="18"/>
              </w:rPr>
            </w:pPr>
          </w:p>
        </w:tc>
        <w:tc>
          <w:tcPr>
            <w:tcW w:w="2512" w:type="pct"/>
            <w:gridSpan w:val="3"/>
            <w:vAlign w:val="center"/>
          </w:tcPr>
          <w:p w14:paraId="34B3E05A" w14:textId="62C9CFF5" w:rsidR="00243F06" w:rsidRPr="001A265A" w:rsidRDefault="00243F06" w:rsidP="00374AFC">
            <w:pPr>
              <w:pStyle w:val="ListParagraph1"/>
              <w:spacing w:after="0"/>
              <w:ind w:left="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 xml:space="preserve">Tipo de </w:t>
            </w:r>
            <w:r>
              <w:rPr>
                <w:rFonts w:ascii="ITC Avant Garde" w:hAnsi="ITC Avant Garde" w:cs="Arial"/>
                <w:sz w:val="18"/>
                <w:szCs w:val="20"/>
              </w:rPr>
              <w:t>Espacio Aprobado en Piso</w:t>
            </w:r>
            <w:r w:rsidRPr="001A265A">
              <w:rPr>
                <w:rFonts w:ascii="ITC Avant Garde" w:hAnsi="ITC Avant Garde" w:cs="Arial"/>
                <w:sz w:val="18"/>
                <w:szCs w:val="20"/>
                <w:vertAlign w:val="superscript"/>
              </w:rPr>
              <w:footnoteReference w:id="23"/>
            </w:r>
          </w:p>
        </w:tc>
      </w:tr>
      <w:tr w:rsidR="00F26EAC" w:rsidRPr="000D4FC2" w14:paraId="1419A7BF" w14:textId="77777777" w:rsidTr="00374AF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772" w:type="pct"/>
            <w:vAlign w:val="center"/>
          </w:tcPr>
          <w:p w14:paraId="27513721" w14:textId="77777777" w:rsidR="00F26EAC" w:rsidRPr="001A265A" w:rsidRDefault="00F26EAC" w:rsidP="00374AFC">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Clasificación</w:t>
            </w:r>
          </w:p>
        </w:tc>
        <w:tc>
          <w:tcPr>
            <w:tcW w:w="1036" w:type="pct"/>
            <w:vAlign w:val="center"/>
          </w:tcPr>
          <w:p w14:paraId="71BCAC4D" w14:textId="14438756" w:rsidR="00F26EAC" w:rsidRPr="001A265A" w:rsidRDefault="00B625B8"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Pr>
                <w:rFonts w:ascii="ITC Avant Garde" w:hAnsi="ITC Avant Garde" w:cs="Arial"/>
                <w:b/>
                <w:sz w:val="18"/>
                <w:szCs w:val="20"/>
              </w:rPr>
              <w:t>Índice</w:t>
            </w:r>
            <w:r w:rsidR="00D35731">
              <w:rPr>
                <w:rFonts w:ascii="ITC Avant Garde" w:hAnsi="ITC Avant Garde" w:cs="Arial"/>
                <w:b/>
                <w:sz w:val="18"/>
                <w:szCs w:val="20"/>
              </w:rPr>
              <w:t xml:space="preserve"> de Marginación</w:t>
            </w:r>
            <w:r w:rsidR="00F26EAC" w:rsidRPr="001A265A">
              <w:rPr>
                <w:rStyle w:val="Refdenotaalpie"/>
                <w:rFonts w:ascii="ITC Avant Garde" w:eastAsia="Calibri" w:hAnsi="ITC Avant Garde"/>
                <w:sz w:val="18"/>
                <w:szCs w:val="20"/>
              </w:rPr>
              <w:footnoteReference w:id="24"/>
            </w:r>
          </w:p>
        </w:tc>
        <w:tc>
          <w:tcPr>
            <w:tcW w:w="680" w:type="pct"/>
            <w:vAlign w:val="center"/>
          </w:tcPr>
          <w:p w14:paraId="6E2AF277" w14:textId="77777777" w:rsidR="00F26EAC" w:rsidRPr="001A265A" w:rsidRDefault="00F26EA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sidRPr="001A265A">
              <w:rPr>
                <w:rFonts w:ascii="ITC Avant Garde" w:hAnsi="ITC Avant Garde" w:cs="Arial"/>
                <w:b/>
                <w:sz w:val="18"/>
                <w:szCs w:val="20"/>
              </w:rPr>
              <w:t>Unidad</w:t>
            </w:r>
          </w:p>
        </w:tc>
        <w:tc>
          <w:tcPr>
            <w:tcW w:w="829" w:type="pct"/>
            <w:vAlign w:val="center"/>
          </w:tcPr>
          <w:p w14:paraId="00A4C009" w14:textId="77777777" w:rsidR="00F26EAC" w:rsidRPr="001A265A" w:rsidRDefault="00F26EA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sidRPr="001A265A">
              <w:rPr>
                <w:rFonts w:ascii="ITC Avant Garde" w:hAnsi="ITC Avant Garde" w:cs="Arial"/>
                <w:b/>
                <w:sz w:val="18"/>
                <w:szCs w:val="20"/>
              </w:rPr>
              <w:t>En Predio</w:t>
            </w:r>
          </w:p>
        </w:tc>
        <w:tc>
          <w:tcPr>
            <w:tcW w:w="830" w:type="pct"/>
            <w:vAlign w:val="center"/>
          </w:tcPr>
          <w:p w14:paraId="4B67D609" w14:textId="77777777" w:rsidR="00F26EAC" w:rsidRPr="001A265A" w:rsidRDefault="00F26EA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sidRPr="001A265A">
              <w:rPr>
                <w:rFonts w:ascii="ITC Avant Garde" w:hAnsi="ITC Avant Garde" w:cs="Arial"/>
                <w:b/>
                <w:sz w:val="18"/>
                <w:szCs w:val="20"/>
              </w:rPr>
              <w:t>En Azotea</w:t>
            </w:r>
          </w:p>
        </w:tc>
        <w:tc>
          <w:tcPr>
            <w:tcW w:w="853" w:type="pct"/>
            <w:vAlign w:val="center"/>
          </w:tcPr>
          <w:p w14:paraId="698AFD05" w14:textId="77777777" w:rsidR="00F26EAC" w:rsidRPr="001A265A" w:rsidRDefault="00F26EA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sidRPr="001A265A">
              <w:rPr>
                <w:rFonts w:ascii="ITC Avant Garde" w:hAnsi="ITC Avant Garde" w:cs="Arial"/>
                <w:b/>
                <w:sz w:val="18"/>
                <w:szCs w:val="20"/>
              </w:rPr>
              <w:t>En Caseta</w:t>
            </w:r>
          </w:p>
        </w:tc>
      </w:tr>
      <w:tr w:rsidR="00374AFC" w:rsidRPr="001A265A" w14:paraId="41F56A54" w14:textId="77777777" w:rsidTr="005A6CD3">
        <w:trPr>
          <w:trHeight w:val="374"/>
        </w:trPr>
        <w:tc>
          <w:tcPr>
            <w:cnfStyle w:val="001000000000" w:firstRow="0" w:lastRow="0" w:firstColumn="1" w:lastColumn="0" w:oddVBand="0" w:evenVBand="0" w:oddHBand="0" w:evenHBand="0" w:firstRowFirstColumn="0" w:firstRowLastColumn="0" w:lastRowFirstColumn="0" w:lastRowLastColumn="0"/>
            <w:tcW w:w="772" w:type="pct"/>
            <w:vAlign w:val="center"/>
          </w:tcPr>
          <w:p w14:paraId="374518B0" w14:textId="77777777" w:rsidR="00374AFC" w:rsidRPr="000D4FC2" w:rsidRDefault="00374AFC" w:rsidP="00374AFC">
            <w:pPr>
              <w:pStyle w:val="ListParagraph1"/>
              <w:spacing w:after="0"/>
              <w:ind w:left="0"/>
              <w:jc w:val="center"/>
              <w:rPr>
                <w:rFonts w:ascii="ITC Avant Garde" w:hAnsi="ITC Avant Garde" w:cs="Arial"/>
                <w:sz w:val="18"/>
                <w:szCs w:val="20"/>
              </w:rPr>
            </w:pPr>
            <w:r w:rsidRPr="000D4FC2">
              <w:rPr>
                <w:rFonts w:ascii="ITC Avant Garde" w:hAnsi="ITC Avant Garde" w:cs="Arial"/>
                <w:sz w:val="18"/>
                <w:szCs w:val="20"/>
              </w:rPr>
              <w:t>Alto</w:t>
            </w:r>
          </w:p>
        </w:tc>
        <w:tc>
          <w:tcPr>
            <w:tcW w:w="1036" w:type="pct"/>
            <w:vAlign w:val="center"/>
          </w:tcPr>
          <w:p w14:paraId="70D0EAA8" w14:textId="58AE92C3" w:rsidR="00374AFC" w:rsidRPr="000D4FC2" w:rsidRDefault="00D35731"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Muy bajo</w:t>
            </w:r>
          </w:p>
        </w:tc>
        <w:tc>
          <w:tcPr>
            <w:tcW w:w="680" w:type="pct"/>
            <w:vAlign w:val="center"/>
          </w:tcPr>
          <w:p w14:paraId="19C71D41" w14:textId="77777777" w:rsidR="00374AFC" w:rsidRPr="001A265A" w:rsidRDefault="00374AFC"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Mes</w:t>
            </w:r>
          </w:p>
        </w:tc>
        <w:tc>
          <w:tcPr>
            <w:tcW w:w="829" w:type="pct"/>
            <w:vAlign w:val="center"/>
          </w:tcPr>
          <w:p w14:paraId="06BA0196" w14:textId="4D95C9EE" w:rsidR="00374AFC" w:rsidRPr="00374AFC" w:rsidRDefault="00374AFC"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rPr>
            </w:pPr>
            <w:r w:rsidRPr="00374AFC">
              <w:rPr>
                <w:rFonts w:ascii="ITC Avant Garde" w:hAnsi="ITC Avant Garde"/>
                <w:sz w:val="18"/>
              </w:rPr>
              <w:t>15</w:t>
            </w:r>
            <w:r>
              <w:rPr>
                <w:rFonts w:ascii="ITC Avant Garde" w:hAnsi="ITC Avant Garde"/>
                <w:sz w:val="18"/>
              </w:rPr>
              <w:t>,</w:t>
            </w:r>
            <w:r w:rsidRPr="00374AFC">
              <w:rPr>
                <w:rFonts w:ascii="ITC Avant Garde" w:hAnsi="ITC Avant Garde"/>
                <w:sz w:val="18"/>
              </w:rPr>
              <w:t>267.04</w:t>
            </w:r>
          </w:p>
        </w:tc>
        <w:tc>
          <w:tcPr>
            <w:tcW w:w="830" w:type="pct"/>
            <w:vAlign w:val="center"/>
          </w:tcPr>
          <w:p w14:paraId="28DB8919" w14:textId="5E541A47" w:rsidR="00374AFC" w:rsidRPr="00374AFC" w:rsidRDefault="00374AFC"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rPr>
            </w:pPr>
            <w:r w:rsidRPr="00374AFC">
              <w:rPr>
                <w:rFonts w:ascii="ITC Avant Garde" w:hAnsi="ITC Avant Garde"/>
                <w:sz w:val="18"/>
              </w:rPr>
              <w:t>15</w:t>
            </w:r>
            <w:r>
              <w:rPr>
                <w:rFonts w:ascii="ITC Avant Garde" w:hAnsi="ITC Avant Garde"/>
                <w:sz w:val="18"/>
              </w:rPr>
              <w:t>,</w:t>
            </w:r>
            <w:r w:rsidRPr="00374AFC">
              <w:rPr>
                <w:rFonts w:ascii="ITC Avant Garde" w:hAnsi="ITC Avant Garde"/>
                <w:sz w:val="18"/>
              </w:rPr>
              <w:t>688.99</w:t>
            </w:r>
          </w:p>
        </w:tc>
        <w:tc>
          <w:tcPr>
            <w:tcW w:w="853" w:type="pct"/>
            <w:vAlign w:val="center"/>
          </w:tcPr>
          <w:p w14:paraId="09274101" w14:textId="7B11F479" w:rsidR="00374AFC" w:rsidRPr="00E7246E" w:rsidRDefault="00374AFC" w:rsidP="005A6CD3">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rPr>
            </w:pPr>
            <w:r w:rsidRPr="00E7246E">
              <w:rPr>
                <w:rFonts w:ascii="ITC Avant Garde" w:hAnsi="ITC Avant Garde"/>
                <w:sz w:val="18"/>
              </w:rPr>
              <w:t>17</w:t>
            </w:r>
            <w:r w:rsidR="00E7246E">
              <w:rPr>
                <w:rFonts w:ascii="ITC Avant Garde" w:hAnsi="ITC Avant Garde"/>
                <w:sz w:val="18"/>
              </w:rPr>
              <w:t>,</w:t>
            </w:r>
            <w:r w:rsidRPr="00E7246E">
              <w:rPr>
                <w:rFonts w:ascii="ITC Avant Garde" w:hAnsi="ITC Avant Garde"/>
                <w:sz w:val="18"/>
              </w:rPr>
              <w:t>087.63</w:t>
            </w:r>
          </w:p>
        </w:tc>
      </w:tr>
      <w:tr w:rsidR="00374AFC" w:rsidRPr="001A265A" w14:paraId="7347269F" w14:textId="77777777" w:rsidTr="005A6CD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72" w:type="pct"/>
            <w:vAlign w:val="center"/>
          </w:tcPr>
          <w:p w14:paraId="7EFCDD5F" w14:textId="77777777" w:rsidR="00374AFC" w:rsidRPr="001A265A" w:rsidRDefault="00374AFC" w:rsidP="00374AFC">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Medio Alto</w:t>
            </w:r>
          </w:p>
        </w:tc>
        <w:tc>
          <w:tcPr>
            <w:tcW w:w="1036" w:type="pct"/>
            <w:vAlign w:val="center"/>
          </w:tcPr>
          <w:p w14:paraId="45C582F1" w14:textId="532DFD4A" w:rsidR="00374AFC" w:rsidRPr="001A265A" w:rsidRDefault="00D35731"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Bajo</w:t>
            </w:r>
          </w:p>
        </w:tc>
        <w:tc>
          <w:tcPr>
            <w:tcW w:w="680" w:type="pct"/>
            <w:vAlign w:val="center"/>
          </w:tcPr>
          <w:p w14:paraId="453D3416" w14:textId="77777777" w:rsidR="00374AFC" w:rsidRPr="001A265A" w:rsidRDefault="00374AF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Mes</w:t>
            </w:r>
          </w:p>
        </w:tc>
        <w:tc>
          <w:tcPr>
            <w:tcW w:w="829" w:type="pct"/>
            <w:vAlign w:val="center"/>
          </w:tcPr>
          <w:p w14:paraId="58041658" w14:textId="06708C00" w:rsidR="00374AFC" w:rsidRPr="00374AFC" w:rsidRDefault="00374AF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374AFC">
              <w:rPr>
                <w:rFonts w:ascii="ITC Avant Garde" w:hAnsi="ITC Avant Garde"/>
                <w:sz w:val="18"/>
              </w:rPr>
              <w:t>7</w:t>
            </w:r>
            <w:r>
              <w:rPr>
                <w:rFonts w:ascii="ITC Avant Garde" w:hAnsi="ITC Avant Garde"/>
                <w:sz w:val="18"/>
              </w:rPr>
              <w:t>,</w:t>
            </w:r>
            <w:r w:rsidRPr="00374AFC">
              <w:rPr>
                <w:rFonts w:ascii="ITC Avant Garde" w:hAnsi="ITC Avant Garde"/>
                <w:sz w:val="18"/>
              </w:rPr>
              <w:t>979.32</w:t>
            </w:r>
          </w:p>
        </w:tc>
        <w:tc>
          <w:tcPr>
            <w:tcW w:w="830" w:type="pct"/>
            <w:vAlign w:val="center"/>
          </w:tcPr>
          <w:p w14:paraId="2FDA0C74" w14:textId="5B810F1A" w:rsidR="00374AFC" w:rsidRPr="00374AFC" w:rsidRDefault="00374AF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rPr>
            </w:pPr>
            <w:r w:rsidRPr="00374AFC">
              <w:rPr>
                <w:rFonts w:ascii="ITC Avant Garde" w:hAnsi="ITC Avant Garde"/>
                <w:sz w:val="18"/>
              </w:rPr>
              <w:t>8</w:t>
            </w:r>
            <w:r>
              <w:rPr>
                <w:rFonts w:ascii="ITC Avant Garde" w:hAnsi="ITC Avant Garde"/>
                <w:sz w:val="18"/>
              </w:rPr>
              <w:t>,</w:t>
            </w:r>
            <w:r w:rsidRPr="00374AFC">
              <w:rPr>
                <w:rFonts w:ascii="ITC Avant Garde" w:hAnsi="ITC Avant Garde"/>
                <w:sz w:val="18"/>
              </w:rPr>
              <w:t>398.68</w:t>
            </w:r>
          </w:p>
        </w:tc>
        <w:tc>
          <w:tcPr>
            <w:tcW w:w="853" w:type="pct"/>
            <w:vAlign w:val="center"/>
          </w:tcPr>
          <w:p w14:paraId="5B1C99DA" w14:textId="7ADCBEF7" w:rsidR="00374AFC" w:rsidRPr="00E7246E" w:rsidRDefault="00374AFC" w:rsidP="005A6CD3">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rPr>
            </w:pPr>
            <w:r w:rsidRPr="00E7246E">
              <w:rPr>
                <w:rFonts w:ascii="ITC Avant Garde" w:hAnsi="ITC Avant Garde"/>
                <w:sz w:val="18"/>
              </w:rPr>
              <w:t>9</w:t>
            </w:r>
            <w:r w:rsidR="00E7246E">
              <w:rPr>
                <w:rFonts w:ascii="ITC Avant Garde" w:hAnsi="ITC Avant Garde"/>
                <w:sz w:val="18"/>
              </w:rPr>
              <w:t>,</w:t>
            </w:r>
            <w:r w:rsidRPr="00E7246E">
              <w:rPr>
                <w:rFonts w:ascii="ITC Avant Garde" w:hAnsi="ITC Avant Garde"/>
                <w:sz w:val="18"/>
              </w:rPr>
              <w:t>678.40</w:t>
            </w:r>
          </w:p>
        </w:tc>
      </w:tr>
      <w:tr w:rsidR="00374AFC" w:rsidRPr="001A265A" w14:paraId="0864180B" w14:textId="77777777" w:rsidTr="005A6CD3">
        <w:trPr>
          <w:trHeight w:val="321"/>
        </w:trPr>
        <w:tc>
          <w:tcPr>
            <w:cnfStyle w:val="001000000000" w:firstRow="0" w:lastRow="0" w:firstColumn="1" w:lastColumn="0" w:oddVBand="0" w:evenVBand="0" w:oddHBand="0" w:evenHBand="0" w:firstRowFirstColumn="0" w:firstRowLastColumn="0" w:lastRowFirstColumn="0" w:lastRowLastColumn="0"/>
            <w:tcW w:w="772" w:type="pct"/>
            <w:vAlign w:val="center"/>
          </w:tcPr>
          <w:p w14:paraId="0BA18738" w14:textId="77777777" w:rsidR="00374AFC" w:rsidRPr="001A265A" w:rsidRDefault="00374AFC" w:rsidP="00374AFC">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Medio</w:t>
            </w:r>
          </w:p>
        </w:tc>
        <w:tc>
          <w:tcPr>
            <w:tcW w:w="1036" w:type="pct"/>
            <w:vAlign w:val="center"/>
          </w:tcPr>
          <w:p w14:paraId="4ECD20B9" w14:textId="5BE77797" w:rsidR="00374AFC" w:rsidRPr="001A265A" w:rsidRDefault="00D35731"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Medio</w:t>
            </w:r>
          </w:p>
        </w:tc>
        <w:tc>
          <w:tcPr>
            <w:tcW w:w="680" w:type="pct"/>
            <w:vAlign w:val="center"/>
          </w:tcPr>
          <w:p w14:paraId="2E6D2795" w14:textId="77777777" w:rsidR="00374AFC" w:rsidRPr="001A265A" w:rsidRDefault="00374AFC"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Mes</w:t>
            </w:r>
          </w:p>
        </w:tc>
        <w:tc>
          <w:tcPr>
            <w:tcW w:w="829" w:type="pct"/>
            <w:vAlign w:val="center"/>
          </w:tcPr>
          <w:p w14:paraId="2C9458D2" w14:textId="26B79BFE" w:rsidR="00374AFC" w:rsidRPr="00374AFC" w:rsidRDefault="00374AFC"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74AFC">
              <w:rPr>
                <w:rFonts w:ascii="ITC Avant Garde" w:hAnsi="ITC Avant Garde"/>
                <w:sz w:val="18"/>
              </w:rPr>
              <w:t>3</w:t>
            </w:r>
            <w:r>
              <w:rPr>
                <w:rFonts w:ascii="ITC Avant Garde" w:hAnsi="ITC Avant Garde"/>
                <w:sz w:val="18"/>
              </w:rPr>
              <w:t>,</w:t>
            </w:r>
            <w:r w:rsidRPr="00374AFC">
              <w:rPr>
                <w:rFonts w:ascii="ITC Avant Garde" w:hAnsi="ITC Avant Garde"/>
                <w:sz w:val="18"/>
              </w:rPr>
              <w:t>121.13</w:t>
            </w:r>
          </w:p>
        </w:tc>
        <w:tc>
          <w:tcPr>
            <w:tcW w:w="830" w:type="pct"/>
            <w:vAlign w:val="center"/>
          </w:tcPr>
          <w:p w14:paraId="52203406" w14:textId="012D4C37" w:rsidR="00374AFC" w:rsidRPr="00374AFC" w:rsidRDefault="00374AFC"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rPr>
            </w:pPr>
            <w:r w:rsidRPr="00374AFC">
              <w:rPr>
                <w:rFonts w:ascii="ITC Avant Garde" w:hAnsi="ITC Avant Garde"/>
                <w:sz w:val="18"/>
              </w:rPr>
              <w:t>3</w:t>
            </w:r>
            <w:r>
              <w:rPr>
                <w:rFonts w:ascii="ITC Avant Garde" w:hAnsi="ITC Avant Garde"/>
                <w:sz w:val="18"/>
              </w:rPr>
              <w:t>,</w:t>
            </w:r>
            <w:r w:rsidRPr="00374AFC">
              <w:rPr>
                <w:rFonts w:ascii="ITC Avant Garde" w:hAnsi="ITC Avant Garde"/>
                <w:sz w:val="18"/>
              </w:rPr>
              <w:t>544.75</w:t>
            </w:r>
          </w:p>
        </w:tc>
        <w:tc>
          <w:tcPr>
            <w:tcW w:w="853" w:type="pct"/>
            <w:vAlign w:val="center"/>
          </w:tcPr>
          <w:p w14:paraId="3878ABD0" w14:textId="0196F110" w:rsidR="00374AFC" w:rsidRPr="00E7246E" w:rsidRDefault="00374AFC" w:rsidP="005A6CD3">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rPr>
            </w:pPr>
            <w:r w:rsidRPr="00E7246E">
              <w:rPr>
                <w:rFonts w:ascii="ITC Avant Garde" w:hAnsi="ITC Avant Garde"/>
                <w:sz w:val="18"/>
              </w:rPr>
              <w:t>4</w:t>
            </w:r>
            <w:r w:rsidR="00E7246E">
              <w:rPr>
                <w:rFonts w:ascii="ITC Avant Garde" w:hAnsi="ITC Avant Garde"/>
                <w:sz w:val="18"/>
              </w:rPr>
              <w:t>,</w:t>
            </w:r>
            <w:r w:rsidRPr="00E7246E">
              <w:rPr>
                <w:rFonts w:ascii="ITC Avant Garde" w:hAnsi="ITC Avant Garde"/>
                <w:sz w:val="18"/>
              </w:rPr>
              <w:t>452.03</w:t>
            </w:r>
          </w:p>
        </w:tc>
      </w:tr>
      <w:tr w:rsidR="00374AFC" w:rsidRPr="001A265A" w14:paraId="259316AF" w14:textId="77777777" w:rsidTr="005A6CD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72" w:type="pct"/>
            <w:vAlign w:val="center"/>
          </w:tcPr>
          <w:p w14:paraId="02FB0A6F" w14:textId="77777777" w:rsidR="00374AFC" w:rsidRPr="001A265A" w:rsidRDefault="00374AFC" w:rsidP="00374AFC">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Medio Bajo</w:t>
            </w:r>
          </w:p>
        </w:tc>
        <w:tc>
          <w:tcPr>
            <w:tcW w:w="1036" w:type="pct"/>
            <w:vAlign w:val="center"/>
          </w:tcPr>
          <w:p w14:paraId="73CBECC8" w14:textId="6DF64E85" w:rsidR="00374AFC" w:rsidRPr="001A265A" w:rsidRDefault="00D35731"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Alto</w:t>
            </w:r>
          </w:p>
        </w:tc>
        <w:tc>
          <w:tcPr>
            <w:tcW w:w="680" w:type="pct"/>
            <w:vAlign w:val="center"/>
          </w:tcPr>
          <w:p w14:paraId="7147B828" w14:textId="77777777" w:rsidR="00374AFC" w:rsidRPr="001A265A" w:rsidRDefault="00374AF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Mes</w:t>
            </w:r>
          </w:p>
        </w:tc>
        <w:tc>
          <w:tcPr>
            <w:tcW w:w="829" w:type="pct"/>
            <w:vAlign w:val="center"/>
          </w:tcPr>
          <w:p w14:paraId="6770BEE7" w14:textId="6CE81764" w:rsidR="00374AFC" w:rsidRPr="00374AFC" w:rsidRDefault="00374AF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374AFC">
              <w:rPr>
                <w:rFonts w:ascii="ITC Avant Garde" w:hAnsi="ITC Avant Garde"/>
                <w:sz w:val="18"/>
              </w:rPr>
              <w:t>4</w:t>
            </w:r>
            <w:r>
              <w:rPr>
                <w:rFonts w:ascii="ITC Avant Garde" w:hAnsi="ITC Avant Garde"/>
                <w:sz w:val="18"/>
              </w:rPr>
              <w:t>,</w:t>
            </w:r>
            <w:r w:rsidRPr="00374AFC">
              <w:rPr>
                <w:rFonts w:ascii="ITC Avant Garde" w:hAnsi="ITC Avant Garde"/>
                <w:sz w:val="18"/>
              </w:rPr>
              <w:t>400.38</w:t>
            </w:r>
          </w:p>
        </w:tc>
        <w:tc>
          <w:tcPr>
            <w:tcW w:w="830" w:type="pct"/>
            <w:vAlign w:val="center"/>
          </w:tcPr>
          <w:p w14:paraId="6B58A52B" w14:textId="41D17F72" w:rsidR="00374AFC" w:rsidRPr="00374AFC" w:rsidRDefault="00374AFC" w:rsidP="00374AFC">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rPr>
            </w:pPr>
            <w:r w:rsidRPr="00374AFC">
              <w:rPr>
                <w:rFonts w:ascii="ITC Avant Garde" w:hAnsi="ITC Avant Garde"/>
                <w:sz w:val="18"/>
              </w:rPr>
              <w:t>4</w:t>
            </w:r>
            <w:r>
              <w:rPr>
                <w:rFonts w:ascii="ITC Avant Garde" w:hAnsi="ITC Avant Garde"/>
                <w:sz w:val="18"/>
              </w:rPr>
              <w:t>,</w:t>
            </w:r>
            <w:r w:rsidRPr="00374AFC">
              <w:rPr>
                <w:rFonts w:ascii="ITC Avant Garde" w:hAnsi="ITC Avant Garde"/>
                <w:sz w:val="18"/>
              </w:rPr>
              <w:t>822.34</w:t>
            </w:r>
          </w:p>
        </w:tc>
        <w:tc>
          <w:tcPr>
            <w:tcW w:w="853" w:type="pct"/>
            <w:vAlign w:val="center"/>
          </w:tcPr>
          <w:p w14:paraId="42C54920" w14:textId="16AA9283" w:rsidR="00374AFC" w:rsidRPr="00E7246E" w:rsidRDefault="00374AFC" w:rsidP="005A6CD3">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rPr>
            </w:pPr>
            <w:r w:rsidRPr="00E7246E">
              <w:rPr>
                <w:rFonts w:ascii="ITC Avant Garde" w:hAnsi="ITC Avant Garde"/>
                <w:sz w:val="18"/>
              </w:rPr>
              <w:t>5</w:t>
            </w:r>
            <w:r w:rsidR="00E7246E">
              <w:rPr>
                <w:rFonts w:ascii="ITC Avant Garde" w:hAnsi="ITC Avant Garde"/>
                <w:sz w:val="18"/>
              </w:rPr>
              <w:t>,</w:t>
            </w:r>
            <w:r w:rsidRPr="00E7246E">
              <w:rPr>
                <w:rFonts w:ascii="ITC Avant Garde" w:hAnsi="ITC Avant Garde"/>
                <w:sz w:val="18"/>
              </w:rPr>
              <w:t>630.41</w:t>
            </w:r>
          </w:p>
        </w:tc>
      </w:tr>
      <w:tr w:rsidR="00374AFC" w:rsidRPr="001A265A" w14:paraId="3B730E78" w14:textId="77777777" w:rsidTr="005A6CD3">
        <w:trPr>
          <w:trHeight w:val="321"/>
        </w:trPr>
        <w:tc>
          <w:tcPr>
            <w:cnfStyle w:val="001000000000" w:firstRow="0" w:lastRow="0" w:firstColumn="1" w:lastColumn="0" w:oddVBand="0" w:evenVBand="0" w:oddHBand="0" w:evenHBand="0" w:firstRowFirstColumn="0" w:firstRowLastColumn="0" w:lastRowFirstColumn="0" w:lastRowLastColumn="0"/>
            <w:tcW w:w="772" w:type="pct"/>
            <w:vAlign w:val="center"/>
          </w:tcPr>
          <w:p w14:paraId="16DA0B0C" w14:textId="77777777" w:rsidR="00374AFC" w:rsidRPr="001A265A" w:rsidRDefault="00374AFC" w:rsidP="00374AFC">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Bajo</w:t>
            </w:r>
          </w:p>
        </w:tc>
        <w:tc>
          <w:tcPr>
            <w:tcW w:w="1036" w:type="pct"/>
            <w:vAlign w:val="center"/>
          </w:tcPr>
          <w:p w14:paraId="45E68C2C" w14:textId="427C507D" w:rsidR="00374AFC" w:rsidRPr="001A265A" w:rsidRDefault="00D35731"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Muy alto</w:t>
            </w:r>
          </w:p>
        </w:tc>
        <w:tc>
          <w:tcPr>
            <w:tcW w:w="680" w:type="pct"/>
            <w:vAlign w:val="center"/>
          </w:tcPr>
          <w:p w14:paraId="389C5265" w14:textId="77777777" w:rsidR="00374AFC" w:rsidRPr="001A265A" w:rsidRDefault="00374AFC"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Mes</w:t>
            </w:r>
          </w:p>
        </w:tc>
        <w:tc>
          <w:tcPr>
            <w:tcW w:w="829" w:type="pct"/>
            <w:vAlign w:val="center"/>
          </w:tcPr>
          <w:p w14:paraId="6011C16F" w14:textId="784A185E" w:rsidR="00374AFC" w:rsidRPr="00374AFC" w:rsidRDefault="00374AFC"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74AFC">
              <w:rPr>
                <w:rFonts w:ascii="ITC Avant Garde" w:hAnsi="ITC Avant Garde"/>
                <w:sz w:val="18"/>
              </w:rPr>
              <w:t>647.63</w:t>
            </w:r>
          </w:p>
        </w:tc>
        <w:tc>
          <w:tcPr>
            <w:tcW w:w="830" w:type="pct"/>
            <w:vAlign w:val="center"/>
          </w:tcPr>
          <w:p w14:paraId="2436A9E0" w14:textId="1D130B5D" w:rsidR="00374AFC" w:rsidRPr="00374AFC" w:rsidRDefault="00374AFC" w:rsidP="00374AFC">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rPr>
            </w:pPr>
            <w:r w:rsidRPr="00374AFC">
              <w:rPr>
                <w:rFonts w:ascii="ITC Avant Garde" w:hAnsi="ITC Avant Garde"/>
                <w:sz w:val="18"/>
              </w:rPr>
              <w:t>1</w:t>
            </w:r>
            <w:r>
              <w:rPr>
                <w:rFonts w:ascii="ITC Avant Garde" w:hAnsi="ITC Avant Garde"/>
                <w:sz w:val="18"/>
              </w:rPr>
              <w:t>,</w:t>
            </w:r>
            <w:r w:rsidRPr="00374AFC">
              <w:rPr>
                <w:rFonts w:ascii="ITC Avant Garde" w:hAnsi="ITC Avant Garde"/>
                <w:sz w:val="18"/>
              </w:rPr>
              <w:t>069.59</w:t>
            </w:r>
          </w:p>
        </w:tc>
        <w:tc>
          <w:tcPr>
            <w:tcW w:w="853" w:type="pct"/>
            <w:vAlign w:val="center"/>
          </w:tcPr>
          <w:p w14:paraId="601FB517" w14:textId="28C358B3" w:rsidR="00374AFC" w:rsidRPr="00E7246E" w:rsidRDefault="00374AFC" w:rsidP="005A6CD3">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rPr>
            </w:pPr>
            <w:r w:rsidRPr="00E7246E">
              <w:rPr>
                <w:rFonts w:ascii="ITC Avant Garde" w:hAnsi="ITC Avant Garde"/>
                <w:sz w:val="18"/>
              </w:rPr>
              <w:t>1</w:t>
            </w:r>
            <w:r w:rsidR="00E7246E">
              <w:rPr>
                <w:rFonts w:ascii="ITC Avant Garde" w:hAnsi="ITC Avant Garde"/>
                <w:sz w:val="18"/>
              </w:rPr>
              <w:t>,</w:t>
            </w:r>
            <w:r w:rsidRPr="00E7246E">
              <w:rPr>
                <w:rFonts w:ascii="ITC Avant Garde" w:hAnsi="ITC Avant Garde"/>
                <w:sz w:val="18"/>
              </w:rPr>
              <w:t>531.37</w:t>
            </w:r>
          </w:p>
        </w:tc>
      </w:tr>
    </w:tbl>
    <w:p w14:paraId="09800441" w14:textId="5B47CF8F" w:rsidR="00270C8D" w:rsidRPr="00681CB9" w:rsidRDefault="00270C8D" w:rsidP="00270C8D">
      <w:pPr>
        <w:jc w:val="center"/>
        <w:rPr>
          <w:rFonts w:ascii="ITC Avant Garde" w:hAnsi="ITC Avant Garde"/>
          <w:i/>
          <w:sz w:val="18"/>
        </w:rPr>
      </w:pPr>
      <w:r w:rsidRPr="006379DB">
        <w:rPr>
          <w:rFonts w:ascii="ITC Avant Garde" w:hAnsi="ITC Avant Garde"/>
          <w:b/>
          <w:sz w:val="18"/>
        </w:rPr>
        <w:t xml:space="preserve">Cuadro </w:t>
      </w:r>
      <w:r>
        <w:rPr>
          <w:rFonts w:ascii="ITC Avant Garde" w:hAnsi="ITC Avant Garde"/>
          <w:b/>
          <w:sz w:val="18"/>
        </w:rPr>
        <w:t>12</w:t>
      </w:r>
      <w:r w:rsidRPr="006379DB">
        <w:rPr>
          <w:rFonts w:ascii="ITC Avant Garde" w:hAnsi="ITC Avant Garde"/>
          <w:b/>
          <w:sz w:val="18"/>
        </w:rPr>
        <w:t>:</w:t>
      </w:r>
      <w:r w:rsidRPr="00681CB9">
        <w:rPr>
          <w:rFonts w:ascii="ITC Avant Garde" w:hAnsi="ITC Avant Garde"/>
          <w:i/>
          <w:sz w:val="18"/>
        </w:rPr>
        <w:t xml:space="preserve"> </w:t>
      </w:r>
      <w:r>
        <w:rPr>
          <w:rFonts w:ascii="ITC Avant Garde" w:hAnsi="ITC Avant Garde"/>
          <w:i/>
          <w:sz w:val="18"/>
        </w:rPr>
        <w:t xml:space="preserve">Tarifa por el acceso y uso de </w:t>
      </w:r>
      <w:r w:rsidR="00CF17F6">
        <w:rPr>
          <w:rFonts w:ascii="ITC Avant Garde" w:hAnsi="ITC Avant Garde"/>
          <w:i/>
          <w:sz w:val="18"/>
        </w:rPr>
        <w:t>Espacio Aprobado en Piso</w:t>
      </w:r>
      <w:r>
        <w:rPr>
          <w:rFonts w:ascii="ITC Avant Garde" w:hAnsi="ITC Avant Garde"/>
          <w:i/>
          <w:sz w:val="18"/>
        </w:rPr>
        <w:t>.</w:t>
      </w:r>
    </w:p>
    <w:p w14:paraId="18E2DB47" w14:textId="77777777" w:rsidR="00F26EAC" w:rsidRPr="001A265A" w:rsidRDefault="00F26EAC" w:rsidP="00F26EAC">
      <w:pPr>
        <w:pStyle w:val="ListParagraph1"/>
        <w:spacing w:after="0"/>
        <w:ind w:left="0"/>
        <w:contextualSpacing w:val="0"/>
        <w:jc w:val="both"/>
        <w:rPr>
          <w:rFonts w:ascii="ITC Avant Garde" w:hAnsi="ITC Avant Garde" w:cs="Arial"/>
          <w:bCs/>
          <w:lang w:val="es-ES_tradnl"/>
        </w:rPr>
      </w:pPr>
      <w:r w:rsidRPr="000D4FC2">
        <w:rPr>
          <w:rFonts w:ascii="ITC Avant Garde" w:hAnsi="ITC Avant Garde" w:cs="Arial"/>
          <w:bCs/>
          <w:lang w:val="es-ES_tradnl"/>
        </w:rPr>
        <w:t xml:space="preserve">Por otra parte, en caso de que se requiera espacio adicional al considerado en la contraprestación anteriormente descrita, tendrá aplicación el siguiente esquema </w:t>
      </w:r>
      <w:r w:rsidRPr="000D4FC2">
        <w:rPr>
          <w:rFonts w:ascii="ITC Avant Garde" w:hAnsi="ITC Avant Garde" w:cs="Arial"/>
          <w:bCs/>
          <w:lang w:val="es-ES_tradnl"/>
        </w:rPr>
        <w:lastRenderedPageBreak/>
        <w:t xml:space="preserve">de cobro, </w:t>
      </w:r>
      <w:r w:rsidRPr="000D4FC2">
        <w:rPr>
          <w:rFonts w:ascii="ITC Avant Garde" w:hAnsi="ITC Avant Garde" w:cs="Arial"/>
          <w:bCs/>
          <w:lang w:val="uz-Cyrl-UZ"/>
        </w:rPr>
        <w:t>la cual depende enteramente del gasto mensual total por metro cuadrado del área residual calculada</w:t>
      </w:r>
      <w:r w:rsidRPr="001A265A">
        <w:rPr>
          <w:rFonts w:ascii="ITC Avant Garde" w:hAnsi="ITC Avant Garde" w:cs="Arial"/>
          <w:bCs/>
          <w:vertAlign w:val="superscript"/>
          <w:lang w:val="uz-Cyrl-UZ"/>
        </w:rPr>
        <w:footnoteReference w:id="25"/>
      </w:r>
      <w:r w:rsidRPr="001A265A">
        <w:rPr>
          <w:rFonts w:ascii="ITC Avant Garde" w:hAnsi="ITC Avant Garde" w:cs="Arial"/>
          <w:bCs/>
          <w:lang w:val="es-ES_tradnl"/>
        </w:rPr>
        <w:t>:</w:t>
      </w:r>
    </w:p>
    <w:p w14:paraId="5202E106" w14:textId="77777777" w:rsidR="00F26EAC" w:rsidRPr="001A265A" w:rsidRDefault="00F26EAC" w:rsidP="00F26EAC">
      <w:pPr>
        <w:pStyle w:val="ListParagraph1"/>
        <w:spacing w:after="0"/>
        <w:ind w:left="0"/>
        <w:contextualSpacing w:val="0"/>
        <w:jc w:val="both"/>
        <w:rPr>
          <w:rFonts w:ascii="ITC Avant Garde" w:hAnsi="ITC Avant Garde" w:cs="Arial"/>
          <w:bCs/>
          <w:lang w:val="es-ES_tradnl"/>
        </w:rPr>
      </w:pPr>
    </w:p>
    <w:tbl>
      <w:tblPr>
        <w:tblStyle w:val="Tablaconcuadrcula4-nfasis5"/>
        <w:tblW w:w="5000" w:type="pct"/>
        <w:tblLook w:val="04A0" w:firstRow="1" w:lastRow="0" w:firstColumn="1" w:lastColumn="0" w:noHBand="0" w:noVBand="1"/>
      </w:tblPr>
      <w:tblGrid>
        <w:gridCol w:w="1769"/>
        <w:gridCol w:w="1910"/>
        <w:gridCol w:w="1630"/>
        <w:gridCol w:w="1174"/>
        <w:gridCol w:w="1174"/>
        <w:gridCol w:w="1171"/>
      </w:tblGrid>
      <w:tr w:rsidR="00243F06" w:rsidRPr="001A265A" w14:paraId="2715836F" w14:textId="77777777" w:rsidTr="00243F06">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007" w:type="pct"/>
            <w:gridSpan w:val="3"/>
            <w:tcBorders>
              <w:top w:val="single" w:sz="4" w:space="0" w:color="FFFFFF" w:themeColor="background1"/>
              <w:left w:val="single" w:sz="4" w:space="0" w:color="FFFFFF" w:themeColor="background1"/>
            </w:tcBorders>
            <w:shd w:val="clear" w:color="auto" w:fill="auto"/>
          </w:tcPr>
          <w:p w14:paraId="5422B4C1" w14:textId="77777777" w:rsidR="00243F06" w:rsidRPr="001A265A" w:rsidRDefault="00243F06" w:rsidP="00C86745">
            <w:pPr>
              <w:pStyle w:val="ListParagraph1"/>
              <w:spacing w:after="0"/>
              <w:ind w:left="0"/>
              <w:contextualSpacing w:val="0"/>
              <w:jc w:val="center"/>
              <w:rPr>
                <w:rFonts w:ascii="ITC Avant Garde" w:hAnsi="ITC Avant Garde" w:cs="Arial"/>
                <w:sz w:val="18"/>
              </w:rPr>
            </w:pPr>
          </w:p>
        </w:tc>
        <w:tc>
          <w:tcPr>
            <w:tcW w:w="1993" w:type="pct"/>
            <w:gridSpan w:val="3"/>
            <w:vAlign w:val="center"/>
          </w:tcPr>
          <w:p w14:paraId="527D2C33" w14:textId="58507612" w:rsidR="00243F06" w:rsidRPr="001A265A" w:rsidRDefault="00243F06" w:rsidP="00374AFC">
            <w:pPr>
              <w:pStyle w:val="ListParagraph1"/>
              <w:spacing w:after="0"/>
              <w:ind w:left="0"/>
              <w:contextualSpacing w:val="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 xml:space="preserve">Tipo de </w:t>
            </w:r>
            <w:r>
              <w:rPr>
                <w:rFonts w:ascii="ITC Avant Garde" w:hAnsi="ITC Avant Garde" w:cs="Arial"/>
                <w:sz w:val="18"/>
                <w:szCs w:val="20"/>
              </w:rPr>
              <w:t>Espacio Aprobado en Piso</w:t>
            </w:r>
          </w:p>
        </w:tc>
      </w:tr>
      <w:tr w:rsidR="00F26EAC" w:rsidRPr="001A265A" w14:paraId="7420A38C" w14:textId="77777777" w:rsidTr="00374AFC">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002" w:type="pct"/>
            <w:vAlign w:val="center"/>
          </w:tcPr>
          <w:p w14:paraId="7F600A2B" w14:textId="77777777" w:rsidR="00F26EAC" w:rsidRPr="001A265A" w:rsidRDefault="00F26EAC" w:rsidP="00374AFC">
            <w:pPr>
              <w:pStyle w:val="ListParagraph1"/>
              <w:spacing w:after="0"/>
              <w:ind w:left="0"/>
              <w:contextualSpacing w:val="0"/>
              <w:jc w:val="center"/>
              <w:rPr>
                <w:rFonts w:ascii="ITC Avant Garde" w:hAnsi="ITC Avant Garde" w:cs="Arial"/>
                <w:sz w:val="18"/>
                <w:szCs w:val="20"/>
              </w:rPr>
            </w:pPr>
            <w:r w:rsidRPr="001A265A">
              <w:rPr>
                <w:rFonts w:ascii="ITC Avant Garde" w:hAnsi="ITC Avant Garde" w:cs="Arial"/>
                <w:sz w:val="18"/>
                <w:szCs w:val="20"/>
              </w:rPr>
              <w:t>Clasificación</w:t>
            </w:r>
          </w:p>
        </w:tc>
        <w:tc>
          <w:tcPr>
            <w:tcW w:w="1082" w:type="pct"/>
            <w:vAlign w:val="center"/>
          </w:tcPr>
          <w:p w14:paraId="22731373" w14:textId="29CFA66D" w:rsidR="00F26EAC" w:rsidRPr="001A265A" w:rsidRDefault="00D35731" w:rsidP="00374AFC">
            <w:pPr>
              <w:pStyle w:val="ListParagraph1"/>
              <w:spacing w:after="0"/>
              <w:ind w:left="0"/>
              <w:contextualSpacing w:val="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Pr>
                <w:rFonts w:ascii="ITC Avant Garde" w:hAnsi="ITC Avant Garde" w:cs="Arial"/>
                <w:b/>
                <w:sz w:val="18"/>
                <w:szCs w:val="20"/>
              </w:rPr>
              <w:t>Índice de Marginación</w:t>
            </w:r>
          </w:p>
        </w:tc>
        <w:tc>
          <w:tcPr>
            <w:tcW w:w="923" w:type="pct"/>
            <w:vAlign w:val="center"/>
          </w:tcPr>
          <w:p w14:paraId="33BDF81F" w14:textId="77777777" w:rsidR="00F26EAC" w:rsidRPr="001A265A" w:rsidRDefault="00F26EAC" w:rsidP="00374AFC">
            <w:pPr>
              <w:pStyle w:val="ListParagraph1"/>
              <w:spacing w:after="0"/>
              <w:ind w:left="0"/>
              <w:contextualSpacing w:val="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sidRPr="001A265A">
              <w:rPr>
                <w:rFonts w:ascii="ITC Avant Garde" w:hAnsi="ITC Avant Garde" w:cs="Arial"/>
                <w:b/>
                <w:sz w:val="18"/>
                <w:szCs w:val="20"/>
              </w:rPr>
              <w:t>Unidad</w:t>
            </w:r>
          </w:p>
        </w:tc>
        <w:tc>
          <w:tcPr>
            <w:tcW w:w="665" w:type="pct"/>
            <w:vAlign w:val="center"/>
          </w:tcPr>
          <w:p w14:paraId="19E492D5" w14:textId="77777777" w:rsidR="00F26EAC" w:rsidRPr="001A265A" w:rsidRDefault="00F26EAC" w:rsidP="00374AFC">
            <w:pPr>
              <w:pStyle w:val="ListParagraph1"/>
              <w:spacing w:after="0"/>
              <w:ind w:left="0"/>
              <w:contextualSpacing w:val="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sidRPr="001A265A">
              <w:rPr>
                <w:rFonts w:ascii="ITC Avant Garde" w:hAnsi="ITC Avant Garde" w:cs="Arial"/>
                <w:b/>
                <w:sz w:val="18"/>
                <w:szCs w:val="20"/>
              </w:rPr>
              <w:t>En Predio</w:t>
            </w:r>
          </w:p>
        </w:tc>
        <w:tc>
          <w:tcPr>
            <w:tcW w:w="665" w:type="pct"/>
            <w:vAlign w:val="center"/>
          </w:tcPr>
          <w:p w14:paraId="70E1B97C" w14:textId="77777777" w:rsidR="00F26EAC" w:rsidRPr="001A265A" w:rsidRDefault="00F26EAC" w:rsidP="00374AFC">
            <w:pPr>
              <w:pStyle w:val="ListParagraph1"/>
              <w:spacing w:after="0"/>
              <w:ind w:left="0"/>
              <w:contextualSpacing w:val="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sidRPr="001A265A">
              <w:rPr>
                <w:rFonts w:ascii="ITC Avant Garde" w:hAnsi="ITC Avant Garde" w:cs="Arial"/>
                <w:b/>
                <w:sz w:val="18"/>
                <w:szCs w:val="20"/>
              </w:rPr>
              <w:t>En Azotea</w:t>
            </w:r>
          </w:p>
        </w:tc>
        <w:tc>
          <w:tcPr>
            <w:tcW w:w="663" w:type="pct"/>
            <w:vAlign w:val="center"/>
          </w:tcPr>
          <w:p w14:paraId="1E95CE86" w14:textId="77777777" w:rsidR="00F26EAC" w:rsidRPr="001A265A" w:rsidRDefault="00F26EAC" w:rsidP="00374AFC">
            <w:pPr>
              <w:pStyle w:val="ListParagraph1"/>
              <w:spacing w:after="0"/>
              <w:ind w:left="0"/>
              <w:contextualSpacing w:val="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sz w:val="18"/>
                <w:szCs w:val="20"/>
              </w:rPr>
            </w:pPr>
            <w:r w:rsidRPr="001A265A">
              <w:rPr>
                <w:rFonts w:ascii="ITC Avant Garde" w:hAnsi="ITC Avant Garde" w:cs="Arial"/>
                <w:b/>
                <w:sz w:val="18"/>
                <w:szCs w:val="20"/>
              </w:rPr>
              <w:t>En Caseta</w:t>
            </w:r>
          </w:p>
        </w:tc>
      </w:tr>
      <w:tr w:rsidR="003B2F26" w:rsidRPr="001A265A" w14:paraId="1AA0A6F7" w14:textId="77777777" w:rsidTr="003B2F26">
        <w:trPr>
          <w:trHeight w:val="321"/>
        </w:trPr>
        <w:tc>
          <w:tcPr>
            <w:cnfStyle w:val="001000000000" w:firstRow="0" w:lastRow="0" w:firstColumn="1" w:lastColumn="0" w:oddVBand="0" w:evenVBand="0" w:oddHBand="0" w:evenHBand="0" w:firstRowFirstColumn="0" w:firstRowLastColumn="0" w:lastRowFirstColumn="0" w:lastRowLastColumn="0"/>
            <w:tcW w:w="1002" w:type="pct"/>
            <w:vAlign w:val="center"/>
          </w:tcPr>
          <w:p w14:paraId="232F2CE5" w14:textId="77777777" w:rsidR="003B2F26" w:rsidRPr="001A265A" w:rsidRDefault="003B2F26" w:rsidP="003B2F26">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Alto</w:t>
            </w:r>
          </w:p>
        </w:tc>
        <w:tc>
          <w:tcPr>
            <w:tcW w:w="1082" w:type="pct"/>
            <w:vAlign w:val="center"/>
          </w:tcPr>
          <w:p w14:paraId="63DA0A8E" w14:textId="3D758163" w:rsidR="003B2F26" w:rsidRPr="001A265A" w:rsidRDefault="00D35731"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Muy bajo</w:t>
            </w:r>
          </w:p>
        </w:tc>
        <w:tc>
          <w:tcPr>
            <w:tcW w:w="923" w:type="pct"/>
            <w:vAlign w:val="center"/>
          </w:tcPr>
          <w:p w14:paraId="3ED3E0B9" w14:textId="77777777"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w:t>
            </w:r>
            <w:r w:rsidRPr="001A265A">
              <w:rPr>
                <w:rFonts w:ascii="ITC Avant Garde" w:hAnsi="ITC Avant Garde" w:cs="Arial"/>
                <w:sz w:val="18"/>
                <w:szCs w:val="20"/>
                <w:vertAlign w:val="superscript"/>
              </w:rPr>
              <w:t>2</w:t>
            </w:r>
            <w:r w:rsidRPr="001A265A">
              <w:rPr>
                <w:rFonts w:ascii="ITC Avant Garde" w:hAnsi="ITC Avant Garde" w:cs="Arial"/>
                <w:sz w:val="18"/>
                <w:szCs w:val="20"/>
              </w:rPr>
              <w:t xml:space="preserve"> / Mes</w:t>
            </w:r>
          </w:p>
        </w:tc>
        <w:tc>
          <w:tcPr>
            <w:tcW w:w="665" w:type="pct"/>
            <w:vAlign w:val="center"/>
          </w:tcPr>
          <w:p w14:paraId="6160EBB4" w14:textId="160F20C3"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181.79</w:t>
            </w:r>
          </w:p>
        </w:tc>
        <w:tc>
          <w:tcPr>
            <w:tcW w:w="665" w:type="pct"/>
            <w:vAlign w:val="center"/>
          </w:tcPr>
          <w:p w14:paraId="5E3F31B4" w14:textId="5D68A258"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239.91</w:t>
            </w:r>
          </w:p>
        </w:tc>
        <w:tc>
          <w:tcPr>
            <w:tcW w:w="663" w:type="pct"/>
            <w:vAlign w:val="center"/>
          </w:tcPr>
          <w:p w14:paraId="3962B403" w14:textId="1228EB14"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342.99</w:t>
            </w:r>
          </w:p>
        </w:tc>
      </w:tr>
      <w:tr w:rsidR="003B2F26" w:rsidRPr="001A265A" w14:paraId="35962C07" w14:textId="77777777" w:rsidTr="003B2F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002" w:type="pct"/>
            <w:vAlign w:val="center"/>
          </w:tcPr>
          <w:p w14:paraId="20321D56" w14:textId="77777777" w:rsidR="003B2F26" w:rsidRPr="001A265A" w:rsidRDefault="003B2F26" w:rsidP="003B2F26">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Medio Alto</w:t>
            </w:r>
          </w:p>
        </w:tc>
        <w:tc>
          <w:tcPr>
            <w:tcW w:w="1082" w:type="pct"/>
            <w:vAlign w:val="center"/>
          </w:tcPr>
          <w:p w14:paraId="3D9C2A49" w14:textId="4D77B1C1" w:rsidR="003B2F26" w:rsidRPr="001A265A" w:rsidRDefault="00D35731"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Bajo</w:t>
            </w:r>
          </w:p>
        </w:tc>
        <w:tc>
          <w:tcPr>
            <w:tcW w:w="923" w:type="pct"/>
            <w:vAlign w:val="center"/>
          </w:tcPr>
          <w:p w14:paraId="2B0EF548" w14:textId="77777777" w:rsidR="003B2F26" w:rsidRPr="001A265A" w:rsidRDefault="003B2F26"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w:t>
            </w:r>
            <w:r w:rsidRPr="001A265A">
              <w:rPr>
                <w:rFonts w:ascii="ITC Avant Garde" w:hAnsi="ITC Avant Garde" w:cs="Arial"/>
                <w:sz w:val="18"/>
                <w:szCs w:val="20"/>
                <w:vertAlign w:val="superscript"/>
              </w:rPr>
              <w:t>2</w:t>
            </w:r>
            <w:r w:rsidRPr="001A265A">
              <w:rPr>
                <w:rFonts w:ascii="ITC Avant Garde" w:hAnsi="ITC Avant Garde" w:cs="Arial"/>
                <w:sz w:val="18"/>
                <w:szCs w:val="20"/>
              </w:rPr>
              <w:t xml:space="preserve"> / Mes</w:t>
            </w:r>
          </w:p>
        </w:tc>
        <w:tc>
          <w:tcPr>
            <w:tcW w:w="665" w:type="pct"/>
            <w:vAlign w:val="center"/>
          </w:tcPr>
          <w:p w14:paraId="77E49EEC" w14:textId="46CF2154" w:rsidR="003B2F26" w:rsidRPr="001A265A" w:rsidRDefault="003B2F26"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101.14</w:t>
            </w:r>
          </w:p>
        </w:tc>
        <w:tc>
          <w:tcPr>
            <w:tcW w:w="665" w:type="pct"/>
            <w:vAlign w:val="center"/>
          </w:tcPr>
          <w:p w14:paraId="18B1C6C9" w14:textId="133E5CCC" w:rsidR="003B2F26" w:rsidRPr="001A265A" w:rsidRDefault="003B2F26"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158.91</w:t>
            </w:r>
          </w:p>
        </w:tc>
        <w:tc>
          <w:tcPr>
            <w:tcW w:w="663" w:type="pct"/>
            <w:vAlign w:val="center"/>
          </w:tcPr>
          <w:p w14:paraId="7723DB04" w14:textId="5A7ACA4F" w:rsidR="003B2F26" w:rsidRPr="001A265A" w:rsidRDefault="003B2F26"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245.60</w:t>
            </w:r>
          </w:p>
        </w:tc>
      </w:tr>
      <w:tr w:rsidR="003B2F26" w:rsidRPr="001A265A" w14:paraId="038EC0BB" w14:textId="77777777" w:rsidTr="003B2F26">
        <w:trPr>
          <w:trHeight w:val="321"/>
        </w:trPr>
        <w:tc>
          <w:tcPr>
            <w:cnfStyle w:val="001000000000" w:firstRow="0" w:lastRow="0" w:firstColumn="1" w:lastColumn="0" w:oddVBand="0" w:evenVBand="0" w:oddHBand="0" w:evenHBand="0" w:firstRowFirstColumn="0" w:firstRowLastColumn="0" w:lastRowFirstColumn="0" w:lastRowLastColumn="0"/>
            <w:tcW w:w="1002" w:type="pct"/>
            <w:vAlign w:val="center"/>
          </w:tcPr>
          <w:p w14:paraId="5D23E0E2" w14:textId="77777777" w:rsidR="003B2F26" w:rsidRPr="001A265A" w:rsidRDefault="003B2F26" w:rsidP="003B2F26">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Medio</w:t>
            </w:r>
          </w:p>
        </w:tc>
        <w:tc>
          <w:tcPr>
            <w:tcW w:w="1082" w:type="pct"/>
            <w:vAlign w:val="center"/>
          </w:tcPr>
          <w:p w14:paraId="44771DDC" w14:textId="6BD5B139" w:rsidR="003B2F26" w:rsidRPr="001A265A" w:rsidRDefault="00D35731"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Medio</w:t>
            </w:r>
          </w:p>
        </w:tc>
        <w:tc>
          <w:tcPr>
            <w:tcW w:w="923" w:type="pct"/>
            <w:vAlign w:val="center"/>
          </w:tcPr>
          <w:p w14:paraId="28C16002" w14:textId="77777777"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w:t>
            </w:r>
            <w:r w:rsidRPr="001A265A">
              <w:rPr>
                <w:rFonts w:ascii="ITC Avant Garde" w:hAnsi="ITC Avant Garde" w:cs="Arial"/>
                <w:sz w:val="18"/>
                <w:szCs w:val="20"/>
                <w:vertAlign w:val="superscript"/>
              </w:rPr>
              <w:t>2</w:t>
            </w:r>
            <w:r w:rsidRPr="001A265A">
              <w:rPr>
                <w:rFonts w:ascii="ITC Avant Garde" w:hAnsi="ITC Avant Garde" w:cs="Arial"/>
                <w:sz w:val="18"/>
                <w:szCs w:val="20"/>
              </w:rPr>
              <w:t xml:space="preserve"> / Mes</w:t>
            </w:r>
          </w:p>
        </w:tc>
        <w:tc>
          <w:tcPr>
            <w:tcW w:w="665" w:type="pct"/>
            <w:vAlign w:val="center"/>
          </w:tcPr>
          <w:p w14:paraId="1D8CF376" w14:textId="33B02E7D"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34.93</w:t>
            </w:r>
          </w:p>
        </w:tc>
        <w:tc>
          <w:tcPr>
            <w:tcW w:w="665" w:type="pct"/>
            <w:vAlign w:val="center"/>
          </w:tcPr>
          <w:p w14:paraId="4364BB53" w14:textId="08F43992"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93.28</w:t>
            </w:r>
          </w:p>
        </w:tc>
        <w:tc>
          <w:tcPr>
            <w:tcW w:w="663" w:type="pct"/>
            <w:vAlign w:val="center"/>
          </w:tcPr>
          <w:p w14:paraId="0A73479B" w14:textId="1C514672"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128.67</w:t>
            </w:r>
          </w:p>
        </w:tc>
      </w:tr>
      <w:tr w:rsidR="003B2F26" w:rsidRPr="001A265A" w14:paraId="4E88010A" w14:textId="77777777" w:rsidTr="003B2F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002" w:type="pct"/>
            <w:vAlign w:val="center"/>
          </w:tcPr>
          <w:p w14:paraId="16847AFC" w14:textId="77777777" w:rsidR="003B2F26" w:rsidRPr="001A265A" w:rsidRDefault="003B2F26" w:rsidP="003B2F26">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Medio Bajo</w:t>
            </w:r>
          </w:p>
        </w:tc>
        <w:tc>
          <w:tcPr>
            <w:tcW w:w="1082" w:type="pct"/>
            <w:vAlign w:val="center"/>
          </w:tcPr>
          <w:p w14:paraId="736EE019" w14:textId="225B52BD" w:rsidR="003B2F26" w:rsidRPr="001A265A" w:rsidRDefault="00D35731"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Alto</w:t>
            </w:r>
          </w:p>
        </w:tc>
        <w:tc>
          <w:tcPr>
            <w:tcW w:w="923" w:type="pct"/>
            <w:vAlign w:val="center"/>
          </w:tcPr>
          <w:p w14:paraId="7F981504" w14:textId="77777777" w:rsidR="003B2F26" w:rsidRPr="001A265A" w:rsidRDefault="003B2F26"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w:t>
            </w:r>
            <w:r w:rsidRPr="001A265A">
              <w:rPr>
                <w:rFonts w:ascii="ITC Avant Garde" w:hAnsi="ITC Avant Garde" w:cs="Arial"/>
                <w:sz w:val="18"/>
                <w:szCs w:val="20"/>
                <w:vertAlign w:val="superscript"/>
              </w:rPr>
              <w:t>2</w:t>
            </w:r>
            <w:r w:rsidRPr="001A265A">
              <w:rPr>
                <w:rFonts w:ascii="ITC Avant Garde" w:hAnsi="ITC Avant Garde" w:cs="Arial"/>
                <w:sz w:val="18"/>
                <w:szCs w:val="20"/>
              </w:rPr>
              <w:t xml:space="preserve"> / Mes</w:t>
            </w:r>
          </w:p>
        </w:tc>
        <w:tc>
          <w:tcPr>
            <w:tcW w:w="665" w:type="pct"/>
            <w:vAlign w:val="center"/>
          </w:tcPr>
          <w:p w14:paraId="086B3710" w14:textId="750843ED" w:rsidR="003B2F26" w:rsidRPr="001A265A" w:rsidRDefault="003B2F26"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46.11</w:t>
            </w:r>
          </w:p>
        </w:tc>
        <w:tc>
          <w:tcPr>
            <w:tcW w:w="665" w:type="pct"/>
            <w:vAlign w:val="center"/>
          </w:tcPr>
          <w:p w14:paraId="142C16FD" w14:textId="5922C3FF" w:rsidR="003B2F26" w:rsidRPr="001A265A" w:rsidRDefault="003B2F26"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104.23</w:t>
            </w:r>
          </w:p>
        </w:tc>
        <w:tc>
          <w:tcPr>
            <w:tcW w:w="663" w:type="pct"/>
            <w:vAlign w:val="center"/>
          </w:tcPr>
          <w:p w14:paraId="7A7AA7E5" w14:textId="25C5F2DE" w:rsidR="003B2F26" w:rsidRPr="001A265A" w:rsidRDefault="003B2F26" w:rsidP="003B2F26">
            <w:pPr>
              <w:pStyle w:val="ListParagraph1"/>
              <w:spacing w:after="0"/>
              <w:ind w:left="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125.96</w:t>
            </w:r>
          </w:p>
        </w:tc>
      </w:tr>
      <w:tr w:rsidR="003B2F26" w:rsidRPr="001A265A" w14:paraId="4A5BAE14" w14:textId="77777777" w:rsidTr="003B2F26">
        <w:trPr>
          <w:trHeight w:val="321"/>
        </w:trPr>
        <w:tc>
          <w:tcPr>
            <w:cnfStyle w:val="001000000000" w:firstRow="0" w:lastRow="0" w:firstColumn="1" w:lastColumn="0" w:oddVBand="0" w:evenVBand="0" w:oddHBand="0" w:evenHBand="0" w:firstRowFirstColumn="0" w:firstRowLastColumn="0" w:lastRowFirstColumn="0" w:lastRowLastColumn="0"/>
            <w:tcW w:w="1002" w:type="pct"/>
            <w:vAlign w:val="center"/>
          </w:tcPr>
          <w:p w14:paraId="529CB86B" w14:textId="77777777" w:rsidR="003B2F26" w:rsidRPr="001A265A" w:rsidRDefault="003B2F26" w:rsidP="003B2F26">
            <w:pPr>
              <w:pStyle w:val="ListParagraph1"/>
              <w:spacing w:after="0"/>
              <w:ind w:left="0"/>
              <w:jc w:val="center"/>
              <w:rPr>
                <w:rFonts w:ascii="ITC Avant Garde" w:hAnsi="ITC Avant Garde" w:cs="Arial"/>
                <w:sz w:val="18"/>
                <w:szCs w:val="20"/>
              </w:rPr>
            </w:pPr>
            <w:r w:rsidRPr="001A265A">
              <w:rPr>
                <w:rFonts w:ascii="ITC Avant Garde" w:hAnsi="ITC Avant Garde" w:cs="Arial"/>
                <w:sz w:val="18"/>
                <w:szCs w:val="20"/>
              </w:rPr>
              <w:t>Bajo</w:t>
            </w:r>
          </w:p>
        </w:tc>
        <w:tc>
          <w:tcPr>
            <w:tcW w:w="1082" w:type="pct"/>
            <w:vAlign w:val="center"/>
          </w:tcPr>
          <w:p w14:paraId="615BCE44" w14:textId="24DB0C37" w:rsidR="003B2F26" w:rsidRPr="001A265A" w:rsidRDefault="00D35731"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Pr>
                <w:rFonts w:ascii="ITC Avant Garde" w:hAnsi="ITC Avant Garde" w:cs="Arial"/>
                <w:sz w:val="18"/>
                <w:szCs w:val="20"/>
              </w:rPr>
              <w:t>Muy alto</w:t>
            </w:r>
          </w:p>
        </w:tc>
        <w:tc>
          <w:tcPr>
            <w:tcW w:w="923" w:type="pct"/>
            <w:vAlign w:val="center"/>
          </w:tcPr>
          <w:p w14:paraId="1A04E80A" w14:textId="77777777"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1A265A">
              <w:rPr>
                <w:rFonts w:ascii="ITC Avant Garde" w:hAnsi="ITC Avant Garde" w:cs="Arial"/>
                <w:sz w:val="18"/>
                <w:szCs w:val="20"/>
              </w:rPr>
              <w:t>MXN / m</w:t>
            </w:r>
            <w:r w:rsidRPr="001A265A">
              <w:rPr>
                <w:rFonts w:ascii="ITC Avant Garde" w:hAnsi="ITC Avant Garde" w:cs="Arial"/>
                <w:sz w:val="18"/>
                <w:szCs w:val="20"/>
                <w:vertAlign w:val="superscript"/>
              </w:rPr>
              <w:t>2</w:t>
            </w:r>
            <w:r w:rsidRPr="001A265A">
              <w:rPr>
                <w:rFonts w:ascii="ITC Avant Garde" w:hAnsi="ITC Avant Garde" w:cs="Arial"/>
                <w:sz w:val="18"/>
                <w:szCs w:val="20"/>
              </w:rPr>
              <w:t xml:space="preserve"> / Mes</w:t>
            </w:r>
          </w:p>
        </w:tc>
        <w:tc>
          <w:tcPr>
            <w:tcW w:w="665" w:type="pct"/>
            <w:vAlign w:val="center"/>
          </w:tcPr>
          <w:p w14:paraId="4946793C" w14:textId="3602F156"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6.37</w:t>
            </w:r>
          </w:p>
        </w:tc>
        <w:tc>
          <w:tcPr>
            <w:tcW w:w="665" w:type="pct"/>
            <w:vAlign w:val="center"/>
          </w:tcPr>
          <w:p w14:paraId="2FA5D614" w14:textId="29F13D0C"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64.50</w:t>
            </w:r>
          </w:p>
        </w:tc>
        <w:tc>
          <w:tcPr>
            <w:tcW w:w="663" w:type="pct"/>
            <w:vAlign w:val="center"/>
          </w:tcPr>
          <w:p w14:paraId="08128A98" w14:textId="26BFAFCE" w:rsidR="003B2F26" w:rsidRPr="001A265A" w:rsidRDefault="003B2F26" w:rsidP="003B2F26">
            <w:pPr>
              <w:pStyle w:val="ListParagraph1"/>
              <w:spacing w:after="0"/>
              <w:ind w:left="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8"/>
                <w:szCs w:val="20"/>
              </w:rPr>
            </w:pPr>
            <w:r w:rsidRPr="003B2F26">
              <w:rPr>
                <w:rFonts w:ascii="ITC Avant Garde" w:hAnsi="ITC Avant Garde"/>
                <w:sz w:val="18"/>
                <w:szCs w:val="18"/>
              </w:rPr>
              <w:t>38.52</w:t>
            </w:r>
          </w:p>
        </w:tc>
      </w:tr>
    </w:tbl>
    <w:p w14:paraId="63652DAC" w14:textId="7B981759" w:rsidR="00270C8D" w:rsidRPr="00681CB9" w:rsidRDefault="00270C8D" w:rsidP="00270C8D">
      <w:pPr>
        <w:jc w:val="center"/>
        <w:rPr>
          <w:rFonts w:ascii="ITC Avant Garde" w:hAnsi="ITC Avant Garde"/>
          <w:i/>
          <w:sz w:val="18"/>
        </w:rPr>
      </w:pPr>
      <w:r w:rsidRPr="006379DB">
        <w:rPr>
          <w:rFonts w:ascii="ITC Avant Garde" w:hAnsi="ITC Avant Garde"/>
          <w:b/>
          <w:sz w:val="18"/>
        </w:rPr>
        <w:t xml:space="preserve">Cuadro </w:t>
      </w:r>
      <w:r>
        <w:rPr>
          <w:rFonts w:ascii="ITC Avant Garde" w:hAnsi="ITC Avant Garde"/>
          <w:b/>
          <w:sz w:val="18"/>
        </w:rPr>
        <w:t>13</w:t>
      </w:r>
      <w:r w:rsidRPr="006379DB">
        <w:rPr>
          <w:rFonts w:ascii="ITC Avant Garde" w:hAnsi="ITC Avant Garde"/>
          <w:b/>
          <w:sz w:val="18"/>
        </w:rPr>
        <w:t>:</w:t>
      </w:r>
      <w:r w:rsidRPr="00681CB9">
        <w:rPr>
          <w:rFonts w:ascii="ITC Avant Garde" w:hAnsi="ITC Avant Garde"/>
          <w:i/>
          <w:sz w:val="18"/>
        </w:rPr>
        <w:t xml:space="preserve"> </w:t>
      </w:r>
      <w:r>
        <w:rPr>
          <w:rFonts w:ascii="ITC Avant Garde" w:hAnsi="ITC Avant Garde"/>
          <w:i/>
          <w:sz w:val="18"/>
        </w:rPr>
        <w:t>Tarifa por el acceso y uso de Espacio Adicional en Piso.</w:t>
      </w:r>
    </w:p>
    <w:p w14:paraId="3A320C55" w14:textId="77777777" w:rsidR="00F26EAC" w:rsidRPr="00270C8D" w:rsidRDefault="00F26EAC" w:rsidP="00F26EAC">
      <w:pPr>
        <w:pStyle w:val="ListParagraph1"/>
        <w:spacing w:after="0"/>
        <w:ind w:left="0"/>
        <w:contextualSpacing w:val="0"/>
        <w:jc w:val="both"/>
        <w:rPr>
          <w:rFonts w:ascii="ITC Avant Garde" w:hAnsi="ITC Avant Garde" w:cs="Arial"/>
          <w:bCs/>
        </w:rPr>
      </w:pPr>
    </w:p>
    <w:p w14:paraId="7457EA3C" w14:textId="77777777" w:rsidR="00F26EAC" w:rsidRPr="00F26EAC" w:rsidRDefault="00F26EAC" w:rsidP="00F26EAC">
      <w:pPr>
        <w:pStyle w:val="ListParagraph1"/>
        <w:spacing w:after="0"/>
        <w:ind w:left="0"/>
        <w:contextualSpacing w:val="0"/>
        <w:jc w:val="both"/>
        <w:rPr>
          <w:rFonts w:ascii="ITC Avant Garde" w:hAnsi="ITC Avant Garde" w:cs="Arial"/>
          <w:bCs/>
          <w:lang w:val="es-ES_tradnl"/>
        </w:rPr>
      </w:pPr>
    </w:p>
    <w:p w14:paraId="37E36C4F" w14:textId="77777777" w:rsidR="003E4773" w:rsidRPr="00F26EAC" w:rsidRDefault="003E4773" w:rsidP="009D7578">
      <w:pPr>
        <w:rPr>
          <w:rFonts w:ascii="ITC Avant Garde" w:hAnsi="ITC Avant Garde"/>
          <w:sz w:val="18"/>
          <w:lang w:val="es-ES_tradnl"/>
        </w:rPr>
      </w:pPr>
    </w:p>
    <w:sectPr w:rsidR="003E4773" w:rsidRPr="00F26EAC" w:rsidSect="00FE0D86">
      <w:footerReference w:type="default" r:id="rId13"/>
      <w:pgSz w:w="12240" w:h="15840"/>
      <w:pgMar w:top="1417" w:right="1701"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68383E" w16cex:dateUtc="2022-06-30T19:57:00Z"/>
  <w16cex:commentExtensible w16cex:durableId="266806C9" w16cex:dateUtc="2022-06-30T16:26:00Z"/>
  <w16cex:commentExtensible w16cex:durableId="26680A36" w16cex:dateUtc="2022-06-30T16:40:00Z"/>
  <w16cex:commentExtensible w16cex:durableId="26680F22" w16cex:dateUtc="2022-06-30T17:01:00Z"/>
  <w16cex:commentExtensible w16cex:durableId="26680BA9" w16cex:dateUtc="2022-06-30T16:46:00Z"/>
  <w16cex:commentExtensible w16cex:durableId="26680E1F" w16cex:dateUtc="2022-06-30T16:57:00Z"/>
  <w16cex:commentExtensible w16cex:durableId="26681143" w16cex:dateUtc="2022-06-30T17:10:00Z"/>
  <w16cex:commentExtensible w16cex:durableId="266811C3" w16cex:dateUtc="2022-06-30T17:12:00Z"/>
  <w16cex:commentExtensible w16cex:durableId="26681425" w16cex:dateUtc="2022-06-30T17:23:00Z"/>
  <w16cex:commentExtensible w16cex:durableId="266815BE" w16cex:dateUtc="2022-06-30T17:29:00Z"/>
  <w16cex:commentExtensible w16cex:durableId="26684FE3" w16cex:dateUtc="2022-06-30T21:37:00Z"/>
  <w16cex:commentExtensible w16cex:durableId="26685BAE" w16cex:dateUtc="2022-06-30T22:28:00Z"/>
  <w16cex:commentExtensible w16cex:durableId="26685011" w16cex:dateUtc="2022-06-30T21:38:00Z"/>
  <w16cex:commentExtensible w16cex:durableId="2668591D" w16cex:dateUtc="2022-06-30T22:17:00Z"/>
  <w16cex:commentExtensible w16cex:durableId="26685999" w16cex:dateUtc="2022-06-30T22:19:00Z"/>
  <w16cex:commentExtensible w16cex:durableId="266859F6" w16cex:dateUtc="2022-06-30T22:20:00Z"/>
  <w16cex:commentExtensible w16cex:durableId="26685A53" w16cex:dateUtc="2022-06-30T22:22:00Z"/>
  <w16cex:commentExtensible w16cex:durableId="26685B5D" w16cex:dateUtc="2022-06-30T22:26:00Z"/>
  <w16cex:commentExtensible w16cex:durableId="26685CA3" w16cex:dateUtc="2022-06-30T22:32:00Z"/>
  <w16cex:commentExtensible w16cex:durableId="26685DFB" w16cex:dateUtc="2022-06-30T22:38:00Z"/>
  <w16cex:commentExtensible w16cex:durableId="26685EBB" w16cex:dateUtc="2022-06-30T22:41:00Z"/>
  <w16cex:commentExtensible w16cex:durableId="26685F4B" w16cex:dateUtc="2022-06-30T22:43:00Z"/>
  <w16cex:commentExtensible w16cex:durableId="266860AF" w16cex:dateUtc="2022-06-30T22:49:00Z"/>
  <w16cex:commentExtensible w16cex:durableId="26686118" w16cex:dateUtc="2022-06-30T22:51:00Z"/>
  <w16cex:commentExtensible w16cex:durableId="26686148" w16cex:dateUtc="2022-06-30T22:52:00Z"/>
  <w16cex:commentExtensible w16cex:durableId="26686172" w16cex:dateUtc="2022-06-30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411E4" w14:textId="77777777" w:rsidR="00B64B45" w:rsidRDefault="00B64B45" w:rsidP="00D65B51">
      <w:pPr>
        <w:spacing w:after="0" w:line="240" w:lineRule="auto"/>
      </w:pPr>
      <w:r>
        <w:separator/>
      </w:r>
    </w:p>
  </w:endnote>
  <w:endnote w:type="continuationSeparator" w:id="0">
    <w:p w14:paraId="7945833E" w14:textId="77777777" w:rsidR="00B64B45" w:rsidRDefault="00B64B45" w:rsidP="00D65B51">
      <w:pPr>
        <w:spacing w:after="0" w:line="240" w:lineRule="auto"/>
      </w:pPr>
      <w:r>
        <w:continuationSeparator/>
      </w:r>
    </w:p>
  </w:endnote>
  <w:endnote w:type="continuationNotice" w:id="1">
    <w:p w14:paraId="08268748" w14:textId="77777777" w:rsidR="00B64B45" w:rsidRDefault="00B64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Book">
    <w:altName w:val="Century Gothic"/>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691502"/>
      <w:docPartObj>
        <w:docPartGallery w:val="Page Numbers (Bottom of Page)"/>
        <w:docPartUnique/>
      </w:docPartObj>
    </w:sdtPr>
    <w:sdtEndPr>
      <w:rPr>
        <w:rFonts w:ascii="ITC Avant Garde" w:hAnsi="ITC Avant Garde"/>
      </w:rPr>
    </w:sdtEndPr>
    <w:sdtContent>
      <w:sdt>
        <w:sdtPr>
          <w:id w:val="-1769616900"/>
          <w:docPartObj>
            <w:docPartGallery w:val="Page Numbers (Top of Page)"/>
            <w:docPartUnique/>
          </w:docPartObj>
        </w:sdtPr>
        <w:sdtEndPr>
          <w:rPr>
            <w:rFonts w:ascii="ITC Avant Garde" w:hAnsi="ITC Avant Garde"/>
          </w:rPr>
        </w:sdtEndPr>
        <w:sdtContent>
          <w:p w14:paraId="4AB223C7" w14:textId="150889F3" w:rsidR="00375B28" w:rsidRPr="00C56796" w:rsidRDefault="00375B28">
            <w:pPr>
              <w:pStyle w:val="Piedepgina"/>
              <w:jc w:val="right"/>
              <w:rPr>
                <w:rFonts w:ascii="ITC Avant Garde" w:hAnsi="ITC Avant Garde"/>
              </w:rPr>
            </w:pPr>
            <w:r w:rsidRPr="00C56796">
              <w:rPr>
                <w:rFonts w:ascii="ITC Avant Garde" w:hAnsi="ITC Avant Garde"/>
                <w:lang w:val="es-ES"/>
              </w:rPr>
              <w:t xml:space="preserve">Página </w:t>
            </w:r>
            <w:r w:rsidRPr="00C56796">
              <w:rPr>
                <w:rFonts w:ascii="ITC Avant Garde" w:hAnsi="ITC Avant Garde"/>
                <w:b/>
                <w:sz w:val="24"/>
                <w:szCs w:val="24"/>
              </w:rPr>
              <w:fldChar w:fldCharType="begin"/>
            </w:r>
            <w:r w:rsidRPr="00C56796">
              <w:rPr>
                <w:rFonts w:ascii="ITC Avant Garde" w:hAnsi="ITC Avant Garde"/>
                <w:b/>
              </w:rPr>
              <w:instrText>PAGE</w:instrText>
            </w:r>
            <w:r w:rsidRPr="00C56796">
              <w:rPr>
                <w:rFonts w:ascii="ITC Avant Garde" w:hAnsi="ITC Avant Garde"/>
                <w:b/>
                <w:sz w:val="24"/>
                <w:szCs w:val="24"/>
              </w:rPr>
              <w:fldChar w:fldCharType="separate"/>
            </w:r>
            <w:r w:rsidRPr="00C56796">
              <w:rPr>
                <w:rFonts w:ascii="ITC Avant Garde" w:hAnsi="ITC Avant Garde"/>
                <w:b/>
                <w:lang w:val="es-ES"/>
              </w:rPr>
              <w:t>2</w:t>
            </w:r>
            <w:r w:rsidRPr="00C56796">
              <w:rPr>
                <w:rFonts w:ascii="ITC Avant Garde" w:hAnsi="ITC Avant Garde"/>
                <w:b/>
                <w:sz w:val="24"/>
                <w:szCs w:val="24"/>
              </w:rPr>
              <w:fldChar w:fldCharType="end"/>
            </w:r>
            <w:r w:rsidRPr="00C56796">
              <w:rPr>
                <w:rFonts w:ascii="ITC Avant Garde" w:hAnsi="ITC Avant Garde"/>
                <w:lang w:val="es-ES"/>
              </w:rPr>
              <w:t xml:space="preserve"> de </w:t>
            </w:r>
            <w:r w:rsidRPr="00C56796">
              <w:rPr>
                <w:rFonts w:ascii="ITC Avant Garde" w:hAnsi="ITC Avant Garde"/>
                <w:b/>
                <w:sz w:val="24"/>
                <w:szCs w:val="24"/>
              </w:rPr>
              <w:fldChar w:fldCharType="begin"/>
            </w:r>
            <w:r w:rsidRPr="00C56796">
              <w:rPr>
                <w:rFonts w:ascii="ITC Avant Garde" w:hAnsi="ITC Avant Garde"/>
                <w:b/>
              </w:rPr>
              <w:instrText>NUMPAGES</w:instrText>
            </w:r>
            <w:r w:rsidRPr="00C56796">
              <w:rPr>
                <w:rFonts w:ascii="ITC Avant Garde" w:hAnsi="ITC Avant Garde"/>
                <w:b/>
                <w:sz w:val="24"/>
                <w:szCs w:val="24"/>
              </w:rPr>
              <w:fldChar w:fldCharType="separate"/>
            </w:r>
            <w:r w:rsidRPr="00C56796">
              <w:rPr>
                <w:rFonts w:ascii="ITC Avant Garde" w:hAnsi="ITC Avant Garde"/>
                <w:b/>
                <w:lang w:val="es-ES"/>
              </w:rPr>
              <w:t>2</w:t>
            </w:r>
            <w:r w:rsidRPr="00C56796">
              <w:rPr>
                <w:rFonts w:ascii="ITC Avant Garde" w:hAnsi="ITC Avant Garde"/>
                <w:b/>
                <w:sz w:val="24"/>
                <w:szCs w:val="24"/>
              </w:rPr>
              <w:fldChar w:fldCharType="end"/>
            </w:r>
          </w:p>
        </w:sdtContent>
      </w:sdt>
    </w:sdtContent>
  </w:sdt>
  <w:p w14:paraId="415C45AC" w14:textId="77777777" w:rsidR="00375B28" w:rsidRDefault="00375B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8D2B" w14:textId="77777777" w:rsidR="00B64B45" w:rsidRDefault="00B64B45" w:rsidP="00D65B51">
      <w:pPr>
        <w:spacing w:after="0" w:line="240" w:lineRule="auto"/>
      </w:pPr>
      <w:r>
        <w:separator/>
      </w:r>
    </w:p>
  </w:footnote>
  <w:footnote w:type="continuationSeparator" w:id="0">
    <w:p w14:paraId="6293717D" w14:textId="77777777" w:rsidR="00B64B45" w:rsidRDefault="00B64B45" w:rsidP="00D65B51">
      <w:pPr>
        <w:spacing w:after="0" w:line="240" w:lineRule="auto"/>
      </w:pPr>
      <w:r>
        <w:continuationSeparator/>
      </w:r>
    </w:p>
  </w:footnote>
  <w:footnote w:type="continuationNotice" w:id="1">
    <w:p w14:paraId="39E8E8DB" w14:textId="77777777" w:rsidR="00B64B45" w:rsidRDefault="00B64B45">
      <w:pPr>
        <w:spacing w:after="0" w:line="240" w:lineRule="auto"/>
      </w:pPr>
    </w:p>
  </w:footnote>
  <w:footnote w:id="2">
    <w:p w14:paraId="17E6A3D2" w14:textId="6822BFF0" w:rsidR="00375B28" w:rsidRPr="00610ABD" w:rsidRDefault="00375B28" w:rsidP="007D77D0">
      <w:pPr>
        <w:pStyle w:val="Textonotapie"/>
        <w:jc w:val="both"/>
        <w:rPr>
          <w:sz w:val="14"/>
          <w:szCs w:val="14"/>
        </w:rPr>
      </w:pPr>
      <w:r w:rsidRPr="00610ABD">
        <w:rPr>
          <w:rStyle w:val="Refdenotaalpie"/>
          <w:sz w:val="14"/>
          <w:szCs w:val="14"/>
        </w:rPr>
        <w:footnoteRef/>
      </w:r>
      <w:r w:rsidRPr="00610ABD">
        <w:rPr>
          <w:sz w:val="14"/>
          <w:szCs w:val="14"/>
        </w:rPr>
        <w:t xml:space="preserve"> </w:t>
      </w:r>
      <w:r w:rsidRPr="00610ABD">
        <w:rPr>
          <w:rFonts w:ascii="ITC Avant Garde" w:hAnsi="ITC Avant Garde"/>
          <w:sz w:val="14"/>
          <w:szCs w:val="14"/>
        </w:rPr>
        <w:t>Anexo 2 “MEDIDAS RELACIONADAS CON INFORMACIÓN, OFERTA Y CALIDAD DE SERVICIOS, ACUERDOS EN EXCLUSIVA, LIMITACIIONES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p>
  </w:footnote>
  <w:footnote w:id="3">
    <w:p w14:paraId="15084F6E" w14:textId="29E0EACE" w:rsidR="00375B28" w:rsidRPr="00243F06" w:rsidRDefault="00375B28" w:rsidP="00A70A36">
      <w:pPr>
        <w:pStyle w:val="Textonotapie"/>
        <w:jc w:val="both"/>
        <w:rPr>
          <w:rFonts w:ascii="ITC Avant Garde" w:hAnsi="ITC Avant Garde"/>
          <w:sz w:val="14"/>
          <w:szCs w:val="14"/>
        </w:rPr>
      </w:pPr>
      <w:r w:rsidRPr="00243F06">
        <w:rPr>
          <w:rStyle w:val="Refdenotaalpie"/>
          <w:rFonts w:ascii="ITC Avant Garde" w:hAnsi="ITC Avant Garde"/>
          <w:sz w:val="14"/>
          <w:szCs w:val="14"/>
        </w:rPr>
        <w:footnoteRef/>
      </w:r>
      <w:r w:rsidRPr="00243F06">
        <w:rPr>
          <w:rFonts w:ascii="ITC Avant Garde" w:hAnsi="ITC Avant Garde"/>
          <w:sz w:val="14"/>
          <w:szCs w:val="14"/>
        </w:rPr>
        <w:t xml:space="preserve"> Denominado como “A</w:t>
      </w:r>
      <w:bookmarkStart w:id="3" w:name="_Ref506876136"/>
      <w:bookmarkEnd w:id="3"/>
      <w:r w:rsidRPr="00243F06">
        <w:rPr>
          <w:rFonts w:ascii="ITC Avant Garde" w:hAnsi="ITC Avant Garde"/>
          <w:sz w:val="14"/>
          <w:szCs w:val="14"/>
        </w:rPr>
        <w:t xml:space="preserve">CUERDO MEDIANTE EL CUAL EL PLENO DEL INSTITUTO FEDERAL DE TELECOMUNICACIONES RESUELVE SOBRE EL PLAN FINAL DE IMPLEMENTACIÓN DE SEPARACIÓN FUNCIONAL Y OTROS PLANTEAMIENTOS PRESENTADOS POR AMÉRICA MÓVIL, S.A.B. DE C.V., TELÉFONOS DE MÉXICO, S.A.B. DE C.V., Y TELÉFONOS DEL NOROESTE, S.A. DE C.V., EN TÉRMINOS DE LAS MEDIDAS SEXAGÉSIMA QUINTA Y SEGUNDA TRANSITORIA DEL ANEXO 2 Y CUADRAGÉSIMA SÉPTIMA Y SEGUNDA TRANSITORIA DEL ANEXO 3 ESTABLECIDAS MEDIANTE ACUERDO P/IFT/EXT/270217/119”, autorizado por el Instituto mediante Acuerdo P/IFT/270218/130. </w:t>
      </w:r>
    </w:p>
  </w:footnote>
  <w:footnote w:id="4">
    <w:p w14:paraId="29FB7A51" w14:textId="5075305B" w:rsidR="00375B28" w:rsidRPr="00610ABD" w:rsidRDefault="00375B28" w:rsidP="008830C8">
      <w:pPr>
        <w:pStyle w:val="Textonotapie"/>
        <w:jc w:val="both"/>
        <w:rPr>
          <w:sz w:val="14"/>
          <w:szCs w:val="14"/>
        </w:rPr>
      </w:pPr>
      <w:r w:rsidRPr="00610ABD">
        <w:rPr>
          <w:rStyle w:val="Refdenotaalpie"/>
          <w:sz w:val="14"/>
          <w:szCs w:val="14"/>
        </w:rPr>
        <w:footnoteRef/>
      </w:r>
      <w:r w:rsidRPr="00610ABD">
        <w:rPr>
          <w:sz w:val="14"/>
          <w:szCs w:val="14"/>
        </w:rPr>
        <w:t xml:space="preserve"> </w:t>
      </w:r>
      <w:r w:rsidRPr="00610ABD">
        <w:rPr>
          <w:rFonts w:ascii="ITC Avant Garde" w:hAnsi="ITC Avant Garde"/>
          <w:sz w:val="14"/>
          <w:szCs w:val="14"/>
        </w:rPr>
        <w:t xml:space="preserve">Cuya última actualización autorizada por el Instituto puede ser consultada en la siguiente liga electrónica: </w:t>
      </w:r>
      <w:hyperlink r:id="rId1" w:history="1">
        <w:r w:rsidRPr="00610ABD">
          <w:rPr>
            <w:rStyle w:val="Hipervnculo"/>
            <w:rFonts w:ascii="ITC Avant Garde" w:hAnsi="ITC Avant Garde"/>
            <w:sz w:val="14"/>
            <w:szCs w:val="14"/>
          </w:rPr>
          <w:t>http://www.ift.org.mx/sites/default/files/contenidogeneral/politica-regulatoria/anexounicoorcidm2022resolucionabmfolio.pdf</w:t>
        </w:r>
      </w:hyperlink>
    </w:p>
  </w:footnote>
  <w:footnote w:id="5">
    <w:p w14:paraId="72EA26C0" w14:textId="54031C97" w:rsidR="00375B28" w:rsidRPr="00610ABD" w:rsidRDefault="00375B28" w:rsidP="00616695">
      <w:pPr>
        <w:pStyle w:val="Textonotapie"/>
        <w:jc w:val="both"/>
        <w:rPr>
          <w:sz w:val="14"/>
          <w:szCs w:val="14"/>
        </w:rPr>
      </w:pPr>
      <w:r w:rsidRPr="00610ABD">
        <w:rPr>
          <w:rStyle w:val="Refdenotaalpie"/>
          <w:rFonts w:ascii="ITC Avant Garde" w:hAnsi="ITC Avant Garde"/>
          <w:sz w:val="14"/>
          <w:szCs w:val="14"/>
        </w:rPr>
        <w:footnoteRef/>
      </w:r>
      <w:r w:rsidRPr="00610ABD">
        <w:rPr>
          <w:rFonts w:ascii="ITC Avant Garde" w:hAnsi="ITC Avant Garde"/>
          <w:sz w:val="14"/>
          <w:szCs w:val="14"/>
        </w:rPr>
        <w:t xml:space="preserve"> Se destaca que las tendencias de costos a partir de su implementación en 2017 no han tenido modificación, a excepción de las aplicables al valor de los activos de CAPEX de adquisición y obra civil del modelo a 5.63% promedio anual, para incorporar los valores observados en el Índice Nacional de Precios al Consumidor y proyección del valor del índice con base en las estimaciones de inflación esperada para 2021 de 6.60% y para 2022 de 3.93%, conforme a la Encuesta sobre las Expectativas de los Especialistas en Economía del Sector Privado: octubre de 2021.</w:t>
      </w:r>
    </w:p>
  </w:footnote>
  <w:footnote w:id="6">
    <w:p w14:paraId="3E042E0E" w14:textId="33D9E976" w:rsidR="00375B28" w:rsidRPr="00610ABD" w:rsidRDefault="00375B28" w:rsidP="008F129B">
      <w:pPr>
        <w:pStyle w:val="Textonotapie"/>
        <w:jc w:val="both"/>
        <w:rPr>
          <w:sz w:val="14"/>
          <w:szCs w:val="14"/>
        </w:rPr>
      </w:pPr>
      <w:r w:rsidRPr="00610ABD">
        <w:rPr>
          <w:rStyle w:val="Refdenotaalpie"/>
          <w:rFonts w:ascii="ITC Avant Garde" w:hAnsi="ITC Avant Garde"/>
          <w:sz w:val="14"/>
          <w:szCs w:val="14"/>
        </w:rPr>
        <w:footnoteRef/>
      </w:r>
      <w:r w:rsidRPr="00610ABD">
        <w:rPr>
          <w:sz w:val="14"/>
          <w:szCs w:val="14"/>
        </w:rPr>
        <w:t xml:space="preserve"> </w:t>
      </w:r>
      <w:r w:rsidRPr="00610ABD">
        <w:rPr>
          <w:rFonts w:ascii="ITC Avant Garde Book" w:hAnsi="ITC Avant Garde Book"/>
          <w:sz w:val="14"/>
          <w:szCs w:val="14"/>
        </w:rPr>
        <w:t>Datos de demanda de espacio vertical en torre promedio: una franja por CS, de acuerdo con las condiciones autorizadas en la Oferta de Referencia, Anexo A Tarifas (Servicio de Acceso y Uso Compartido de Torres y Servicio de Uso Compartido de Sitios, Predios y Espacios Físicos).</w:t>
      </w:r>
    </w:p>
  </w:footnote>
  <w:footnote w:id="7">
    <w:p w14:paraId="41679359" w14:textId="52EDA75A" w:rsidR="00375B28" w:rsidRPr="00243F06" w:rsidRDefault="00375B28" w:rsidP="00A5163B">
      <w:pPr>
        <w:pStyle w:val="Textonotapie"/>
        <w:jc w:val="both"/>
        <w:rPr>
          <w:rFonts w:ascii="ITC Avant Garde Book" w:hAnsi="ITC Avant Garde Book"/>
          <w:sz w:val="14"/>
          <w:szCs w:val="14"/>
        </w:rPr>
      </w:pPr>
      <w:r w:rsidRPr="00243F06">
        <w:rPr>
          <w:rStyle w:val="Refdenotaalpie"/>
          <w:rFonts w:ascii="ITC Avant Garde Book" w:hAnsi="ITC Avant Garde Book"/>
          <w:sz w:val="14"/>
          <w:szCs w:val="14"/>
        </w:rPr>
        <w:footnoteRef/>
      </w:r>
      <w:r w:rsidRPr="00243F06">
        <w:rPr>
          <w:rFonts w:ascii="ITC Avant Garde Book" w:hAnsi="ITC Avant Garde Book"/>
          <w:sz w:val="14"/>
          <w:szCs w:val="14"/>
        </w:rPr>
        <w:t xml:space="preserve"> </w:t>
      </w:r>
      <w:hyperlink r:id="rId2" w:history="1">
        <w:r w:rsidRPr="00243F06">
          <w:rPr>
            <w:rStyle w:val="Hipervnculo"/>
            <w:rFonts w:ascii="ITC Avant Garde Book" w:hAnsi="ITC Avant Garde Book"/>
            <w:sz w:val="14"/>
            <w:szCs w:val="14"/>
          </w:rPr>
          <w:t>Autorizados</w:t>
        </w:r>
      </w:hyperlink>
      <w:r w:rsidRPr="00243F06">
        <w:rPr>
          <w:rFonts w:ascii="ITC Avant Garde Book" w:hAnsi="ITC Avant Garde Book"/>
          <w:sz w:val="14"/>
          <w:szCs w:val="14"/>
        </w:rPr>
        <w:t xml:space="preserve"> en la Oferta de Referencia, Anexo A Tarifas (Servicio de Acceso y Uso Compartido de Torres y Servicio de Uso Compartido de Sitios, Predios y Espacios Físicos).</w:t>
      </w:r>
    </w:p>
  </w:footnote>
  <w:footnote w:id="8">
    <w:p w14:paraId="3D8C8304" w14:textId="77777777" w:rsidR="00375B28" w:rsidRPr="00243F06" w:rsidRDefault="00375B28" w:rsidP="008F129B">
      <w:pPr>
        <w:pStyle w:val="Textonotapie"/>
        <w:rPr>
          <w:sz w:val="14"/>
          <w:szCs w:val="14"/>
        </w:rPr>
      </w:pPr>
      <w:r w:rsidRPr="00243F06">
        <w:rPr>
          <w:rStyle w:val="Refdenotaalpie"/>
          <w:sz w:val="14"/>
          <w:szCs w:val="14"/>
        </w:rPr>
        <w:footnoteRef/>
      </w:r>
      <w:r w:rsidRPr="00243F06">
        <w:rPr>
          <w:sz w:val="14"/>
          <w:szCs w:val="14"/>
        </w:rPr>
        <w:t xml:space="preserve"> </w:t>
      </w:r>
      <w:r w:rsidRPr="00243F06">
        <w:rPr>
          <w:rFonts w:ascii="ITC Avant Garde Book" w:hAnsi="ITC Avant Garde Book"/>
          <w:sz w:val="14"/>
          <w:szCs w:val="14"/>
        </w:rPr>
        <w:t>A través de un margen de 10%, sobre el espacio demandado</w:t>
      </w:r>
      <w:r w:rsidRPr="00243F06">
        <w:rPr>
          <w:rFonts w:ascii="ITC Avant Garde Book" w:hAnsi="ITC Avant Garde Book"/>
          <w:sz w:val="14"/>
          <w:szCs w:val="14"/>
          <w:lang w:val="es-419"/>
        </w:rPr>
        <w:t xml:space="preserve"> y sobre el espacio del predio excluyendo la base de la torre y la caseta</w:t>
      </w:r>
      <w:r w:rsidRPr="00243F06">
        <w:rPr>
          <w:rFonts w:ascii="ITC Avant Garde Book" w:hAnsi="ITC Avant Garde Book"/>
          <w:sz w:val="14"/>
          <w:szCs w:val="14"/>
        </w:rPr>
        <w:t>.</w:t>
      </w:r>
    </w:p>
  </w:footnote>
  <w:footnote w:id="9">
    <w:p w14:paraId="528B0772" w14:textId="0980494D" w:rsidR="00375B28" w:rsidRDefault="00375B28" w:rsidP="008F129B">
      <w:pPr>
        <w:pStyle w:val="Textonotapie"/>
      </w:pPr>
      <w:r w:rsidRPr="00243F06">
        <w:rPr>
          <w:rStyle w:val="Refdenotaalpie"/>
          <w:sz w:val="14"/>
          <w:szCs w:val="14"/>
        </w:rPr>
        <w:footnoteRef/>
      </w:r>
      <w:r w:rsidRPr="00243F06">
        <w:rPr>
          <w:sz w:val="14"/>
          <w:szCs w:val="14"/>
        </w:rPr>
        <w:t xml:space="preserve"> </w:t>
      </w:r>
      <w:r w:rsidRPr="00243F06">
        <w:rPr>
          <w:rFonts w:ascii="ITC Avant Garde Book" w:hAnsi="ITC Avant Garde Book"/>
          <w:sz w:val="14"/>
          <w:szCs w:val="14"/>
        </w:rPr>
        <w:t>Asignación de espacio proporcional</w:t>
      </w:r>
      <w:r w:rsidRPr="00243F06">
        <w:rPr>
          <w:rFonts w:ascii="ITC Avant Garde Book" w:hAnsi="ITC Avant Garde Book"/>
          <w:sz w:val="14"/>
          <w:szCs w:val="14"/>
          <w:lang w:val="es-419"/>
        </w:rPr>
        <w:t xml:space="preserve"> entre Telmex y Telnor, y el CS entrante</w:t>
      </w:r>
      <w:r w:rsidRPr="00243F06">
        <w:rPr>
          <w:rFonts w:ascii="ITC Avant Garde Book" w:hAnsi="ITC Avant Garde Book"/>
          <w:sz w:val="14"/>
          <w:szCs w:val="14"/>
        </w:rPr>
        <w:t>.</w:t>
      </w:r>
    </w:p>
  </w:footnote>
  <w:footnote w:id="10">
    <w:p w14:paraId="66920A62" w14:textId="02F6B102" w:rsidR="00375B28" w:rsidRPr="00243F06" w:rsidRDefault="00375B28" w:rsidP="005D5FB3">
      <w:pPr>
        <w:pStyle w:val="Textonotapie"/>
        <w:jc w:val="both"/>
        <w:rPr>
          <w:rFonts w:ascii="ITC Avant Garde" w:hAnsi="ITC Avant Garde"/>
          <w:sz w:val="14"/>
          <w:szCs w:val="14"/>
        </w:rPr>
      </w:pPr>
      <w:r w:rsidRPr="00243F06">
        <w:rPr>
          <w:rStyle w:val="Refdenotaalpie"/>
          <w:sz w:val="14"/>
          <w:szCs w:val="14"/>
        </w:rPr>
        <w:footnoteRef/>
      </w:r>
      <w:r w:rsidRPr="00243F06">
        <w:rPr>
          <w:rFonts w:ascii="ITC Avant Garde" w:hAnsi="ITC Avant Garde"/>
          <w:sz w:val="14"/>
          <w:szCs w:val="14"/>
        </w:rPr>
        <w:t xml:space="preserve"> A partir de la tendencia de precios actualizada en el Modelo de Acceso a Torres para dicho elemento en 5.63%.</w:t>
      </w:r>
    </w:p>
  </w:footnote>
  <w:footnote w:id="11">
    <w:p w14:paraId="3D18C8C1" w14:textId="6282D36C" w:rsidR="00375B28" w:rsidRPr="00243F06" w:rsidRDefault="00375B28" w:rsidP="00715852">
      <w:pPr>
        <w:pStyle w:val="Textonotapie"/>
        <w:jc w:val="both"/>
        <w:rPr>
          <w:rFonts w:ascii="ITC Avant Garde" w:hAnsi="ITC Avant Garde"/>
          <w:sz w:val="14"/>
          <w:szCs w:val="14"/>
        </w:rPr>
      </w:pPr>
      <w:r w:rsidRPr="00243F06">
        <w:rPr>
          <w:rStyle w:val="Refdenotaalpie"/>
          <w:rFonts w:ascii="ITC Avant Garde" w:hAnsi="ITC Avant Garde"/>
          <w:sz w:val="14"/>
          <w:szCs w:val="14"/>
        </w:rPr>
        <w:footnoteRef/>
      </w:r>
      <w:r w:rsidRPr="00243F06">
        <w:rPr>
          <w:rFonts w:ascii="ITC Avant Garde" w:hAnsi="ITC Avant Garde"/>
          <w:sz w:val="14"/>
          <w:szCs w:val="14"/>
        </w:rPr>
        <w:t xml:space="preserve"> El detalle metodológico y referencia pueden consultarse en la siguiente liga electrónica: </w:t>
      </w:r>
      <w:hyperlink r:id="rId3" w:history="1">
        <w:r w:rsidRPr="00243F06">
          <w:rPr>
            <w:rStyle w:val="Hipervnculo"/>
            <w:rFonts w:ascii="ITC Avant Garde" w:hAnsi="ITC Avant Garde"/>
            <w:sz w:val="14"/>
            <w:szCs w:val="14"/>
          </w:rPr>
          <w:t>https://www.gob.mx/conapo/documentos/indices-de-marginacion-2020-284372</w:t>
        </w:r>
      </w:hyperlink>
      <w:r w:rsidRPr="00243F06">
        <w:rPr>
          <w:rFonts w:ascii="ITC Avant Garde" w:hAnsi="ITC Avant Garde"/>
          <w:sz w:val="14"/>
          <w:szCs w:val="14"/>
        </w:rPr>
        <w:t xml:space="preserve"> </w:t>
      </w:r>
    </w:p>
  </w:footnote>
  <w:footnote w:id="12">
    <w:p w14:paraId="28018D16" w14:textId="4963F0AB" w:rsidR="00375B28" w:rsidRDefault="00375B28" w:rsidP="00715852">
      <w:pPr>
        <w:pStyle w:val="Textonotapie"/>
        <w:jc w:val="both"/>
      </w:pPr>
      <w:r w:rsidRPr="00243F06">
        <w:rPr>
          <w:rStyle w:val="Refdenotaalpie"/>
          <w:rFonts w:ascii="ITC Avant Garde" w:hAnsi="ITC Avant Garde"/>
          <w:sz w:val="14"/>
          <w:szCs w:val="14"/>
        </w:rPr>
        <w:footnoteRef/>
      </w:r>
      <w:r w:rsidRPr="00243F06">
        <w:rPr>
          <w:rFonts w:ascii="ITC Avant Garde" w:hAnsi="ITC Avant Garde"/>
          <w:sz w:val="14"/>
          <w:szCs w:val="14"/>
        </w:rPr>
        <w:t xml:space="preserve"> “Acuerdo por el que se da a conocer el Programa de Cobertura Social 2021-2022 de la Secretaría de Infraestructura, Comunicaciones y Transportes.”, publicado en el Diario Oficial de la Federación el 23 de diciembre de 2021.</w:t>
      </w:r>
    </w:p>
  </w:footnote>
  <w:footnote w:id="13">
    <w:p w14:paraId="156C1F5D" w14:textId="25FDE0B7" w:rsidR="00375B28" w:rsidRPr="00243F06" w:rsidRDefault="00375B28" w:rsidP="0099731C">
      <w:pPr>
        <w:pStyle w:val="Textonotapie"/>
        <w:jc w:val="both"/>
        <w:rPr>
          <w:rFonts w:ascii="ITC Avant Garde" w:hAnsi="ITC Avant Garde"/>
          <w:sz w:val="14"/>
          <w:szCs w:val="14"/>
        </w:rPr>
      </w:pPr>
      <w:r w:rsidRPr="00243F06">
        <w:rPr>
          <w:rStyle w:val="Refdenotaalpie"/>
          <w:rFonts w:ascii="ITC Avant Garde" w:hAnsi="ITC Avant Garde"/>
          <w:sz w:val="14"/>
          <w:szCs w:val="14"/>
        </w:rPr>
        <w:footnoteRef/>
      </w:r>
      <w:r w:rsidRPr="00243F06">
        <w:rPr>
          <w:rFonts w:ascii="ITC Avant Garde" w:hAnsi="ITC Avant Garde"/>
          <w:sz w:val="14"/>
          <w:szCs w:val="14"/>
        </w:rPr>
        <w:t xml:space="preserve"> Según la información proporcionada por el Telmex y Telnor, los sitios donde se ubican sus torres son de su propiedad.</w:t>
      </w:r>
    </w:p>
  </w:footnote>
  <w:footnote w:id="14">
    <w:p w14:paraId="6FFBEAE7" w14:textId="77777777" w:rsidR="00375B28" w:rsidRPr="00243F06" w:rsidRDefault="00375B28" w:rsidP="0099731C">
      <w:pPr>
        <w:pStyle w:val="Textonotapie"/>
        <w:jc w:val="both"/>
        <w:rPr>
          <w:rFonts w:ascii="ITC Avant Garde" w:hAnsi="ITC Avant Garde"/>
          <w:sz w:val="14"/>
          <w:szCs w:val="14"/>
        </w:rPr>
      </w:pPr>
      <w:r w:rsidRPr="00243F06">
        <w:rPr>
          <w:rStyle w:val="Refdenotaalpie"/>
          <w:rFonts w:ascii="ITC Avant Garde" w:hAnsi="ITC Avant Garde"/>
          <w:sz w:val="14"/>
          <w:szCs w:val="14"/>
        </w:rPr>
        <w:footnoteRef/>
      </w:r>
      <w:r w:rsidRPr="00243F06">
        <w:rPr>
          <w:rFonts w:ascii="ITC Avant Garde" w:hAnsi="ITC Avant Garde"/>
          <w:sz w:val="14"/>
          <w:szCs w:val="14"/>
        </w:rPr>
        <w:t xml:space="preserve"> Se refiere a los valores promedio del área de 1) predio, 2) base de la torre presente en sitio, 3) azotea y 4) caseta, de acuerdo a las características de la torre.</w:t>
      </w:r>
    </w:p>
  </w:footnote>
  <w:footnote w:id="15">
    <w:p w14:paraId="2E6FA1FF" w14:textId="075D2ED5" w:rsidR="00375B28" w:rsidRPr="00243F06" w:rsidRDefault="00375B28" w:rsidP="0099731C">
      <w:pPr>
        <w:pStyle w:val="Textonotapie"/>
        <w:jc w:val="both"/>
        <w:rPr>
          <w:sz w:val="14"/>
          <w:szCs w:val="14"/>
        </w:rPr>
      </w:pPr>
      <w:r w:rsidRPr="00243F06">
        <w:rPr>
          <w:rStyle w:val="Refdenotaalpie"/>
          <w:rFonts w:ascii="ITC Avant Garde" w:hAnsi="ITC Avant Garde"/>
          <w:sz w:val="14"/>
          <w:szCs w:val="14"/>
        </w:rPr>
        <w:footnoteRef/>
      </w:r>
      <w:r w:rsidRPr="00243F06">
        <w:rPr>
          <w:rFonts w:ascii="ITC Avant Garde" w:hAnsi="ITC Avant Garde"/>
          <w:sz w:val="14"/>
          <w:szCs w:val="14"/>
        </w:rPr>
        <w:t xml:space="preserve"> Tipologías de torres que poseen Telmex y Telnor, de acuerdo a la información proporcionada por Telmex y Telnor.</w:t>
      </w:r>
    </w:p>
  </w:footnote>
  <w:footnote w:id="16">
    <w:p w14:paraId="0BA673B4" w14:textId="64355BEF" w:rsidR="00375B28" w:rsidRDefault="00375B28" w:rsidP="0099731C">
      <w:pPr>
        <w:pStyle w:val="Textonotapie"/>
        <w:jc w:val="both"/>
      </w:pPr>
      <w:r w:rsidRPr="00243F06">
        <w:rPr>
          <w:rStyle w:val="Refdenotaalpie"/>
          <w:sz w:val="14"/>
          <w:szCs w:val="14"/>
        </w:rPr>
        <w:footnoteRef/>
      </w:r>
      <w:r w:rsidRPr="00243F06">
        <w:rPr>
          <w:sz w:val="14"/>
          <w:szCs w:val="14"/>
        </w:rPr>
        <w:t xml:space="preserve"> </w:t>
      </w:r>
      <w:r w:rsidRPr="00243F06">
        <w:rPr>
          <w:rFonts w:ascii="ITC Avant Garde Book" w:hAnsi="ITC Avant Garde Book"/>
          <w:sz w:val="14"/>
          <w:szCs w:val="14"/>
        </w:rPr>
        <w:t>Estimada de acuerdo a la ocupación de espacio vertical en torre, según la información proporcionada por Telmex y Telnor.</w:t>
      </w:r>
    </w:p>
  </w:footnote>
  <w:footnote w:id="17">
    <w:p w14:paraId="1A587E5E" w14:textId="7CFF790E" w:rsidR="00375B28" w:rsidRPr="00243F06" w:rsidRDefault="00375B28" w:rsidP="00FA2A57">
      <w:pPr>
        <w:pStyle w:val="Textonotapie"/>
        <w:jc w:val="both"/>
        <w:rPr>
          <w:rFonts w:ascii="ITC Avant Garde" w:hAnsi="ITC Avant Garde"/>
          <w:sz w:val="14"/>
          <w:szCs w:val="14"/>
        </w:rPr>
      </w:pPr>
      <w:r w:rsidRPr="00243F06">
        <w:rPr>
          <w:rStyle w:val="Refdenotaalpie"/>
          <w:sz w:val="14"/>
          <w:szCs w:val="14"/>
        </w:rPr>
        <w:footnoteRef/>
      </w:r>
      <w:r w:rsidRPr="00243F06">
        <w:rPr>
          <w:sz w:val="14"/>
          <w:szCs w:val="14"/>
        </w:rPr>
        <w:t xml:space="preserve"> </w:t>
      </w:r>
      <w:r w:rsidRPr="00243F06">
        <w:rPr>
          <w:rFonts w:ascii="ITC Avant Garde" w:hAnsi="ITC Avant Garde"/>
          <w:sz w:val="14"/>
          <w:szCs w:val="14"/>
        </w:rPr>
        <w:t>De acuerdo a la información proporcionada por Telmex y Telnor, este concepto es aplicable para aquellos casos en los que la torre se localiza en una azotea.</w:t>
      </w:r>
    </w:p>
  </w:footnote>
  <w:footnote w:id="18">
    <w:p w14:paraId="4FF49F22" w14:textId="77777777" w:rsidR="00375B28" w:rsidRPr="00243F06" w:rsidRDefault="00375B28" w:rsidP="0099731C">
      <w:pPr>
        <w:pStyle w:val="Textonotapie"/>
        <w:jc w:val="both"/>
        <w:rPr>
          <w:sz w:val="14"/>
          <w:szCs w:val="14"/>
        </w:rPr>
      </w:pPr>
      <w:r w:rsidRPr="00243F06">
        <w:rPr>
          <w:rStyle w:val="Refdenotaalpie"/>
          <w:sz w:val="14"/>
          <w:szCs w:val="14"/>
        </w:rPr>
        <w:footnoteRef/>
      </w:r>
      <w:r w:rsidRPr="00243F06">
        <w:rPr>
          <w:sz w:val="14"/>
          <w:szCs w:val="14"/>
        </w:rPr>
        <w:t xml:space="preserve"> </w:t>
      </w:r>
      <w:r w:rsidRPr="00243F06">
        <w:rPr>
          <w:rFonts w:ascii="ITC Avant Garde Book" w:hAnsi="ITC Avant Garde Book"/>
          <w:sz w:val="14"/>
          <w:szCs w:val="14"/>
        </w:rPr>
        <w:t>A través de un margen de 10%, sobre el espacio demandado</w:t>
      </w:r>
      <w:r w:rsidRPr="00243F06">
        <w:rPr>
          <w:rFonts w:ascii="ITC Avant Garde Book" w:hAnsi="ITC Avant Garde Book"/>
          <w:sz w:val="14"/>
          <w:szCs w:val="14"/>
          <w:lang w:val="es-419"/>
        </w:rPr>
        <w:t xml:space="preserve"> y sobre el espacio del predio excluyendo la base de la torre y la caseta</w:t>
      </w:r>
      <w:r w:rsidRPr="00243F06">
        <w:rPr>
          <w:rFonts w:ascii="ITC Avant Garde Book" w:hAnsi="ITC Avant Garde Book"/>
          <w:sz w:val="14"/>
          <w:szCs w:val="14"/>
        </w:rPr>
        <w:t>.</w:t>
      </w:r>
    </w:p>
  </w:footnote>
  <w:footnote w:id="19">
    <w:p w14:paraId="7689C406" w14:textId="094861C3" w:rsidR="00375B28" w:rsidRDefault="00375B28" w:rsidP="0099731C">
      <w:pPr>
        <w:pStyle w:val="Textonotapie"/>
        <w:jc w:val="both"/>
      </w:pPr>
      <w:r w:rsidRPr="00243F06">
        <w:rPr>
          <w:rStyle w:val="Refdenotaalpie"/>
          <w:sz w:val="14"/>
          <w:szCs w:val="14"/>
        </w:rPr>
        <w:footnoteRef/>
      </w:r>
      <w:r w:rsidRPr="00243F06">
        <w:rPr>
          <w:sz w:val="14"/>
          <w:szCs w:val="14"/>
        </w:rPr>
        <w:t xml:space="preserve"> </w:t>
      </w:r>
      <w:r w:rsidRPr="00243F06">
        <w:rPr>
          <w:rFonts w:ascii="ITC Avant Garde Book" w:hAnsi="ITC Avant Garde Book"/>
          <w:sz w:val="14"/>
          <w:szCs w:val="14"/>
        </w:rPr>
        <w:t>Asignación de espacio proporcional</w:t>
      </w:r>
      <w:r w:rsidRPr="00243F06">
        <w:rPr>
          <w:rFonts w:ascii="ITC Avant Garde Book" w:hAnsi="ITC Avant Garde Book"/>
          <w:sz w:val="14"/>
          <w:szCs w:val="14"/>
          <w:lang w:val="es-419"/>
        </w:rPr>
        <w:t xml:space="preserve"> entre Telmex y Telnor y el CS entrante (50% - 50%), ya que la demanda actual de servicios mayoristas es muy baja.</w:t>
      </w:r>
    </w:p>
  </w:footnote>
  <w:footnote w:id="20">
    <w:p w14:paraId="1E3210DE" w14:textId="0F1912D7" w:rsidR="00375B28" w:rsidRPr="00243F06" w:rsidRDefault="00375B28" w:rsidP="00757493">
      <w:pPr>
        <w:pStyle w:val="Textonotapie"/>
        <w:jc w:val="both"/>
        <w:rPr>
          <w:sz w:val="14"/>
          <w:szCs w:val="14"/>
        </w:rPr>
      </w:pPr>
      <w:r w:rsidRPr="00243F06">
        <w:rPr>
          <w:rStyle w:val="Refdenotaalpie"/>
          <w:sz w:val="14"/>
          <w:szCs w:val="14"/>
        </w:rPr>
        <w:footnoteRef/>
      </w:r>
      <w:r w:rsidRPr="00243F06">
        <w:rPr>
          <w:sz w:val="14"/>
          <w:szCs w:val="14"/>
        </w:rPr>
        <w:t xml:space="preserve"> </w:t>
      </w:r>
      <w:r w:rsidRPr="00243F06">
        <w:rPr>
          <w:rFonts w:ascii="ITC Avant Garde Book" w:hAnsi="ITC Avant Garde Book"/>
          <w:sz w:val="14"/>
          <w:szCs w:val="14"/>
        </w:rPr>
        <w:t>Es decir, la correspondiente a la demanda de Espacio Aprobado en Piso de 6.6 metros cuadrados, así como de las áreas comunes y compartidas.</w:t>
      </w:r>
    </w:p>
  </w:footnote>
  <w:footnote w:id="21">
    <w:p w14:paraId="01BDE3B4" w14:textId="1594B06D" w:rsidR="00375B28" w:rsidRPr="00243F06" w:rsidRDefault="00375B28" w:rsidP="004E21B4">
      <w:pPr>
        <w:pStyle w:val="Textonotapie"/>
        <w:jc w:val="both"/>
        <w:rPr>
          <w:rFonts w:ascii="ITC Avant Garde" w:hAnsi="ITC Avant Garde"/>
          <w:sz w:val="14"/>
          <w:szCs w:val="14"/>
        </w:rPr>
      </w:pPr>
      <w:r w:rsidRPr="00243F06">
        <w:rPr>
          <w:rStyle w:val="Refdenotaalpie"/>
          <w:rFonts w:asciiTheme="minorHAnsi" w:hAnsiTheme="minorHAnsi"/>
          <w:sz w:val="14"/>
          <w:szCs w:val="14"/>
        </w:rPr>
        <w:footnoteRef/>
      </w:r>
      <w:r w:rsidRPr="00243F06">
        <w:rPr>
          <w:sz w:val="14"/>
          <w:szCs w:val="14"/>
        </w:rPr>
        <w:t xml:space="preserve"> </w:t>
      </w:r>
      <w:r w:rsidRPr="00243F06">
        <w:rPr>
          <w:rFonts w:ascii="ITC Avant Garde" w:hAnsi="ITC Avant Garde"/>
          <w:sz w:val="14"/>
          <w:szCs w:val="14"/>
        </w:rPr>
        <w:t xml:space="preserve">Conforme al Marco geoestadístico municipal 2020 (Censo General de Población y Vivienda 2020), disponible a través de la siguiente dirección electrónica: </w:t>
      </w:r>
      <w:hyperlink r:id="rId4" w:history="1">
        <w:r w:rsidRPr="00243F06">
          <w:rPr>
            <w:rStyle w:val="Hipervnculo"/>
            <w:rFonts w:ascii="ITC Avant Garde" w:hAnsi="ITC Avant Garde"/>
            <w:sz w:val="14"/>
            <w:szCs w:val="14"/>
          </w:rPr>
          <w:t>https://www.inegi.org.mx/temas/mg/</w:t>
        </w:r>
      </w:hyperlink>
      <w:r w:rsidRPr="00243F06">
        <w:rPr>
          <w:rFonts w:ascii="ITC Avant Garde" w:hAnsi="ITC Avant Garde"/>
          <w:sz w:val="14"/>
          <w:szCs w:val="14"/>
        </w:rPr>
        <w:t xml:space="preserve">  </w:t>
      </w:r>
    </w:p>
  </w:footnote>
  <w:footnote w:id="22">
    <w:p w14:paraId="6CD515B4" w14:textId="77777777" w:rsidR="00375B28" w:rsidRDefault="00375B28" w:rsidP="004E21B4">
      <w:pPr>
        <w:pStyle w:val="Textonotapie"/>
        <w:jc w:val="both"/>
      </w:pPr>
      <w:r w:rsidRPr="00243F06">
        <w:rPr>
          <w:rStyle w:val="Refdenotaalpie"/>
          <w:rFonts w:asciiTheme="minorHAnsi" w:hAnsiTheme="minorHAnsi"/>
          <w:sz w:val="14"/>
          <w:szCs w:val="14"/>
        </w:rPr>
        <w:footnoteRef/>
      </w:r>
      <w:r w:rsidRPr="00243F06">
        <w:rPr>
          <w:sz w:val="14"/>
          <w:szCs w:val="14"/>
        </w:rPr>
        <w:t xml:space="preserve"> </w:t>
      </w:r>
      <w:r w:rsidRPr="00243F06">
        <w:rPr>
          <w:rFonts w:ascii="ITC Avant Garde" w:hAnsi="ITC Avant Garde"/>
          <w:sz w:val="14"/>
          <w:szCs w:val="14"/>
        </w:rPr>
        <w:t xml:space="preserve">Véase la clasificación por “Índices de Marginación” elaborada por CONAPO, disponible a través de la siguiente dirección electrónica </w:t>
      </w:r>
      <w:r w:rsidRPr="00243F06">
        <w:rPr>
          <w:rStyle w:val="Hipervnculo"/>
          <w:rFonts w:ascii="ITC Avant Garde" w:hAnsi="ITC Avant Garde"/>
          <w:sz w:val="14"/>
          <w:szCs w:val="14"/>
        </w:rPr>
        <w:t>http://www.conapo.gob.mx/es/CONAPO/Indices_de_Marginacion</w:t>
      </w:r>
      <w:r w:rsidRPr="00243F06">
        <w:rPr>
          <w:rFonts w:ascii="ITC Avant Garde" w:hAnsi="ITC Avant Garde"/>
          <w:sz w:val="14"/>
          <w:szCs w:val="14"/>
        </w:rPr>
        <w:t>.</w:t>
      </w:r>
    </w:p>
  </w:footnote>
  <w:footnote w:id="23">
    <w:p w14:paraId="58410A1E" w14:textId="77777777" w:rsidR="00243F06" w:rsidRPr="00243F06" w:rsidRDefault="00243F06" w:rsidP="00F26EAC">
      <w:pPr>
        <w:pStyle w:val="Textonotapie"/>
        <w:jc w:val="both"/>
        <w:rPr>
          <w:rFonts w:ascii="ITC Avant Garde" w:hAnsi="ITC Avant Garde" w:cs="Arial"/>
          <w:sz w:val="14"/>
          <w:szCs w:val="14"/>
        </w:rPr>
      </w:pPr>
      <w:r w:rsidRPr="00243F06">
        <w:rPr>
          <w:rStyle w:val="Refdenotaalpie"/>
          <w:rFonts w:ascii="ITC Avant Garde" w:hAnsi="ITC Avant Garde"/>
          <w:sz w:val="14"/>
          <w:szCs w:val="14"/>
        </w:rPr>
        <w:footnoteRef/>
      </w:r>
      <w:r w:rsidRPr="00243F06">
        <w:rPr>
          <w:rFonts w:ascii="ITC Avant Garde" w:hAnsi="ITC Avant Garde" w:cs="Arial"/>
          <w:sz w:val="14"/>
          <w:szCs w:val="14"/>
        </w:rPr>
        <w:t xml:space="preserve"> Tarifa por uso de 6.6 metros cuadrados de espacio horizontal, incluyendo el uso de espacios comunes y compartidos.</w:t>
      </w:r>
    </w:p>
  </w:footnote>
  <w:footnote w:id="24">
    <w:p w14:paraId="522E07A0" w14:textId="343CCFC8" w:rsidR="00375B28" w:rsidRPr="00C86745" w:rsidRDefault="00375B28" w:rsidP="00F26EAC">
      <w:pPr>
        <w:pStyle w:val="Textonotapie"/>
        <w:jc w:val="both"/>
        <w:rPr>
          <w:rFonts w:ascii="ITC Avant Garde" w:hAnsi="ITC Avant Garde"/>
          <w:sz w:val="18"/>
          <w:szCs w:val="16"/>
        </w:rPr>
      </w:pPr>
      <w:r w:rsidRPr="00243F06">
        <w:rPr>
          <w:rStyle w:val="Refdenotaalpie"/>
          <w:rFonts w:ascii="ITC Avant Garde" w:hAnsi="ITC Avant Garde"/>
          <w:sz w:val="14"/>
          <w:szCs w:val="14"/>
        </w:rPr>
        <w:footnoteRef/>
      </w:r>
      <w:r w:rsidRPr="00243F06">
        <w:rPr>
          <w:rFonts w:ascii="ITC Avant Garde" w:hAnsi="ITC Avant Garde" w:cs="Arial"/>
          <w:sz w:val="14"/>
          <w:szCs w:val="14"/>
        </w:rPr>
        <w:t xml:space="preserve"> Los valores numéricos corresponden a la clasificación del Índice de Marginación, elaborado por el Consejo Nacional de Población (CONAPO). Disponible en la siguiente liga electrónica: </w:t>
      </w:r>
      <w:hyperlink r:id="rId5" w:history="1">
        <w:r w:rsidRPr="00243F06">
          <w:rPr>
            <w:rStyle w:val="Hipervnculo"/>
            <w:rFonts w:ascii="ITC Avant Garde" w:hAnsi="ITC Avant Garde" w:cs="Arial"/>
            <w:sz w:val="14"/>
            <w:szCs w:val="14"/>
          </w:rPr>
          <w:t>https://www.gob.mx/conapo/documentos/indices-de-marginacion-2020-284372</w:t>
        </w:r>
      </w:hyperlink>
      <w:r w:rsidRPr="00243F06">
        <w:rPr>
          <w:rFonts w:ascii="ITC Avant Garde" w:hAnsi="ITC Avant Garde" w:cs="Arial"/>
          <w:sz w:val="14"/>
          <w:szCs w:val="14"/>
        </w:rPr>
        <w:t xml:space="preserve">. </w:t>
      </w:r>
    </w:p>
  </w:footnote>
  <w:footnote w:id="25">
    <w:p w14:paraId="4AE76016" w14:textId="77777777" w:rsidR="00375B28" w:rsidRPr="00243F06" w:rsidRDefault="00375B28" w:rsidP="00F26EAC">
      <w:pPr>
        <w:pStyle w:val="Textonotapie"/>
        <w:jc w:val="both"/>
        <w:rPr>
          <w:rFonts w:ascii="ITC Avant Garde" w:hAnsi="ITC Avant Garde" w:cs="Arial"/>
          <w:sz w:val="14"/>
          <w:szCs w:val="14"/>
          <w:lang w:val="uz-Cyrl-UZ"/>
        </w:rPr>
      </w:pPr>
      <w:r w:rsidRPr="00243F06">
        <w:rPr>
          <w:rStyle w:val="Refdenotaalpie"/>
          <w:rFonts w:ascii="ITC Avant Garde" w:hAnsi="ITC Avant Garde"/>
          <w:sz w:val="14"/>
          <w:szCs w:val="14"/>
        </w:rPr>
        <w:footnoteRef/>
      </w:r>
      <w:r w:rsidRPr="00243F06">
        <w:rPr>
          <w:rStyle w:val="Refdenotaalpie"/>
          <w:rFonts w:ascii="ITC Avant Garde" w:hAnsi="ITC Avant Garde"/>
          <w:sz w:val="14"/>
          <w:szCs w:val="14"/>
        </w:rPr>
        <w:t xml:space="preserve"> </w:t>
      </w:r>
      <w:r w:rsidRPr="00243F06">
        <w:rPr>
          <w:rFonts w:ascii="ITC Avant Garde" w:hAnsi="ITC Avant Garde" w:cs="Arial"/>
          <w:sz w:val="14"/>
          <w:szCs w:val="14"/>
        </w:rPr>
        <w:t>El área residual calculada es la que se desprende de restarle al área del predio las áreas necesarias para la base de la torre, la caseta y el espacio necesario para el Concesionario [o Autorizado] Solicitante.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E4F23FA"/>
    <w:multiLevelType w:val="hybridMultilevel"/>
    <w:tmpl w:val="DAA4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E1ABC"/>
    <w:multiLevelType w:val="multilevel"/>
    <w:tmpl w:val="CC381846"/>
    <w:lvl w:ilvl="0">
      <w:start w:val="6"/>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202C4E"/>
    <w:multiLevelType w:val="hybridMultilevel"/>
    <w:tmpl w:val="F5CC2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92FE5"/>
    <w:multiLevelType w:val="hybridMultilevel"/>
    <w:tmpl w:val="F84C3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B66EBB"/>
    <w:multiLevelType w:val="hybridMultilevel"/>
    <w:tmpl w:val="E2EE58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060457"/>
    <w:multiLevelType w:val="hybridMultilevel"/>
    <w:tmpl w:val="9BFECC54"/>
    <w:lvl w:ilvl="0" w:tplc="6A0CD506">
      <w:start w:val="1"/>
      <w:numFmt w:val="decimal"/>
      <w:pStyle w:val="T2IFT"/>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DB337B0"/>
    <w:multiLevelType w:val="hybridMultilevel"/>
    <w:tmpl w:val="5DC85D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C07CDE"/>
    <w:multiLevelType w:val="multilevel"/>
    <w:tmpl w:val="0809001D"/>
    <w:styleLink w:val="1ai"/>
    <w:lvl w:ilvl="0">
      <w:start w:val="1"/>
      <w:numFmt w:val="decimal"/>
      <w:pStyle w:val="L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F07CA4"/>
    <w:multiLevelType w:val="hybridMultilevel"/>
    <w:tmpl w:val="58CC1E96"/>
    <w:lvl w:ilvl="0" w:tplc="080A000F">
      <w:start w:val="1"/>
      <w:numFmt w:val="decimal"/>
      <w:lvlText w:val="%1."/>
      <w:lvlJc w:val="left"/>
      <w:pPr>
        <w:ind w:left="720" w:hanging="360"/>
      </w:pPr>
      <w:rPr>
        <w:rFonts w:cs="Times New Roman" w:hint="default"/>
      </w:rPr>
    </w:lvl>
    <w:lvl w:ilvl="1" w:tplc="B96ACCEA">
      <w:start w:val="1"/>
      <w:numFmt w:val="lowerLetter"/>
      <w:lvlText w:val="%2."/>
      <w:lvlJc w:val="left"/>
      <w:pPr>
        <w:ind w:left="1440" w:hanging="360"/>
      </w:pPr>
      <w:rPr>
        <w:rFonts w:cs="Times New Roman"/>
        <w:b/>
        <w:i/>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CE24370"/>
    <w:multiLevelType w:val="multilevel"/>
    <w:tmpl w:val="A83E076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1660997"/>
    <w:multiLevelType w:val="hybridMultilevel"/>
    <w:tmpl w:val="104441F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56D90542"/>
    <w:multiLevelType w:val="hybridMultilevel"/>
    <w:tmpl w:val="C504A392"/>
    <w:lvl w:ilvl="0" w:tplc="81A62C46">
      <w:start w:val="1"/>
      <w:numFmt w:val="bullet"/>
      <w:lvlText w:val="•"/>
      <w:lvlJc w:val="left"/>
      <w:pPr>
        <w:tabs>
          <w:tab w:val="num" w:pos="720"/>
        </w:tabs>
        <w:ind w:left="720" w:hanging="360"/>
      </w:pPr>
      <w:rPr>
        <w:rFonts w:ascii="Arial" w:hAnsi="Arial" w:hint="default"/>
      </w:rPr>
    </w:lvl>
    <w:lvl w:ilvl="1" w:tplc="F076756A">
      <w:start w:val="1"/>
      <w:numFmt w:val="bullet"/>
      <w:lvlText w:val="•"/>
      <w:lvlJc w:val="left"/>
      <w:pPr>
        <w:tabs>
          <w:tab w:val="num" w:pos="1440"/>
        </w:tabs>
        <w:ind w:left="1440" w:hanging="360"/>
      </w:pPr>
      <w:rPr>
        <w:rFonts w:ascii="Arial" w:hAnsi="Arial" w:hint="default"/>
      </w:rPr>
    </w:lvl>
    <w:lvl w:ilvl="2" w:tplc="088E6BD0" w:tentative="1">
      <w:start w:val="1"/>
      <w:numFmt w:val="bullet"/>
      <w:lvlText w:val="•"/>
      <w:lvlJc w:val="left"/>
      <w:pPr>
        <w:tabs>
          <w:tab w:val="num" w:pos="2160"/>
        </w:tabs>
        <w:ind w:left="2160" w:hanging="360"/>
      </w:pPr>
      <w:rPr>
        <w:rFonts w:ascii="Arial" w:hAnsi="Arial" w:hint="default"/>
      </w:rPr>
    </w:lvl>
    <w:lvl w:ilvl="3" w:tplc="963E2F24" w:tentative="1">
      <w:start w:val="1"/>
      <w:numFmt w:val="bullet"/>
      <w:lvlText w:val="•"/>
      <w:lvlJc w:val="left"/>
      <w:pPr>
        <w:tabs>
          <w:tab w:val="num" w:pos="2880"/>
        </w:tabs>
        <w:ind w:left="2880" w:hanging="360"/>
      </w:pPr>
      <w:rPr>
        <w:rFonts w:ascii="Arial" w:hAnsi="Arial" w:hint="default"/>
      </w:rPr>
    </w:lvl>
    <w:lvl w:ilvl="4" w:tplc="BEF44D96" w:tentative="1">
      <w:start w:val="1"/>
      <w:numFmt w:val="bullet"/>
      <w:lvlText w:val="•"/>
      <w:lvlJc w:val="left"/>
      <w:pPr>
        <w:tabs>
          <w:tab w:val="num" w:pos="3600"/>
        </w:tabs>
        <w:ind w:left="3600" w:hanging="360"/>
      </w:pPr>
      <w:rPr>
        <w:rFonts w:ascii="Arial" w:hAnsi="Arial" w:hint="default"/>
      </w:rPr>
    </w:lvl>
    <w:lvl w:ilvl="5" w:tplc="F67EE0C0" w:tentative="1">
      <w:start w:val="1"/>
      <w:numFmt w:val="bullet"/>
      <w:lvlText w:val="•"/>
      <w:lvlJc w:val="left"/>
      <w:pPr>
        <w:tabs>
          <w:tab w:val="num" w:pos="4320"/>
        </w:tabs>
        <w:ind w:left="4320" w:hanging="360"/>
      </w:pPr>
      <w:rPr>
        <w:rFonts w:ascii="Arial" w:hAnsi="Arial" w:hint="default"/>
      </w:rPr>
    </w:lvl>
    <w:lvl w:ilvl="6" w:tplc="A78C0F4A" w:tentative="1">
      <w:start w:val="1"/>
      <w:numFmt w:val="bullet"/>
      <w:lvlText w:val="•"/>
      <w:lvlJc w:val="left"/>
      <w:pPr>
        <w:tabs>
          <w:tab w:val="num" w:pos="5040"/>
        </w:tabs>
        <w:ind w:left="5040" w:hanging="360"/>
      </w:pPr>
      <w:rPr>
        <w:rFonts w:ascii="Arial" w:hAnsi="Arial" w:hint="default"/>
      </w:rPr>
    </w:lvl>
    <w:lvl w:ilvl="7" w:tplc="FC921332" w:tentative="1">
      <w:start w:val="1"/>
      <w:numFmt w:val="bullet"/>
      <w:lvlText w:val="•"/>
      <w:lvlJc w:val="left"/>
      <w:pPr>
        <w:tabs>
          <w:tab w:val="num" w:pos="5760"/>
        </w:tabs>
        <w:ind w:left="5760" w:hanging="360"/>
      </w:pPr>
      <w:rPr>
        <w:rFonts w:ascii="Arial" w:hAnsi="Arial" w:hint="default"/>
      </w:rPr>
    </w:lvl>
    <w:lvl w:ilvl="8" w:tplc="CB16A7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BB1ED0"/>
    <w:multiLevelType w:val="hybridMultilevel"/>
    <w:tmpl w:val="7E088880"/>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4" w15:restartNumberingAfterBreak="0">
    <w:nsid w:val="6C5309B9"/>
    <w:multiLevelType w:val="hybridMultilevel"/>
    <w:tmpl w:val="61C41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C51FBF"/>
    <w:multiLevelType w:val="hybridMultilevel"/>
    <w:tmpl w:val="3A762CE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83547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13743"/>
    <w:multiLevelType w:val="hybridMultilevel"/>
    <w:tmpl w:val="835CE262"/>
    <w:lvl w:ilvl="0" w:tplc="A8847DEE">
      <w:start w:val="1"/>
      <w:numFmt w:val="bullet"/>
      <w:lvlText w:val=""/>
      <w:lvlJc w:val="left"/>
      <w:pPr>
        <w:ind w:left="108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0751746"/>
    <w:multiLevelType w:val="hybridMultilevel"/>
    <w:tmpl w:val="3D6A8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FF3BA7"/>
    <w:multiLevelType w:val="multilevel"/>
    <w:tmpl w:val="7158E04C"/>
    <w:lvl w:ilvl="0">
      <w:start w:val="6"/>
      <w:numFmt w:val="decimal"/>
      <w:lvlText w:val="%1"/>
      <w:lvlJc w:val="left"/>
      <w:pPr>
        <w:ind w:left="520" w:hanging="520"/>
      </w:pPr>
      <w:rPr>
        <w:rFonts w:hint="default"/>
      </w:rPr>
    </w:lvl>
    <w:lvl w:ilvl="1">
      <w:start w:val="1"/>
      <w:numFmt w:val="decimal"/>
      <w:lvlText w:val="%1.%2"/>
      <w:lvlJc w:val="left"/>
      <w:pPr>
        <w:ind w:left="880" w:hanging="5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0"/>
  </w:num>
  <w:num w:numId="3">
    <w:abstractNumId w:val="12"/>
  </w:num>
  <w:num w:numId="4">
    <w:abstractNumId w:val="18"/>
  </w:num>
  <w:num w:numId="5">
    <w:abstractNumId w:val="14"/>
  </w:num>
  <w:num w:numId="6">
    <w:abstractNumId w:val="8"/>
  </w:num>
  <w:num w:numId="7">
    <w:abstractNumId w:val="15"/>
  </w:num>
  <w:num w:numId="8">
    <w:abstractNumId w:val="7"/>
  </w:num>
  <w:num w:numId="9">
    <w:abstractNumId w:val="11"/>
  </w:num>
  <w:num w:numId="10">
    <w:abstractNumId w:val="17"/>
  </w:num>
  <w:num w:numId="11">
    <w:abstractNumId w:val="1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1"/>
  </w:num>
  <w:num w:numId="20">
    <w:abstractNumId w:val="13"/>
  </w:num>
  <w:num w:numId="21">
    <w:abstractNumId w:val="5"/>
  </w:num>
  <w:num w:numId="22">
    <w:abstractNumId w:val="3"/>
  </w:num>
  <w:num w:numId="23">
    <w:abstractNumId w:val="6"/>
  </w:num>
  <w:num w:numId="24">
    <w:abstractNumId w:val="6"/>
  </w:num>
  <w:num w:numId="25">
    <w:abstractNumId w:val="9"/>
  </w:num>
  <w:num w:numId="26">
    <w:abstractNumId w:val="4"/>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9C"/>
    <w:rsid w:val="00004296"/>
    <w:rsid w:val="00011446"/>
    <w:rsid w:val="0001760F"/>
    <w:rsid w:val="00025570"/>
    <w:rsid w:val="00025E58"/>
    <w:rsid w:val="00044F65"/>
    <w:rsid w:val="0004544C"/>
    <w:rsid w:val="00045987"/>
    <w:rsid w:val="0007023D"/>
    <w:rsid w:val="0007614D"/>
    <w:rsid w:val="000836C2"/>
    <w:rsid w:val="00084D25"/>
    <w:rsid w:val="0009086D"/>
    <w:rsid w:val="00092744"/>
    <w:rsid w:val="00093EC3"/>
    <w:rsid w:val="00096270"/>
    <w:rsid w:val="000A5769"/>
    <w:rsid w:val="000A6697"/>
    <w:rsid w:val="000B1A00"/>
    <w:rsid w:val="000B3673"/>
    <w:rsid w:val="000B4C5F"/>
    <w:rsid w:val="000B63A6"/>
    <w:rsid w:val="000C2809"/>
    <w:rsid w:val="000C2E8B"/>
    <w:rsid w:val="000D4FC2"/>
    <w:rsid w:val="000D547D"/>
    <w:rsid w:val="000E10AB"/>
    <w:rsid w:val="000F10C8"/>
    <w:rsid w:val="000F3763"/>
    <w:rsid w:val="000F73C7"/>
    <w:rsid w:val="00104BB4"/>
    <w:rsid w:val="00104CB4"/>
    <w:rsid w:val="00113CCA"/>
    <w:rsid w:val="00115734"/>
    <w:rsid w:val="00116D3D"/>
    <w:rsid w:val="001310FF"/>
    <w:rsid w:val="00133F12"/>
    <w:rsid w:val="00135344"/>
    <w:rsid w:val="0013779B"/>
    <w:rsid w:val="00150A78"/>
    <w:rsid w:val="00157F2D"/>
    <w:rsid w:val="00163097"/>
    <w:rsid w:val="00166F02"/>
    <w:rsid w:val="0017249F"/>
    <w:rsid w:val="001827E6"/>
    <w:rsid w:val="001A265A"/>
    <w:rsid w:val="001A365F"/>
    <w:rsid w:val="001A4F9A"/>
    <w:rsid w:val="001A6693"/>
    <w:rsid w:val="001B1CBB"/>
    <w:rsid w:val="001B3381"/>
    <w:rsid w:val="001B7780"/>
    <w:rsid w:val="001D1316"/>
    <w:rsid w:val="001D40A8"/>
    <w:rsid w:val="00201412"/>
    <w:rsid w:val="00211D3B"/>
    <w:rsid w:val="002136A7"/>
    <w:rsid w:val="00221C9C"/>
    <w:rsid w:val="002224B9"/>
    <w:rsid w:val="0022728B"/>
    <w:rsid w:val="0023217F"/>
    <w:rsid w:val="0023324B"/>
    <w:rsid w:val="002349D7"/>
    <w:rsid w:val="00243039"/>
    <w:rsid w:val="00243F06"/>
    <w:rsid w:val="002445CA"/>
    <w:rsid w:val="0024464E"/>
    <w:rsid w:val="002646F6"/>
    <w:rsid w:val="0026764D"/>
    <w:rsid w:val="00270C8D"/>
    <w:rsid w:val="002767D0"/>
    <w:rsid w:val="002768C4"/>
    <w:rsid w:val="00282E74"/>
    <w:rsid w:val="00294774"/>
    <w:rsid w:val="002A0FEF"/>
    <w:rsid w:val="002A4B3C"/>
    <w:rsid w:val="002A76F1"/>
    <w:rsid w:val="002B0A04"/>
    <w:rsid w:val="002B7596"/>
    <w:rsid w:val="002C31C1"/>
    <w:rsid w:val="002C61C8"/>
    <w:rsid w:val="002D7873"/>
    <w:rsid w:val="002F7F90"/>
    <w:rsid w:val="00301B2A"/>
    <w:rsid w:val="00302F39"/>
    <w:rsid w:val="0030521F"/>
    <w:rsid w:val="00311FA9"/>
    <w:rsid w:val="003277BA"/>
    <w:rsid w:val="00330F18"/>
    <w:rsid w:val="00332454"/>
    <w:rsid w:val="00332D6F"/>
    <w:rsid w:val="00335D12"/>
    <w:rsid w:val="003417F1"/>
    <w:rsid w:val="003552B5"/>
    <w:rsid w:val="003657A0"/>
    <w:rsid w:val="00367637"/>
    <w:rsid w:val="00374AFC"/>
    <w:rsid w:val="00375A17"/>
    <w:rsid w:val="00375B28"/>
    <w:rsid w:val="00386EDA"/>
    <w:rsid w:val="003A1E6F"/>
    <w:rsid w:val="003A556C"/>
    <w:rsid w:val="003B0C7C"/>
    <w:rsid w:val="003B2F26"/>
    <w:rsid w:val="003B3150"/>
    <w:rsid w:val="003D0158"/>
    <w:rsid w:val="003D1529"/>
    <w:rsid w:val="003E4773"/>
    <w:rsid w:val="003E53DD"/>
    <w:rsid w:val="003F4111"/>
    <w:rsid w:val="00400B1E"/>
    <w:rsid w:val="00401C2E"/>
    <w:rsid w:val="00412A75"/>
    <w:rsid w:val="00414E96"/>
    <w:rsid w:val="0041641C"/>
    <w:rsid w:val="00417307"/>
    <w:rsid w:val="0042483A"/>
    <w:rsid w:val="0042690A"/>
    <w:rsid w:val="00432855"/>
    <w:rsid w:val="00436F90"/>
    <w:rsid w:val="004661E4"/>
    <w:rsid w:val="00471D33"/>
    <w:rsid w:val="00476734"/>
    <w:rsid w:val="00482CD1"/>
    <w:rsid w:val="00490605"/>
    <w:rsid w:val="00490EA8"/>
    <w:rsid w:val="0049238F"/>
    <w:rsid w:val="004935A2"/>
    <w:rsid w:val="004938C1"/>
    <w:rsid w:val="00495134"/>
    <w:rsid w:val="004A101A"/>
    <w:rsid w:val="004A3C67"/>
    <w:rsid w:val="004A5E3A"/>
    <w:rsid w:val="004B6995"/>
    <w:rsid w:val="004C6873"/>
    <w:rsid w:val="004E21B4"/>
    <w:rsid w:val="004E3DD1"/>
    <w:rsid w:val="004F1827"/>
    <w:rsid w:val="004F36D6"/>
    <w:rsid w:val="0050072A"/>
    <w:rsid w:val="0050257F"/>
    <w:rsid w:val="00506978"/>
    <w:rsid w:val="005072B2"/>
    <w:rsid w:val="00510F66"/>
    <w:rsid w:val="005130BD"/>
    <w:rsid w:val="0052083C"/>
    <w:rsid w:val="00523373"/>
    <w:rsid w:val="00551E46"/>
    <w:rsid w:val="00563528"/>
    <w:rsid w:val="005658C4"/>
    <w:rsid w:val="00584945"/>
    <w:rsid w:val="005927F2"/>
    <w:rsid w:val="005A1065"/>
    <w:rsid w:val="005A126B"/>
    <w:rsid w:val="005A6CD3"/>
    <w:rsid w:val="005A73FC"/>
    <w:rsid w:val="005B11A3"/>
    <w:rsid w:val="005C17A9"/>
    <w:rsid w:val="005C5CE1"/>
    <w:rsid w:val="005C6387"/>
    <w:rsid w:val="005D5FB3"/>
    <w:rsid w:val="005D6627"/>
    <w:rsid w:val="005D68F9"/>
    <w:rsid w:val="005E76E4"/>
    <w:rsid w:val="005F2BA8"/>
    <w:rsid w:val="005F322B"/>
    <w:rsid w:val="00601647"/>
    <w:rsid w:val="00603B76"/>
    <w:rsid w:val="00607814"/>
    <w:rsid w:val="00607DDA"/>
    <w:rsid w:val="00610ABD"/>
    <w:rsid w:val="00616695"/>
    <w:rsid w:val="00622517"/>
    <w:rsid w:val="00630646"/>
    <w:rsid w:val="006318CC"/>
    <w:rsid w:val="006342F4"/>
    <w:rsid w:val="006379DB"/>
    <w:rsid w:val="00654811"/>
    <w:rsid w:val="00655B19"/>
    <w:rsid w:val="0066338F"/>
    <w:rsid w:val="00672FF5"/>
    <w:rsid w:val="006737A4"/>
    <w:rsid w:val="006813CD"/>
    <w:rsid w:val="00681CB9"/>
    <w:rsid w:val="00694F9F"/>
    <w:rsid w:val="006A46ED"/>
    <w:rsid w:val="006B12FA"/>
    <w:rsid w:val="006D63CC"/>
    <w:rsid w:val="00714A33"/>
    <w:rsid w:val="00715852"/>
    <w:rsid w:val="007229CD"/>
    <w:rsid w:val="00741AB2"/>
    <w:rsid w:val="00757493"/>
    <w:rsid w:val="007727DD"/>
    <w:rsid w:val="007729F2"/>
    <w:rsid w:val="007765FC"/>
    <w:rsid w:val="00776925"/>
    <w:rsid w:val="00776DC6"/>
    <w:rsid w:val="00781B8D"/>
    <w:rsid w:val="0078404E"/>
    <w:rsid w:val="007A4C15"/>
    <w:rsid w:val="007A6687"/>
    <w:rsid w:val="007A7CFF"/>
    <w:rsid w:val="007B0082"/>
    <w:rsid w:val="007C0B96"/>
    <w:rsid w:val="007D77D0"/>
    <w:rsid w:val="007E1153"/>
    <w:rsid w:val="007E324A"/>
    <w:rsid w:val="007F177F"/>
    <w:rsid w:val="007F2DBA"/>
    <w:rsid w:val="007F7855"/>
    <w:rsid w:val="00816802"/>
    <w:rsid w:val="00817FE4"/>
    <w:rsid w:val="00821F49"/>
    <w:rsid w:val="00830CDA"/>
    <w:rsid w:val="008374C8"/>
    <w:rsid w:val="008431E7"/>
    <w:rsid w:val="008436F0"/>
    <w:rsid w:val="00852698"/>
    <w:rsid w:val="00861B6C"/>
    <w:rsid w:val="00864436"/>
    <w:rsid w:val="00867F6B"/>
    <w:rsid w:val="0087298C"/>
    <w:rsid w:val="00873381"/>
    <w:rsid w:val="00877FD1"/>
    <w:rsid w:val="008830C8"/>
    <w:rsid w:val="00885D39"/>
    <w:rsid w:val="008900E1"/>
    <w:rsid w:val="00890CE8"/>
    <w:rsid w:val="008B0757"/>
    <w:rsid w:val="008C1C74"/>
    <w:rsid w:val="008D45FA"/>
    <w:rsid w:val="008D507F"/>
    <w:rsid w:val="008E5D5E"/>
    <w:rsid w:val="008E693A"/>
    <w:rsid w:val="008F129B"/>
    <w:rsid w:val="008F176A"/>
    <w:rsid w:val="008F22C6"/>
    <w:rsid w:val="008F68C9"/>
    <w:rsid w:val="00904628"/>
    <w:rsid w:val="009076D1"/>
    <w:rsid w:val="00915EDE"/>
    <w:rsid w:val="00921E40"/>
    <w:rsid w:val="00927C8F"/>
    <w:rsid w:val="00930E9A"/>
    <w:rsid w:val="009402EC"/>
    <w:rsid w:val="0094200B"/>
    <w:rsid w:val="00950E95"/>
    <w:rsid w:val="0095666E"/>
    <w:rsid w:val="00983A84"/>
    <w:rsid w:val="0098548F"/>
    <w:rsid w:val="00995CA0"/>
    <w:rsid w:val="0099731C"/>
    <w:rsid w:val="00997768"/>
    <w:rsid w:val="009A4E85"/>
    <w:rsid w:val="009B4C73"/>
    <w:rsid w:val="009C6734"/>
    <w:rsid w:val="009D109A"/>
    <w:rsid w:val="009D7578"/>
    <w:rsid w:val="009E1BA9"/>
    <w:rsid w:val="009F1CFA"/>
    <w:rsid w:val="009F2BC1"/>
    <w:rsid w:val="009F726C"/>
    <w:rsid w:val="00A03B31"/>
    <w:rsid w:val="00A03B5B"/>
    <w:rsid w:val="00A10554"/>
    <w:rsid w:val="00A228EC"/>
    <w:rsid w:val="00A5163B"/>
    <w:rsid w:val="00A6073E"/>
    <w:rsid w:val="00A6563D"/>
    <w:rsid w:val="00A70A36"/>
    <w:rsid w:val="00A939C5"/>
    <w:rsid w:val="00A95790"/>
    <w:rsid w:val="00AA182D"/>
    <w:rsid w:val="00AA1CB8"/>
    <w:rsid w:val="00AB6105"/>
    <w:rsid w:val="00AD5DE6"/>
    <w:rsid w:val="00AD6A29"/>
    <w:rsid w:val="00AE0217"/>
    <w:rsid w:val="00AE5795"/>
    <w:rsid w:val="00AF5906"/>
    <w:rsid w:val="00AF5EC4"/>
    <w:rsid w:val="00B01F23"/>
    <w:rsid w:val="00B05E0C"/>
    <w:rsid w:val="00B106E7"/>
    <w:rsid w:val="00B171F5"/>
    <w:rsid w:val="00B54183"/>
    <w:rsid w:val="00B625B8"/>
    <w:rsid w:val="00B64B45"/>
    <w:rsid w:val="00B65BE0"/>
    <w:rsid w:val="00B92FFB"/>
    <w:rsid w:val="00B9501F"/>
    <w:rsid w:val="00B956D7"/>
    <w:rsid w:val="00B957FA"/>
    <w:rsid w:val="00B9728A"/>
    <w:rsid w:val="00BA2F77"/>
    <w:rsid w:val="00BC17E9"/>
    <w:rsid w:val="00BC494B"/>
    <w:rsid w:val="00BC5351"/>
    <w:rsid w:val="00BD4BD8"/>
    <w:rsid w:val="00BE3AA2"/>
    <w:rsid w:val="00C176F4"/>
    <w:rsid w:val="00C20C40"/>
    <w:rsid w:val="00C2269C"/>
    <w:rsid w:val="00C252AF"/>
    <w:rsid w:val="00C27184"/>
    <w:rsid w:val="00C304D1"/>
    <w:rsid w:val="00C3345D"/>
    <w:rsid w:val="00C4189B"/>
    <w:rsid w:val="00C44FE1"/>
    <w:rsid w:val="00C450E5"/>
    <w:rsid w:val="00C56796"/>
    <w:rsid w:val="00C56D87"/>
    <w:rsid w:val="00C7337F"/>
    <w:rsid w:val="00C7403A"/>
    <w:rsid w:val="00C74E38"/>
    <w:rsid w:val="00C75312"/>
    <w:rsid w:val="00C86745"/>
    <w:rsid w:val="00C9660A"/>
    <w:rsid w:val="00CA0A71"/>
    <w:rsid w:val="00CA3814"/>
    <w:rsid w:val="00CA499B"/>
    <w:rsid w:val="00CB4B53"/>
    <w:rsid w:val="00CC047D"/>
    <w:rsid w:val="00CD0AAC"/>
    <w:rsid w:val="00CD5A97"/>
    <w:rsid w:val="00CF17F6"/>
    <w:rsid w:val="00CF63A7"/>
    <w:rsid w:val="00D00A29"/>
    <w:rsid w:val="00D062E0"/>
    <w:rsid w:val="00D223F7"/>
    <w:rsid w:val="00D22967"/>
    <w:rsid w:val="00D30B1E"/>
    <w:rsid w:val="00D31A84"/>
    <w:rsid w:val="00D35731"/>
    <w:rsid w:val="00D565FA"/>
    <w:rsid w:val="00D64276"/>
    <w:rsid w:val="00D65B51"/>
    <w:rsid w:val="00D71EDA"/>
    <w:rsid w:val="00D74957"/>
    <w:rsid w:val="00D76E8D"/>
    <w:rsid w:val="00D808B8"/>
    <w:rsid w:val="00D844C1"/>
    <w:rsid w:val="00D87B0D"/>
    <w:rsid w:val="00D90C03"/>
    <w:rsid w:val="00D94A35"/>
    <w:rsid w:val="00D94F8A"/>
    <w:rsid w:val="00DA59F1"/>
    <w:rsid w:val="00DA6E53"/>
    <w:rsid w:val="00DB0E78"/>
    <w:rsid w:val="00DB46FB"/>
    <w:rsid w:val="00DB69F1"/>
    <w:rsid w:val="00DC206D"/>
    <w:rsid w:val="00DC5A38"/>
    <w:rsid w:val="00DC5EDF"/>
    <w:rsid w:val="00DD1DCE"/>
    <w:rsid w:val="00DE410A"/>
    <w:rsid w:val="00DF1006"/>
    <w:rsid w:val="00DF51C7"/>
    <w:rsid w:val="00DF7123"/>
    <w:rsid w:val="00DF7498"/>
    <w:rsid w:val="00DF76DC"/>
    <w:rsid w:val="00E01154"/>
    <w:rsid w:val="00E054CA"/>
    <w:rsid w:val="00E208D2"/>
    <w:rsid w:val="00E2590C"/>
    <w:rsid w:val="00E35F2C"/>
    <w:rsid w:val="00E37B5B"/>
    <w:rsid w:val="00E421E6"/>
    <w:rsid w:val="00E428B8"/>
    <w:rsid w:val="00E45AF1"/>
    <w:rsid w:val="00E543BC"/>
    <w:rsid w:val="00E547C1"/>
    <w:rsid w:val="00E568FA"/>
    <w:rsid w:val="00E570D6"/>
    <w:rsid w:val="00E60DC4"/>
    <w:rsid w:val="00E7246E"/>
    <w:rsid w:val="00E75BE8"/>
    <w:rsid w:val="00E83D45"/>
    <w:rsid w:val="00E95986"/>
    <w:rsid w:val="00EB5755"/>
    <w:rsid w:val="00EB7191"/>
    <w:rsid w:val="00ED036D"/>
    <w:rsid w:val="00ED172D"/>
    <w:rsid w:val="00EE30DA"/>
    <w:rsid w:val="00EF3969"/>
    <w:rsid w:val="00EF680E"/>
    <w:rsid w:val="00F0562A"/>
    <w:rsid w:val="00F0644C"/>
    <w:rsid w:val="00F20A66"/>
    <w:rsid w:val="00F23A56"/>
    <w:rsid w:val="00F26EAC"/>
    <w:rsid w:val="00F27142"/>
    <w:rsid w:val="00F40FDB"/>
    <w:rsid w:val="00F5071E"/>
    <w:rsid w:val="00F55ACE"/>
    <w:rsid w:val="00F71A91"/>
    <w:rsid w:val="00F7470F"/>
    <w:rsid w:val="00F825C9"/>
    <w:rsid w:val="00F8605F"/>
    <w:rsid w:val="00F9463B"/>
    <w:rsid w:val="00F962B8"/>
    <w:rsid w:val="00FA1204"/>
    <w:rsid w:val="00FA2A57"/>
    <w:rsid w:val="00FB2A3E"/>
    <w:rsid w:val="00FC0604"/>
    <w:rsid w:val="00FC608F"/>
    <w:rsid w:val="00FD6605"/>
    <w:rsid w:val="00FE0D86"/>
    <w:rsid w:val="00FF365D"/>
    <w:rsid w:val="00FF3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5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5E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072B2"/>
    <w:pPr>
      <w:keepNext/>
      <w:keepLines/>
      <w:spacing w:before="360" w:after="240" w:line="288" w:lineRule="auto"/>
      <w:jc w:val="both"/>
      <w:outlineLvl w:val="1"/>
    </w:pPr>
    <w:rPr>
      <w:rFonts w:ascii="Arial" w:eastAsiaTheme="majorEastAsia" w:hAnsi="Arial" w:cs="Arial"/>
      <w:b/>
      <w:bCs/>
      <w:color w:val="000000" w:themeColor="text1"/>
      <w:sz w:val="24"/>
      <w:szCs w:val="24"/>
      <w:lang w:val="en-GB"/>
    </w:rPr>
  </w:style>
  <w:style w:type="paragraph" w:styleId="Ttulo3">
    <w:name w:val="heading 3"/>
    <w:basedOn w:val="Normal"/>
    <w:next w:val="Normal"/>
    <w:link w:val="Ttulo3Car"/>
    <w:unhideWhenUsed/>
    <w:qFormat/>
    <w:rsid w:val="009973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5EC4"/>
    <w:pPr>
      <w:spacing w:after="0" w:line="240" w:lineRule="auto"/>
    </w:pPr>
  </w:style>
  <w:style w:type="paragraph" w:styleId="Listaconvietas2">
    <w:name w:val="List Bullet 2"/>
    <w:basedOn w:val="Listaconvietas"/>
    <w:next w:val="Listaconvietas"/>
    <w:uiPriority w:val="99"/>
    <w:unhideWhenUsed/>
    <w:qFormat/>
    <w:rsid w:val="009D7578"/>
    <w:pPr>
      <w:keepLines/>
      <w:numPr>
        <w:numId w:val="1"/>
      </w:numPr>
      <w:spacing w:after="240" w:line="320" w:lineRule="atLeast"/>
      <w:contextualSpacing w:val="0"/>
      <w:jc w:val="both"/>
    </w:pPr>
    <w:rPr>
      <w:rFonts w:ascii="Times New Roman" w:hAnsi="Times New Roman"/>
    </w:rPr>
  </w:style>
  <w:style w:type="paragraph" w:customStyle="1" w:styleId="II">
    <w:name w:val="II"/>
    <w:basedOn w:val="Listaconvietas2"/>
    <w:link w:val="IIChar"/>
    <w:qFormat/>
    <w:rsid w:val="009D7578"/>
  </w:style>
  <w:style w:type="character" w:customStyle="1" w:styleId="IIChar">
    <w:name w:val="II Char"/>
    <w:basedOn w:val="Fuentedeprrafopredeter"/>
    <w:link w:val="II"/>
    <w:rsid w:val="009D7578"/>
    <w:rPr>
      <w:rFonts w:ascii="Times New Roman" w:hAnsi="Times New Roman"/>
    </w:rPr>
  </w:style>
  <w:style w:type="paragraph" w:styleId="Listaconvietas">
    <w:name w:val="List Bullet"/>
    <w:basedOn w:val="Normal"/>
    <w:uiPriority w:val="99"/>
    <w:semiHidden/>
    <w:unhideWhenUsed/>
    <w:rsid w:val="009D7578"/>
    <w:pPr>
      <w:numPr>
        <w:numId w:val="2"/>
      </w:numPr>
      <w:contextualSpacing/>
    </w:pPr>
  </w:style>
  <w:style w:type="paragraph" w:styleId="Descripcin">
    <w:name w:val="caption"/>
    <w:next w:val="Normal"/>
    <w:uiPriority w:val="35"/>
    <w:qFormat/>
    <w:rsid w:val="009D7578"/>
    <w:pPr>
      <w:keepNext/>
      <w:pBdr>
        <w:bottom w:val="single" w:sz="6" w:space="3" w:color="A6A6A6" w:themeColor="background1" w:themeShade="A6"/>
      </w:pBdr>
      <w:tabs>
        <w:tab w:val="left" w:pos="2041"/>
      </w:tabs>
      <w:spacing w:line="320" w:lineRule="atLeast"/>
    </w:pPr>
    <w:rPr>
      <w:rFonts w:ascii="Arial" w:hAnsi="Arial" w:cs="Arial"/>
      <w:bCs/>
      <w:i/>
      <w:sz w:val="18"/>
      <w:szCs w:val="18"/>
      <w:lang w:val="en-GB"/>
    </w:rPr>
  </w:style>
  <w:style w:type="paragraph" w:customStyle="1" w:styleId="IFTnormal">
    <w:name w:val="IFT normal"/>
    <w:basedOn w:val="Normal"/>
    <w:link w:val="IFTnormalCar"/>
    <w:qFormat/>
    <w:rsid w:val="009D7578"/>
    <w:pPr>
      <w:spacing w:after="200" w:line="276" w:lineRule="auto"/>
      <w:jc w:val="both"/>
    </w:pPr>
    <w:rPr>
      <w:rFonts w:ascii="ITC Avant Garde" w:eastAsia="MS Mincho" w:hAnsi="ITC Avant Garde" w:cs="Calibri"/>
      <w:bCs/>
    </w:rPr>
  </w:style>
  <w:style w:type="character" w:customStyle="1" w:styleId="IFTnormalCar">
    <w:name w:val="IFT normal Car"/>
    <w:basedOn w:val="Fuentedeprrafopredeter"/>
    <w:link w:val="IFTnormal"/>
    <w:qFormat/>
    <w:rsid w:val="009D7578"/>
    <w:rPr>
      <w:rFonts w:ascii="ITC Avant Garde" w:eastAsia="MS Mincho" w:hAnsi="ITC Avant Garde" w:cs="Calibri"/>
      <w:bCs/>
    </w:rPr>
  </w:style>
  <w:style w:type="character" w:styleId="Refdecomentario">
    <w:name w:val="annotation reference"/>
    <w:basedOn w:val="Fuentedeprrafopredeter"/>
    <w:uiPriority w:val="99"/>
    <w:semiHidden/>
    <w:unhideWhenUsed/>
    <w:rsid w:val="009D7578"/>
    <w:rPr>
      <w:sz w:val="16"/>
      <w:szCs w:val="16"/>
    </w:rPr>
  </w:style>
  <w:style w:type="paragraph" w:styleId="Textocomentario">
    <w:name w:val="annotation text"/>
    <w:basedOn w:val="Normal"/>
    <w:link w:val="TextocomentarioCar"/>
    <w:uiPriority w:val="99"/>
    <w:unhideWhenUsed/>
    <w:rsid w:val="009D7578"/>
    <w:pPr>
      <w:spacing w:line="240" w:lineRule="auto"/>
    </w:pPr>
    <w:rPr>
      <w:sz w:val="20"/>
      <w:szCs w:val="20"/>
    </w:rPr>
  </w:style>
  <w:style w:type="character" w:customStyle="1" w:styleId="TextocomentarioCar">
    <w:name w:val="Texto comentario Car"/>
    <w:basedOn w:val="Fuentedeprrafopredeter"/>
    <w:link w:val="Textocomentario"/>
    <w:uiPriority w:val="99"/>
    <w:rsid w:val="009D7578"/>
    <w:rPr>
      <w:sz w:val="20"/>
      <w:szCs w:val="20"/>
    </w:rPr>
  </w:style>
  <w:style w:type="paragraph" w:styleId="Asuntodelcomentario">
    <w:name w:val="annotation subject"/>
    <w:basedOn w:val="Textocomentario"/>
    <w:next w:val="Textocomentario"/>
    <w:link w:val="AsuntodelcomentarioCar"/>
    <w:uiPriority w:val="99"/>
    <w:semiHidden/>
    <w:unhideWhenUsed/>
    <w:rsid w:val="009D7578"/>
    <w:rPr>
      <w:b/>
      <w:bCs/>
    </w:rPr>
  </w:style>
  <w:style w:type="character" w:customStyle="1" w:styleId="AsuntodelcomentarioCar">
    <w:name w:val="Asunto del comentario Car"/>
    <w:basedOn w:val="TextocomentarioCar"/>
    <w:link w:val="Asuntodelcomentario"/>
    <w:uiPriority w:val="99"/>
    <w:semiHidden/>
    <w:rsid w:val="009D7578"/>
    <w:rPr>
      <w:b/>
      <w:bCs/>
      <w:sz w:val="20"/>
      <w:szCs w:val="20"/>
    </w:rPr>
  </w:style>
  <w:style w:type="paragraph" w:styleId="Textodeglobo">
    <w:name w:val="Balloon Text"/>
    <w:basedOn w:val="Normal"/>
    <w:link w:val="TextodegloboCar"/>
    <w:uiPriority w:val="99"/>
    <w:semiHidden/>
    <w:unhideWhenUsed/>
    <w:rsid w:val="009D75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578"/>
    <w:rPr>
      <w:rFonts w:ascii="Segoe UI" w:hAnsi="Segoe UI" w:cs="Segoe UI"/>
      <w:sz w:val="18"/>
      <w:szCs w:val="18"/>
    </w:rPr>
  </w:style>
  <w:style w:type="character" w:styleId="Refdenotaalpie">
    <w:name w:val="footnote reference"/>
    <w:aliases w:val="Ref,de nota al pie,(NECG) Footnote Reference,o,fr,Style 3,Appel note de bas de p,Style 12,Style 124,Ref. de nota al pie 2,Style 6,Footnote Reference Superscript,Style 13,FR,Style 17,Footnote Reference/"/>
    <w:unhideWhenUsed/>
    <w:qFormat/>
    <w:rsid w:val="00D65B51"/>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D65B51"/>
    <w:pPr>
      <w:spacing w:after="0" w:line="240" w:lineRule="auto"/>
    </w:pPr>
    <w:rPr>
      <w:rFonts w:ascii="Calibri" w:eastAsia="Calibri" w:hAnsi="Calibri" w:cs="Times New Roman"/>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D65B51"/>
    <w:rPr>
      <w:rFonts w:ascii="Calibri" w:eastAsia="Calibri" w:hAnsi="Calibri" w:cs="Times New Roman"/>
      <w:sz w:val="20"/>
      <w:szCs w:val="20"/>
    </w:rPr>
  </w:style>
  <w:style w:type="paragraph" w:customStyle="1" w:styleId="IFTTexto">
    <w:name w:val="IFT Texto"/>
    <w:link w:val="IFTTextoCar"/>
    <w:qFormat/>
    <w:rsid w:val="00D65B51"/>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D65B51"/>
    <w:rPr>
      <w:rFonts w:ascii="ITC Avant Garde" w:eastAsia="Calibri" w:hAnsi="ITC Avant Garde" w:cs="Arial"/>
      <w:color w:val="000000"/>
      <w:lang w:val="es-ES_tradnl" w:eastAsia="es-ES"/>
    </w:rPr>
  </w:style>
  <w:style w:type="character" w:styleId="Hipervnculo">
    <w:name w:val="Hyperlink"/>
    <w:basedOn w:val="Fuentedeprrafopredeter"/>
    <w:uiPriority w:val="99"/>
    <w:unhideWhenUsed/>
    <w:rsid w:val="008F129B"/>
    <w:rPr>
      <w:color w:val="0563C1" w:themeColor="hyperlink"/>
      <w:u w:val="single"/>
    </w:rPr>
  </w:style>
  <w:style w:type="paragraph" w:styleId="Prrafodelista">
    <w:name w:val="List Paragraph"/>
    <w:aliases w:val="prueba1"/>
    <w:basedOn w:val="Normal"/>
    <w:link w:val="PrrafodelistaCar"/>
    <w:uiPriority w:val="34"/>
    <w:qFormat/>
    <w:rsid w:val="004938C1"/>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prueba1 Car"/>
    <w:link w:val="Prrafodelista"/>
    <w:uiPriority w:val="34"/>
    <w:qFormat/>
    <w:rsid w:val="004938C1"/>
    <w:rPr>
      <w:rFonts w:ascii="Calibri" w:eastAsia="Calibri" w:hAnsi="Calibri" w:cs="Times New Roman"/>
    </w:rPr>
  </w:style>
  <w:style w:type="table" w:styleId="Tablaconcuadrcula">
    <w:name w:val="Table Grid"/>
    <w:basedOn w:val="Tablanormal"/>
    <w:uiPriority w:val="59"/>
    <w:rsid w:val="004938C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38C1"/>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01TitPrin">
    <w:name w:val="01TitPrin"/>
    <w:basedOn w:val="Ttulo1"/>
    <w:link w:val="01TitPrinCar"/>
    <w:autoRedefine/>
    <w:qFormat/>
    <w:rsid w:val="00DC5EDF"/>
    <w:pPr>
      <w:keepNext w:val="0"/>
      <w:keepLines w:val="0"/>
      <w:spacing w:before="0" w:after="200" w:line="276" w:lineRule="auto"/>
      <w:jc w:val="both"/>
    </w:pPr>
    <w:rPr>
      <w:rFonts w:ascii="ITC Avant Garde" w:eastAsia="Calibri" w:hAnsi="ITC Avant Garde" w:cs="Arial"/>
      <w:b/>
      <w:color w:val="000000"/>
      <w:sz w:val="22"/>
      <w:szCs w:val="22"/>
      <w:lang w:val="es-ES" w:eastAsia="es-ES"/>
    </w:rPr>
  </w:style>
  <w:style w:type="character" w:customStyle="1" w:styleId="01TitPrinCar">
    <w:name w:val="01TitPrin Car"/>
    <w:link w:val="01TitPrin"/>
    <w:rsid w:val="00DC5EDF"/>
    <w:rPr>
      <w:rFonts w:ascii="ITC Avant Garde" w:eastAsia="Calibri" w:hAnsi="ITC Avant Garde" w:cs="Arial"/>
      <w:b/>
      <w:color w:val="000000"/>
      <w:lang w:val="es-ES" w:eastAsia="es-ES"/>
    </w:rPr>
  </w:style>
  <w:style w:type="character" w:customStyle="1" w:styleId="Ttulo1Car">
    <w:name w:val="Título 1 Car"/>
    <w:basedOn w:val="Fuentedeprrafopredeter"/>
    <w:link w:val="Ttulo1"/>
    <w:uiPriority w:val="9"/>
    <w:rsid w:val="00DC5E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99731C"/>
    <w:rPr>
      <w:rFonts w:asciiTheme="majorHAnsi" w:eastAsiaTheme="majorEastAsia" w:hAnsiTheme="majorHAnsi" w:cstheme="majorBidi"/>
      <w:color w:val="1F4D78" w:themeColor="accent1" w:themeShade="7F"/>
      <w:sz w:val="24"/>
      <w:szCs w:val="24"/>
    </w:rPr>
  </w:style>
  <w:style w:type="paragraph" w:customStyle="1" w:styleId="1TitPrin">
    <w:name w:val="1TitPrin"/>
    <w:basedOn w:val="Ttulo1"/>
    <w:link w:val="1TitPrinCar"/>
    <w:autoRedefine/>
    <w:qFormat/>
    <w:rsid w:val="0099731C"/>
    <w:pPr>
      <w:keepNext w:val="0"/>
      <w:keepLines w:val="0"/>
      <w:spacing w:before="0" w:line="276" w:lineRule="auto"/>
      <w:ind w:right="-2"/>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99731C"/>
    <w:rPr>
      <w:rFonts w:ascii="ITC Avant Garde" w:eastAsia="Calibri" w:hAnsi="ITC Avant Garde" w:cs="Arial"/>
      <w:b/>
      <w:color w:val="000000"/>
      <w:lang w:val="es-ES_tradnl" w:eastAsia="es-ES"/>
    </w:rPr>
  </w:style>
  <w:style w:type="numbering" w:styleId="1ai">
    <w:name w:val="Outline List 1"/>
    <w:basedOn w:val="Sinlista"/>
    <w:uiPriority w:val="99"/>
    <w:unhideWhenUsed/>
    <w:rsid w:val="0099731C"/>
    <w:pPr>
      <w:numPr>
        <w:numId w:val="6"/>
      </w:numPr>
    </w:pPr>
  </w:style>
  <w:style w:type="table" w:styleId="Sombreadomedio2-nfasis1">
    <w:name w:val="Medium Shading 2 Accent 1"/>
    <w:basedOn w:val="Tablanormal"/>
    <w:uiPriority w:val="64"/>
    <w:rsid w:val="0099731C"/>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xtListado">
    <w:name w:val="TxtListado"/>
    <w:basedOn w:val="Normal"/>
    <w:qFormat/>
    <w:rsid w:val="0099731C"/>
    <w:pPr>
      <w:spacing w:after="200" w:line="276" w:lineRule="auto"/>
    </w:pPr>
    <w:rPr>
      <w:rFonts w:ascii="ITC Avant Garde" w:eastAsia="Calibri" w:hAnsi="ITC Avant Garde" w:cs="Times New Roman"/>
      <w:sz w:val="20"/>
      <w:szCs w:val="20"/>
      <w:lang w:eastAsia="es-ES"/>
    </w:rPr>
  </w:style>
  <w:style w:type="paragraph" w:customStyle="1" w:styleId="T2IFT">
    <w:name w:val="T2 IFT"/>
    <w:basedOn w:val="Normal"/>
    <w:autoRedefine/>
    <w:qFormat/>
    <w:rsid w:val="004A101A"/>
    <w:pPr>
      <w:numPr>
        <w:numId w:val="12"/>
      </w:numPr>
      <w:spacing w:after="200" w:line="276" w:lineRule="auto"/>
      <w:jc w:val="both"/>
      <w:outlineLvl w:val="1"/>
    </w:pPr>
    <w:rPr>
      <w:rFonts w:ascii="ITC Avant Garde" w:eastAsia="Calibri" w:hAnsi="ITC Avant Garde" w:cs="Times New Roman"/>
      <w:b/>
      <w:sz w:val="24"/>
    </w:rPr>
  </w:style>
  <w:style w:type="paragraph" w:customStyle="1" w:styleId="Tablecells">
    <w:name w:val="Table: cells"/>
    <w:qFormat/>
    <w:rsid w:val="0099731C"/>
    <w:pPr>
      <w:spacing w:before="40" w:after="40" w:line="240" w:lineRule="exact"/>
      <w:ind w:right="113"/>
    </w:pPr>
    <w:rPr>
      <w:rFonts w:ascii="Arial" w:hAnsi="Arial"/>
      <w:sz w:val="18"/>
      <w:lang w:val="en-GB"/>
    </w:rPr>
  </w:style>
  <w:style w:type="paragraph" w:customStyle="1" w:styleId="Tableheading">
    <w:name w:val="Table: heading"/>
    <w:basedOn w:val="Tablecells"/>
    <w:next w:val="Tablecells"/>
    <w:qFormat/>
    <w:rsid w:val="0099731C"/>
    <w:pPr>
      <w:keepNext/>
    </w:pPr>
    <w:rPr>
      <w:b/>
      <w:color w:val="FFFFFF"/>
    </w:rPr>
  </w:style>
  <w:style w:type="paragraph" w:customStyle="1" w:styleId="L1">
    <w:name w:val="L1"/>
    <w:basedOn w:val="Normal"/>
    <w:qFormat/>
    <w:rsid w:val="0099731C"/>
    <w:pPr>
      <w:numPr>
        <w:numId w:val="6"/>
      </w:numPr>
      <w:spacing w:after="0" w:line="320" w:lineRule="atLeast"/>
      <w:jc w:val="both"/>
    </w:pPr>
    <w:rPr>
      <w:rFonts w:ascii="Times New Roman" w:hAnsi="Times New Roman"/>
      <w:lang w:val="en-GB"/>
    </w:rPr>
  </w:style>
  <w:style w:type="table" w:styleId="Tabladecuadrcula4">
    <w:name w:val="Grid Table 4"/>
    <w:basedOn w:val="Tablanormal"/>
    <w:uiPriority w:val="49"/>
    <w:rsid w:val="0099731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2">
    <w:name w:val="Tabla con cuadrícula2"/>
    <w:basedOn w:val="Tablanormal"/>
    <w:uiPriority w:val="59"/>
    <w:rsid w:val="005A1065"/>
    <w:pPr>
      <w:spacing w:after="0" w:line="240" w:lineRule="auto"/>
    </w:pPr>
    <w:rPr>
      <w:rFonts w:ascii="Times New Roman" w:eastAsia="Times New Roman" w:hAnsi="Times New Roman" w:cs="Times New Roman"/>
      <w:sz w:val="20"/>
      <w:szCs w:val="20"/>
      <w:lang w:val="en-U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rsid w:val="008B0757"/>
    <w:pPr>
      <w:spacing w:after="0" w:line="240" w:lineRule="auto"/>
      <w:contextualSpacing/>
      <w:jc w:val="both"/>
    </w:pPr>
    <w:rPr>
      <w:rFonts w:ascii="Arial" w:eastAsiaTheme="majorEastAsia" w:hAnsi="Arial" w:cs="Arial"/>
      <w:b/>
      <w:bCs/>
      <w:spacing w:val="-10"/>
      <w:kern w:val="28"/>
      <w:sz w:val="56"/>
      <w:szCs w:val="56"/>
      <w:lang w:val="en-GB"/>
    </w:rPr>
  </w:style>
  <w:style w:type="character" w:customStyle="1" w:styleId="TtuloCar">
    <w:name w:val="Título Car"/>
    <w:basedOn w:val="Fuentedeprrafopredeter"/>
    <w:link w:val="Ttulo"/>
    <w:uiPriority w:val="10"/>
    <w:rsid w:val="008B0757"/>
    <w:rPr>
      <w:rFonts w:ascii="Arial" w:eastAsiaTheme="majorEastAsia" w:hAnsi="Arial" w:cs="Arial"/>
      <w:b/>
      <w:bCs/>
      <w:spacing w:val="-10"/>
      <w:kern w:val="28"/>
      <w:sz w:val="56"/>
      <w:szCs w:val="56"/>
      <w:lang w:val="en-GB"/>
    </w:rPr>
  </w:style>
  <w:style w:type="paragraph" w:styleId="Encabezado">
    <w:name w:val="header"/>
    <w:basedOn w:val="Normal"/>
    <w:link w:val="EncabezadoCar"/>
    <w:uiPriority w:val="99"/>
    <w:unhideWhenUsed/>
    <w:rsid w:val="00FE0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0D86"/>
  </w:style>
  <w:style w:type="paragraph" w:styleId="Piedepgina">
    <w:name w:val="footer"/>
    <w:basedOn w:val="Normal"/>
    <w:link w:val="PiedepginaCar"/>
    <w:uiPriority w:val="99"/>
    <w:unhideWhenUsed/>
    <w:rsid w:val="00FE0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0D86"/>
  </w:style>
  <w:style w:type="paragraph" w:styleId="TtuloTDC">
    <w:name w:val="TOC Heading"/>
    <w:basedOn w:val="Ttulo1"/>
    <w:next w:val="Normal"/>
    <w:uiPriority w:val="39"/>
    <w:unhideWhenUsed/>
    <w:qFormat/>
    <w:rsid w:val="00FE0D86"/>
    <w:pPr>
      <w:outlineLvl w:val="9"/>
    </w:pPr>
    <w:rPr>
      <w:lang w:eastAsia="es-MX"/>
    </w:rPr>
  </w:style>
  <w:style w:type="paragraph" w:styleId="TDC2">
    <w:name w:val="toc 2"/>
    <w:basedOn w:val="Normal"/>
    <w:next w:val="Normal"/>
    <w:autoRedefine/>
    <w:uiPriority w:val="39"/>
    <w:unhideWhenUsed/>
    <w:rsid w:val="0013779B"/>
    <w:pPr>
      <w:tabs>
        <w:tab w:val="left" w:pos="660"/>
        <w:tab w:val="right" w:leader="dot" w:pos="8828"/>
      </w:tabs>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FE0D86"/>
    <w:pPr>
      <w:spacing w:after="100"/>
    </w:pPr>
    <w:rPr>
      <w:rFonts w:eastAsiaTheme="minorEastAsia" w:cs="Times New Roman"/>
      <w:lang w:eastAsia="es-MX"/>
    </w:rPr>
  </w:style>
  <w:style w:type="paragraph" w:styleId="TDC3">
    <w:name w:val="toc 3"/>
    <w:basedOn w:val="Normal"/>
    <w:next w:val="Normal"/>
    <w:autoRedefine/>
    <w:uiPriority w:val="39"/>
    <w:unhideWhenUsed/>
    <w:rsid w:val="00FE0D86"/>
    <w:pPr>
      <w:spacing w:after="100"/>
      <w:ind w:left="440"/>
    </w:pPr>
    <w:rPr>
      <w:rFonts w:eastAsiaTheme="minorEastAsia" w:cs="Times New Roman"/>
      <w:lang w:eastAsia="es-MX"/>
    </w:rPr>
  </w:style>
  <w:style w:type="character" w:customStyle="1" w:styleId="Ttulo2Car">
    <w:name w:val="Título 2 Car"/>
    <w:basedOn w:val="Fuentedeprrafopredeter"/>
    <w:link w:val="Ttulo2"/>
    <w:uiPriority w:val="9"/>
    <w:rsid w:val="005072B2"/>
    <w:rPr>
      <w:rFonts w:ascii="Arial" w:eastAsiaTheme="majorEastAsia" w:hAnsi="Arial" w:cs="Arial"/>
      <w:b/>
      <w:bCs/>
      <w:color w:val="000000" w:themeColor="text1"/>
      <w:sz w:val="24"/>
      <w:szCs w:val="24"/>
      <w:lang w:val="en-GB"/>
    </w:rPr>
  </w:style>
  <w:style w:type="character" w:styleId="Hipervnculovisitado">
    <w:name w:val="FollowedHyperlink"/>
    <w:basedOn w:val="Fuentedeprrafopredeter"/>
    <w:uiPriority w:val="99"/>
    <w:semiHidden/>
    <w:unhideWhenUsed/>
    <w:rsid w:val="004E21B4"/>
    <w:rPr>
      <w:color w:val="954F72" w:themeColor="followedHyperlink"/>
      <w:u w:val="single"/>
    </w:rPr>
  </w:style>
  <w:style w:type="paragraph" w:styleId="Revisin">
    <w:name w:val="Revision"/>
    <w:hidden/>
    <w:uiPriority w:val="99"/>
    <w:semiHidden/>
    <w:rsid w:val="00681CB9"/>
    <w:pPr>
      <w:spacing w:after="0" w:line="240" w:lineRule="auto"/>
    </w:pPr>
  </w:style>
  <w:style w:type="character" w:styleId="Mencinsinresolver">
    <w:name w:val="Unresolved Mention"/>
    <w:basedOn w:val="Fuentedeprrafopredeter"/>
    <w:uiPriority w:val="99"/>
    <w:semiHidden/>
    <w:unhideWhenUsed/>
    <w:rsid w:val="008431E7"/>
    <w:rPr>
      <w:color w:val="605E5C"/>
      <w:shd w:val="clear" w:color="auto" w:fill="E1DFDD"/>
    </w:rPr>
  </w:style>
  <w:style w:type="table" w:styleId="Tablaconcuadrcula4-nfasis5">
    <w:name w:val="Grid Table 4 Accent 5"/>
    <w:basedOn w:val="Tablanormal"/>
    <w:uiPriority w:val="49"/>
    <w:rsid w:val="006225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741AB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5">
    <w:name w:val="Grid Table 5 Dark Accent 5"/>
    <w:basedOn w:val="Tablanormal"/>
    <w:uiPriority w:val="50"/>
    <w:rsid w:val="006379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ListParagraph1">
    <w:name w:val="List Paragraph1"/>
    <w:basedOn w:val="Normal"/>
    <w:rsid w:val="00F26EAC"/>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6230">
      <w:bodyDiv w:val="1"/>
      <w:marLeft w:val="0"/>
      <w:marRight w:val="0"/>
      <w:marTop w:val="0"/>
      <w:marBottom w:val="0"/>
      <w:divBdr>
        <w:top w:val="none" w:sz="0" w:space="0" w:color="auto"/>
        <w:left w:val="none" w:sz="0" w:space="0" w:color="auto"/>
        <w:bottom w:val="none" w:sz="0" w:space="0" w:color="auto"/>
        <w:right w:val="none" w:sz="0" w:space="0" w:color="auto"/>
      </w:divBdr>
    </w:div>
    <w:div w:id="46419796">
      <w:bodyDiv w:val="1"/>
      <w:marLeft w:val="0"/>
      <w:marRight w:val="0"/>
      <w:marTop w:val="0"/>
      <w:marBottom w:val="0"/>
      <w:divBdr>
        <w:top w:val="none" w:sz="0" w:space="0" w:color="auto"/>
        <w:left w:val="none" w:sz="0" w:space="0" w:color="auto"/>
        <w:bottom w:val="none" w:sz="0" w:space="0" w:color="auto"/>
        <w:right w:val="none" w:sz="0" w:space="0" w:color="auto"/>
      </w:divBdr>
    </w:div>
    <w:div w:id="107240799">
      <w:bodyDiv w:val="1"/>
      <w:marLeft w:val="0"/>
      <w:marRight w:val="0"/>
      <w:marTop w:val="0"/>
      <w:marBottom w:val="0"/>
      <w:divBdr>
        <w:top w:val="none" w:sz="0" w:space="0" w:color="auto"/>
        <w:left w:val="none" w:sz="0" w:space="0" w:color="auto"/>
        <w:bottom w:val="none" w:sz="0" w:space="0" w:color="auto"/>
        <w:right w:val="none" w:sz="0" w:space="0" w:color="auto"/>
      </w:divBdr>
    </w:div>
    <w:div w:id="223181119">
      <w:bodyDiv w:val="1"/>
      <w:marLeft w:val="0"/>
      <w:marRight w:val="0"/>
      <w:marTop w:val="0"/>
      <w:marBottom w:val="0"/>
      <w:divBdr>
        <w:top w:val="none" w:sz="0" w:space="0" w:color="auto"/>
        <w:left w:val="none" w:sz="0" w:space="0" w:color="auto"/>
        <w:bottom w:val="none" w:sz="0" w:space="0" w:color="auto"/>
        <w:right w:val="none" w:sz="0" w:space="0" w:color="auto"/>
      </w:divBdr>
    </w:div>
    <w:div w:id="269554626">
      <w:bodyDiv w:val="1"/>
      <w:marLeft w:val="0"/>
      <w:marRight w:val="0"/>
      <w:marTop w:val="0"/>
      <w:marBottom w:val="0"/>
      <w:divBdr>
        <w:top w:val="none" w:sz="0" w:space="0" w:color="auto"/>
        <w:left w:val="none" w:sz="0" w:space="0" w:color="auto"/>
        <w:bottom w:val="none" w:sz="0" w:space="0" w:color="auto"/>
        <w:right w:val="none" w:sz="0" w:space="0" w:color="auto"/>
      </w:divBdr>
    </w:div>
    <w:div w:id="419453285">
      <w:bodyDiv w:val="1"/>
      <w:marLeft w:val="0"/>
      <w:marRight w:val="0"/>
      <w:marTop w:val="0"/>
      <w:marBottom w:val="0"/>
      <w:divBdr>
        <w:top w:val="none" w:sz="0" w:space="0" w:color="auto"/>
        <w:left w:val="none" w:sz="0" w:space="0" w:color="auto"/>
        <w:bottom w:val="none" w:sz="0" w:space="0" w:color="auto"/>
        <w:right w:val="none" w:sz="0" w:space="0" w:color="auto"/>
      </w:divBdr>
    </w:div>
    <w:div w:id="479224973">
      <w:bodyDiv w:val="1"/>
      <w:marLeft w:val="0"/>
      <w:marRight w:val="0"/>
      <w:marTop w:val="0"/>
      <w:marBottom w:val="0"/>
      <w:divBdr>
        <w:top w:val="none" w:sz="0" w:space="0" w:color="auto"/>
        <w:left w:val="none" w:sz="0" w:space="0" w:color="auto"/>
        <w:bottom w:val="none" w:sz="0" w:space="0" w:color="auto"/>
        <w:right w:val="none" w:sz="0" w:space="0" w:color="auto"/>
      </w:divBdr>
    </w:div>
    <w:div w:id="539519128">
      <w:bodyDiv w:val="1"/>
      <w:marLeft w:val="0"/>
      <w:marRight w:val="0"/>
      <w:marTop w:val="0"/>
      <w:marBottom w:val="0"/>
      <w:divBdr>
        <w:top w:val="none" w:sz="0" w:space="0" w:color="auto"/>
        <w:left w:val="none" w:sz="0" w:space="0" w:color="auto"/>
        <w:bottom w:val="none" w:sz="0" w:space="0" w:color="auto"/>
        <w:right w:val="none" w:sz="0" w:space="0" w:color="auto"/>
      </w:divBdr>
    </w:div>
    <w:div w:id="677000213">
      <w:bodyDiv w:val="1"/>
      <w:marLeft w:val="0"/>
      <w:marRight w:val="0"/>
      <w:marTop w:val="0"/>
      <w:marBottom w:val="0"/>
      <w:divBdr>
        <w:top w:val="none" w:sz="0" w:space="0" w:color="auto"/>
        <w:left w:val="none" w:sz="0" w:space="0" w:color="auto"/>
        <w:bottom w:val="none" w:sz="0" w:space="0" w:color="auto"/>
        <w:right w:val="none" w:sz="0" w:space="0" w:color="auto"/>
      </w:divBdr>
    </w:div>
    <w:div w:id="842742119">
      <w:bodyDiv w:val="1"/>
      <w:marLeft w:val="0"/>
      <w:marRight w:val="0"/>
      <w:marTop w:val="0"/>
      <w:marBottom w:val="0"/>
      <w:divBdr>
        <w:top w:val="none" w:sz="0" w:space="0" w:color="auto"/>
        <w:left w:val="none" w:sz="0" w:space="0" w:color="auto"/>
        <w:bottom w:val="none" w:sz="0" w:space="0" w:color="auto"/>
        <w:right w:val="none" w:sz="0" w:space="0" w:color="auto"/>
      </w:divBdr>
    </w:div>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59465072">
      <w:bodyDiv w:val="1"/>
      <w:marLeft w:val="0"/>
      <w:marRight w:val="0"/>
      <w:marTop w:val="0"/>
      <w:marBottom w:val="0"/>
      <w:divBdr>
        <w:top w:val="none" w:sz="0" w:space="0" w:color="auto"/>
        <w:left w:val="none" w:sz="0" w:space="0" w:color="auto"/>
        <w:bottom w:val="none" w:sz="0" w:space="0" w:color="auto"/>
        <w:right w:val="none" w:sz="0" w:space="0" w:color="auto"/>
      </w:divBdr>
    </w:div>
    <w:div w:id="913928774">
      <w:bodyDiv w:val="1"/>
      <w:marLeft w:val="0"/>
      <w:marRight w:val="0"/>
      <w:marTop w:val="0"/>
      <w:marBottom w:val="0"/>
      <w:divBdr>
        <w:top w:val="none" w:sz="0" w:space="0" w:color="auto"/>
        <w:left w:val="none" w:sz="0" w:space="0" w:color="auto"/>
        <w:bottom w:val="none" w:sz="0" w:space="0" w:color="auto"/>
        <w:right w:val="none" w:sz="0" w:space="0" w:color="auto"/>
      </w:divBdr>
    </w:div>
    <w:div w:id="1039551222">
      <w:bodyDiv w:val="1"/>
      <w:marLeft w:val="0"/>
      <w:marRight w:val="0"/>
      <w:marTop w:val="0"/>
      <w:marBottom w:val="0"/>
      <w:divBdr>
        <w:top w:val="none" w:sz="0" w:space="0" w:color="auto"/>
        <w:left w:val="none" w:sz="0" w:space="0" w:color="auto"/>
        <w:bottom w:val="none" w:sz="0" w:space="0" w:color="auto"/>
        <w:right w:val="none" w:sz="0" w:space="0" w:color="auto"/>
      </w:divBdr>
    </w:div>
    <w:div w:id="1139305602">
      <w:bodyDiv w:val="1"/>
      <w:marLeft w:val="0"/>
      <w:marRight w:val="0"/>
      <w:marTop w:val="0"/>
      <w:marBottom w:val="0"/>
      <w:divBdr>
        <w:top w:val="none" w:sz="0" w:space="0" w:color="auto"/>
        <w:left w:val="none" w:sz="0" w:space="0" w:color="auto"/>
        <w:bottom w:val="none" w:sz="0" w:space="0" w:color="auto"/>
        <w:right w:val="none" w:sz="0" w:space="0" w:color="auto"/>
      </w:divBdr>
    </w:div>
    <w:div w:id="1197502773">
      <w:bodyDiv w:val="1"/>
      <w:marLeft w:val="0"/>
      <w:marRight w:val="0"/>
      <w:marTop w:val="0"/>
      <w:marBottom w:val="0"/>
      <w:divBdr>
        <w:top w:val="none" w:sz="0" w:space="0" w:color="auto"/>
        <w:left w:val="none" w:sz="0" w:space="0" w:color="auto"/>
        <w:bottom w:val="none" w:sz="0" w:space="0" w:color="auto"/>
        <w:right w:val="none" w:sz="0" w:space="0" w:color="auto"/>
      </w:divBdr>
    </w:div>
    <w:div w:id="1407529641">
      <w:bodyDiv w:val="1"/>
      <w:marLeft w:val="0"/>
      <w:marRight w:val="0"/>
      <w:marTop w:val="0"/>
      <w:marBottom w:val="0"/>
      <w:divBdr>
        <w:top w:val="none" w:sz="0" w:space="0" w:color="auto"/>
        <w:left w:val="none" w:sz="0" w:space="0" w:color="auto"/>
        <w:bottom w:val="none" w:sz="0" w:space="0" w:color="auto"/>
        <w:right w:val="none" w:sz="0" w:space="0" w:color="auto"/>
      </w:divBdr>
    </w:div>
    <w:div w:id="1626933197">
      <w:bodyDiv w:val="1"/>
      <w:marLeft w:val="0"/>
      <w:marRight w:val="0"/>
      <w:marTop w:val="0"/>
      <w:marBottom w:val="0"/>
      <w:divBdr>
        <w:top w:val="none" w:sz="0" w:space="0" w:color="auto"/>
        <w:left w:val="none" w:sz="0" w:space="0" w:color="auto"/>
        <w:bottom w:val="none" w:sz="0" w:space="0" w:color="auto"/>
        <w:right w:val="none" w:sz="0" w:space="0" w:color="auto"/>
      </w:divBdr>
    </w:div>
    <w:div w:id="1916476727">
      <w:bodyDiv w:val="1"/>
      <w:marLeft w:val="0"/>
      <w:marRight w:val="0"/>
      <w:marTop w:val="0"/>
      <w:marBottom w:val="0"/>
      <w:divBdr>
        <w:top w:val="none" w:sz="0" w:space="0" w:color="auto"/>
        <w:left w:val="none" w:sz="0" w:space="0" w:color="auto"/>
        <w:bottom w:val="none" w:sz="0" w:space="0" w:color="auto"/>
        <w:right w:val="none" w:sz="0" w:space="0" w:color="auto"/>
      </w:divBdr>
    </w:div>
    <w:div w:id="1942101411">
      <w:bodyDiv w:val="1"/>
      <w:marLeft w:val="0"/>
      <w:marRight w:val="0"/>
      <w:marTop w:val="0"/>
      <w:marBottom w:val="0"/>
      <w:divBdr>
        <w:top w:val="none" w:sz="0" w:space="0" w:color="auto"/>
        <w:left w:val="none" w:sz="0" w:space="0" w:color="auto"/>
        <w:bottom w:val="none" w:sz="0" w:space="0" w:color="auto"/>
        <w:right w:val="none" w:sz="0" w:space="0" w:color="auto"/>
      </w:divBdr>
    </w:div>
    <w:div w:id="2039235223">
      <w:bodyDiv w:val="1"/>
      <w:marLeft w:val="0"/>
      <w:marRight w:val="0"/>
      <w:marTop w:val="0"/>
      <w:marBottom w:val="0"/>
      <w:divBdr>
        <w:top w:val="none" w:sz="0" w:space="0" w:color="auto"/>
        <w:left w:val="none" w:sz="0" w:space="0" w:color="auto"/>
        <w:bottom w:val="none" w:sz="0" w:space="0" w:color="auto"/>
        <w:right w:val="none" w:sz="0" w:space="0" w:color="auto"/>
      </w:divBdr>
    </w:div>
    <w:div w:id="2057778393">
      <w:bodyDiv w:val="1"/>
      <w:marLeft w:val="0"/>
      <w:marRight w:val="0"/>
      <w:marTop w:val="0"/>
      <w:marBottom w:val="0"/>
      <w:divBdr>
        <w:top w:val="none" w:sz="0" w:space="0" w:color="auto"/>
        <w:left w:val="none" w:sz="0" w:space="0" w:color="auto"/>
        <w:bottom w:val="none" w:sz="0" w:space="0" w:color="auto"/>
        <w:right w:val="none" w:sz="0" w:space="0" w:color="auto"/>
      </w:divBdr>
    </w:div>
    <w:div w:id="20831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sites/default/files/contenidogeneral/politica-regulatoria/modelodecostostorresdm-2022vpublicaf.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5"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conapo/documentos/indices-de-marginacion-2020-284372" TargetMode="External"/><Relationship Id="rId2" Type="http://schemas.openxmlformats.org/officeDocument/2006/relationships/hyperlink" Target="http://sharepointift/uni/upr/DGCI/CT/Documentos/Acuerdos%20Modelos%20de%20Costos/Modelo%20de%20Torres/Actualizaci&#243;n%202023/Modelo%20y%20Metodolog&#237;a%20Torres%202023/Autorizados" TargetMode="External"/><Relationship Id="rId1" Type="http://schemas.openxmlformats.org/officeDocument/2006/relationships/hyperlink" Target="http://www.ift.org.mx/sites/default/files/contenidogeneral/politica-regulatoria/anexounicoorcidm2022resolucionabmfolio.pdf" TargetMode="External"/><Relationship Id="rId5" Type="http://schemas.openxmlformats.org/officeDocument/2006/relationships/hyperlink" Target="https://www.gob.mx/conapo/documentos/indices-de-marginacion-2020-284372" TargetMode="External"/><Relationship Id="rId4" Type="http://schemas.openxmlformats.org/officeDocument/2006/relationships/hyperlink" Target="https://www.inegi.org.mx/temas/m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46C5C79-40A1-4657-9A52-5246CD3857EB}">
  <ds:schemaRefs>
    <ds:schemaRef ds:uri="http://schemas.openxmlformats.org/officeDocument/2006/bibliography"/>
  </ds:schemaRefs>
</ds:datastoreItem>
</file>

<file path=customXml/itemProps2.xml><?xml version="1.0" encoding="utf-8"?>
<ds:datastoreItem xmlns:ds="http://schemas.openxmlformats.org/officeDocument/2006/customXml" ds:itemID="{A11548D8-7D89-4048-8FE9-00DF2B7048CF}"/>
</file>

<file path=customXml/itemProps3.xml><?xml version="1.0" encoding="utf-8"?>
<ds:datastoreItem xmlns:ds="http://schemas.openxmlformats.org/officeDocument/2006/customXml" ds:itemID="{A6D89519-A8D3-410B-9F62-B3EE8D36A676}"/>
</file>

<file path=customXml/itemProps4.xml><?xml version="1.0" encoding="utf-8"?>
<ds:datastoreItem xmlns:ds="http://schemas.openxmlformats.org/officeDocument/2006/customXml" ds:itemID="{E790B77C-D2D8-4024-96BE-D95E5F1C8E92}"/>
</file>

<file path=docProps/app.xml><?xml version="1.0" encoding="utf-8"?>
<Properties xmlns="http://schemas.openxmlformats.org/officeDocument/2006/extended-properties" xmlns:vt="http://schemas.openxmlformats.org/officeDocument/2006/docPropsVTypes">
  <Template>Normal</Template>
  <TotalTime>0</TotalTime>
  <Pages>26</Pages>
  <Words>7225</Words>
  <Characters>39742</Characters>
  <Application>Microsoft Office Word</Application>
  <DocSecurity>0</DocSecurity>
  <Lines>331</Lines>
  <Paragraphs>93</Paragraphs>
  <ScaleCrop>false</ScaleCrop>
  <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2022-07-04T23:49:00Z</dcterms:created>
  <dcterms:modified xsi:type="dcterms:W3CDTF">2022-07-04T23:49:00Z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