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828E00" w14:textId="746D4889" w:rsidR="00FE12D2" w:rsidRPr="00C57285" w:rsidRDefault="00FE12D2" w:rsidP="00302699">
      <w:pPr>
        <w:pStyle w:val="Default"/>
        <w:spacing w:line="276" w:lineRule="auto"/>
        <w:contextualSpacing/>
        <w:mirrorIndents/>
        <w:jc w:val="both"/>
        <w:rPr>
          <w:rFonts w:ascii="Arial" w:eastAsia="Times New Roman" w:hAnsi="Arial" w:cs="Arial"/>
          <w:b/>
          <w:bCs/>
          <w:sz w:val="18"/>
          <w:szCs w:val="18"/>
          <w:lang w:eastAsia="es-MX"/>
        </w:rPr>
      </w:pPr>
      <w:r w:rsidRPr="00C57285">
        <w:rPr>
          <w:rFonts w:ascii="Arial" w:eastAsia="Times New Roman" w:hAnsi="Arial" w:cs="Arial"/>
          <w:b/>
          <w:bCs/>
          <w:sz w:val="18"/>
          <w:szCs w:val="18"/>
          <w:lang w:eastAsia="es-MX"/>
        </w:rPr>
        <w:t>Acuerdo mediante el cual el Pleno del Instituto Federal de Telecom</w:t>
      </w:r>
      <w:bookmarkStart w:id="0" w:name="_GoBack"/>
      <w:bookmarkEnd w:id="0"/>
      <w:r w:rsidRPr="00C57285">
        <w:rPr>
          <w:rFonts w:ascii="Arial" w:eastAsia="Times New Roman" w:hAnsi="Arial" w:cs="Arial"/>
          <w:b/>
          <w:bCs/>
          <w:sz w:val="18"/>
          <w:szCs w:val="18"/>
          <w:lang w:eastAsia="es-MX"/>
        </w:rPr>
        <w:t xml:space="preserve">unicaciones </w:t>
      </w:r>
      <w:r w:rsidR="00254AF7" w:rsidRPr="00C57285">
        <w:rPr>
          <w:rFonts w:ascii="Arial" w:eastAsia="Times New Roman" w:hAnsi="Arial" w:cs="Arial"/>
          <w:b/>
          <w:bCs/>
          <w:sz w:val="18"/>
          <w:szCs w:val="18"/>
          <w:lang w:eastAsia="es-MX"/>
        </w:rPr>
        <w:t>emite</w:t>
      </w:r>
      <w:r w:rsidRPr="00C57285">
        <w:rPr>
          <w:rFonts w:ascii="Arial" w:eastAsia="Times New Roman" w:hAnsi="Arial" w:cs="Arial"/>
          <w:b/>
          <w:bCs/>
          <w:sz w:val="18"/>
          <w:szCs w:val="18"/>
          <w:lang w:eastAsia="es-MX"/>
        </w:rPr>
        <w:t xml:space="preserve"> </w:t>
      </w:r>
      <w:r w:rsidR="00254AF7" w:rsidRPr="00C57285">
        <w:rPr>
          <w:rFonts w:ascii="Arial" w:eastAsia="Times New Roman" w:hAnsi="Arial" w:cs="Arial"/>
          <w:b/>
          <w:bCs/>
          <w:sz w:val="18"/>
          <w:szCs w:val="18"/>
          <w:lang w:eastAsia="es-MX"/>
        </w:rPr>
        <w:t xml:space="preserve">los </w:t>
      </w:r>
      <w:r w:rsidR="00296B9B" w:rsidRPr="00C57285">
        <w:rPr>
          <w:rFonts w:ascii="Arial" w:eastAsia="Times New Roman" w:hAnsi="Arial" w:cs="Arial"/>
          <w:b/>
          <w:bCs/>
          <w:sz w:val="18"/>
          <w:szCs w:val="18"/>
          <w:lang w:eastAsia="es-MX"/>
        </w:rPr>
        <w:t xml:space="preserve">Lineamientos para el desbloqueo de Equipos Terminales Móviles que deben observar los prestadores del </w:t>
      </w:r>
      <w:r w:rsidR="00A763BE" w:rsidRPr="00C57285">
        <w:rPr>
          <w:rFonts w:ascii="Arial" w:eastAsia="Times New Roman" w:hAnsi="Arial" w:cs="Arial"/>
          <w:b/>
          <w:bCs/>
          <w:sz w:val="18"/>
          <w:szCs w:val="18"/>
          <w:lang w:eastAsia="es-MX"/>
        </w:rPr>
        <w:t>S</w:t>
      </w:r>
      <w:r w:rsidR="00296B9B" w:rsidRPr="00C57285">
        <w:rPr>
          <w:rFonts w:ascii="Arial" w:eastAsia="Times New Roman" w:hAnsi="Arial" w:cs="Arial"/>
          <w:b/>
          <w:bCs/>
          <w:sz w:val="18"/>
          <w:szCs w:val="18"/>
          <w:lang w:eastAsia="es-MX"/>
        </w:rPr>
        <w:t xml:space="preserve">ervicio </w:t>
      </w:r>
      <w:r w:rsidR="00A763BE" w:rsidRPr="00C57285">
        <w:rPr>
          <w:rFonts w:ascii="Arial" w:eastAsia="Times New Roman" w:hAnsi="Arial" w:cs="Arial"/>
          <w:b/>
          <w:bCs/>
          <w:sz w:val="18"/>
          <w:szCs w:val="18"/>
          <w:lang w:eastAsia="es-MX"/>
        </w:rPr>
        <w:t>M</w:t>
      </w:r>
      <w:r w:rsidR="00296B9B" w:rsidRPr="00C57285">
        <w:rPr>
          <w:rFonts w:ascii="Arial" w:eastAsia="Times New Roman" w:hAnsi="Arial" w:cs="Arial"/>
          <w:b/>
          <w:bCs/>
          <w:sz w:val="18"/>
          <w:szCs w:val="18"/>
          <w:lang w:eastAsia="es-MX"/>
        </w:rPr>
        <w:t>óvil</w:t>
      </w:r>
      <w:r w:rsidR="005729F2" w:rsidRPr="00C57285">
        <w:rPr>
          <w:rFonts w:ascii="Arial" w:eastAsia="Times New Roman" w:hAnsi="Arial" w:cs="Arial"/>
          <w:b/>
          <w:bCs/>
          <w:sz w:val="18"/>
          <w:szCs w:val="18"/>
          <w:lang w:eastAsia="es-MX"/>
        </w:rPr>
        <w:t>.</w:t>
      </w:r>
    </w:p>
    <w:p w14:paraId="681C3DE9" w14:textId="77777777" w:rsidR="001B163B" w:rsidRPr="00E17A02" w:rsidRDefault="001B163B" w:rsidP="00302699">
      <w:pPr>
        <w:spacing w:after="0"/>
        <w:contextualSpacing/>
        <w:mirrorIndents/>
        <w:jc w:val="center"/>
        <w:rPr>
          <w:rFonts w:ascii="Arial" w:hAnsi="Arial" w:cs="Arial"/>
          <w:b/>
          <w:bCs/>
          <w:color w:val="000000"/>
          <w:sz w:val="18"/>
          <w:szCs w:val="18"/>
          <w:lang w:val="es-MX" w:eastAsia="es-MX"/>
        </w:rPr>
      </w:pPr>
    </w:p>
    <w:p w14:paraId="2D9E1605" w14:textId="77777777" w:rsidR="001B163B" w:rsidRPr="00C57285" w:rsidRDefault="001B163B" w:rsidP="00302699">
      <w:pPr>
        <w:spacing w:after="0"/>
        <w:contextualSpacing/>
        <w:mirrorIndents/>
        <w:jc w:val="center"/>
        <w:rPr>
          <w:rFonts w:ascii="Arial" w:hAnsi="Arial" w:cs="Arial"/>
          <w:b/>
          <w:bCs/>
          <w:color w:val="000000"/>
          <w:sz w:val="18"/>
          <w:szCs w:val="18"/>
          <w:lang w:eastAsia="es-MX"/>
        </w:rPr>
      </w:pPr>
      <w:r w:rsidRPr="00C57285">
        <w:rPr>
          <w:rFonts w:ascii="Arial" w:hAnsi="Arial" w:cs="Arial"/>
          <w:b/>
          <w:bCs/>
          <w:color w:val="000000"/>
          <w:sz w:val="18"/>
          <w:szCs w:val="18"/>
          <w:lang w:eastAsia="es-MX"/>
        </w:rPr>
        <w:t>Antecedentes</w:t>
      </w:r>
    </w:p>
    <w:p w14:paraId="64C53E3A" w14:textId="77777777" w:rsidR="001B163B" w:rsidRPr="00C57285" w:rsidRDefault="001B163B" w:rsidP="00302699">
      <w:pPr>
        <w:spacing w:after="0"/>
        <w:contextualSpacing/>
        <w:mirrorIndents/>
        <w:jc w:val="center"/>
        <w:rPr>
          <w:rFonts w:ascii="Arial" w:hAnsi="Arial" w:cs="Arial"/>
          <w:b/>
          <w:sz w:val="18"/>
          <w:szCs w:val="18"/>
        </w:rPr>
      </w:pPr>
    </w:p>
    <w:p w14:paraId="092F74FF" w14:textId="41FD8B6B" w:rsidR="002068FC" w:rsidRPr="00C57285" w:rsidRDefault="002068FC" w:rsidP="00302699">
      <w:pPr>
        <w:spacing w:after="0"/>
        <w:contextualSpacing/>
        <w:mirrorIndents/>
        <w:jc w:val="both"/>
        <w:rPr>
          <w:rFonts w:ascii="Arial" w:hAnsi="Arial" w:cs="Arial"/>
          <w:b/>
          <w:sz w:val="18"/>
          <w:szCs w:val="18"/>
        </w:rPr>
      </w:pPr>
      <w:proofErr w:type="gramStart"/>
      <w:r w:rsidRPr="00C57285">
        <w:rPr>
          <w:rFonts w:ascii="Arial" w:hAnsi="Arial" w:cs="Arial"/>
          <w:b/>
          <w:sz w:val="18"/>
          <w:szCs w:val="18"/>
        </w:rPr>
        <w:t>Primero.-</w:t>
      </w:r>
      <w:proofErr w:type="gramEnd"/>
      <w:r w:rsidRPr="00C57285">
        <w:rPr>
          <w:rFonts w:ascii="Arial" w:hAnsi="Arial" w:cs="Arial"/>
          <w:b/>
          <w:sz w:val="18"/>
          <w:szCs w:val="18"/>
        </w:rPr>
        <w:t xml:space="preserve"> Decreto de Reforma Constitucional.</w:t>
      </w:r>
      <w:r w:rsidRPr="00C57285">
        <w:rPr>
          <w:rFonts w:ascii="Arial" w:hAnsi="Arial" w:cs="Arial"/>
          <w:sz w:val="18"/>
          <w:szCs w:val="18"/>
        </w:rPr>
        <w:t xml:space="preserve"> El 11 de junio de 2013, se publicó en el Diario Oficial de la Federación (en lo sucesivo</w:t>
      </w:r>
      <w:r w:rsidR="0018676F" w:rsidRPr="00C57285">
        <w:rPr>
          <w:rFonts w:ascii="Arial" w:hAnsi="Arial" w:cs="Arial"/>
          <w:sz w:val="18"/>
          <w:szCs w:val="18"/>
        </w:rPr>
        <w:t>,</w:t>
      </w:r>
      <w:r w:rsidRPr="00C57285">
        <w:rPr>
          <w:rFonts w:ascii="Arial" w:hAnsi="Arial" w:cs="Arial"/>
          <w:sz w:val="18"/>
          <w:szCs w:val="18"/>
        </w:rPr>
        <w:t xml:space="preserve"> “DOF”), el “</w:t>
      </w:r>
      <w:r w:rsidRPr="00C57285">
        <w:rPr>
          <w:rFonts w:ascii="Arial" w:hAnsi="Arial" w:cs="Arial"/>
          <w:i/>
          <w:sz w:val="18"/>
          <w:szCs w:val="18"/>
        </w:rPr>
        <w:t>DECRETO por el que se reforman y adicionan diversas disposiciones de los artículos 6o., 7o., 27, 28, 73, 78, 94 y 105 de la Constitución Política de los Estados Unidos Mexicanos, en materia de telecomunicaciones</w:t>
      </w:r>
      <w:r w:rsidRPr="00C57285">
        <w:rPr>
          <w:rFonts w:ascii="Arial" w:hAnsi="Arial" w:cs="Arial"/>
          <w:sz w:val="18"/>
          <w:szCs w:val="18"/>
        </w:rPr>
        <w:t>” mediante el cual se creó al Instituto Federal de Telecomunicaciones (en lo sucesivo, el “Instituto”), como un órgano autónomo con personalidad jurídica y patrimonio propio, cuyo objeto es el desarrollo eficiente de la radiodifusión y las telecomunicaciones conforme a lo dispuesto en la propia Constitución Política de los Estados Unidos Mexicanos (en lo sucesivo, la “Constitución”) y en los términos que fijen las leyes, teniendo a su cargo la regulación, promoción y supervisión del uso, aprovechamiento y explotación del espectro radioeléctrico, las redes y la prestación de los servicios de radiodifusión y telecomunicaciones, así como del acceso a infraestructura activa, pasiva y otros insumos esenciales, garantizando lo establecido en los artículos 6o. y 7o. de la Constitución.</w:t>
      </w:r>
    </w:p>
    <w:p w14:paraId="286F7AC9" w14:textId="77777777" w:rsidR="001B163B" w:rsidRPr="00C57285" w:rsidRDefault="001B163B" w:rsidP="00302699">
      <w:pPr>
        <w:spacing w:after="0"/>
        <w:contextualSpacing/>
        <w:mirrorIndents/>
        <w:jc w:val="both"/>
        <w:rPr>
          <w:rFonts w:ascii="Arial" w:eastAsia="Times New Roman" w:hAnsi="Arial" w:cs="Arial"/>
          <w:b/>
          <w:bCs/>
          <w:color w:val="000000"/>
          <w:sz w:val="18"/>
          <w:szCs w:val="18"/>
          <w:lang w:eastAsia="es-MX"/>
        </w:rPr>
      </w:pPr>
    </w:p>
    <w:p w14:paraId="5D236B35" w14:textId="753CD367" w:rsidR="00A26AC1" w:rsidRPr="00C57285" w:rsidRDefault="005729F2" w:rsidP="00302699">
      <w:pPr>
        <w:widowControl w:val="0"/>
        <w:spacing w:after="0"/>
        <w:contextualSpacing/>
        <w:mirrorIndents/>
        <w:jc w:val="both"/>
        <w:rPr>
          <w:rFonts w:ascii="Arial" w:hAnsi="Arial" w:cs="Arial"/>
          <w:sz w:val="18"/>
          <w:szCs w:val="18"/>
        </w:rPr>
      </w:pPr>
      <w:proofErr w:type="gramStart"/>
      <w:r w:rsidRPr="00C57285">
        <w:rPr>
          <w:rFonts w:ascii="Arial" w:hAnsi="Arial" w:cs="Arial"/>
          <w:b/>
          <w:sz w:val="18"/>
          <w:szCs w:val="18"/>
        </w:rPr>
        <w:t>Segundo</w:t>
      </w:r>
      <w:r w:rsidR="00A26AC1" w:rsidRPr="00C57285">
        <w:rPr>
          <w:rFonts w:ascii="Arial" w:hAnsi="Arial" w:cs="Arial"/>
          <w:b/>
          <w:sz w:val="18"/>
          <w:szCs w:val="18"/>
        </w:rPr>
        <w:t>.-</w:t>
      </w:r>
      <w:proofErr w:type="gramEnd"/>
      <w:r w:rsidR="00A26AC1" w:rsidRPr="00C57285">
        <w:rPr>
          <w:rFonts w:ascii="Arial" w:hAnsi="Arial" w:cs="Arial"/>
          <w:b/>
          <w:sz w:val="18"/>
          <w:szCs w:val="18"/>
        </w:rPr>
        <w:t xml:space="preserve"> Ley Federal de Telecomunicaciones y Radiodifusión.</w:t>
      </w:r>
      <w:r w:rsidR="00A26AC1" w:rsidRPr="00C57285">
        <w:rPr>
          <w:rFonts w:ascii="Arial" w:hAnsi="Arial" w:cs="Arial"/>
          <w:sz w:val="18"/>
          <w:szCs w:val="18"/>
        </w:rPr>
        <w:t xml:space="preserve"> El 14 de julio de 2014, se publicó en el DOF el “</w:t>
      </w:r>
      <w:r w:rsidR="00A26AC1" w:rsidRPr="00C57285">
        <w:rPr>
          <w:rFonts w:ascii="Arial" w:hAnsi="Arial" w:cs="Arial"/>
          <w:i/>
          <w:sz w:val="18"/>
          <w:szCs w:val="18"/>
        </w:rPr>
        <w:t>DECRETO por el que se expiden la Ley Federal de Telecomunicaciones y Radiodifusión, y la Ley del Sistema Público de Radiodifusión del Estado Mexicano; y se reforman, adicionan y derogan diversas disposiciones en materia de telecomunicaciones y radiodifusión</w:t>
      </w:r>
      <w:r w:rsidR="00A26AC1" w:rsidRPr="00C57285">
        <w:rPr>
          <w:rFonts w:ascii="Arial" w:hAnsi="Arial" w:cs="Arial"/>
          <w:sz w:val="18"/>
          <w:szCs w:val="18"/>
        </w:rPr>
        <w:t>” entrando en vigor la Ley Federal de Telecomunicaciones y Radiodifusión (en lo sucesivo, la “LFTR”) el 13 de agosto del 2014.</w:t>
      </w:r>
    </w:p>
    <w:p w14:paraId="09981B9A" w14:textId="0E526FA9" w:rsidR="00153294" w:rsidRPr="00C57285" w:rsidRDefault="00153294" w:rsidP="00302699">
      <w:pPr>
        <w:widowControl w:val="0"/>
        <w:spacing w:after="0"/>
        <w:contextualSpacing/>
        <w:mirrorIndents/>
        <w:jc w:val="both"/>
        <w:rPr>
          <w:rFonts w:ascii="Arial" w:hAnsi="Arial" w:cs="Arial"/>
          <w:sz w:val="18"/>
          <w:szCs w:val="18"/>
        </w:rPr>
      </w:pPr>
    </w:p>
    <w:p w14:paraId="7E0A46F1" w14:textId="3986FECB" w:rsidR="00153294" w:rsidRPr="00C57285" w:rsidRDefault="005729F2" w:rsidP="00302699">
      <w:pPr>
        <w:widowControl w:val="0"/>
        <w:spacing w:after="0"/>
        <w:contextualSpacing/>
        <w:mirrorIndents/>
        <w:jc w:val="both"/>
        <w:rPr>
          <w:rFonts w:ascii="Arial" w:hAnsi="Arial" w:cs="Arial"/>
          <w:sz w:val="18"/>
          <w:szCs w:val="18"/>
        </w:rPr>
      </w:pPr>
      <w:proofErr w:type="gramStart"/>
      <w:r w:rsidRPr="00C57285">
        <w:rPr>
          <w:rFonts w:ascii="Arial" w:hAnsi="Arial" w:cs="Arial"/>
          <w:b/>
          <w:sz w:val="18"/>
          <w:szCs w:val="18"/>
        </w:rPr>
        <w:t>Tercero</w:t>
      </w:r>
      <w:r w:rsidR="00153294" w:rsidRPr="00C57285">
        <w:rPr>
          <w:rFonts w:ascii="Arial" w:hAnsi="Arial" w:cs="Arial"/>
          <w:b/>
          <w:sz w:val="18"/>
          <w:szCs w:val="18"/>
        </w:rPr>
        <w:t>.-</w:t>
      </w:r>
      <w:proofErr w:type="gramEnd"/>
      <w:r w:rsidR="00153294" w:rsidRPr="00C57285">
        <w:rPr>
          <w:rFonts w:ascii="Arial" w:hAnsi="Arial" w:cs="Arial"/>
          <w:b/>
          <w:sz w:val="18"/>
          <w:szCs w:val="18"/>
        </w:rPr>
        <w:t xml:space="preserve"> Estatuto Orgánico del Instituto Federal de Telecomunicaciones.</w:t>
      </w:r>
      <w:r w:rsidR="00153294" w:rsidRPr="00C57285">
        <w:rPr>
          <w:rFonts w:ascii="Arial" w:hAnsi="Arial" w:cs="Arial"/>
          <w:sz w:val="18"/>
          <w:szCs w:val="18"/>
        </w:rPr>
        <w:t xml:space="preserve"> El 4 de septiembre de 2014, se publicó en el DOF el “</w:t>
      </w:r>
      <w:r w:rsidR="00153294" w:rsidRPr="00C57285">
        <w:rPr>
          <w:rFonts w:ascii="Arial" w:hAnsi="Arial" w:cs="Arial"/>
          <w:i/>
          <w:sz w:val="18"/>
          <w:szCs w:val="18"/>
        </w:rPr>
        <w:t>ESTATUTO Orgánico del Instituto Federal de Telecomunicaciones</w:t>
      </w:r>
      <w:r w:rsidR="00153294" w:rsidRPr="00C57285">
        <w:rPr>
          <w:rFonts w:ascii="Arial" w:hAnsi="Arial" w:cs="Arial"/>
          <w:sz w:val="18"/>
          <w:szCs w:val="18"/>
        </w:rPr>
        <w:t>” mismo que entró en vigor el 26 de septiembre de 2014.</w:t>
      </w:r>
    </w:p>
    <w:p w14:paraId="329734CE" w14:textId="77777777" w:rsidR="00AB6C3C" w:rsidRPr="00C57285" w:rsidRDefault="00AB6C3C" w:rsidP="00302699">
      <w:pPr>
        <w:widowControl w:val="0"/>
        <w:spacing w:after="0"/>
        <w:contextualSpacing/>
        <w:mirrorIndents/>
        <w:jc w:val="both"/>
        <w:rPr>
          <w:rFonts w:ascii="Arial" w:hAnsi="Arial" w:cs="Arial"/>
          <w:sz w:val="18"/>
          <w:szCs w:val="18"/>
        </w:rPr>
      </w:pPr>
    </w:p>
    <w:p w14:paraId="16B620E8" w14:textId="313F186B" w:rsidR="00AB6C3C" w:rsidRPr="00C57285" w:rsidRDefault="00123290" w:rsidP="00302699">
      <w:pPr>
        <w:suppressAutoHyphens/>
        <w:spacing w:after="0"/>
        <w:ind w:right="49"/>
        <w:contextualSpacing/>
        <w:mirrorIndents/>
        <w:jc w:val="both"/>
        <w:rPr>
          <w:rFonts w:ascii="Arial" w:eastAsia="Times New Roman" w:hAnsi="Arial" w:cs="Arial"/>
          <w:bCs/>
          <w:kern w:val="1"/>
          <w:sz w:val="18"/>
          <w:szCs w:val="18"/>
          <w:lang w:eastAsia="ar-SA"/>
        </w:rPr>
      </w:pPr>
      <w:proofErr w:type="gramStart"/>
      <w:r w:rsidRPr="00C57285">
        <w:rPr>
          <w:rFonts w:ascii="Arial" w:hAnsi="Arial" w:cs="Arial"/>
          <w:b/>
          <w:sz w:val="18"/>
          <w:szCs w:val="18"/>
        </w:rPr>
        <w:t>Cuarto</w:t>
      </w:r>
      <w:r w:rsidR="00AB6C3C" w:rsidRPr="00C57285">
        <w:rPr>
          <w:rFonts w:ascii="Arial" w:hAnsi="Arial" w:cs="Arial"/>
          <w:b/>
          <w:sz w:val="18"/>
          <w:szCs w:val="18"/>
        </w:rPr>
        <w:t>.-</w:t>
      </w:r>
      <w:proofErr w:type="gramEnd"/>
      <w:r w:rsidR="00AB6C3C" w:rsidRPr="00C57285">
        <w:rPr>
          <w:rFonts w:ascii="Arial" w:hAnsi="Arial" w:cs="Arial"/>
          <w:b/>
          <w:sz w:val="18"/>
          <w:szCs w:val="18"/>
        </w:rPr>
        <w:t xml:space="preserve"> Reglas de Portabilidad Numérica. </w:t>
      </w:r>
      <w:r w:rsidR="00AB6C3C" w:rsidRPr="00C57285">
        <w:rPr>
          <w:rFonts w:ascii="Arial" w:hAnsi="Arial" w:cs="Arial"/>
          <w:bCs/>
          <w:sz w:val="18"/>
          <w:szCs w:val="18"/>
        </w:rPr>
        <w:t xml:space="preserve">El 6 de noviembre de 2014, </w:t>
      </w:r>
      <w:r w:rsidR="00AB6C3C" w:rsidRPr="00C57285">
        <w:rPr>
          <w:rFonts w:ascii="Arial" w:eastAsia="Times New Roman" w:hAnsi="Arial" w:cs="Arial"/>
          <w:bCs/>
          <w:kern w:val="1"/>
          <w:sz w:val="18"/>
          <w:szCs w:val="18"/>
          <w:lang w:eastAsia="ar-SA"/>
        </w:rPr>
        <w:t xml:space="preserve">el Pleno del Instituto, en su </w:t>
      </w:r>
      <w:r w:rsidR="00AB6C3C" w:rsidRPr="00C57285">
        <w:rPr>
          <w:rFonts w:ascii="Arial" w:hAnsi="Arial" w:cs="Arial"/>
          <w:sz w:val="18"/>
          <w:szCs w:val="18"/>
        </w:rPr>
        <w:t>XXV Sesión Extraordinaria, aprobó el “</w:t>
      </w:r>
      <w:r w:rsidR="00AB6C3C" w:rsidRPr="00C57285">
        <w:rPr>
          <w:rFonts w:ascii="Arial" w:hAnsi="Arial" w:cs="Arial"/>
          <w:i/>
          <w:iCs/>
          <w:sz w:val="18"/>
          <w:szCs w:val="18"/>
        </w:rPr>
        <w:t>Acuerdo mediante el cual el Pleno del Instituto Federal de Telecomunicaciones emite las Reglas de Portabilidad Numérica y modifica el Plan Técnico Fundamental de Numeración, el Plan Técnico Fundamental de Señalización y las especificaciones operativas para la implantación de portabilidad de números geográficos y no geográficos</w:t>
      </w:r>
      <w:r w:rsidR="00AB6C3C" w:rsidRPr="00C57285">
        <w:rPr>
          <w:rFonts w:ascii="Arial" w:hAnsi="Arial" w:cs="Arial"/>
          <w:sz w:val="18"/>
          <w:szCs w:val="18"/>
        </w:rPr>
        <w:t xml:space="preserve">” </w:t>
      </w:r>
      <w:r w:rsidR="00AB6C3C" w:rsidRPr="00C57285">
        <w:rPr>
          <w:rFonts w:ascii="Arial" w:eastAsia="Times New Roman" w:hAnsi="Arial" w:cs="Arial"/>
          <w:bCs/>
          <w:kern w:val="1"/>
          <w:sz w:val="18"/>
          <w:szCs w:val="18"/>
          <w:lang w:eastAsia="ar-SA"/>
        </w:rPr>
        <w:t>(en lo sucesivo, l</w:t>
      </w:r>
      <w:r w:rsidR="0018676F" w:rsidRPr="00C57285">
        <w:rPr>
          <w:rFonts w:ascii="Arial" w:eastAsia="Times New Roman" w:hAnsi="Arial" w:cs="Arial"/>
          <w:bCs/>
          <w:kern w:val="1"/>
          <w:sz w:val="18"/>
          <w:szCs w:val="18"/>
          <w:lang w:eastAsia="ar-SA"/>
        </w:rPr>
        <w:t>a</w:t>
      </w:r>
      <w:r w:rsidR="00AB6C3C" w:rsidRPr="00C57285">
        <w:rPr>
          <w:rFonts w:ascii="Arial" w:eastAsia="Times New Roman" w:hAnsi="Arial" w:cs="Arial"/>
          <w:bCs/>
          <w:kern w:val="1"/>
          <w:sz w:val="18"/>
          <w:szCs w:val="18"/>
          <w:lang w:eastAsia="ar-SA"/>
        </w:rPr>
        <w:t>s “Reglas de Portabilidad”), publicado en el DOF el 12 de noviembre de 2014.</w:t>
      </w:r>
    </w:p>
    <w:p w14:paraId="55D4C5DB" w14:textId="4FE6760E" w:rsidR="00153294" w:rsidRPr="00C57285" w:rsidRDefault="00153294" w:rsidP="00302699">
      <w:pPr>
        <w:widowControl w:val="0"/>
        <w:spacing w:after="0"/>
        <w:contextualSpacing/>
        <w:mirrorIndents/>
        <w:jc w:val="both"/>
        <w:rPr>
          <w:rFonts w:ascii="Arial" w:hAnsi="Arial" w:cs="Arial"/>
          <w:sz w:val="18"/>
          <w:szCs w:val="18"/>
        </w:rPr>
      </w:pPr>
    </w:p>
    <w:p w14:paraId="17D9186E" w14:textId="3909844B" w:rsidR="005729F2" w:rsidRPr="00C57285" w:rsidRDefault="00174E4E" w:rsidP="00302699">
      <w:pPr>
        <w:suppressAutoHyphens/>
        <w:spacing w:after="0"/>
        <w:ind w:right="49"/>
        <w:contextualSpacing/>
        <w:mirrorIndents/>
        <w:jc w:val="both"/>
        <w:rPr>
          <w:rFonts w:ascii="Arial" w:eastAsia="Times New Roman" w:hAnsi="Arial" w:cs="Arial"/>
          <w:bCs/>
          <w:kern w:val="1"/>
          <w:sz w:val="18"/>
          <w:szCs w:val="18"/>
          <w:lang w:eastAsia="ar-SA"/>
        </w:rPr>
      </w:pPr>
      <w:proofErr w:type="gramStart"/>
      <w:r w:rsidRPr="00C57285">
        <w:rPr>
          <w:rFonts w:ascii="Arial" w:eastAsia="Times New Roman" w:hAnsi="Arial" w:cs="Arial"/>
          <w:b/>
          <w:bCs/>
          <w:kern w:val="1"/>
          <w:sz w:val="18"/>
          <w:szCs w:val="18"/>
          <w:lang w:eastAsia="ar-SA"/>
        </w:rPr>
        <w:t>Quinto</w:t>
      </w:r>
      <w:r w:rsidR="00153294" w:rsidRPr="00C57285">
        <w:rPr>
          <w:rFonts w:ascii="Arial" w:eastAsia="Times New Roman" w:hAnsi="Arial" w:cs="Arial"/>
          <w:b/>
          <w:bCs/>
          <w:kern w:val="1"/>
          <w:sz w:val="18"/>
          <w:szCs w:val="18"/>
          <w:lang w:eastAsia="ar-SA"/>
        </w:rPr>
        <w:t>.-</w:t>
      </w:r>
      <w:proofErr w:type="gramEnd"/>
      <w:r w:rsidR="00153294" w:rsidRPr="00C57285">
        <w:rPr>
          <w:rFonts w:ascii="Arial" w:eastAsia="Times New Roman" w:hAnsi="Arial" w:cs="Arial"/>
          <w:b/>
          <w:bCs/>
          <w:kern w:val="1"/>
          <w:sz w:val="18"/>
          <w:szCs w:val="18"/>
          <w:lang w:eastAsia="ar-SA"/>
        </w:rPr>
        <w:t xml:space="preserve"> Lineamientos de Consulta Pública y Análisis de Impacto Regulatorio.</w:t>
      </w:r>
      <w:r w:rsidR="00153294" w:rsidRPr="00C57285">
        <w:rPr>
          <w:rFonts w:ascii="Arial" w:eastAsia="Times New Roman" w:hAnsi="Arial" w:cs="Arial"/>
          <w:bCs/>
          <w:kern w:val="1"/>
          <w:sz w:val="18"/>
          <w:szCs w:val="18"/>
          <w:lang w:eastAsia="ar-SA"/>
        </w:rPr>
        <w:t xml:space="preserve"> El 25 de septiembre de 2017 el Pleno del Instituto en su XXXIX Sesión Ordinaria, aprobó el “</w:t>
      </w:r>
      <w:r w:rsidR="00153294" w:rsidRPr="00C57285">
        <w:rPr>
          <w:rFonts w:ascii="Arial" w:eastAsia="Times New Roman" w:hAnsi="Arial" w:cs="Arial"/>
          <w:bCs/>
          <w:i/>
          <w:kern w:val="1"/>
          <w:sz w:val="18"/>
          <w:szCs w:val="18"/>
          <w:lang w:eastAsia="ar-SA"/>
        </w:rPr>
        <w:t>Acuerdo mediante el cual el Pleno del Instituto Federal de Telecomunicaciones aprueba y emite los Lineamientos de Consulta Pública y Análisis de Impacto Regulatorio del Instituto Federal de Telecomunicaciones</w:t>
      </w:r>
      <w:r w:rsidR="00153294" w:rsidRPr="00C57285">
        <w:rPr>
          <w:rFonts w:ascii="Arial" w:eastAsia="Times New Roman" w:hAnsi="Arial" w:cs="Arial"/>
          <w:bCs/>
          <w:kern w:val="1"/>
          <w:sz w:val="18"/>
          <w:szCs w:val="18"/>
          <w:lang w:eastAsia="ar-SA"/>
        </w:rPr>
        <w:t>”, mediante Acuerdo P/IFT/250917/</w:t>
      </w:r>
      <w:r w:rsidR="000D521B" w:rsidRPr="00C57285">
        <w:rPr>
          <w:rFonts w:ascii="Arial" w:eastAsia="Times New Roman" w:hAnsi="Arial" w:cs="Arial"/>
          <w:bCs/>
          <w:kern w:val="1"/>
          <w:sz w:val="18"/>
          <w:szCs w:val="18"/>
          <w:lang w:eastAsia="ar-SA"/>
        </w:rPr>
        <w:t>592 publicado</w:t>
      </w:r>
      <w:r w:rsidR="00153294" w:rsidRPr="00C57285">
        <w:rPr>
          <w:rFonts w:ascii="Arial" w:eastAsia="Times New Roman" w:hAnsi="Arial" w:cs="Arial"/>
          <w:bCs/>
          <w:kern w:val="1"/>
          <w:sz w:val="18"/>
          <w:szCs w:val="18"/>
          <w:lang w:eastAsia="ar-SA"/>
        </w:rPr>
        <w:t xml:space="preserve"> en el DOF el 8 de noviembre de 2017.</w:t>
      </w:r>
    </w:p>
    <w:p w14:paraId="311CEE07" w14:textId="77777777" w:rsidR="005729F2" w:rsidRPr="00C57285" w:rsidRDefault="005729F2" w:rsidP="00302699">
      <w:pPr>
        <w:suppressAutoHyphens/>
        <w:spacing w:after="0"/>
        <w:ind w:right="49"/>
        <w:contextualSpacing/>
        <w:mirrorIndents/>
        <w:jc w:val="both"/>
        <w:rPr>
          <w:rFonts w:ascii="Arial" w:eastAsia="Times New Roman" w:hAnsi="Arial" w:cs="Arial"/>
          <w:bCs/>
          <w:kern w:val="1"/>
          <w:sz w:val="18"/>
          <w:szCs w:val="18"/>
          <w:lang w:eastAsia="ar-SA"/>
        </w:rPr>
      </w:pPr>
    </w:p>
    <w:p w14:paraId="0F4F10BB" w14:textId="07304EB9" w:rsidR="005729F2" w:rsidRPr="00C57285" w:rsidRDefault="00174E4E" w:rsidP="00302699">
      <w:pPr>
        <w:suppressAutoHyphens/>
        <w:spacing w:after="0"/>
        <w:ind w:right="49"/>
        <w:contextualSpacing/>
        <w:mirrorIndents/>
        <w:jc w:val="both"/>
        <w:rPr>
          <w:rFonts w:ascii="Arial" w:eastAsia="Times New Roman" w:hAnsi="Arial" w:cs="Arial"/>
          <w:bCs/>
          <w:kern w:val="1"/>
          <w:sz w:val="18"/>
          <w:szCs w:val="18"/>
          <w:lang w:eastAsia="ar-SA"/>
        </w:rPr>
      </w:pPr>
      <w:proofErr w:type="gramStart"/>
      <w:r w:rsidRPr="00C57285">
        <w:rPr>
          <w:rFonts w:ascii="Arial" w:eastAsia="Times New Roman" w:hAnsi="Arial" w:cs="Arial"/>
          <w:b/>
          <w:bCs/>
          <w:kern w:val="1"/>
          <w:sz w:val="18"/>
          <w:szCs w:val="18"/>
          <w:lang w:eastAsia="ar-SA"/>
        </w:rPr>
        <w:t>Sexto</w:t>
      </w:r>
      <w:r w:rsidR="005729F2" w:rsidRPr="00C57285">
        <w:rPr>
          <w:rFonts w:ascii="Arial" w:eastAsia="Times New Roman" w:hAnsi="Arial" w:cs="Arial"/>
          <w:b/>
          <w:bCs/>
          <w:kern w:val="1"/>
          <w:sz w:val="18"/>
          <w:szCs w:val="18"/>
          <w:lang w:eastAsia="ar-SA"/>
        </w:rPr>
        <w:t>.-</w:t>
      </w:r>
      <w:proofErr w:type="gramEnd"/>
      <w:r w:rsidR="005729F2" w:rsidRPr="00C57285">
        <w:rPr>
          <w:rFonts w:ascii="Arial" w:eastAsia="Times New Roman" w:hAnsi="Arial" w:cs="Arial"/>
          <w:b/>
          <w:bCs/>
          <w:kern w:val="1"/>
          <w:sz w:val="18"/>
          <w:szCs w:val="18"/>
          <w:lang w:eastAsia="ar-SA"/>
        </w:rPr>
        <w:t xml:space="preserve"> </w:t>
      </w:r>
      <w:r w:rsidR="00267CB9" w:rsidRPr="00C57285">
        <w:rPr>
          <w:rFonts w:ascii="Arial" w:eastAsia="Times New Roman" w:hAnsi="Arial" w:cs="Arial"/>
          <w:b/>
          <w:bCs/>
          <w:kern w:val="1"/>
          <w:sz w:val="18"/>
          <w:szCs w:val="18"/>
          <w:lang w:eastAsia="ar-SA"/>
        </w:rPr>
        <w:t>NOM-184-SCFI-2018.</w:t>
      </w:r>
      <w:r w:rsidR="005729F2" w:rsidRPr="00C57285">
        <w:rPr>
          <w:rFonts w:ascii="Arial" w:eastAsia="Times New Roman" w:hAnsi="Arial" w:cs="Arial"/>
          <w:bCs/>
          <w:kern w:val="1"/>
          <w:sz w:val="18"/>
          <w:szCs w:val="18"/>
          <w:lang w:eastAsia="ar-SA"/>
        </w:rPr>
        <w:t xml:space="preserve"> El </w:t>
      </w:r>
      <w:r w:rsidR="00267CB9" w:rsidRPr="00C57285">
        <w:rPr>
          <w:rFonts w:ascii="Arial" w:eastAsia="Times New Roman" w:hAnsi="Arial" w:cs="Arial"/>
          <w:bCs/>
          <w:kern w:val="1"/>
          <w:sz w:val="18"/>
          <w:szCs w:val="18"/>
          <w:lang w:eastAsia="ar-SA"/>
        </w:rPr>
        <w:t>8</w:t>
      </w:r>
      <w:r w:rsidR="005729F2" w:rsidRPr="00C57285">
        <w:rPr>
          <w:rFonts w:ascii="Arial" w:eastAsia="Times New Roman" w:hAnsi="Arial" w:cs="Arial"/>
          <w:bCs/>
          <w:kern w:val="1"/>
          <w:sz w:val="18"/>
          <w:szCs w:val="18"/>
          <w:lang w:eastAsia="ar-SA"/>
        </w:rPr>
        <w:t xml:space="preserve"> de </w:t>
      </w:r>
      <w:r w:rsidR="00267CB9" w:rsidRPr="00C57285">
        <w:rPr>
          <w:rFonts w:ascii="Arial" w:eastAsia="Times New Roman" w:hAnsi="Arial" w:cs="Arial"/>
          <w:bCs/>
          <w:kern w:val="1"/>
          <w:sz w:val="18"/>
          <w:szCs w:val="18"/>
          <w:lang w:eastAsia="ar-SA"/>
        </w:rPr>
        <w:t>marzo de 2019</w:t>
      </w:r>
      <w:r w:rsidR="005729F2" w:rsidRPr="00C57285">
        <w:rPr>
          <w:rFonts w:ascii="Arial" w:eastAsia="Times New Roman" w:hAnsi="Arial" w:cs="Arial"/>
          <w:bCs/>
          <w:kern w:val="1"/>
          <w:sz w:val="18"/>
          <w:szCs w:val="18"/>
          <w:lang w:eastAsia="ar-SA"/>
        </w:rPr>
        <w:t>,</w:t>
      </w:r>
      <w:r w:rsidR="00267CB9" w:rsidRPr="00C57285">
        <w:rPr>
          <w:rFonts w:ascii="Arial" w:eastAsia="Times New Roman" w:hAnsi="Arial" w:cs="Arial"/>
          <w:bCs/>
          <w:kern w:val="1"/>
          <w:sz w:val="18"/>
          <w:szCs w:val="18"/>
          <w:lang w:eastAsia="ar-SA"/>
        </w:rPr>
        <w:t xml:space="preserve"> se publicó en el DOF la “</w:t>
      </w:r>
      <w:r w:rsidR="00267CB9" w:rsidRPr="00C57285">
        <w:rPr>
          <w:rFonts w:ascii="Arial" w:eastAsia="Times New Roman" w:hAnsi="Arial" w:cs="Arial"/>
          <w:bCs/>
          <w:i/>
          <w:iCs/>
          <w:kern w:val="1"/>
          <w:sz w:val="18"/>
          <w:szCs w:val="18"/>
          <w:lang w:eastAsia="ar-SA"/>
        </w:rPr>
        <w:t>Norma Oficial Mexicana NOM-184-SCFI-2018, Elementos normativos y obligaciones específicas que deben observar los proveedores para la comercialización y/o prestación de los servicios de telecomunicaciones cuando utilicen una red pública de telecomunicaciones</w:t>
      </w:r>
      <w:r w:rsidR="004A659A" w:rsidRPr="00C57285">
        <w:rPr>
          <w:rFonts w:ascii="Arial" w:eastAsia="Times New Roman" w:hAnsi="Arial" w:cs="Arial"/>
          <w:bCs/>
          <w:i/>
          <w:iCs/>
          <w:kern w:val="1"/>
          <w:sz w:val="18"/>
          <w:szCs w:val="18"/>
          <w:lang w:eastAsia="ar-SA"/>
        </w:rPr>
        <w:t xml:space="preserve">” </w:t>
      </w:r>
      <w:r w:rsidR="004A659A" w:rsidRPr="00C57285">
        <w:rPr>
          <w:rFonts w:ascii="Arial" w:eastAsia="Times New Roman" w:hAnsi="Arial" w:cs="Arial"/>
          <w:bCs/>
          <w:kern w:val="1"/>
          <w:sz w:val="18"/>
          <w:szCs w:val="18"/>
          <w:lang w:eastAsia="ar-SA"/>
        </w:rPr>
        <w:t>(en lo sucesivo, la “NOM-184-SCFI-2018”)</w:t>
      </w:r>
      <w:r w:rsidR="00A763BE" w:rsidRPr="00C57285">
        <w:rPr>
          <w:rFonts w:ascii="Arial" w:eastAsia="Times New Roman" w:hAnsi="Arial" w:cs="Arial"/>
          <w:bCs/>
          <w:kern w:val="1"/>
          <w:sz w:val="18"/>
          <w:szCs w:val="18"/>
          <w:lang w:eastAsia="ar-SA"/>
        </w:rPr>
        <w:t>.</w:t>
      </w:r>
    </w:p>
    <w:p w14:paraId="53010CD2" w14:textId="6A55C1C2" w:rsidR="008B0873" w:rsidRPr="00C57285" w:rsidRDefault="008B0873" w:rsidP="00302699">
      <w:pPr>
        <w:suppressAutoHyphens/>
        <w:spacing w:after="0"/>
        <w:ind w:right="49"/>
        <w:contextualSpacing/>
        <w:mirrorIndents/>
        <w:jc w:val="both"/>
        <w:rPr>
          <w:rFonts w:ascii="Arial" w:eastAsia="Times New Roman" w:hAnsi="Arial" w:cs="Arial"/>
          <w:bCs/>
          <w:kern w:val="1"/>
          <w:sz w:val="18"/>
          <w:szCs w:val="18"/>
          <w:lang w:eastAsia="ar-SA"/>
        </w:rPr>
      </w:pPr>
    </w:p>
    <w:p w14:paraId="14ABA8B3" w14:textId="620A25C0" w:rsidR="008B0873" w:rsidRPr="00C57285" w:rsidRDefault="00174E4E" w:rsidP="00302699">
      <w:pPr>
        <w:suppressAutoHyphens/>
        <w:spacing w:after="0"/>
        <w:ind w:right="49"/>
        <w:contextualSpacing/>
        <w:mirrorIndents/>
        <w:jc w:val="both"/>
        <w:rPr>
          <w:rFonts w:ascii="Arial" w:eastAsia="Times New Roman" w:hAnsi="Arial" w:cs="Arial"/>
          <w:bCs/>
          <w:kern w:val="1"/>
          <w:sz w:val="18"/>
          <w:szCs w:val="18"/>
          <w:lang w:eastAsia="ar-SA"/>
        </w:rPr>
      </w:pPr>
      <w:proofErr w:type="gramStart"/>
      <w:r w:rsidRPr="00C57285">
        <w:rPr>
          <w:rFonts w:ascii="Arial" w:eastAsia="Times New Roman" w:hAnsi="Arial" w:cs="Arial"/>
          <w:b/>
          <w:bCs/>
          <w:kern w:val="1"/>
          <w:sz w:val="18"/>
          <w:szCs w:val="18"/>
          <w:lang w:eastAsia="ar-SA"/>
        </w:rPr>
        <w:t>Séptimo</w:t>
      </w:r>
      <w:r w:rsidR="008B0873" w:rsidRPr="00C57285">
        <w:rPr>
          <w:rFonts w:ascii="Arial" w:eastAsia="Times New Roman" w:hAnsi="Arial" w:cs="Arial"/>
          <w:b/>
          <w:bCs/>
          <w:kern w:val="1"/>
          <w:sz w:val="18"/>
          <w:szCs w:val="18"/>
          <w:lang w:eastAsia="ar-SA"/>
        </w:rPr>
        <w:t>.-</w:t>
      </w:r>
      <w:proofErr w:type="gramEnd"/>
      <w:r w:rsidR="008B0873" w:rsidRPr="00C57285">
        <w:rPr>
          <w:rFonts w:ascii="Arial" w:eastAsia="Times New Roman" w:hAnsi="Arial" w:cs="Arial"/>
          <w:b/>
          <w:bCs/>
          <w:kern w:val="1"/>
          <w:sz w:val="18"/>
          <w:szCs w:val="18"/>
          <w:lang w:eastAsia="ar-SA"/>
        </w:rPr>
        <w:t xml:space="preserve"> </w:t>
      </w:r>
      <w:r w:rsidR="0014141C" w:rsidRPr="00C57285">
        <w:rPr>
          <w:rFonts w:ascii="Arial" w:eastAsia="Times New Roman" w:hAnsi="Arial" w:cs="Arial"/>
          <w:b/>
          <w:bCs/>
          <w:kern w:val="1"/>
          <w:sz w:val="18"/>
          <w:szCs w:val="18"/>
          <w:lang w:eastAsia="ar-SA"/>
        </w:rPr>
        <w:t xml:space="preserve">Carta de Derechos mínimos de los Usuarios. </w:t>
      </w:r>
      <w:r w:rsidR="008B0873" w:rsidRPr="00C57285">
        <w:rPr>
          <w:rFonts w:ascii="Arial" w:eastAsia="Times New Roman" w:hAnsi="Arial" w:cs="Arial"/>
          <w:kern w:val="1"/>
          <w:sz w:val="18"/>
          <w:szCs w:val="18"/>
          <w:lang w:eastAsia="ar-SA"/>
        </w:rPr>
        <w:t>El 6 de diciembre de 2021 la</w:t>
      </w:r>
      <w:r w:rsidR="00D233AB" w:rsidRPr="00C57285">
        <w:rPr>
          <w:rFonts w:ascii="Arial" w:eastAsia="Times New Roman" w:hAnsi="Arial" w:cs="Arial"/>
          <w:kern w:val="1"/>
          <w:sz w:val="18"/>
          <w:szCs w:val="18"/>
          <w:lang w:eastAsia="ar-SA"/>
        </w:rPr>
        <w:t xml:space="preserve"> </w:t>
      </w:r>
      <w:r w:rsidR="00D233AB" w:rsidRPr="00C57285">
        <w:rPr>
          <w:rFonts w:ascii="Arial" w:hAnsi="Arial" w:cs="Arial"/>
          <w:sz w:val="18"/>
          <w:szCs w:val="18"/>
        </w:rPr>
        <w:t>Procuraduría Federal del Consumidor</w:t>
      </w:r>
      <w:r w:rsidR="008B0873" w:rsidRPr="00C57285">
        <w:rPr>
          <w:rFonts w:ascii="Arial" w:eastAsia="Times New Roman" w:hAnsi="Arial" w:cs="Arial"/>
          <w:kern w:val="1"/>
          <w:sz w:val="18"/>
          <w:szCs w:val="18"/>
          <w:lang w:eastAsia="ar-SA"/>
        </w:rPr>
        <w:t xml:space="preserve"> </w:t>
      </w:r>
      <w:r w:rsidR="00D233AB" w:rsidRPr="00C57285">
        <w:rPr>
          <w:rFonts w:ascii="Arial" w:eastAsia="Times New Roman" w:hAnsi="Arial" w:cs="Arial"/>
          <w:bCs/>
          <w:kern w:val="1"/>
          <w:sz w:val="18"/>
          <w:szCs w:val="18"/>
          <w:lang w:eastAsia="ar-SA"/>
        </w:rPr>
        <w:t>(en lo sucesivo, la “</w:t>
      </w:r>
      <w:r w:rsidR="008B0873" w:rsidRPr="00C57285">
        <w:rPr>
          <w:rFonts w:ascii="Arial" w:hAnsi="Arial" w:cs="Arial"/>
          <w:sz w:val="18"/>
          <w:szCs w:val="18"/>
        </w:rPr>
        <w:t>Profeco</w:t>
      </w:r>
      <w:r w:rsidR="00D233AB" w:rsidRPr="00C57285">
        <w:rPr>
          <w:rFonts w:ascii="Arial" w:hAnsi="Arial" w:cs="Arial"/>
          <w:sz w:val="18"/>
          <w:szCs w:val="18"/>
        </w:rPr>
        <w:t>”)</w:t>
      </w:r>
      <w:r w:rsidR="008B0873" w:rsidRPr="00C57285">
        <w:rPr>
          <w:rFonts w:ascii="Arial" w:hAnsi="Arial" w:cs="Arial"/>
          <w:sz w:val="18"/>
          <w:szCs w:val="18"/>
        </w:rPr>
        <w:t xml:space="preserve"> </w:t>
      </w:r>
      <w:r w:rsidR="008B0873" w:rsidRPr="00C57285">
        <w:rPr>
          <w:rFonts w:ascii="Arial" w:eastAsia="Times New Roman" w:hAnsi="Arial" w:cs="Arial"/>
          <w:kern w:val="1"/>
          <w:sz w:val="18"/>
          <w:szCs w:val="18"/>
          <w:lang w:eastAsia="ar-SA"/>
        </w:rPr>
        <w:t>y el Instituto suscribieron el “</w:t>
      </w:r>
      <w:r w:rsidR="008B0873" w:rsidRPr="00C57285">
        <w:rPr>
          <w:rFonts w:ascii="Arial" w:eastAsia="Times New Roman" w:hAnsi="Arial" w:cs="Arial"/>
          <w:i/>
          <w:iCs/>
          <w:kern w:val="1"/>
          <w:sz w:val="18"/>
          <w:szCs w:val="18"/>
          <w:lang w:eastAsia="ar-SA"/>
        </w:rPr>
        <w:t>Acuerdo mediante el cual la Procuraduría Federal del Consumidor y el Instituto Federal de Telecomunicaciones, determinan los derechos mínimos que deben incluirse en la carta a que hace referencia el artículo 191 de la Ley Federal de Telecomunicaciones y Radiodifusión”</w:t>
      </w:r>
      <w:r w:rsidR="008B0873" w:rsidRPr="00C57285">
        <w:rPr>
          <w:rFonts w:ascii="Arial" w:eastAsia="Times New Roman" w:hAnsi="Arial" w:cs="Arial"/>
          <w:kern w:val="1"/>
          <w:sz w:val="18"/>
          <w:szCs w:val="18"/>
          <w:lang w:eastAsia="ar-SA"/>
        </w:rPr>
        <w:t xml:space="preserve">, </w:t>
      </w:r>
      <w:r w:rsidR="008B0873" w:rsidRPr="00C57285">
        <w:rPr>
          <w:rFonts w:ascii="Arial" w:eastAsia="Times New Roman" w:hAnsi="Arial" w:cs="Arial"/>
          <w:bCs/>
          <w:kern w:val="1"/>
          <w:sz w:val="18"/>
          <w:szCs w:val="18"/>
          <w:lang w:eastAsia="ar-SA"/>
        </w:rPr>
        <w:t>publicado en el DOF el 25 de enero de 2022.</w:t>
      </w:r>
    </w:p>
    <w:p w14:paraId="3A571DB4" w14:textId="3B1B4BE5" w:rsidR="00900070" w:rsidRPr="00C57285" w:rsidRDefault="00900070" w:rsidP="00302699">
      <w:pPr>
        <w:suppressAutoHyphens/>
        <w:spacing w:after="0"/>
        <w:ind w:right="49"/>
        <w:contextualSpacing/>
        <w:mirrorIndents/>
        <w:jc w:val="both"/>
        <w:rPr>
          <w:rFonts w:ascii="Arial" w:eastAsia="Times New Roman" w:hAnsi="Arial" w:cs="Arial"/>
          <w:bCs/>
          <w:kern w:val="1"/>
          <w:sz w:val="18"/>
          <w:szCs w:val="18"/>
          <w:lang w:eastAsia="ar-SA"/>
        </w:rPr>
      </w:pPr>
    </w:p>
    <w:p w14:paraId="7180DF9B" w14:textId="01643321" w:rsidR="00267CB9" w:rsidRDefault="00900070" w:rsidP="00302699">
      <w:pPr>
        <w:suppressAutoHyphens/>
        <w:spacing w:after="0"/>
        <w:ind w:right="49"/>
        <w:contextualSpacing/>
        <w:mirrorIndents/>
        <w:jc w:val="both"/>
        <w:rPr>
          <w:rFonts w:ascii="Arial" w:eastAsia="Times New Roman" w:hAnsi="Arial" w:cs="Arial"/>
          <w:kern w:val="1"/>
          <w:sz w:val="18"/>
          <w:szCs w:val="18"/>
          <w:lang w:eastAsia="ar-SA"/>
        </w:rPr>
      </w:pPr>
      <w:proofErr w:type="gramStart"/>
      <w:r w:rsidRPr="00C57285">
        <w:rPr>
          <w:rFonts w:ascii="Arial" w:eastAsia="Times New Roman" w:hAnsi="Arial" w:cs="Arial"/>
          <w:b/>
          <w:bCs/>
          <w:kern w:val="1"/>
          <w:sz w:val="18"/>
          <w:szCs w:val="18"/>
          <w:lang w:eastAsia="ar-SA"/>
        </w:rPr>
        <w:t>Octavo.-</w:t>
      </w:r>
      <w:proofErr w:type="gramEnd"/>
      <w:r w:rsidRPr="00C57285">
        <w:rPr>
          <w:rFonts w:ascii="Arial" w:eastAsia="Times New Roman" w:hAnsi="Arial" w:cs="Arial"/>
          <w:b/>
          <w:bCs/>
          <w:kern w:val="1"/>
          <w:sz w:val="18"/>
          <w:szCs w:val="18"/>
          <w:lang w:eastAsia="ar-SA"/>
        </w:rPr>
        <w:t xml:space="preserve"> Consulta Pública. </w:t>
      </w:r>
      <w:r w:rsidRPr="00C57285">
        <w:rPr>
          <w:rFonts w:ascii="Arial" w:eastAsia="Times New Roman" w:hAnsi="Arial" w:cs="Arial"/>
          <w:kern w:val="1"/>
          <w:sz w:val="18"/>
          <w:szCs w:val="18"/>
          <w:lang w:eastAsia="ar-SA"/>
        </w:rPr>
        <w:t>El 09 de marzo de 2022, el Pleno del Instituto en su V Sesión Ordinaria mediante Acuerdo P/IFT/090322/134 determinó someter a Consulta Pública el “</w:t>
      </w:r>
      <w:r w:rsidRPr="00C57285">
        <w:rPr>
          <w:rFonts w:ascii="Arial" w:eastAsia="Times New Roman" w:hAnsi="Arial" w:cs="Arial"/>
          <w:i/>
          <w:iCs/>
          <w:kern w:val="1"/>
          <w:sz w:val="18"/>
          <w:szCs w:val="18"/>
          <w:lang w:eastAsia="ar-SA"/>
        </w:rPr>
        <w:t xml:space="preserve">Acuerdo mediante el cual el Pleno del Instituto Federal de Telecomunicaciones determina someter a consulta pública el Anteproyecto de Lineamientos para el desbloqueo de </w:t>
      </w:r>
      <w:r w:rsidRPr="00C57285">
        <w:rPr>
          <w:rFonts w:ascii="Arial" w:eastAsia="Times New Roman" w:hAnsi="Arial" w:cs="Arial"/>
          <w:i/>
          <w:iCs/>
          <w:kern w:val="1"/>
          <w:sz w:val="18"/>
          <w:szCs w:val="18"/>
          <w:lang w:eastAsia="ar-SA"/>
        </w:rPr>
        <w:lastRenderedPageBreak/>
        <w:t xml:space="preserve">Equipos Terminales Móviles que deben observar los prestadores del Servicio Móvil”, </w:t>
      </w:r>
      <w:r w:rsidR="00FE41BC">
        <w:rPr>
          <w:rFonts w:ascii="Arial" w:eastAsia="Times New Roman" w:hAnsi="Arial" w:cs="Arial"/>
          <w:kern w:val="1"/>
          <w:sz w:val="18"/>
          <w:szCs w:val="18"/>
          <w:lang w:eastAsia="ar-SA"/>
        </w:rPr>
        <w:t>por un plazo de 20 (veinte) días hábiles contados a partir del día hábil siguiente al de su publicación en el portal de Internet del Instituto.</w:t>
      </w:r>
    </w:p>
    <w:p w14:paraId="41F9B294" w14:textId="133753E9" w:rsidR="00FE41BC" w:rsidRDefault="00FE41BC" w:rsidP="00302699">
      <w:pPr>
        <w:suppressAutoHyphens/>
        <w:spacing w:after="0"/>
        <w:ind w:right="49"/>
        <w:contextualSpacing/>
        <w:mirrorIndents/>
        <w:jc w:val="both"/>
        <w:rPr>
          <w:rFonts w:ascii="Arial" w:eastAsia="Times New Roman" w:hAnsi="Arial" w:cs="Arial"/>
          <w:kern w:val="1"/>
          <w:sz w:val="18"/>
          <w:szCs w:val="18"/>
          <w:lang w:eastAsia="ar-SA"/>
        </w:rPr>
      </w:pPr>
    </w:p>
    <w:p w14:paraId="1C0448D9" w14:textId="242B509B" w:rsidR="00FE41BC" w:rsidRPr="00E14285" w:rsidRDefault="00FE41BC" w:rsidP="00FE41BC">
      <w:pPr>
        <w:suppressAutoHyphens/>
        <w:spacing w:after="0"/>
        <w:ind w:right="49"/>
        <w:contextualSpacing/>
        <w:mirrorIndents/>
        <w:jc w:val="both"/>
        <w:rPr>
          <w:rFonts w:ascii="Arial" w:eastAsia="Times New Roman" w:hAnsi="Arial" w:cs="Arial"/>
          <w:kern w:val="1"/>
          <w:sz w:val="18"/>
          <w:szCs w:val="18"/>
          <w:lang w:eastAsia="ar-SA"/>
        </w:rPr>
      </w:pPr>
      <w:proofErr w:type="gramStart"/>
      <w:r>
        <w:rPr>
          <w:rFonts w:ascii="Arial" w:eastAsia="Times New Roman" w:hAnsi="Arial" w:cs="Arial"/>
          <w:b/>
          <w:bCs/>
          <w:kern w:val="1"/>
          <w:sz w:val="18"/>
          <w:szCs w:val="18"/>
          <w:lang w:eastAsia="ar-SA"/>
        </w:rPr>
        <w:t>Noveno.-</w:t>
      </w:r>
      <w:proofErr w:type="gramEnd"/>
      <w:r>
        <w:rPr>
          <w:rFonts w:ascii="Arial" w:eastAsia="Times New Roman" w:hAnsi="Arial" w:cs="Arial"/>
          <w:kern w:val="1"/>
          <w:sz w:val="18"/>
          <w:szCs w:val="18"/>
          <w:lang w:eastAsia="ar-SA"/>
        </w:rPr>
        <w:t xml:space="preserve"> </w:t>
      </w:r>
      <w:r>
        <w:rPr>
          <w:rFonts w:ascii="Arial" w:eastAsia="Times New Roman" w:hAnsi="Arial" w:cs="Arial"/>
          <w:b/>
          <w:bCs/>
          <w:kern w:val="1"/>
          <w:sz w:val="18"/>
          <w:szCs w:val="18"/>
          <w:lang w:eastAsia="ar-SA"/>
        </w:rPr>
        <w:t xml:space="preserve">Ampliación de la Consulta </w:t>
      </w:r>
      <w:r w:rsidR="00D74C49">
        <w:rPr>
          <w:rFonts w:ascii="Arial" w:eastAsia="Times New Roman" w:hAnsi="Arial" w:cs="Arial"/>
          <w:b/>
          <w:bCs/>
          <w:kern w:val="1"/>
          <w:sz w:val="18"/>
          <w:szCs w:val="18"/>
          <w:lang w:eastAsia="ar-SA"/>
        </w:rPr>
        <w:t>P</w:t>
      </w:r>
      <w:r>
        <w:rPr>
          <w:rFonts w:ascii="Arial" w:eastAsia="Times New Roman" w:hAnsi="Arial" w:cs="Arial"/>
          <w:b/>
          <w:bCs/>
          <w:kern w:val="1"/>
          <w:sz w:val="18"/>
          <w:szCs w:val="18"/>
          <w:lang w:eastAsia="ar-SA"/>
        </w:rPr>
        <w:t xml:space="preserve">ública. </w:t>
      </w:r>
      <w:r>
        <w:rPr>
          <w:rFonts w:ascii="Arial" w:eastAsia="Times New Roman" w:hAnsi="Arial" w:cs="Arial"/>
          <w:kern w:val="1"/>
          <w:sz w:val="18"/>
          <w:szCs w:val="18"/>
          <w:lang w:eastAsia="ar-SA"/>
        </w:rPr>
        <w:t xml:space="preserve">El </w:t>
      </w:r>
      <w:r w:rsidR="00F95DBD">
        <w:rPr>
          <w:rFonts w:ascii="Arial" w:eastAsia="Times New Roman" w:hAnsi="Arial" w:cs="Arial"/>
          <w:kern w:val="1"/>
          <w:sz w:val="18"/>
          <w:szCs w:val="18"/>
          <w:lang w:eastAsia="ar-SA"/>
        </w:rPr>
        <w:t>0</w:t>
      </w:r>
      <w:r>
        <w:rPr>
          <w:rFonts w:ascii="Arial" w:eastAsia="Times New Roman" w:hAnsi="Arial" w:cs="Arial"/>
          <w:kern w:val="1"/>
          <w:sz w:val="18"/>
          <w:szCs w:val="18"/>
          <w:lang w:eastAsia="ar-SA"/>
        </w:rPr>
        <w:t xml:space="preserve">6 de abril de 2022, el Pleno del Instituto en su VIII Sesión Ordinaria mediante Acuerdo </w:t>
      </w:r>
      <w:r w:rsidRPr="00844423">
        <w:rPr>
          <w:rFonts w:ascii="Arial" w:eastAsia="Times New Roman" w:hAnsi="Arial" w:cs="Arial"/>
          <w:kern w:val="1"/>
          <w:sz w:val="18"/>
          <w:szCs w:val="18"/>
          <w:lang w:eastAsia="ar-SA"/>
        </w:rPr>
        <w:t>P/IFT/060422/232</w:t>
      </w:r>
      <w:r w:rsidR="00F95DBD">
        <w:rPr>
          <w:rFonts w:ascii="Arial" w:eastAsia="Times New Roman" w:hAnsi="Arial" w:cs="Arial"/>
          <w:kern w:val="1"/>
          <w:sz w:val="18"/>
          <w:szCs w:val="18"/>
          <w:lang w:eastAsia="ar-SA"/>
        </w:rPr>
        <w:t xml:space="preserve">, </w:t>
      </w:r>
      <w:r>
        <w:rPr>
          <w:rFonts w:ascii="Arial" w:eastAsia="Times New Roman" w:hAnsi="Arial" w:cs="Arial"/>
          <w:kern w:val="1"/>
          <w:sz w:val="18"/>
          <w:szCs w:val="18"/>
          <w:lang w:eastAsia="ar-SA"/>
        </w:rPr>
        <w:t xml:space="preserve">determinó ampliar el plazo de Consulta Pública del </w:t>
      </w:r>
      <w:r w:rsidRPr="00C57285">
        <w:rPr>
          <w:rFonts w:ascii="Arial" w:eastAsia="Times New Roman" w:hAnsi="Arial" w:cs="Arial"/>
          <w:kern w:val="1"/>
          <w:sz w:val="18"/>
          <w:szCs w:val="18"/>
          <w:lang w:eastAsia="ar-SA"/>
        </w:rPr>
        <w:t>“</w:t>
      </w:r>
      <w:r w:rsidRPr="00C57285">
        <w:rPr>
          <w:rFonts w:ascii="Arial" w:eastAsia="Times New Roman" w:hAnsi="Arial" w:cs="Arial"/>
          <w:i/>
          <w:iCs/>
          <w:kern w:val="1"/>
          <w:sz w:val="18"/>
          <w:szCs w:val="18"/>
          <w:lang w:eastAsia="ar-SA"/>
        </w:rPr>
        <w:t>Acuerdo mediante el cual el Pleno del Instituto Federal de Telecomunicaciones determina someter a consulta pública el Anteproyecto de Lineamientos para el desbloqueo de Equipos Terminales Móviles que deben observar los prestadores del Servicio Móvil”</w:t>
      </w:r>
      <w:r>
        <w:rPr>
          <w:rFonts w:ascii="Arial" w:eastAsia="Times New Roman" w:hAnsi="Arial" w:cs="Arial"/>
          <w:i/>
          <w:iCs/>
          <w:kern w:val="1"/>
          <w:sz w:val="18"/>
          <w:szCs w:val="18"/>
          <w:lang w:eastAsia="ar-SA"/>
        </w:rPr>
        <w:t xml:space="preserve"> </w:t>
      </w:r>
      <w:r>
        <w:rPr>
          <w:rFonts w:ascii="Arial" w:eastAsia="Times New Roman" w:hAnsi="Arial" w:cs="Arial"/>
          <w:kern w:val="1"/>
          <w:sz w:val="18"/>
          <w:szCs w:val="18"/>
          <w:lang w:eastAsia="ar-SA"/>
        </w:rPr>
        <w:t>por 10 (diez) días hábiles adicionales</w:t>
      </w:r>
      <w:r w:rsidR="00F95DBD">
        <w:rPr>
          <w:rFonts w:ascii="Arial" w:eastAsia="Times New Roman" w:hAnsi="Arial" w:cs="Arial"/>
          <w:kern w:val="1"/>
          <w:sz w:val="18"/>
          <w:szCs w:val="18"/>
          <w:lang w:eastAsia="ar-SA"/>
        </w:rPr>
        <w:t xml:space="preserve">. </w:t>
      </w:r>
    </w:p>
    <w:p w14:paraId="4C9ACD70" w14:textId="77777777" w:rsidR="00FE41BC" w:rsidRPr="00C57285" w:rsidRDefault="00FE41BC" w:rsidP="00302699">
      <w:pPr>
        <w:suppressAutoHyphens/>
        <w:spacing w:after="0"/>
        <w:ind w:right="49"/>
        <w:contextualSpacing/>
        <w:mirrorIndents/>
        <w:jc w:val="both"/>
        <w:rPr>
          <w:rFonts w:ascii="Arial" w:eastAsia="Times New Roman" w:hAnsi="Arial" w:cs="Arial"/>
          <w:kern w:val="1"/>
          <w:sz w:val="18"/>
          <w:szCs w:val="18"/>
          <w:lang w:eastAsia="ar-SA"/>
        </w:rPr>
      </w:pPr>
    </w:p>
    <w:p w14:paraId="58E70E12" w14:textId="6127696D" w:rsidR="00FB1063" w:rsidRPr="00C57285" w:rsidRDefault="00254AF7" w:rsidP="00302699">
      <w:pPr>
        <w:spacing w:after="0"/>
        <w:contextualSpacing/>
        <w:mirrorIndents/>
        <w:rPr>
          <w:rFonts w:ascii="Arial" w:eastAsia="Times New Roman" w:hAnsi="Arial" w:cs="Arial"/>
          <w:kern w:val="1"/>
          <w:sz w:val="18"/>
          <w:szCs w:val="18"/>
          <w:lang w:eastAsia="ar-SA"/>
        </w:rPr>
      </w:pPr>
      <w:r w:rsidRPr="00C57285">
        <w:rPr>
          <w:rFonts w:ascii="Arial" w:eastAsia="Times New Roman" w:hAnsi="Arial" w:cs="Arial"/>
          <w:kern w:val="1"/>
          <w:sz w:val="18"/>
          <w:szCs w:val="18"/>
          <w:lang w:eastAsia="ar-SA"/>
        </w:rPr>
        <w:t>En virtud de los Antecedentes señalados, y</w:t>
      </w:r>
    </w:p>
    <w:p w14:paraId="0BAF2E2E" w14:textId="77777777" w:rsidR="00254AF7" w:rsidRPr="00C57285" w:rsidRDefault="00254AF7" w:rsidP="00302699">
      <w:pPr>
        <w:spacing w:after="0"/>
        <w:contextualSpacing/>
        <w:mirrorIndents/>
        <w:jc w:val="center"/>
        <w:rPr>
          <w:rFonts w:ascii="Arial" w:hAnsi="Arial" w:cs="Arial"/>
          <w:kern w:val="1"/>
          <w:sz w:val="18"/>
          <w:szCs w:val="18"/>
          <w:lang w:eastAsia="ar-SA"/>
        </w:rPr>
      </w:pPr>
    </w:p>
    <w:p w14:paraId="5B8EDA03" w14:textId="77777777" w:rsidR="001B163B" w:rsidRPr="00C57285" w:rsidRDefault="001B163B" w:rsidP="00302699">
      <w:pPr>
        <w:spacing w:after="0"/>
        <w:contextualSpacing/>
        <w:mirrorIndents/>
        <w:jc w:val="center"/>
        <w:rPr>
          <w:rFonts w:ascii="Arial" w:eastAsia="Times New Roman" w:hAnsi="Arial" w:cs="Arial"/>
          <w:b/>
          <w:sz w:val="18"/>
          <w:szCs w:val="18"/>
          <w:lang w:eastAsia="es-MX"/>
        </w:rPr>
      </w:pPr>
      <w:r w:rsidRPr="00C57285">
        <w:rPr>
          <w:rFonts w:ascii="Arial" w:eastAsia="Times New Roman" w:hAnsi="Arial" w:cs="Arial"/>
          <w:b/>
          <w:sz w:val="18"/>
          <w:szCs w:val="18"/>
          <w:lang w:eastAsia="es-MX"/>
        </w:rPr>
        <w:t>Considerando</w:t>
      </w:r>
    </w:p>
    <w:p w14:paraId="6CB81078" w14:textId="77777777" w:rsidR="001B163B" w:rsidRPr="00C57285" w:rsidRDefault="001B163B" w:rsidP="00302699">
      <w:pPr>
        <w:spacing w:after="0"/>
        <w:contextualSpacing/>
        <w:mirrorIndents/>
        <w:jc w:val="center"/>
        <w:rPr>
          <w:rFonts w:ascii="Arial" w:eastAsia="Times New Roman" w:hAnsi="Arial" w:cs="Arial"/>
          <w:sz w:val="18"/>
          <w:szCs w:val="18"/>
          <w:lang w:eastAsia="es-MX"/>
        </w:rPr>
      </w:pPr>
    </w:p>
    <w:p w14:paraId="7907DEAA" w14:textId="2B367B7A" w:rsidR="00DC1A0F" w:rsidRPr="00C57285" w:rsidRDefault="006827A0" w:rsidP="00302699">
      <w:pPr>
        <w:suppressAutoHyphens/>
        <w:spacing w:after="0"/>
        <w:ind w:right="49"/>
        <w:contextualSpacing/>
        <w:mirrorIndents/>
        <w:jc w:val="both"/>
        <w:rPr>
          <w:rFonts w:ascii="Arial" w:eastAsia="Times New Roman" w:hAnsi="Arial" w:cs="Arial"/>
          <w:bCs/>
          <w:kern w:val="1"/>
          <w:sz w:val="18"/>
          <w:szCs w:val="18"/>
          <w:lang w:eastAsia="ar-SA"/>
        </w:rPr>
      </w:pPr>
      <w:proofErr w:type="gramStart"/>
      <w:r w:rsidRPr="00C57285">
        <w:rPr>
          <w:rFonts w:ascii="Arial" w:eastAsia="Times New Roman" w:hAnsi="Arial" w:cs="Arial"/>
          <w:b/>
          <w:bCs/>
          <w:kern w:val="1"/>
          <w:sz w:val="18"/>
          <w:szCs w:val="18"/>
          <w:lang w:eastAsia="ar-SA"/>
        </w:rPr>
        <w:t>Primero.-</w:t>
      </w:r>
      <w:proofErr w:type="gramEnd"/>
      <w:r w:rsidR="00FB1063" w:rsidRPr="00C57285">
        <w:rPr>
          <w:rFonts w:ascii="Arial" w:eastAsia="Times New Roman" w:hAnsi="Arial" w:cs="Arial"/>
          <w:b/>
          <w:bCs/>
          <w:kern w:val="1"/>
          <w:sz w:val="18"/>
          <w:szCs w:val="18"/>
          <w:lang w:eastAsia="ar-SA"/>
        </w:rPr>
        <w:t xml:space="preserve"> Competencia del Instituto.</w:t>
      </w:r>
      <w:r w:rsidR="00DC1A0F" w:rsidRPr="00C57285">
        <w:rPr>
          <w:rFonts w:ascii="Arial" w:eastAsia="Times New Roman" w:hAnsi="Arial" w:cs="Arial"/>
          <w:b/>
          <w:bCs/>
          <w:kern w:val="1"/>
          <w:sz w:val="18"/>
          <w:szCs w:val="18"/>
          <w:lang w:eastAsia="ar-SA"/>
        </w:rPr>
        <w:t xml:space="preserve"> </w:t>
      </w:r>
      <w:r w:rsidR="00DC1A0F" w:rsidRPr="00C57285">
        <w:rPr>
          <w:rFonts w:ascii="Arial" w:eastAsia="Times New Roman" w:hAnsi="Arial" w:cs="Arial"/>
          <w:bCs/>
          <w:kern w:val="1"/>
          <w:sz w:val="18"/>
          <w:szCs w:val="18"/>
          <w:lang w:eastAsia="ar-SA"/>
        </w:rPr>
        <w:t>De conformidad con los artículos 6º, apartado B fracción II, 28, párrafos décimo quinto, décimo sexto y fracción IV del párrafo vigésimo de la Constitución</w:t>
      </w:r>
      <w:r w:rsidR="00F95DBD">
        <w:rPr>
          <w:rFonts w:ascii="Arial" w:eastAsia="Times New Roman" w:hAnsi="Arial" w:cs="Arial"/>
          <w:bCs/>
          <w:kern w:val="1"/>
          <w:sz w:val="18"/>
          <w:szCs w:val="18"/>
          <w:lang w:eastAsia="ar-SA"/>
        </w:rPr>
        <w:t>, así como los artículos 1</w:t>
      </w:r>
      <w:r w:rsidR="00DC1A0F" w:rsidRPr="00C57285">
        <w:rPr>
          <w:rFonts w:ascii="Arial" w:eastAsia="Times New Roman" w:hAnsi="Arial" w:cs="Arial"/>
          <w:bCs/>
          <w:kern w:val="1"/>
          <w:sz w:val="18"/>
          <w:szCs w:val="18"/>
          <w:lang w:eastAsia="ar-SA"/>
        </w:rPr>
        <w:t xml:space="preserve"> y 7 de la LFTR</w:t>
      </w:r>
      <w:r w:rsidR="00F95DBD">
        <w:rPr>
          <w:rFonts w:ascii="Arial" w:eastAsia="Times New Roman" w:hAnsi="Arial" w:cs="Arial"/>
          <w:bCs/>
          <w:kern w:val="1"/>
          <w:sz w:val="18"/>
          <w:szCs w:val="18"/>
          <w:lang w:eastAsia="ar-SA"/>
        </w:rPr>
        <w:t>,</w:t>
      </w:r>
      <w:r w:rsidR="00DC1A0F" w:rsidRPr="00C57285">
        <w:rPr>
          <w:rFonts w:ascii="Arial" w:eastAsia="Times New Roman" w:hAnsi="Arial" w:cs="Arial"/>
          <w:bCs/>
          <w:kern w:val="1"/>
          <w:sz w:val="18"/>
          <w:szCs w:val="18"/>
          <w:lang w:eastAsia="ar-SA"/>
        </w:rPr>
        <w:t xml:space="preserve"> el Instituto es un órgano público autónomo, independiente en sus decisiones y funcionamiento, con personalidad jurídica y patrimonio propio, que tiene por objeto regular y promover la competencia y el desarrollo eficiente de las telecomunicaciones y la radiodifusión en el ámbito de las atribuciones que le confiere la Constitución y en los términos que fijan la LFTR y demás disposiciones aplicables. </w:t>
      </w:r>
    </w:p>
    <w:p w14:paraId="26CA6B64" w14:textId="77777777" w:rsidR="00DC1A0F" w:rsidRPr="00C57285" w:rsidRDefault="00DC1A0F" w:rsidP="00302699">
      <w:pPr>
        <w:suppressAutoHyphens/>
        <w:spacing w:after="0"/>
        <w:ind w:right="49"/>
        <w:contextualSpacing/>
        <w:mirrorIndents/>
        <w:jc w:val="both"/>
        <w:rPr>
          <w:rFonts w:ascii="Arial" w:hAnsi="Arial" w:cs="Arial"/>
          <w:sz w:val="18"/>
          <w:szCs w:val="18"/>
        </w:rPr>
      </w:pPr>
    </w:p>
    <w:p w14:paraId="40E1736E" w14:textId="3B26DE43" w:rsidR="00FB1063" w:rsidRPr="00C57285" w:rsidRDefault="001622CE" w:rsidP="00302699">
      <w:pPr>
        <w:suppressAutoHyphens/>
        <w:spacing w:after="0"/>
        <w:ind w:right="49"/>
        <w:contextualSpacing/>
        <w:mirrorIndents/>
        <w:jc w:val="both"/>
        <w:rPr>
          <w:rFonts w:ascii="Arial" w:eastAsia="Times New Roman" w:hAnsi="Arial" w:cs="Arial"/>
          <w:bCs/>
          <w:kern w:val="1"/>
          <w:sz w:val="18"/>
          <w:szCs w:val="18"/>
          <w:lang w:eastAsia="ar-SA"/>
        </w:rPr>
      </w:pPr>
      <w:r w:rsidRPr="00C57285">
        <w:rPr>
          <w:rFonts w:ascii="Arial" w:eastAsia="Times New Roman" w:hAnsi="Arial" w:cs="Arial"/>
          <w:bCs/>
          <w:kern w:val="1"/>
          <w:sz w:val="18"/>
          <w:szCs w:val="18"/>
          <w:lang w:eastAsia="ar-SA"/>
        </w:rPr>
        <w:t>Asimismo, el</w:t>
      </w:r>
      <w:r w:rsidR="009A0E95">
        <w:rPr>
          <w:rFonts w:ascii="Arial" w:eastAsia="Times New Roman" w:hAnsi="Arial" w:cs="Arial"/>
          <w:bCs/>
          <w:kern w:val="1"/>
          <w:sz w:val="18"/>
          <w:szCs w:val="18"/>
          <w:lang w:eastAsia="ar-SA"/>
        </w:rPr>
        <w:t xml:space="preserve"> párrafo vigésimo, fracción IV, del artículo 28 de la Constitución, señala que el </w:t>
      </w:r>
      <w:r w:rsidR="00EF7B7E">
        <w:rPr>
          <w:rFonts w:ascii="Arial" w:eastAsia="Times New Roman" w:hAnsi="Arial" w:cs="Arial"/>
          <w:bCs/>
          <w:kern w:val="1"/>
          <w:sz w:val="18"/>
          <w:szCs w:val="18"/>
          <w:lang w:eastAsia="ar-SA"/>
        </w:rPr>
        <w:t>Instituto</w:t>
      </w:r>
      <w:r w:rsidR="009A0E95">
        <w:rPr>
          <w:rFonts w:ascii="Arial" w:eastAsia="Times New Roman" w:hAnsi="Arial" w:cs="Arial"/>
          <w:bCs/>
          <w:kern w:val="1"/>
          <w:sz w:val="18"/>
          <w:szCs w:val="18"/>
          <w:lang w:eastAsia="ar-SA"/>
        </w:rPr>
        <w:t xml:space="preserve"> </w:t>
      </w:r>
      <w:r w:rsidR="00EF7B7E">
        <w:rPr>
          <w:rFonts w:ascii="Arial" w:eastAsia="Times New Roman" w:hAnsi="Arial" w:cs="Arial"/>
          <w:bCs/>
          <w:kern w:val="1"/>
          <w:sz w:val="18"/>
          <w:szCs w:val="18"/>
          <w:lang w:eastAsia="ar-SA"/>
        </w:rPr>
        <w:t>podrá emitir disposiciones administrativas de carácter general exclusivamente para el cumplimiento de su función regulatoria en el sector de su competencia. En ese sentido, el artículo 15 fracciones I y LVI de la LFTR señala que el</w:t>
      </w:r>
      <w:r w:rsidRPr="00C57285">
        <w:rPr>
          <w:rFonts w:ascii="Arial" w:eastAsia="Times New Roman" w:hAnsi="Arial" w:cs="Arial"/>
          <w:bCs/>
          <w:kern w:val="1"/>
          <w:sz w:val="18"/>
          <w:szCs w:val="18"/>
          <w:lang w:eastAsia="ar-SA"/>
        </w:rPr>
        <w:t xml:space="preserve"> Instituto podrá emitir disposiciones administrativas de carácter general, planes técnicos fundamentales, lineamientos, modelos de costos, procedimientos de evaluación de la conformidad, procedimientos de homologación y certificación y ordenamientos técnicos en materia de telecomunicaciones y radiodifusión; así como demás disposiciones para el cumplimiento de lo dispuesto en la LFTR</w:t>
      </w:r>
      <w:r w:rsidR="00EF7B7E">
        <w:rPr>
          <w:rFonts w:ascii="Arial" w:eastAsia="Times New Roman" w:hAnsi="Arial" w:cs="Arial"/>
          <w:bCs/>
          <w:kern w:val="1"/>
          <w:sz w:val="18"/>
          <w:szCs w:val="18"/>
          <w:lang w:eastAsia="ar-SA"/>
        </w:rPr>
        <w:t xml:space="preserve"> </w:t>
      </w:r>
      <w:r w:rsidR="00EF7B7E" w:rsidRPr="00C57285">
        <w:rPr>
          <w:rFonts w:ascii="Arial" w:eastAsia="Times New Roman" w:hAnsi="Arial" w:cs="Arial"/>
          <w:bCs/>
          <w:kern w:val="1"/>
          <w:sz w:val="18"/>
          <w:szCs w:val="18"/>
          <w:lang w:eastAsia="ar-SA"/>
        </w:rPr>
        <w:t>exclusivamente para el cumplimiento de su función regulatoria en el sector de su competencia</w:t>
      </w:r>
      <w:r w:rsidRPr="00C57285">
        <w:rPr>
          <w:rFonts w:ascii="Arial" w:eastAsia="Times New Roman" w:hAnsi="Arial" w:cs="Arial"/>
          <w:bCs/>
          <w:kern w:val="1"/>
          <w:sz w:val="18"/>
          <w:szCs w:val="18"/>
          <w:lang w:eastAsia="ar-SA"/>
        </w:rPr>
        <w:t>.</w:t>
      </w:r>
    </w:p>
    <w:p w14:paraId="635B789D" w14:textId="472F05C3" w:rsidR="006A6EA3" w:rsidRPr="00C57285" w:rsidRDefault="006A6EA3" w:rsidP="00302699">
      <w:pPr>
        <w:suppressAutoHyphens/>
        <w:spacing w:after="0"/>
        <w:ind w:right="49"/>
        <w:contextualSpacing/>
        <w:mirrorIndents/>
        <w:jc w:val="both"/>
        <w:rPr>
          <w:rFonts w:ascii="Arial" w:eastAsia="Times New Roman" w:hAnsi="Arial" w:cs="Arial"/>
          <w:bCs/>
          <w:kern w:val="1"/>
          <w:sz w:val="18"/>
          <w:szCs w:val="18"/>
          <w:lang w:eastAsia="ar-SA"/>
        </w:rPr>
      </w:pPr>
    </w:p>
    <w:p w14:paraId="0F969B7C" w14:textId="7EBF8EB4" w:rsidR="00E51608" w:rsidRPr="00C57285" w:rsidRDefault="00A80731" w:rsidP="00302699">
      <w:pPr>
        <w:suppressAutoHyphens/>
        <w:spacing w:after="0"/>
        <w:ind w:right="49"/>
        <w:contextualSpacing/>
        <w:mirrorIndents/>
        <w:jc w:val="both"/>
        <w:rPr>
          <w:rFonts w:ascii="Arial" w:eastAsia="Times New Roman" w:hAnsi="Arial" w:cs="Arial"/>
          <w:bCs/>
          <w:kern w:val="1"/>
          <w:sz w:val="18"/>
          <w:szCs w:val="18"/>
          <w:lang w:eastAsia="ar-SA"/>
        </w:rPr>
      </w:pPr>
      <w:r w:rsidRPr="00C57285">
        <w:rPr>
          <w:rFonts w:ascii="Arial" w:eastAsia="Times New Roman" w:hAnsi="Arial" w:cs="Arial"/>
          <w:bCs/>
          <w:kern w:val="1"/>
          <w:sz w:val="18"/>
          <w:szCs w:val="18"/>
          <w:lang w:eastAsia="ar-SA"/>
        </w:rPr>
        <w:t>De la misma manera, d</w:t>
      </w:r>
      <w:r w:rsidR="006A6EA3" w:rsidRPr="00C57285">
        <w:rPr>
          <w:rFonts w:ascii="Arial" w:eastAsia="Times New Roman" w:hAnsi="Arial" w:cs="Arial"/>
          <w:bCs/>
          <w:kern w:val="1"/>
          <w:sz w:val="18"/>
          <w:szCs w:val="18"/>
          <w:lang w:eastAsia="ar-SA"/>
        </w:rPr>
        <w:t>e conformidad con el artículo 12, fracción I, de la Ley Federal de Competencia Económica, el Instituto está facultado para garantizar la libre concurrencia y competencia económica; prevenir, investigar y combatir monopolios, las prácticas monopólicas, las concentraciones y demás restricciones al funcionamiento eficiente de los mercados e imponerles las sanciones derivadas de dichas conductas.</w:t>
      </w:r>
      <w:r w:rsidR="001B7414" w:rsidRPr="00C57285">
        <w:rPr>
          <w:rFonts w:ascii="Arial" w:eastAsia="Times New Roman" w:hAnsi="Arial" w:cs="Arial"/>
          <w:bCs/>
          <w:kern w:val="1"/>
          <w:sz w:val="18"/>
          <w:szCs w:val="18"/>
          <w:lang w:eastAsia="ar-SA"/>
        </w:rPr>
        <w:t xml:space="preserve"> </w:t>
      </w:r>
    </w:p>
    <w:p w14:paraId="3012DC5E" w14:textId="77777777" w:rsidR="00E51608" w:rsidRPr="00C57285" w:rsidRDefault="00E51608" w:rsidP="00302699">
      <w:pPr>
        <w:suppressAutoHyphens/>
        <w:spacing w:after="0"/>
        <w:ind w:right="49"/>
        <w:contextualSpacing/>
        <w:mirrorIndents/>
        <w:jc w:val="both"/>
        <w:rPr>
          <w:rFonts w:ascii="Arial" w:eastAsia="Times New Roman" w:hAnsi="Arial" w:cs="Arial"/>
          <w:bCs/>
          <w:kern w:val="1"/>
          <w:sz w:val="18"/>
          <w:szCs w:val="18"/>
          <w:lang w:eastAsia="ar-SA"/>
        </w:rPr>
      </w:pPr>
    </w:p>
    <w:p w14:paraId="05B1E578" w14:textId="7952CD90" w:rsidR="007E5D12" w:rsidRPr="00C57285" w:rsidRDefault="00207F64" w:rsidP="00302699">
      <w:pPr>
        <w:suppressAutoHyphens/>
        <w:spacing w:after="0"/>
        <w:ind w:right="49"/>
        <w:contextualSpacing/>
        <w:mirrorIndents/>
        <w:jc w:val="both"/>
        <w:rPr>
          <w:rFonts w:ascii="Arial" w:eastAsia="Times New Roman" w:hAnsi="Arial" w:cs="Arial"/>
          <w:bCs/>
          <w:kern w:val="1"/>
          <w:sz w:val="18"/>
          <w:szCs w:val="18"/>
          <w:lang w:eastAsia="ar-SA"/>
        </w:rPr>
      </w:pPr>
      <w:bookmarkStart w:id="1" w:name="_Hlk127299861"/>
      <w:r w:rsidRPr="00C57285">
        <w:rPr>
          <w:rFonts w:ascii="Arial" w:eastAsia="Times New Roman" w:hAnsi="Arial" w:cs="Arial"/>
          <w:bCs/>
          <w:kern w:val="1"/>
          <w:sz w:val="18"/>
          <w:szCs w:val="18"/>
          <w:lang w:eastAsia="ar-SA"/>
        </w:rPr>
        <w:t>Asimismo</w:t>
      </w:r>
      <w:r w:rsidR="00875037" w:rsidRPr="00C57285">
        <w:rPr>
          <w:rFonts w:ascii="Arial" w:eastAsia="Times New Roman" w:hAnsi="Arial" w:cs="Arial"/>
          <w:bCs/>
          <w:kern w:val="1"/>
          <w:sz w:val="18"/>
          <w:szCs w:val="18"/>
          <w:lang w:eastAsia="ar-SA"/>
        </w:rPr>
        <w:t>, l</w:t>
      </w:r>
      <w:r w:rsidR="007E5D12" w:rsidRPr="00C57285">
        <w:rPr>
          <w:rFonts w:ascii="Arial" w:eastAsia="Times New Roman" w:hAnsi="Arial" w:cs="Arial"/>
          <w:bCs/>
          <w:kern w:val="1"/>
          <w:sz w:val="18"/>
          <w:szCs w:val="18"/>
          <w:lang w:eastAsia="ar-SA"/>
        </w:rPr>
        <w:t xml:space="preserve">a LFTR en la fracción IV, inciso C) del artículo 298, </w:t>
      </w:r>
      <w:r w:rsidR="00ED03B1">
        <w:rPr>
          <w:rFonts w:ascii="Arial" w:eastAsia="Times New Roman" w:hAnsi="Arial" w:cs="Arial"/>
          <w:bCs/>
          <w:kern w:val="1"/>
          <w:sz w:val="18"/>
          <w:szCs w:val="18"/>
          <w:lang w:eastAsia="ar-SA"/>
        </w:rPr>
        <w:t>señala</w:t>
      </w:r>
      <w:r w:rsidR="00B93D5F">
        <w:rPr>
          <w:rFonts w:ascii="Arial" w:eastAsia="Times New Roman" w:hAnsi="Arial" w:cs="Arial"/>
          <w:bCs/>
          <w:kern w:val="1"/>
          <w:sz w:val="18"/>
          <w:szCs w:val="18"/>
          <w:lang w:eastAsia="ar-SA"/>
        </w:rPr>
        <w:t xml:space="preserve"> que el Instituto sancionará</w:t>
      </w:r>
      <w:r w:rsidR="007E5D12" w:rsidRPr="00C57285">
        <w:rPr>
          <w:rFonts w:ascii="Arial" w:eastAsia="Times New Roman" w:hAnsi="Arial" w:cs="Arial"/>
          <w:bCs/>
          <w:kern w:val="1"/>
          <w:sz w:val="18"/>
          <w:szCs w:val="18"/>
          <w:lang w:eastAsia="ar-SA"/>
        </w:rPr>
        <w:t xml:space="preserve"> el establecimiento de barreras de cualquier naturaleza que impidan la conexión del equipo terminal del usuario con otros concesionarios que operen redes de telecomunicaciones, como es el caso </w:t>
      </w:r>
      <w:r w:rsidR="00CE4F7E" w:rsidRPr="00C57285">
        <w:rPr>
          <w:rFonts w:ascii="Arial" w:eastAsia="Times New Roman" w:hAnsi="Arial" w:cs="Arial"/>
          <w:bCs/>
          <w:kern w:val="1"/>
          <w:sz w:val="18"/>
          <w:szCs w:val="18"/>
          <w:lang w:eastAsia="ar-SA"/>
        </w:rPr>
        <w:t xml:space="preserve">de la falta de </w:t>
      </w:r>
      <w:r w:rsidR="007E5D12" w:rsidRPr="00C57285">
        <w:rPr>
          <w:rFonts w:ascii="Arial" w:eastAsia="Times New Roman" w:hAnsi="Arial" w:cs="Arial"/>
          <w:bCs/>
          <w:kern w:val="1"/>
          <w:sz w:val="18"/>
          <w:szCs w:val="18"/>
          <w:lang w:eastAsia="ar-SA"/>
        </w:rPr>
        <w:t xml:space="preserve">desbloqueo de </w:t>
      </w:r>
      <w:r w:rsidR="002032F8" w:rsidRPr="00C57285">
        <w:rPr>
          <w:rFonts w:ascii="Arial" w:eastAsia="Times New Roman" w:hAnsi="Arial" w:cs="Arial"/>
          <w:bCs/>
          <w:kern w:val="1"/>
          <w:sz w:val="18"/>
          <w:szCs w:val="18"/>
          <w:lang w:eastAsia="ar-SA"/>
        </w:rPr>
        <w:t xml:space="preserve">los </w:t>
      </w:r>
      <w:r w:rsidR="00CE4F7E" w:rsidRPr="00C57285">
        <w:rPr>
          <w:rFonts w:ascii="Arial" w:eastAsia="Times New Roman" w:hAnsi="Arial" w:cs="Arial"/>
          <w:bCs/>
          <w:kern w:val="1"/>
          <w:sz w:val="18"/>
          <w:szCs w:val="18"/>
          <w:lang w:eastAsia="ar-SA"/>
        </w:rPr>
        <w:t xml:space="preserve">equipos </w:t>
      </w:r>
      <w:r w:rsidR="007E5D12" w:rsidRPr="00C57285">
        <w:rPr>
          <w:rFonts w:ascii="Arial" w:eastAsia="Times New Roman" w:hAnsi="Arial" w:cs="Arial"/>
          <w:bCs/>
          <w:kern w:val="1"/>
          <w:sz w:val="18"/>
          <w:szCs w:val="18"/>
          <w:lang w:eastAsia="ar-SA"/>
        </w:rPr>
        <w:t xml:space="preserve">terminales. </w:t>
      </w:r>
    </w:p>
    <w:p w14:paraId="6FE0E2A4" w14:textId="77777777" w:rsidR="001B7414" w:rsidRPr="00C57285" w:rsidRDefault="001B7414" w:rsidP="00302699">
      <w:pPr>
        <w:suppressAutoHyphens/>
        <w:spacing w:after="0"/>
        <w:ind w:right="49"/>
        <w:contextualSpacing/>
        <w:mirrorIndents/>
        <w:jc w:val="both"/>
        <w:rPr>
          <w:rFonts w:ascii="Arial" w:eastAsia="Times New Roman" w:hAnsi="Arial" w:cs="Arial"/>
          <w:bCs/>
          <w:kern w:val="1"/>
          <w:sz w:val="18"/>
          <w:szCs w:val="18"/>
          <w:lang w:eastAsia="ar-SA"/>
        </w:rPr>
      </w:pPr>
    </w:p>
    <w:p w14:paraId="57228B48" w14:textId="1F2B26F4" w:rsidR="001A37C2" w:rsidRPr="00C57285" w:rsidRDefault="001B7414" w:rsidP="00302699">
      <w:pPr>
        <w:suppressAutoHyphens/>
        <w:spacing w:after="0"/>
        <w:ind w:right="49"/>
        <w:contextualSpacing/>
        <w:mirrorIndents/>
        <w:jc w:val="both"/>
        <w:rPr>
          <w:rFonts w:ascii="Arial" w:eastAsia="Times New Roman" w:hAnsi="Arial" w:cs="Arial"/>
          <w:bCs/>
          <w:kern w:val="1"/>
          <w:sz w:val="18"/>
          <w:szCs w:val="18"/>
          <w:lang w:eastAsia="ar-SA"/>
        </w:rPr>
      </w:pPr>
      <w:r w:rsidRPr="00C57285">
        <w:rPr>
          <w:rFonts w:ascii="Arial" w:eastAsia="Times New Roman" w:hAnsi="Arial" w:cs="Arial"/>
          <w:bCs/>
          <w:kern w:val="1"/>
          <w:sz w:val="18"/>
          <w:szCs w:val="18"/>
          <w:lang w:eastAsia="ar-SA"/>
        </w:rPr>
        <w:t>Por lo anterior y de conformidad con lo dispuesto en los artículos indicados</w:t>
      </w:r>
      <w:r w:rsidR="001A37C2" w:rsidRPr="00C57285">
        <w:rPr>
          <w:rFonts w:ascii="Arial" w:eastAsia="Times New Roman" w:hAnsi="Arial" w:cs="Arial"/>
          <w:bCs/>
          <w:kern w:val="1"/>
          <w:sz w:val="18"/>
          <w:szCs w:val="18"/>
          <w:lang w:eastAsia="ar-SA"/>
        </w:rPr>
        <w:t xml:space="preserve">, el Instituto está facultado para emitir lineamientos generales para </w:t>
      </w:r>
      <w:r w:rsidR="00EF7B7E">
        <w:rPr>
          <w:rFonts w:ascii="Arial" w:eastAsia="Times New Roman" w:hAnsi="Arial" w:cs="Arial"/>
          <w:bCs/>
          <w:kern w:val="1"/>
          <w:sz w:val="18"/>
          <w:szCs w:val="18"/>
          <w:lang w:eastAsia="ar-SA"/>
        </w:rPr>
        <w:t xml:space="preserve">prevenir, </w:t>
      </w:r>
      <w:r w:rsidR="001A37C2" w:rsidRPr="00C57285">
        <w:rPr>
          <w:rFonts w:ascii="Arial" w:eastAsia="Times New Roman" w:hAnsi="Arial" w:cs="Arial"/>
          <w:bCs/>
          <w:kern w:val="1"/>
          <w:sz w:val="18"/>
          <w:szCs w:val="18"/>
          <w:lang w:eastAsia="ar-SA"/>
        </w:rPr>
        <w:t>evitar</w:t>
      </w:r>
      <w:r w:rsidR="00EF7B7E">
        <w:rPr>
          <w:rFonts w:ascii="Arial" w:eastAsia="Times New Roman" w:hAnsi="Arial" w:cs="Arial"/>
          <w:bCs/>
          <w:kern w:val="1"/>
          <w:sz w:val="18"/>
          <w:szCs w:val="18"/>
          <w:lang w:eastAsia="ar-SA"/>
        </w:rPr>
        <w:t xml:space="preserve"> y, en su caso,</w:t>
      </w:r>
      <w:r w:rsidR="001A37C2" w:rsidRPr="00C57285">
        <w:rPr>
          <w:rFonts w:ascii="Arial" w:eastAsia="Times New Roman" w:hAnsi="Arial" w:cs="Arial"/>
          <w:bCs/>
          <w:kern w:val="1"/>
          <w:sz w:val="18"/>
          <w:szCs w:val="18"/>
          <w:lang w:eastAsia="ar-SA"/>
        </w:rPr>
        <w:t xml:space="preserve"> </w:t>
      </w:r>
      <w:r w:rsidR="00EF7B7E">
        <w:rPr>
          <w:rFonts w:ascii="Arial" w:eastAsia="Times New Roman" w:hAnsi="Arial" w:cs="Arial"/>
          <w:bCs/>
          <w:kern w:val="1"/>
          <w:sz w:val="18"/>
          <w:szCs w:val="18"/>
          <w:lang w:eastAsia="ar-SA"/>
        </w:rPr>
        <w:t xml:space="preserve">sancionar </w:t>
      </w:r>
      <w:r w:rsidR="001A37C2" w:rsidRPr="00C57285">
        <w:rPr>
          <w:rFonts w:ascii="Arial" w:eastAsia="Times New Roman" w:hAnsi="Arial" w:cs="Arial"/>
          <w:bCs/>
          <w:kern w:val="1"/>
          <w:sz w:val="18"/>
          <w:szCs w:val="18"/>
          <w:lang w:eastAsia="ar-SA"/>
        </w:rPr>
        <w:t>prácticas que afecten a la competencia y libre concurrencia.</w:t>
      </w:r>
    </w:p>
    <w:bookmarkEnd w:id="1"/>
    <w:p w14:paraId="75F1B496" w14:textId="77777777" w:rsidR="001B7414" w:rsidRPr="00C57285" w:rsidRDefault="001B7414" w:rsidP="00302699">
      <w:pPr>
        <w:suppressAutoHyphens/>
        <w:spacing w:after="0"/>
        <w:ind w:right="49"/>
        <w:contextualSpacing/>
        <w:mirrorIndents/>
        <w:jc w:val="both"/>
        <w:rPr>
          <w:rFonts w:ascii="Arial" w:eastAsia="Times New Roman" w:hAnsi="Arial" w:cs="Arial"/>
          <w:bCs/>
          <w:kern w:val="1"/>
          <w:sz w:val="18"/>
          <w:szCs w:val="18"/>
          <w:lang w:eastAsia="ar-SA"/>
        </w:rPr>
      </w:pPr>
    </w:p>
    <w:p w14:paraId="39345FD0" w14:textId="01D29D19" w:rsidR="0002322F" w:rsidRPr="00C57285" w:rsidRDefault="006827A0" w:rsidP="00302699">
      <w:pPr>
        <w:suppressAutoHyphens/>
        <w:spacing w:after="0"/>
        <w:ind w:right="49"/>
        <w:contextualSpacing/>
        <w:mirrorIndents/>
        <w:jc w:val="both"/>
        <w:rPr>
          <w:rFonts w:ascii="Arial" w:eastAsia="Times New Roman" w:hAnsi="Arial" w:cs="Arial"/>
          <w:bCs/>
          <w:kern w:val="1"/>
          <w:sz w:val="18"/>
          <w:szCs w:val="18"/>
          <w:lang w:eastAsia="ar-SA"/>
        </w:rPr>
      </w:pPr>
      <w:proofErr w:type="gramStart"/>
      <w:r w:rsidRPr="00C57285">
        <w:rPr>
          <w:rFonts w:ascii="Arial" w:eastAsia="Times New Roman" w:hAnsi="Arial" w:cs="Arial"/>
          <w:b/>
          <w:kern w:val="1"/>
          <w:sz w:val="18"/>
          <w:szCs w:val="18"/>
          <w:lang w:eastAsia="ar-SA"/>
        </w:rPr>
        <w:t>Segundo.-</w:t>
      </w:r>
      <w:proofErr w:type="gramEnd"/>
      <w:r w:rsidR="00FB1063" w:rsidRPr="00C57285">
        <w:rPr>
          <w:rFonts w:ascii="Arial" w:eastAsia="Times New Roman" w:hAnsi="Arial" w:cs="Arial"/>
          <w:b/>
          <w:kern w:val="1"/>
          <w:sz w:val="18"/>
          <w:szCs w:val="18"/>
          <w:lang w:eastAsia="ar-SA"/>
        </w:rPr>
        <w:t xml:space="preserve"> </w:t>
      </w:r>
      <w:r w:rsidR="00160B90" w:rsidRPr="00C57285">
        <w:rPr>
          <w:rFonts w:ascii="Arial" w:eastAsia="Times New Roman" w:hAnsi="Arial" w:cs="Arial"/>
          <w:b/>
          <w:kern w:val="1"/>
          <w:sz w:val="18"/>
          <w:szCs w:val="18"/>
          <w:lang w:eastAsia="ar-SA"/>
        </w:rPr>
        <w:t xml:space="preserve">Derecho al desbloqueo de </w:t>
      </w:r>
      <w:r w:rsidR="009D3A99" w:rsidRPr="00C57285">
        <w:rPr>
          <w:rFonts w:ascii="Arial" w:eastAsia="Times New Roman" w:hAnsi="Arial" w:cs="Arial"/>
          <w:b/>
          <w:kern w:val="1"/>
          <w:sz w:val="18"/>
          <w:szCs w:val="18"/>
          <w:lang w:eastAsia="ar-SA"/>
        </w:rPr>
        <w:t xml:space="preserve">los </w:t>
      </w:r>
      <w:r w:rsidR="00160B90" w:rsidRPr="00C57285">
        <w:rPr>
          <w:rFonts w:ascii="Arial" w:eastAsia="Times New Roman" w:hAnsi="Arial" w:cs="Arial"/>
          <w:b/>
          <w:kern w:val="1"/>
          <w:sz w:val="18"/>
          <w:szCs w:val="18"/>
          <w:lang w:eastAsia="ar-SA"/>
        </w:rPr>
        <w:t>Equipos Terminales Móviles.</w:t>
      </w:r>
      <w:r w:rsidR="0002322F" w:rsidRPr="00C57285">
        <w:rPr>
          <w:rFonts w:ascii="Arial" w:eastAsia="Times New Roman" w:hAnsi="Arial" w:cs="Arial"/>
          <w:bCs/>
          <w:kern w:val="1"/>
          <w:sz w:val="18"/>
          <w:szCs w:val="18"/>
          <w:lang w:eastAsia="ar-SA"/>
        </w:rPr>
        <w:t xml:space="preserve"> La LFTR establece en </w:t>
      </w:r>
      <w:r w:rsidR="00217271" w:rsidRPr="00C57285">
        <w:rPr>
          <w:rFonts w:ascii="Arial" w:eastAsia="Times New Roman" w:hAnsi="Arial" w:cs="Arial"/>
          <w:bCs/>
          <w:kern w:val="1"/>
          <w:sz w:val="18"/>
          <w:szCs w:val="18"/>
          <w:lang w:eastAsia="ar-SA"/>
        </w:rPr>
        <w:t>las fracciones XI y XII d</w:t>
      </w:r>
      <w:r w:rsidR="007F7BE7" w:rsidRPr="00C57285">
        <w:rPr>
          <w:rFonts w:ascii="Arial" w:eastAsia="Times New Roman" w:hAnsi="Arial" w:cs="Arial"/>
          <w:bCs/>
          <w:kern w:val="1"/>
          <w:sz w:val="18"/>
          <w:szCs w:val="18"/>
          <w:lang w:eastAsia="ar-SA"/>
        </w:rPr>
        <w:t xml:space="preserve">el </w:t>
      </w:r>
      <w:r w:rsidR="0002322F" w:rsidRPr="00C57285">
        <w:rPr>
          <w:rFonts w:ascii="Arial" w:eastAsia="Times New Roman" w:hAnsi="Arial" w:cs="Arial"/>
          <w:bCs/>
          <w:kern w:val="1"/>
          <w:sz w:val="18"/>
          <w:szCs w:val="18"/>
          <w:lang w:eastAsia="ar-SA"/>
        </w:rPr>
        <w:t xml:space="preserve">artículo 191, que </w:t>
      </w:r>
      <w:r w:rsidR="007F7BE7" w:rsidRPr="00C57285">
        <w:rPr>
          <w:rFonts w:ascii="Arial" w:eastAsia="Times New Roman" w:hAnsi="Arial" w:cs="Arial"/>
          <w:bCs/>
          <w:kern w:val="1"/>
          <w:sz w:val="18"/>
          <w:szCs w:val="18"/>
          <w:lang w:eastAsia="ar-SA"/>
        </w:rPr>
        <w:t xml:space="preserve">es un </w:t>
      </w:r>
      <w:r w:rsidR="0002322F" w:rsidRPr="00C57285">
        <w:rPr>
          <w:rFonts w:ascii="Arial" w:eastAsia="Times New Roman" w:hAnsi="Arial" w:cs="Arial"/>
          <w:bCs/>
          <w:kern w:val="1"/>
          <w:sz w:val="18"/>
          <w:szCs w:val="18"/>
          <w:lang w:eastAsia="ar-SA"/>
        </w:rPr>
        <w:t>derecho de los usuarios, solicitar y obtener el desbloqueo del equipo terminal cuando concluya la vigencia del contrato o se haya liquidado su costo</w:t>
      </w:r>
      <w:r w:rsidR="00E62370" w:rsidRPr="00C57285">
        <w:rPr>
          <w:rFonts w:ascii="Arial" w:eastAsia="Times New Roman" w:hAnsi="Arial" w:cs="Arial"/>
          <w:bCs/>
          <w:kern w:val="1"/>
          <w:sz w:val="18"/>
          <w:szCs w:val="18"/>
          <w:lang w:eastAsia="ar-SA"/>
        </w:rPr>
        <w:t>,</w:t>
      </w:r>
      <w:r w:rsidR="0002322F" w:rsidRPr="00C57285">
        <w:rPr>
          <w:rFonts w:ascii="Arial" w:eastAsia="Times New Roman" w:hAnsi="Arial" w:cs="Arial"/>
          <w:bCs/>
          <w:kern w:val="1"/>
          <w:sz w:val="18"/>
          <w:szCs w:val="18"/>
          <w:lang w:eastAsia="ar-SA"/>
        </w:rPr>
        <w:t xml:space="preserve"> y al desbloqueo del equipo terminal móvil, cuando lo pague de contado, liquide su costo o venza el plazo inicial de contratación</w:t>
      </w:r>
      <w:r w:rsidR="0085003E">
        <w:rPr>
          <w:rFonts w:ascii="Arial" w:eastAsia="Times New Roman" w:hAnsi="Arial" w:cs="Arial"/>
          <w:bCs/>
          <w:kern w:val="1"/>
          <w:sz w:val="18"/>
          <w:szCs w:val="18"/>
          <w:lang w:eastAsia="ar-SA"/>
        </w:rPr>
        <w:t>, debiendo en cualquier supuesto el concesionario o autorizado proporcionar la clave de desbloqueo</w:t>
      </w:r>
      <w:r w:rsidR="0002322F" w:rsidRPr="00C57285">
        <w:rPr>
          <w:rFonts w:ascii="Arial" w:eastAsia="Times New Roman" w:hAnsi="Arial" w:cs="Arial"/>
          <w:bCs/>
          <w:kern w:val="1"/>
          <w:sz w:val="18"/>
          <w:szCs w:val="18"/>
          <w:lang w:eastAsia="ar-SA"/>
        </w:rPr>
        <w:t>.</w:t>
      </w:r>
    </w:p>
    <w:p w14:paraId="52F54C79" w14:textId="2783A031" w:rsidR="002075A2" w:rsidRPr="00C57285" w:rsidRDefault="002075A2" w:rsidP="00302699">
      <w:pPr>
        <w:suppressAutoHyphens/>
        <w:spacing w:after="0"/>
        <w:ind w:right="49"/>
        <w:contextualSpacing/>
        <w:mirrorIndents/>
        <w:jc w:val="both"/>
        <w:rPr>
          <w:rFonts w:ascii="Arial" w:eastAsia="Times New Roman" w:hAnsi="Arial" w:cs="Arial"/>
          <w:bCs/>
          <w:kern w:val="1"/>
          <w:sz w:val="18"/>
          <w:szCs w:val="18"/>
          <w:lang w:eastAsia="ar-SA"/>
        </w:rPr>
      </w:pPr>
    </w:p>
    <w:p w14:paraId="7F3AABCC" w14:textId="0A05C883" w:rsidR="002075A2" w:rsidRPr="00C57285" w:rsidRDefault="00BF4681" w:rsidP="00302699">
      <w:pPr>
        <w:spacing w:after="0"/>
        <w:contextualSpacing/>
        <w:mirrorIndents/>
        <w:jc w:val="both"/>
        <w:rPr>
          <w:rFonts w:ascii="Arial" w:eastAsia="Times New Roman" w:hAnsi="Arial" w:cs="Arial"/>
          <w:bCs/>
          <w:kern w:val="1"/>
          <w:sz w:val="18"/>
          <w:szCs w:val="18"/>
          <w:lang w:eastAsia="ar-SA"/>
        </w:rPr>
      </w:pPr>
      <w:r w:rsidRPr="00C57285">
        <w:rPr>
          <w:rFonts w:ascii="Arial" w:eastAsia="Times New Roman" w:hAnsi="Arial" w:cs="Arial"/>
          <w:bCs/>
          <w:kern w:val="1"/>
          <w:sz w:val="18"/>
          <w:szCs w:val="18"/>
          <w:lang w:eastAsia="ar-SA"/>
        </w:rPr>
        <w:t xml:space="preserve">Asimismo, </w:t>
      </w:r>
      <w:r w:rsidR="006E0CF6" w:rsidRPr="00C57285">
        <w:rPr>
          <w:rFonts w:ascii="Arial" w:eastAsia="Times New Roman" w:hAnsi="Arial" w:cs="Arial"/>
          <w:bCs/>
          <w:kern w:val="1"/>
          <w:sz w:val="18"/>
          <w:szCs w:val="18"/>
          <w:lang w:eastAsia="ar-SA"/>
        </w:rPr>
        <w:t>en cumplimiento con lo dispuesto en el artículo 191 de la LFTR</w:t>
      </w:r>
      <w:r w:rsidR="00EF4A61">
        <w:rPr>
          <w:rFonts w:ascii="Arial" w:eastAsia="Times New Roman" w:hAnsi="Arial" w:cs="Arial"/>
          <w:bCs/>
          <w:kern w:val="1"/>
          <w:sz w:val="18"/>
          <w:szCs w:val="18"/>
          <w:lang w:eastAsia="ar-SA"/>
        </w:rPr>
        <w:t>,</w:t>
      </w:r>
      <w:r w:rsidR="006E0CF6" w:rsidRPr="00C57285">
        <w:rPr>
          <w:rFonts w:ascii="Arial" w:eastAsia="Times New Roman" w:hAnsi="Arial" w:cs="Arial"/>
          <w:bCs/>
          <w:kern w:val="1"/>
          <w:sz w:val="18"/>
          <w:szCs w:val="18"/>
          <w:lang w:eastAsia="ar-SA"/>
        </w:rPr>
        <w:t xml:space="preserve"> el Instituto y la Profeco emitieron la</w:t>
      </w:r>
      <w:r w:rsidR="002075A2" w:rsidRPr="00C57285">
        <w:rPr>
          <w:rFonts w:ascii="Arial" w:eastAsia="Times New Roman" w:hAnsi="Arial" w:cs="Arial"/>
          <w:bCs/>
          <w:kern w:val="1"/>
          <w:sz w:val="18"/>
          <w:szCs w:val="18"/>
          <w:lang w:eastAsia="ar-SA"/>
        </w:rPr>
        <w:t xml:space="preserve"> “</w:t>
      </w:r>
      <w:r w:rsidR="002075A2" w:rsidRPr="00C57285">
        <w:rPr>
          <w:rFonts w:ascii="Arial" w:eastAsia="Times New Roman" w:hAnsi="Arial" w:cs="Arial"/>
          <w:bCs/>
          <w:i/>
          <w:iCs/>
          <w:kern w:val="1"/>
          <w:sz w:val="18"/>
          <w:szCs w:val="18"/>
          <w:lang w:eastAsia="ar-SA"/>
        </w:rPr>
        <w:t>Carta de Derechos Mínimos de</w:t>
      </w:r>
      <w:r w:rsidR="00690E8C" w:rsidRPr="00C57285">
        <w:rPr>
          <w:rFonts w:ascii="Arial" w:eastAsia="Times New Roman" w:hAnsi="Arial" w:cs="Arial"/>
          <w:bCs/>
          <w:i/>
          <w:iCs/>
          <w:kern w:val="1"/>
          <w:sz w:val="18"/>
          <w:szCs w:val="18"/>
          <w:lang w:eastAsia="ar-SA"/>
        </w:rPr>
        <w:t xml:space="preserve"> las Personas Usuarias de</w:t>
      </w:r>
      <w:r w:rsidR="002075A2" w:rsidRPr="00C57285">
        <w:rPr>
          <w:rFonts w:ascii="Arial" w:eastAsia="Times New Roman" w:hAnsi="Arial" w:cs="Arial"/>
          <w:bCs/>
          <w:i/>
          <w:iCs/>
          <w:kern w:val="1"/>
          <w:sz w:val="18"/>
          <w:szCs w:val="18"/>
          <w:lang w:eastAsia="ar-SA"/>
        </w:rPr>
        <w:t xml:space="preserve"> los </w:t>
      </w:r>
      <w:r w:rsidR="00690E8C" w:rsidRPr="00C57285">
        <w:rPr>
          <w:rFonts w:ascii="Arial" w:eastAsia="Times New Roman" w:hAnsi="Arial" w:cs="Arial"/>
          <w:bCs/>
          <w:i/>
          <w:iCs/>
          <w:kern w:val="1"/>
          <w:sz w:val="18"/>
          <w:szCs w:val="18"/>
          <w:lang w:eastAsia="ar-SA"/>
        </w:rPr>
        <w:t>servicios</w:t>
      </w:r>
      <w:r w:rsidR="002075A2" w:rsidRPr="00C57285">
        <w:rPr>
          <w:rFonts w:ascii="Arial" w:eastAsia="Times New Roman" w:hAnsi="Arial" w:cs="Arial"/>
          <w:bCs/>
          <w:i/>
          <w:iCs/>
          <w:kern w:val="1"/>
          <w:sz w:val="18"/>
          <w:szCs w:val="18"/>
          <w:lang w:eastAsia="ar-SA"/>
        </w:rPr>
        <w:t xml:space="preserve"> de Telecomunicaciones</w:t>
      </w:r>
      <w:r w:rsidR="002075A2" w:rsidRPr="00C57285">
        <w:rPr>
          <w:rFonts w:ascii="Arial" w:eastAsia="Times New Roman" w:hAnsi="Arial" w:cs="Arial"/>
          <w:bCs/>
          <w:kern w:val="1"/>
          <w:sz w:val="18"/>
          <w:szCs w:val="18"/>
          <w:lang w:eastAsia="ar-SA"/>
        </w:rPr>
        <w:t>”</w:t>
      </w:r>
      <w:r w:rsidR="006E0CF6" w:rsidRPr="00C57285">
        <w:rPr>
          <w:rFonts w:ascii="Arial" w:eastAsia="Times New Roman" w:hAnsi="Arial" w:cs="Arial"/>
          <w:bCs/>
          <w:kern w:val="1"/>
          <w:sz w:val="18"/>
          <w:szCs w:val="18"/>
          <w:lang w:eastAsia="ar-SA"/>
        </w:rPr>
        <w:t xml:space="preserve">, </w:t>
      </w:r>
      <w:r w:rsidR="0085003E">
        <w:rPr>
          <w:rFonts w:ascii="Arial" w:eastAsia="Times New Roman" w:hAnsi="Arial" w:cs="Arial"/>
          <w:bCs/>
          <w:kern w:val="1"/>
          <w:sz w:val="18"/>
          <w:szCs w:val="18"/>
          <w:lang w:eastAsia="ar-SA"/>
        </w:rPr>
        <w:t xml:space="preserve">cuyo numeral 57 </w:t>
      </w:r>
      <w:r w:rsidR="007C533B" w:rsidRPr="00C57285">
        <w:rPr>
          <w:rFonts w:ascii="Arial" w:eastAsia="Times New Roman" w:hAnsi="Arial" w:cs="Arial"/>
          <w:bCs/>
          <w:kern w:val="1"/>
          <w:sz w:val="18"/>
          <w:szCs w:val="18"/>
          <w:lang w:eastAsia="ar-SA"/>
        </w:rPr>
        <w:t>establece</w:t>
      </w:r>
      <w:r w:rsidR="006E0CF6" w:rsidRPr="00C57285">
        <w:rPr>
          <w:rFonts w:ascii="Arial" w:eastAsia="Times New Roman" w:hAnsi="Arial" w:cs="Arial"/>
          <w:bCs/>
          <w:kern w:val="1"/>
          <w:sz w:val="18"/>
          <w:szCs w:val="18"/>
          <w:lang w:eastAsia="ar-SA"/>
        </w:rPr>
        <w:t xml:space="preserve"> </w:t>
      </w:r>
      <w:r w:rsidR="002075A2" w:rsidRPr="00C57285">
        <w:rPr>
          <w:rFonts w:ascii="Arial" w:eastAsia="Times New Roman" w:hAnsi="Arial" w:cs="Arial"/>
          <w:bCs/>
          <w:kern w:val="1"/>
          <w:sz w:val="18"/>
          <w:szCs w:val="18"/>
          <w:lang w:eastAsia="ar-SA"/>
        </w:rPr>
        <w:t xml:space="preserve">el </w:t>
      </w:r>
      <w:r w:rsidR="002E70B9" w:rsidRPr="00C57285">
        <w:rPr>
          <w:rFonts w:ascii="Arial" w:eastAsia="Times New Roman" w:hAnsi="Arial" w:cs="Arial"/>
          <w:bCs/>
          <w:kern w:val="1"/>
          <w:sz w:val="18"/>
          <w:szCs w:val="18"/>
          <w:lang w:eastAsia="ar-SA"/>
        </w:rPr>
        <w:t xml:space="preserve">derecho de los usuarios a solicitar y obtener el desbloqueo </w:t>
      </w:r>
      <w:r w:rsidR="00690E8C" w:rsidRPr="00C57285">
        <w:rPr>
          <w:rFonts w:ascii="Arial" w:eastAsia="Times New Roman" w:hAnsi="Arial" w:cs="Arial"/>
          <w:bCs/>
          <w:kern w:val="1"/>
          <w:sz w:val="18"/>
          <w:szCs w:val="18"/>
          <w:lang w:eastAsia="ar-SA"/>
        </w:rPr>
        <w:t>de</w:t>
      </w:r>
      <w:r w:rsidR="002E70B9" w:rsidRPr="00C57285">
        <w:rPr>
          <w:rFonts w:ascii="Arial" w:eastAsia="Times New Roman" w:hAnsi="Arial" w:cs="Arial"/>
          <w:bCs/>
          <w:kern w:val="1"/>
          <w:sz w:val="18"/>
          <w:szCs w:val="18"/>
          <w:lang w:eastAsia="ar-SA"/>
        </w:rPr>
        <w:t xml:space="preserve"> los equipos terminales de</w:t>
      </w:r>
      <w:r w:rsidR="00690E8C" w:rsidRPr="00C57285">
        <w:rPr>
          <w:rFonts w:ascii="Arial" w:eastAsia="Times New Roman" w:hAnsi="Arial" w:cs="Arial"/>
          <w:bCs/>
          <w:kern w:val="1"/>
          <w:sz w:val="18"/>
          <w:szCs w:val="18"/>
          <w:lang w:eastAsia="ar-SA"/>
        </w:rPr>
        <w:t xml:space="preserve"> manera gratuita sin requisito</w:t>
      </w:r>
      <w:r w:rsidR="002E70B9" w:rsidRPr="00C57285">
        <w:rPr>
          <w:rFonts w:ascii="Arial" w:eastAsia="Times New Roman" w:hAnsi="Arial" w:cs="Arial"/>
          <w:bCs/>
          <w:kern w:val="1"/>
          <w:sz w:val="18"/>
          <w:szCs w:val="18"/>
          <w:lang w:eastAsia="ar-SA"/>
        </w:rPr>
        <w:t>s</w:t>
      </w:r>
      <w:r w:rsidR="00690E8C" w:rsidRPr="00C57285">
        <w:rPr>
          <w:rFonts w:ascii="Arial" w:eastAsia="Times New Roman" w:hAnsi="Arial" w:cs="Arial"/>
          <w:bCs/>
          <w:kern w:val="1"/>
          <w:sz w:val="18"/>
          <w:szCs w:val="18"/>
          <w:lang w:eastAsia="ar-SA"/>
        </w:rPr>
        <w:t xml:space="preserve"> adicional</w:t>
      </w:r>
      <w:r w:rsidR="002E70B9" w:rsidRPr="00C57285">
        <w:rPr>
          <w:rFonts w:ascii="Arial" w:eastAsia="Times New Roman" w:hAnsi="Arial" w:cs="Arial"/>
          <w:bCs/>
          <w:kern w:val="1"/>
          <w:sz w:val="18"/>
          <w:szCs w:val="18"/>
          <w:lang w:eastAsia="ar-SA"/>
        </w:rPr>
        <w:t>es</w:t>
      </w:r>
      <w:r w:rsidR="00690E8C" w:rsidRPr="00C57285">
        <w:rPr>
          <w:rFonts w:ascii="Arial" w:eastAsia="Times New Roman" w:hAnsi="Arial" w:cs="Arial"/>
          <w:bCs/>
          <w:kern w:val="1"/>
          <w:sz w:val="18"/>
          <w:szCs w:val="18"/>
          <w:lang w:eastAsia="ar-SA"/>
        </w:rPr>
        <w:t xml:space="preserve"> a la solicitud del usuario,</w:t>
      </w:r>
      <w:r w:rsidR="002075A2" w:rsidRPr="00C57285">
        <w:rPr>
          <w:rFonts w:ascii="Arial" w:eastAsia="Times New Roman" w:hAnsi="Arial" w:cs="Arial"/>
          <w:bCs/>
          <w:kern w:val="1"/>
          <w:sz w:val="18"/>
          <w:szCs w:val="18"/>
          <w:lang w:eastAsia="ar-SA"/>
        </w:rPr>
        <w:t xml:space="preserve"> </w:t>
      </w:r>
      <w:r w:rsidR="002E70B9" w:rsidRPr="00C57285">
        <w:rPr>
          <w:rFonts w:ascii="Arial" w:eastAsia="Times New Roman" w:hAnsi="Arial" w:cs="Arial"/>
          <w:bCs/>
          <w:kern w:val="1"/>
          <w:sz w:val="18"/>
          <w:szCs w:val="18"/>
          <w:lang w:eastAsia="ar-SA"/>
        </w:rPr>
        <w:t>cuando concluya la vigencia del contrato</w:t>
      </w:r>
      <w:r w:rsidR="00894EE0" w:rsidRPr="00C57285">
        <w:rPr>
          <w:rFonts w:ascii="Arial" w:eastAsia="Times New Roman" w:hAnsi="Arial" w:cs="Arial"/>
          <w:bCs/>
          <w:kern w:val="1"/>
          <w:sz w:val="18"/>
          <w:szCs w:val="18"/>
          <w:lang w:eastAsia="ar-SA"/>
        </w:rPr>
        <w:t>,</w:t>
      </w:r>
      <w:r w:rsidR="002E70B9" w:rsidRPr="00C57285">
        <w:rPr>
          <w:rFonts w:ascii="Arial" w:eastAsia="Times New Roman" w:hAnsi="Arial" w:cs="Arial"/>
          <w:bCs/>
          <w:kern w:val="1"/>
          <w:sz w:val="18"/>
          <w:szCs w:val="18"/>
          <w:lang w:eastAsia="ar-SA"/>
        </w:rPr>
        <w:t xml:space="preserve"> se haya liquidado su</w:t>
      </w:r>
      <w:r w:rsidR="00894EE0" w:rsidRPr="00C57285">
        <w:rPr>
          <w:rFonts w:ascii="Arial" w:eastAsia="Times New Roman" w:hAnsi="Arial" w:cs="Arial"/>
          <w:bCs/>
          <w:kern w:val="1"/>
          <w:sz w:val="18"/>
          <w:szCs w:val="18"/>
          <w:lang w:eastAsia="ar-SA"/>
        </w:rPr>
        <w:t xml:space="preserve"> </w:t>
      </w:r>
      <w:r w:rsidR="002E70B9" w:rsidRPr="00C57285">
        <w:rPr>
          <w:rFonts w:ascii="Arial" w:eastAsia="Times New Roman" w:hAnsi="Arial" w:cs="Arial"/>
          <w:bCs/>
          <w:kern w:val="1"/>
          <w:sz w:val="18"/>
          <w:szCs w:val="18"/>
          <w:lang w:eastAsia="ar-SA"/>
        </w:rPr>
        <w:t>costo o venza el plazo inicial de contratación o de financiamiento</w:t>
      </w:r>
      <w:r w:rsidR="0085003E">
        <w:rPr>
          <w:rFonts w:ascii="Arial" w:eastAsia="Times New Roman" w:hAnsi="Arial" w:cs="Arial"/>
          <w:bCs/>
          <w:kern w:val="1"/>
          <w:sz w:val="18"/>
          <w:szCs w:val="18"/>
          <w:lang w:eastAsia="ar-SA"/>
        </w:rPr>
        <w:t xml:space="preserve">, para lo cual los usuarios tienen derecho a recibir la clave de </w:t>
      </w:r>
      <w:r w:rsidR="0085003E">
        <w:rPr>
          <w:rFonts w:ascii="Arial" w:eastAsia="Times New Roman" w:hAnsi="Arial" w:cs="Arial"/>
          <w:bCs/>
          <w:kern w:val="1"/>
          <w:sz w:val="18"/>
          <w:szCs w:val="18"/>
          <w:lang w:eastAsia="ar-SA"/>
        </w:rPr>
        <w:lastRenderedPageBreak/>
        <w:t>desbloqueo</w:t>
      </w:r>
      <w:r w:rsidR="002E70B9" w:rsidRPr="00C57285">
        <w:rPr>
          <w:rFonts w:ascii="Arial" w:eastAsia="Times New Roman" w:hAnsi="Arial" w:cs="Arial"/>
          <w:bCs/>
          <w:kern w:val="1"/>
          <w:sz w:val="18"/>
          <w:szCs w:val="18"/>
          <w:lang w:eastAsia="ar-SA"/>
        </w:rPr>
        <w:t xml:space="preserve">. </w:t>
      </w:r>
      <w:r w:rsidR="000A2410" w:rsidRPr="00C57285">
        <w:rPr>
          <w:rFonts w:ascii="Arial" w:eastAsia="Times New Roman" w:hAnsi="Arial" w:cs="Arial"/>
          <w:bCs/>
          <w:kern w:val="1"/>
          <w:sz w:val="18"/>
          <w:szCs w:val="18"/>
          <w:lang w:eastAsia="ar-SA"/>
        </w:rPr>
        <w:t>A</w:t>
      </w:r>
      <w:r w:rsidR="002E1959" w:rsidRPr="00C57285">
        <w:rPr>
          <w:rFonts w:ascii="Arial" w:eastAsia="Times New Roman" w:hAnsi="Arial" w:cs="Arial"/>
          <w:bCs/>
          <w:kern w:val="1"/>
          <w:sz w:val="18"/>
          <w:szCs w:val="18"/>
          <w:lang w:eastAsia="ar-SA"/>
        </w:rPr>
        <w:t>demás</w:t>
      </w:r>
      <w:r w:rsidR="002E70B9" w:rsidRPr="00C57285">
        <w:rPr>
          <w:rFonts w:ascii="Arial" w:eastAsia="Times New Roman" w:hAnsi="Arial" w:cs="Arial"/>
          <w:bCs/>
          <w:kern w:val="1"/>
          <w:sz w:val="18"/>
          <w:szCs w:val="18"/>
          <w:lang w:eastAsia="ar-SA"/>
        </w:rPr>
        <w:t xml:space="preserve">, </w:t>
      </w:r>
      <w:r w:rsidR="006B7BEE" w:rsidRPr="00C57285">
        <w:rPr>
          <w:rFonts w:ascii="Arial" w:eastAsia="Times New Roman" w:hAnsi="Arial" w:cs="Arial"/>
          <w:bCs/>
          <w:kern w:val="1"/>
          <w:sz w:val="18"/>
          <w:szCs w:val="18"/>
          <w:lang w:eastAsia="ar-SA"/>
        </w:rPr>
        <w:t xml:space="preserve">para el ejercicio de este derecho, </w:t>
      </w:r>
      <w:r w:rsidR="0085003E">
        <w:rPr>
          <w:rFonts w:ascii="Arial" w:eastAsia="Times New Roman" w:hAnsi="Arial" w:cs="Arial"/>
          <w:bCs/>
          <w:kern w:val="1"/>
          <w:sz w:val="18"/>
          <w:szCs w:val="18"/>
          <w:lang w:eastAsia="ar-SA"/>
        </w:rPr>
        <w:t xml:space="preserve">el numeral 57 de la Carta referida </w:t>
      </w:r>
      <w:r w:rsidR="006B7BEE" w:rsidRPr="00C57285">
        <w:rPr>
          <w:rFonts w:ascii="Arial" w:eastAsia="Times New Roman" w:hAnsi="Arial" w:cs="Arial"/>
          <w:bCs/>
          <w:kern w:val="1"/>
          <w:sz w:val="18"/>
          <w:szCs w:val="18"/>
          <w:lang w:eastAsia="ar-SA"/>
        </w:rPr>
        <w:t xml:space="preserve">establece que </w:t>
      </w:r>
      <w:r w:rsidR="002E70B9" w:rsidRPr="00C57285">
        <w:rPr>
          <w:rFonts w:ascii="Arial" w:eastAsia="Times New Roman" w:hAnsi="Arial" w:cs="Arial"/>
          <w:bCs/>
          <w:kern w:val="1"/>
          <w:sz w:val="18"/>
          <w:szCs w:val="18"/>
          <w:lang w:eastAsia="ar-SA"/>
        </w:rPr>
        <w:t>los proveedores de</w:t>
      </w:r>
      <w:r w:rsidR="006964EE" w:rsidRPr="00C57285">
        <w:rPr>
          <w:rFonts w:ascii="Arial" w:eastAsia="Times New Roman" w:hAnsi="Arial" w:cs="Arial"/>
          <w:bCs/>
          <w:kern w:val="1"/>
          <w:sz w:val="18"/>
          <w:szCs w:val="18"/>
          <w:lang w:eastAsia="ar-SA"/>
        </w:rPr>
        <w:t xml:space="preserve"> servicios</w:t>
      </w:r>
      <w:r w:rsidR="002E70B9" w:rsidRPr="00C57285">
        <w:rPr>
          <w:rFonts w:ascii="Arial" w:eastAsia="Times New Roman" w:hAnsi="Arial" w:cs="Arial"/>
          <w:bCs/>
          <w:kern w:val="1"/>
          <w:sz w:val="18"/>
          <w:szCs w:val="18"/>
          <w:lang w:eastAsia="ar-SA"/>
        </w:rPr>
        <w:t xml:space="preserve"> </w:t>
      </w:r>
      <w:r w:rsidR="006964EE" w:rsidRPr="00C57285">
        <w:rPr>
          <w:rFonts w:ascii="Arial" w:eastAsia="Times New Roman" w:hAnsi="Arial" w:cs="Arial"/>
          <w:bCs/>
          <w:kern w:val="1"/>
          <w:sz w:val="18"/>
          <w:szCs w:val="18"/>
          <w:lang w:eastAsia="ar-SA"/>
        </w:rPr>
        <w:t>de</w:t>
      </w:r>
      <w:r w:rsidR="00CF28CA" w:rsidRPr="00C57285">
        <w:rPr>
          <w:rFonts w:ascii="Arial" w:eastAsia="Times New Roman" w:hAnsi="Arial" w:cs="Arial"/>
          <w:bCs/>
          <w:kern w:val="1"/>
          <w:sz w:val="18"/>
          <w:szCs w:val="18"/>
          <w:lang w:eastAsia="ar-SA"/>
        </w:rPr>
        <w:t>ben</w:t>
      </w:r>
      <w:r w:rsidR="006964EE" w:rsidRPr="00C57285">
        <w:rPr>
          <w:rFonts w:ascii="Arial" w:eastAsia="Times New Roman" w:hAnsi="Arial" w:cs="Arial"/>
          <w:bCs/>
          <w:kern w:val="1"/>
          <w:sz w:val="18"/>
          <w:szCs w:val="18"/>
          <w:lang w:eastAsia="ar-SA"/>
        </w:rPr>
        <w:t xml:space="preserve"> contar con mecanismos ágiles a efecto de</w:t>
      </w:r>
      <w:r w:rsidR="002E70B9" w:rsidRPr="00C57285">
        <w:rPr>
          <w:rFonts w:ascii="Arial" w:eastAsia="Times New Roman" w:hAnsi="Arial" w:cs="Arial"/>
          <w:bCs/>
          <w:kern w:val="1"/>
          <w:sz w:val="18"/>
          <w:szCs w:val="18"/>
          <w:lang w:eastAsia="ar-SA"/>
        </w:rPr>
        <w:t xml:space="preserve"> realizar el desbloqueo </w:t>
      </w:r>
      <w:r w:rsidR="006964EE" w:rsidRPr="00C57285">
        <w:rPr>
          <w:rFonts w:ascii="Arial" w:eastAsia="Times New Roman" w:hAnsi="Arial" w:cs="Arial"/>
          <w:bCs/>
          <w:kern w:val="1"/>
          <w:sz w:val="18"/>
          <w:szCs w:val="18"/>
          <w:lang w:eastAsia="ar-SA"/>
        </w:rPr>
        <w:t xml:space="preserve">de los equipos terminales </w:t>
      </w:r>
      <w:r w:rsidR="002E70B9" w:rsidRPr="00C57285">
        <w:rPr>
          <w:rFonts w:ascii="Arial" w:eastAsia="Times New Roman" w:hAnsi="Arial" w:cs="Arial"/>
          <w:bCs/>
          <w:kern w:val="1"/>
          <w:sz w:val="18"/>
          <w:szCs w:val="18"/>
          <w:lang w:eastAsia="ar-SA"/>
        </w:rPr>
        <w:t>en un plazo máximo de 24 horas</w:t>
      </w:r>
      <w:r w:rsidR="00023283">
        <w:rPr>
          <w:rFonts w:ascii="Arial" w:eastAsia="Times New Roman" w:hAnsi="Arial" w:cs="Arial"/>
          <w:bCs/>
          <w:kern w:val="1"/>
          <w:sz w:val="18"/>
          <w:szCs w:val="18"/>
          <w:lang w:eastAsia="ar-SA"/>
        </w:rPr>
        <w:t xml:space="preserve">, </w:t>
      </w:r>
      <w:r w:rsidR="00023283" w:rsidRPr="00023283">
        <w:rPr>
          <w:rFonts w:ascii="Arial" w:eastAsia="Times New Roman" w:hAnsi="Arial" w:cs="Arial"/>
          <w:bCs/>
          <w:kern w:val="1"/>
          <w:sz w:val="18"/>
          <w:szCs w:val="18"/>
          <w:lang w:eastAsia="ar-SA"/>
        </w:rPr>
        <w:t>siempre y cuando la solicitud se haya realizado en un día y hora hábil</w:t>
      </w:r>
      <w:r w:rsidR="002E70B9" w:rsidRPr="00C57285">
        <w:rPr>
          <w:rFonts w:ascii="Arial" w:eastAsia="Times New Roman" w:hAnsi="Arial" w:cs="Arial"/>
          <w:bCs/>
          <w:kern w:val="1"/>
          <w:sz w:val="18"/>
          <w:szCs w:val="18"/>
          <w:lang w:eastAsia="ar-SA"/>
        </w:rPr>
        <w:t>.</w:t>
      </w:r>
    </w:p>
    <w:p w14:paraId="116605EC" w14:textId="77777777" w:rsidR="00EA39E7" w:rsidRPr="00C57285" w:rsidRDefault="00EA39E7" w:rsidP="00302699">
      <w:pPr>
        <w:spacing w:after="0"/>
        <w:contextualSpacing/>
        <w:mirrorIndents/>
        <w:jc w:val="both"/>
        <w:rPr>
          <w:rFonts w:ascii="Arial" w:eastAsia="Times New Roman" w:hAnsi="Arial" w:cs="Arial"/>
          <w:bCs/>
          <w:kern w:val="1"/>
          <w:sz w:val="18"/>
          <w:szCs w:val="18"/>
          <w:lang w:eastAsia="ar-SA"/>
        </w:rPr>
      </w:pPr>
    </w:p>
    <w:p w14:paraId="0586048B" w14:textId="1BC6CDFC" w:rsidR="009F2651" w:rsidRPr="00C57285" w:rsidRDefault="00D17B0E" w:rsidP="00302699">
      <w:pPr>
        <w:suppressAutoHyphens/>
        <w:spacing w:after="0"/>
        <w:ind w:right="49"/>
        <w:contextualSpacing/>
        <w:mirrorIndents/>
        <w:jc w:val="both"/>
        <w:rPr>
          <w:rFonts w:ascii="Arial" w:eastAsia="Times New Roman" w:hAnsi="Arial" w:cs="Arial"/>
          <w:kern w:val="1"/>
          <w:sz w:val="18"/>
          <w:szCs w:val="18"/>
          <w:lang w:eastAsia="ar-SA"/>
        </w:rPr>
      </w:pPr>
      <w:proofErr w:type="gramStart"/>
      <w:r w:rsidRPr="00C57285">
        <w:rPr>
          <w:rFonts w:ascii="Arial" w:eastAsia="Times New Roman" w:hAnsi="Arial" w:cs="Arial"/>
          <w:b/>
          <w:kern w:val="1"/>
          <w:sz w:val="18"/>
          <w:szCs w:val="18"/>
          <w:lang w:eastAsia="ar-SA"/>
        </w:rPr>
        <w:t>Tercero</w:t>
      </w:r>
      <w:r w:rsidR="00123290" w:rsidRPr="00C57285">
        <w:rPr>
          <w:rFonts w:ascii="Arial" w:eastAsia="Times New Roman" w:hAnsi="Arial" w:cs="Arial"/>
          <w:b/>
          <w:kern w:val="1"/>
          <w:sz w:val="18"/>
          <w:szCs w:val="18"/>
          <w:lang w:eastAsia="ar-SA"/>
        </w:rPr>
        <w:t>.-</w:t>
      </w:r>
      <w:proofErr w:type="gramEnd"/>
      <w:r w:rsidR="00123290" w:rsidRPr="00C57285">
        <w:rPr>
          <w:rFonts w:ascii="Arial" w:eastAsia="Times New Roman" w:hAnsi="Arial" w:cs="Arial"/>
          <w:b/>
          <w:kern w:val="1"/>
          <w:sz w:val="18"/>
          <w:szCs w:val="18"/>
          <w:lang w:eastAsia="ar-SA"/>
        </w:rPr>
        <w:t xml:space="preserve"> </w:t>
      </w:r>
      <w:r w:rsidR="002075A2" w:rsidRPr="00C57285">
        <w:rPr>
          <w:rFonts w:ascii="Arial" w:eastAsia="Times New Roman" w:hAnsi="Arial" w:cs="Arial"/>
          <w:b/>
          <w:kern w:val="1"/>
          <w:sz w:val="18"/>
          <w:szCs w:val="18"/>
          <w:lang w:eastAsia="ar-SA"/>
        </w:rPr>
        <w:t xml:space="preserve">Problemática en torno al desbloqueo de </w:t>
      </w:r>
      <w:r w:rsidR="002E1959" w:rsidRPr="00C57285">
        <w:rPr>
          <w:rFonts w:ascii="Arial" w:eastAsia="Times New Roman" w:hAnsi="Arial" w:cs="Arial"/>
          <w:b/>
          <w:kern w:val="1"/>
          <w:sz w:val="18"/>
          <w:szCs w:val="18"/>
          <w:lang w:eastAsia="ar-SA"/>
        </w:rPr>
        <w:t>E</w:t>
      </w:r>
      <w:r w:rsidR="002075A2" w:rsidRPr="00C57285">
        <w:rPr>
          <w:rFonts w:ascii="Arial" w:eastAsia="Times New Roman" w:hAnsi="Arial" w:cs="Arial"/>
          <w:b/>
          <w:kern w:val="1"/>
          <w:sz w:val="18"/>
          <w:szCs w:val="18"/>
          <w:lang w:eastAsia="ar-SA"/>
        </w:rPr>
        <w:t xml:space="preserve">quipos </w:t>
      </w:r>
      <w:r w:rsidR="002E1959" w:rsidRPr="00C57285">
        <w:rPr>
          <w:rFonts w:ascii="Arial" w:eastAsia="Times New Roman" w:hAnsi="Arial" w:cs="Arial"/>
          <w:b/>
          <w:kern w:val="1"/>
          <w:sz w:val="18"/>
          <w:szCs w:val="18"/>
          <w:lang w:eastAsia="ar-SA"/>
        </w:rPr>
        <w:t>T</w:t>
      </w:r>
      <w:r w:rsidR="002075A2" w:rsidRPr="00C57285">
        <w:rPr>
          <w:rFonts w:ascii="Arial" w:eastAsia="Times New Roman" w:hAnsi="Arial" w:cs="Arial"/>
          <w:b/>
          <w:kern w:val="1"/>
          <w:sz w:val="18"/>
          <w:szCs w:val="18"/>
          <w:lang w:eastAsia="ar-SA"/>
        </w:rPr>
        <w:t xml:space="preserve">erminales </w:t>
      </w:r>
      <w:r w:rsidR="002E1959" w:rsidRPr="00C57285">
        <w:rPr>
          <w:rFonts w:ascii="Arial" w:eastAsia="Times New Roman" w:hAnsi="Arial" w:cs="Arial"/>
          <w:b/>
          <w:kern w:val="1"/>
          <w:sz w:val="18"/>
          <w:szCs w:val="18"/>
          <w:lang w:eastAsia="ar-SA"/>
        </w:rPr>
        <w:t>M</w:t>
      </w:r>
      <w:r w:rsidR="002075A2" w:rsidRPr="00C57285">
        <w:rPr>
          <w:rFonts w:ascii="Arial" w:eastAsia="Times New Roman" w:hAnsi="Arial" w:cs="Arial"/>
          <w:b/>
          <w:kern w:val="1"/>
          <w:sz w:val="18"/>
          <w:szCs w:val="18"/>
          <w:lang w:eastAsia="ar-SA"/>
        </w:rPr>
        <w:t>óviles</w:t>
      </w:r>
      <w:r w:rsidR="00123290" w:rsidRPr="00C57285">
        <w:rPr>
          <w:rFonts w:ascii="Arial" w:eastAsia="Times New Roman" w:hAnsi="Arial" w:cs="Arial"/>
          <w:b/>
          <w:kern w:val="1"/>
          <w:sz w:val="18"/>
          <w:szCs w:val="18"/>
          <w:lang w:eastAsia="ar-SA"/>
        </w:rPr>
        <w:t>.</w:t>
      </w:r>
      <w:r w:rsidR="002E2320" w:rsidRPr="00C57285">
        <w:rPr>
          <w:rFonts w:ascii="Arial" w:eastAsia="Times New Roman" w:hAnsi="Arial" w:cs="Arial"/>
          <w:b/>
          <w:bCs/>
          <w:kern w:val="1"/>
          <w:sz w:val="18"/>
          <w:szCs w:val="18"/>
          <w:lang w:eastAsia="ar-SA"/>
        </w:rPr>
        <w:t xml:space="preserve"> </w:t>
      </w:r>
      <w:r w:rsidR="009F2651" w:rsidRPr="00C57285">
        <w:rPr>
          <w:rFonts w:ascii="Arial" w:eastAsia="Times New Roman" w:hAnsi="Arial" w:cs="Arial"/>
          <w:kern w:val="1"/>
          <w:sz w:val="18"/>
          <w:szCs w:val="18"/>
          <w:lang w:eastAsia="ar-SA"/>
        </w:rPr>
        <w:t xml:space="preserve">Como parte del costo que un usuario paga para </w:t>
      </w:r>
      <w:r w:rsidR="00B47D62" w:rsidRPr="00C57285">
        <w:rPr>
          <w:rFonts w:ascii="Arial" w:eastAsia="Times New Roman" w:hAnsi="Arial" w:cs="Arial"/>
          <w:kern w:val="1"/>
          <w:sz w:val="18"/>
          <w:szCs w:val="18"/>
          <w:lang w:eastAsia="ar-SA"/>
        </w:rPr>
        <w:t xml:space="preserve">hacer uso de los servicios de </w:t>
      </w:r>
      <w:r w:rsidR="009F2651" w:rsidRPr="00C57285">
        <w:rPr>
          <w:rFonts w:ascii="Arial" w:eastAsia="Times New Roman" w:hAnsi="Arial" w:cs="Arial"/>
          <w:kern w:val="1"/>
          <w:sz w:val="18"/>
          <w:szCs w:val="18"/>
          <w:lang w:eastAsia="ar-SA"/>
        </w:rPr>
        <w:t>un proveedor de servicios de telecomunicaciones</w:t>
      </w:r>
      <w:r w:rsidR="00B47D62" w:rsidRPr="00C57285">
        <w:rPr>
          <w:rFonts w:ascii="Arial" w:eastAsia="Times New Roman" w:hAnsi="Arial" w:cs="Arial"/>
          <w:kern w:val="1"/>
          <w:sz w:val="18"/>
          <w:szCs w:val="18"/>
          <w:lang w:eastAsia="ar-SA"/>
        </w:rPr>
        <w:t xml:space="preserve"> móviles</w:t>
      </w:r>
      <w:r w:rsidR="009F2651" w:rsidRPr="00C57285">
        <w:rPr>
          <w:rFonts w:ascii="Arial" w:eastAsia="Times New Roman" w:hAnsi="Arial" w:cs="Arial"/>
          <w:kern w:val="1"/>
          <w:sz w:val="18"/>
          <w:szCs w:val="18"/>
          <w:lang w:eastAsia="ar-SA"/>
        </w:rPr>
        <w:t xml:space="preserve">, se encuentra el costo de adquisición de un equipo terminal móvil. En ese sentido, los usuarios pueden verse desincentivados a cambiar de proveedor de servicios de telecomunicaciones cuando se ven obligados a adquirir un nuevo equipo terminal o bien cuando el proceso para desbloquear </w:t>
      </w:r>
      <w:r w:rsidR="000A2410" w:rsidRPr="00C57285">
        <w:rPr>
          <w:rFonts w:ascii="Arial" w:eastAsia="Times New Roman" w:hAnsi="Arial" w:cs="Arial"/>
          <w:kern w:val="1"/>
          <w:sz w:val="18"/>
          <w:szCs w:val="18"/>
          <w:lang w:eastAsia="ar-SA"/>
        </w:rPr>
        <w:t>un equipo que poseen</w:t>
      </w:r>
      <w:r w:rsidR="009F2651" w:rsidRPr="00C57285">
        <w:rPr>
          <w:rFonts w:ascii="Arial" w:eastAsia="Times New Roman" w:hAnsi="Arial" w:cs="Arial"/>
          <w:kern w:val="1"/>
          <w:sz w:val="18"/>
          <w:szCs w:val="18"/>
          <w:lang w:eastAsia="ar-SA"/>
        </w:rPr>
        <w:t xml:space="preserve"> para utilizarlo en otra red resulta lento e incierto.</w:t>
      </w:r>
    </w:p>
    <w:p w14:paraId="569B64A5" w14:textId="2270F040" w:rsidR="007A78AE" w:rsidRPr="00C57285" w:rsidRDefault="007A78AE" w:rsidP="00302699">
      <w:pPr>
        <w:suppressAutoHyphens/>
        <w:spacing w:after="0"/>
        <w:ind w:right="49"/>
        <w:contextualSpacing/>
        <w:mirrorIndents/>
        <w:jc w:val="both"/>
        <w:rPr>
          <w:rFonts w:ascii="Arial" w:eastAsia="Times New Roman" w:hAnsi="Arial" w:cs="Arial"/>
          <w:kern w:val="1"/>
          <w:sz w:val="18"/>
          <w:szCs w:val="18"/>
          <w:lang w:eastAsia="ar-SA"/>
        </w:rPr>
      </w:pPr>
    </w:p>
    <w:p w14:paraId="3EE5EE8D" w14:textId="3B7F69B2" w:rsidR="007A78AE" w:rsidRPr="00C57285" w:rsidRDefault="007A78AE" w:rsidP="00302699">
      <w:pPr>
        <w:spacing w:after="0"/>
        <w:contextualSpacing/>
        <w:mirrorIndents/>
        <w:jc w:val="both"/>
        <w:rPr>
          <w:rFonts w:ascii="Arial" w:eastAsia="Times New Roman" w:hAnsi="Arial" w:cs="Arial"/>
          <w:kern w:val="1"/>
          <w:sz w:val="18"/>
          <w:szCs w:val="18"/>
          <w:lang w:eastAsia="ar-SA"/>
        </w:rPr>
      </w:pPr>
      <w:r w:rsidRPr="00C57285">
        <w:rPr>
          <w:rFonts w:ascii="Arial" w:eastAsia="Times New Roman" w:hAnsi="Arial" w:cs="Arial"/>
          <w:kern w:val="1"/>
          <w:sz w:val="18"/>
          <w:szCs w:val="18"/>
          <w:lang w:eastAsia="ar-SA"/>
        </w:rPr>
        <w:t>Los costos de cambio (</w:t>
      </w:r>
      <w:proofErr w:type="spellStart"/>
      <w:r w:rsidRPr="00C57285">
        <w:rPr>
          <w:rFonts w:ascii="Arial" w:eastAsia="Times New Roman" w:hAnsi="Arial" w:cs="Arial"/>
          <w:i/>
          <w:iCs/>
          <w:kern w:val="1"/>
          <w:sz w:val="18"/>
          <w:szCs w:val="18"/>
          <w:lang w:eastAsia="ar-SA"/>
        </w:rPr>
        <w:t>switching</w:t>
      </w:r>
      <w:proofErr w:type="spellEnd"/>
      <w:r w:rsidRPr="00C57285">
        <w:rPr>
          <w:rFonts w:ascii="Arial" w:eastAsia="Times New Roman" w:hAnsi="Arial" w:cs="Arial"/>
          <w:i/>
          <w:iCs/>
          <w:kern w:val="1"/>
          <w:sz w:val="18"/>
          <w:szCs w:val="18"/>
          <w:lang w:eastAsia="ar-SA"/>
        </w:rPr>
        <w:t xml:space="preserve"> </w:t>
      </w:r>
      <w:proofErr w:type="spellStart"/>
      <w:r w:rsidRPr="00C57285">
        <w:rPr>
          <w:rFonts w:ascii="Arial" w:eastAsia="Times New Roman" w:hAnsi="Arial" w:cs="Arial"/>
          <w:i/>
          <w:iCs/>
          <w:kern w:val="1"/>
          <w:sz w:val="18"/>
          <w:szCs w:val="18"/>
          <w:lang w:eastAsia="ar-SA"/>
        </w:rPr>
        <w:t>costs</w:t>
      </w:r>
      <w:proofErr w:type="spellEnd"/>
      <w:r w:rsidRPr="00C57285">
        <w:rPr>
          <w:rFonts w:ascii="Arial" w:eastAsia="Times New Roman" w:hAnsi="Arial" w:cs="Arial"/>
          <w:kern w:val="1"/>
          <w:sz w:val="18"/>
          <w:szCs w:val="18"/>
          <w:lang w:eastAsia="ar-SA"/>
        </w:rPr>
        <w:t>) pueden configurar una barrera para cambiar de proveedor de servicios de telecomunicaciones aun cuando existan otros que ofrezcan mejores condiciones para el usuario, lo cual resulta en perjuicio no sólo para los usuarios sino para el proceso de competencia, pues se puede desincentivar la entrada de nuevos competidores o restringir la capacidad de los operadores alternativos existentes de competir en el mercado.</w:t>
      </w:r>
      <w:r w:rsidR="00B44CAC" w:rsidRPr="00C57285">
        <w:rPr>
          <w:rFonts w:ascii="Arial" w:hAnsi="Arial" w:cs="Arial"/>
          <w:bCs/>
          <w:kern w:val="1"/>
          <w:sz w:val="18"/>
          <w:szCs w:val="18"/>
          <w:lang w:eastAsia="ar-SA"/>
        </w:rPr>
        <w:t xml:space="preserve"> Los costos de cambio constituyen un obstáculo al desbloqueo que 1) coarta la libertad de los usuarios de utilizar un producto de su propiedad, 2) reduce la flexibilidad y las opciones para los usuarios al elegir a su proveedor de servicios móviles, lo cual a su vez 3) puede disminuir la presión competitiva que ejerce la posibilidad de perder clientes sobre los operadores incumbentes.</w:t>
      </w:r>
    </w:p>
    <w:p w14:paraId="5212F7DA" w14:textId="77777777" w:rsidR="00EA39E7" w:rsidRPr="00C57285" w:rsidRDefault="00EA39E7" w:rsidP="00302699">
      <w:pPr>
        <w:spacing w:after="0"/>
        <w:contextualSpacing/>
        <w:mirrorIndents/>
        <w:jc w:val="both"/>
        <w:rPr>
          <w:rFonts w:ascii="Arial" w:eastAsia="Times New Roman" w:hAnsi="Arial" w:cs="Arial"/>
          <w:kern w:val="1"/>
          <w:sz w:val="18"/>
          <w:szCs w:val="18"/>
          <w:lang w:eastAsia="ar-SA"/>
        </w:rPr>
      </w:pPr>
    </w:p>
    <w:p w14:paraId="40353814" w14:textId="01988114" w:rsidR="008D4BCD" w:rsidRPr="00C57285" w:rsidRDefault="00EE2FF8" w:rsidP="00302699">
      <w:pPr>
        <w:suppressAutoHyphens/>
        <w:spacing w:after="0"/>
        <w:ind w:right="49"/>
        <w:contextualSpacing/>
        <w:mirrorIndents/>
        <w:jc w:val="both"/>
        <w:rPr>
          <w:rFonts w:ascii="Arial" w:eastAsia="Times New Roman" w:hAnsi="Arial" w:cs="Arial"/>
          <w:b/>
          <w:bCs/>
          <w:kern w:val="1"/>
          <w:sz w:val="18"/>
          <w:szCs w:val="18"/>
          <w:lang w:eastAsia="ar-SA"/>
        </w:rPr>
      </w:pPr>
      <w:r w:rsidRPr="00C57285">
        <w:rPr>
          <w:rFonts w:ascii="Arial" w:eastAsia="Times New Roman" w:hAnsi="Arial" w:cs="Arial"/>
          <w:kern w:val="1"/>
          <w:sz w:val="18"/>
          <w:szCs w:val="18"/>
          <w:lang w:eastAsia="ar-SA"/>
        </w:rPr>
        <w:t>E</w:t>
      </w:r>
      <w:r w:rsidR="0097475E" w:rsidRPr="00C57285">
        <w:rPr>
          <w:rFonts w:ascii="Arial" w:eastAsia="Times New Roman" w:hAnsi="Arial" w:cs="Arial"/>
          <w:kern w:val="1"/>
          <w:sz w:val="18"/>
          <w:szCs w:val="18"/>
          <w:lang w:eastAsia="ar-SA"/>
        </w:rPr>
        <w:t>n tal sentido, el</w:t>
      </w:r>
      <w:r w:rsidRPr="00C57285">
        <w:rPr>
          <w:rFonts w:ascii="Arial" w:eastAsia="Times New Roman" w:hAnsi="Arial" w:cs="Arial"/>
          <w:kern w:val="1"/>
          <w:sz w:val="18"/>
          <w:szCs w:val="18"/>
          <w:lang w:eastAsia="ar-SA"/>
        </w:rPr>
        <w:t xml:space="preserve"> desbloqueo de equipos</w:t>
      </w:r>
      <w:r w:rsidR="0097475E" w:rsidRPr="00C57285">
        <w:rPr>
          <w:rFonts w:ascii="Arial" w:eastAsia="Times New Roman" w:hAnsi="Arial" w:cs="Arial"/>
          <w:kern w:val="1"/>
          <w:sz w:val="18"/>
          <w:szCs w:val="18"/>
          <w:lang w:eastAsia="ar-SA"/>
        </w:rPr>
        <w:t xml:space="preserve"> terminales móviles</w:t>
      </w:r>
      <w:r w:rsidRPr="00C57285">
        <w:rPr>
          <w:rFonts w:ascii="Arial" w:eastAsia="Times New Roman" w:hAnsi="Arial" w:cs="Arial"/>
          <w:kern w:val="1"/>
          <w:sz w:val="18"/>
          <w:szCs w:val="18"/>
          <w:lang w:eastAsia="ar-SA"/>
        </w:rPr>
        <w:t xml:space="preserve"> </w:t>
      </w:r>
      <w:r w:rsidR="009F2651" w:rsidRPr="00C57285">
        <w:rPr>
          <w:rFonts w:ascii="Arial" w:eastAsia="Times New Roman" w:hAnsi="Arial" w:cs="Arial"/>
          <w:kern w:val="1"/>
          <w:sz w:val="18"/>
          <w:szCs w:val="18"/>
          <w:lang w:eastAsia="ar-SA"/>
        </w:rPr>
        <w:t xml:space="preserve">facilita </w:t>
      </w:r>
      <w:r w:rsidRPr="00C57285">
        <w:rPr>
          <w:rFonts w:ascii="Arial" w:eastAsia="Times New Roman" w:hAnsi="Arial" w:cs="Arial"/>
          <w:kern w:val="1"/>
          <w:sz w:val="18"/>
          <w:szCs w:val="18"/>
          <w:lang w:eastAsia="ar-SA"/>
        </w:rPr>
        <w:t>que los usuarios elijan entre diferentes proveedores de servicios</w:t>
      </w:r>
      <w:r w:rsidR="0051669A" w:rsidRPr="00C57285">
        <w:rPr>
          <w:rFonts w:ascii="Arial" w:eastAsia="Times New Roman" w:hAnsi="Arial" w:cs="Arial"/>
          <w:kern w:val="1"/>
          <w:sz w:val="18"/>
          <w:szCs w:val="18"/>
          <w:lang w:eastAsia="ar-SA"/>
        </w:rPr>
        <w:t xml:space="preserve"> por lo que</w:t>
      </w:r>
      <w:r w:rsidRPr="00C57285">
        <w:rPr>
          <w:sz w:val="18"/>
          <w:szCs w:val="18"/>
        </w:rPr>
        <w:t xml:space="preserve"> </w:t>
      </w:r>
      <w:r w:rsidRPr="00C57285">
        <w:rPr>
          <w:rFonts w:ascii="Arial" w:eastAsia="Times New Roman" w:hAnsi="Arial" w:cs="Arial"/>
          <w:kern w:val="1"/>
          <w:sz w:val="18"/>
          <w:szCs w:val="18"/>
          <w:lang w:eastAsia="ar-SA"/>
        </w:rPr>
        <w:t>desde la perspectiva de la garantía de la libre competencia y de protección a los usuarios es necesario que el equipo terminal pueda ser desbloqueado</w:t>
      </w:r>
      <w:r w:rsidR="007C533B" w:rsidRPr="00C57285">
        <w:rPr>
          <w:rFonts w:ascii="Arial" w:eastAsia="Times New Roman" w:hAnsi="Arial" w:cs="Arial"/>
          <w:kern w:val="1"/>
          <w:sz w:val="18"/>
          <w:szCs w:val="18"/>
          <w:lang w:eastAsia="ar-SA"/>
        </w:rPr>
        <w:t xml:space="preserve"> de manera</w:t>
      </w:r>
      <w:r w:rsidRPr="00C57285">
        <w:rPr>
          <w:rFonts w:ascii="Arial" w:eastAsia="Times New Roman" w:hAnsi="Arial" w:cs="Arial"/>
          <w:kern w:val="1"/>
          <w:sz w:val="18"/>
          <w:szCs w:val="18"/>
          <w:lang w:eastAsia="ar-SA"/>
        </w:rPr>
        <w:t xml:space="preserve"> </w:t>
      </w:r>
      <w:r w:rsidR="000A2410" w:rsidRPr="00C57285">
        <w:rPr>
          <w:rFonts w:ascii="Arial" w:eastAsia="Times New Roman" w:hAnsi="Arial" w:cs="Arial"/>
          <w:kern w:val="1"/>
          <w:sz w:val="18"/>
          <w:szCs w:val="18"/>
          <w:lang w:eastAsia="ar-SA"/>
        </w:rPr>
        <w:t>efectiva</w:t>
      </w:r>
      <w:r w:rsidRPr="00C57285">
        <w:rPr>
          <w:rFonts w:ascii="Arial" w:eastAsia="Times New Roman" w:hAnsi="Arial" w:cs="Arial"/>
          <w:kern w:val="1"/>
          <w:sz w:val="18"/>
          <w:szCs w:val="18"/>
          <w:lang w:eastAsia="ar-SA"/>
        </w:rPr>
        <w:t xml:space="preserve">. No obstante, </w:t>
      </w:r>
      <w:r w:rsidR="0097475E" w:rsidRPr="00C57285">
        <w:rPr>
          <w:rFonts w:ascii="Arial" w:eastAsia="Times New Roman" w:hAnsi="Arial" w:cs="Arial"/>
          <w:kern w:val="1"/>
          <w:sz w:val="18"/>
          <w:szCs w:val="18"/>
          <w:lang w:eastAsia="ar-SA"/>
        </w:rPr>
        <w:t xml:space="preserve">los usuarios </w:t>
      </w:r>
      <w:r w:rsidR="007C533B" w:rsidRPr="00C57285">
        <w:rPr>
          <w:rFonts w:ascii="Arial" w:eastAsia="Times New Roman" w:hAnsi="Arial" w:cs="Arial"/>
          <w:kern w:val="1"/>
          <w:sz w:val="18"/>
          <w:szCs w:val="18"/>
          <w:lang w:eastAsia="ar-SA"/>
        </w:rPr>
        <w:t>aún</w:t>
      </w:r>
      <w:r w:rsidR="0097475E" w:rsidRPr="00C57285">
        <w:rPr>
          <w:rFonts w:ascii="Arial" w:eastAsia="Times New Roman" w:hAnsi="Arial" w:cs="Arial"/>
          <w:kern w:val="1"/>
          <w:sz w:val="18"/>
          <w:szCs w:val="18"/>
          <w:lang w:eastAsia="ar-SA"/>
        </w:rPr>
        <w:t xml:space="preserve"> </w:t>
      </w:r>
      <w:r w:rsidR="00C92C1B" w:rsidRPr="00C57285">
        <w:rPr>
          <w:rFonts w:ascii="Arial" w:hAnsi="Arial" w:cs="Arial"/>
          <w:bCs/>
          <w:kern w:val="1"/>
          <w:sz w:val="18"/>
          <w:szCs w:val="18"/>
          <w:lang w:eastAsia="ar-SA"/>
        </w:rPr>
        <w:t>enfrentan obstáculos para realizar el desbloqueo efectivo de los</w:t>
      </w:r>
      <w:r w:rsidR="00664140" w:rsidRPr="00C57285">
        <w:rPr>
          <w:rFonts w:ascii="Arial" w:hAnsi="Arial" w:cs="Arial"/>
          <w:bCs/>
          <w:kern w:val="1"/>
          <w:sz w:val="18"/>
          <w:szCs w:val="18"/>
          <w:lang w:eastAsia="ar-SA"/>
        </w:rPr>
        <w:t xml:space="preserve"> equipos terminales móviles</w:t>
      </w:r>
      <w:r w:rsidR="00C92C1B" w:rsidRPr="00C57285">
        <w:rPr>
          <w:rFonts w:ascii="Arial" w:hAnsi="Arial" w:cs="Arial"/>
          <w:bCs/>
          <w:kern w:val="1"/>
          <w:sz w:val="18"/>
          <w:szCs w:val="18"/>
          <w:lang w:eastAsia="ar-SA"/>
        </w:rPr>
        <w:t xml:space="preserve">, lo cual se traduce en costos adicionales que generan desincentivos para los usuarios que ya cuentan con un equipo terminal móvil y </w:t>
      </w:r>
      <w:r w:rsidR="00092AA4" w:rsidRPr="00C57285">
        <w:rPr>
          <w:rFonts w:ascii="Arial" w:hAnsi="Arial" w:cs="Arial"/>
          <w:bCs/>
          <w:kern w:val="1"/>
          <w:sz w:val="18"/>
          <w:szCs w:val="18"/>
          <w:lang w:eastAsia="ar-SA"/>
        </w:rPr>
        <w:t xml:space="preserve">desean </w:t>
      </w:r>
      <w:r w:rsidR="00664140" w:rsidRPr="00C57285">
        <w:rPr>
          <w:rFonts w:ascii="Arial" w:hAnsi="Arial" w:cs="Arial"/>
          <w:bCs/>
          <w:kern w:val="1"/>
          <w:sz w:val="18"/>
          <w:szCs w:val="18"/>
          <w:lang w:eastAsia="ar-SA"/>
        </w:rPr>
        <w:t>cambiar</w:t>
      </w:r>
      <w:r w:rsidR="00092AA4" w:rsidRPr="00C57285">
        <w:rPr>
          <w:rFonts w:ascii="Arial" w:hAnsi="Arial" w:cs="Arial"/>
          <w:bCs/>
          <w:kern w:val="1"/>
          <w:sz w:val="18"/>
          <w:szCs w:val="18"/>
          <w:lang w:eastAsia="ar-SA"/>
        </w:rPr>
        <w:t xml:space="preserve"> de</w:t>
      </w:r>
      <w:r w:rsidR="00664140" w:rsidRPr="00C57285">
        <w:rPr>
          <w:rFonts w:ascii="Arial" w:hAnsi="Arial" w:cs="Arial"/>
          <w:bCs/>
          <w:kern w:val="1"/>
          <w:sz w:val="18"/>
          <w:szCs w:val="18"/>
          <w:lang w:eastAsia="ar-SA"/>
        </w:rPr>
        <w:t xml:space="preserve"> </w:t>
      </w:r>
      <w:r w:rsidR="00B50BF2" w:rsidRPr="00C57285">
        <w:rPr>
          <w:rFonts w:ascii="Arial" w:hAnsi="Arial" w:cs="Arial"/>
          <w:bCs/>
          <w:kern w:val="1"/>
          <w:sz w:val="18"/>
          <w:szCs w:val="18"/>
          <w:lang w:eastAsia="ar-SA"/>
        </w:rPr>
        <w:t xml:space="preserve">proveedor </w:t>
      </w:r>
      <w:r w:rsidR="00664140" w:rsidRPr="00C57285">
        <w:rPr>
          <w:rFonts w:ascii="Arial" w:hAnsi="Arial" w:cs="Arial"/>
          <w:bCs/>
          <w:kern w:val="1"/>
          <w:sz w:val="18"/>
          <w:szCs w:val="18"/>
          <w:lang w:eastAsia="ar-SA"/>
        </w:rPr>
        <w:t>de servicios</w:t>
      </w:r>
      <w:r w:rsidR="00C92C1B" w:rsidRPr="00C57285">
        <w:rPr>
          <w:rFonts w:ascii="Arial" w:hAnsi="Arial" w:cs="Arial"/>
          <w:bCs/>
          <w:kern w:val="1"/>
          <w:sz w:val="18"/>
          <w:szCs w:val="18"/>
          <w:lang w:eastAsia="ar-SA"/>
        </w:rPr>
        <w:t>.</w:t>
      </w:r>
      <w:r w:rsidR="00E12B01" w:rsidRPr="00C57285">
        <w:rPr>
          <w:rFonts w:ascii="Arial" w:hAnsi="Arial" w:cs="Arial"/>
          <w:bCs/>
          <w:kern w:val="1"/>
          <w:sz w:val="18"/>
          <w:szCs w:val="18"/>
          <w:lang w:eastAsia="ar-SA"/>
        </w:rPr>
        <w:t xml:space="preserve"> </w:t>
      </w:r>
    </w:p>
    <w:p w14:paraId="5FFB5823" w14:textId="77777777" w:rsidR="00EB75B7" w:rsidRPr="00C57285" w:rsidRDefault="00EB75B7" w:rsidP="00302699">
      <w:pPr>
        <w:spacing w:after="0"/>
        <w:contextualSpacing/>
        <w:mirrorIndents/>
        <w:jc w:val="both"/>
        <w:rPr>
          <w:rFonts w:ascii="Arial" w:hAnsi="Arial" w:cs="Arial"/>
          <w:bCs/>
          <w:kern w:val="1"/>
          <w:sz w:val="18"/>
          <w:szCs w:val="18"/>
          <w:lang w:eastAsia="ar-SA"/>
        </w:rPr>
      </w:pPr>
    </w:p>
    <w:p w14:paraId="375067B7" w14:textId="5D74CE4F" w:rsidR="00981078" w:rsidRPr="00C57285" w:rsidRDefault="00981078" w:rsidP="00981078">
      <w:pPr>
        <w:spacing w:after="0"/>
        <w:contextualSpacing/>
        <w:mirrorIndents/>
        <w:jc w:val="both"/>
        <w:rPr>
          <w:rFonts w:ascii="Arial" w:hAnsi="Arial" w:cs="Arial"/>
          <w:bCs/>
          <w:kern w:val="1"/>
          <w:sz w:val="18"/>
          <w:szCs w:val="18"/>
          <w:lang w:eastAsia="ar-SA"/>
        </w:rPr>
      </w:pPr>
      <w:r w:rsidRPr="00C57285">
        <w:rPr>
          <w:rFonts w:ascii="Arial" w:hAnsi="Arial" w:cs="Arial"/>
          <w:bCs/>
          <w:kern w:val="1"/>
          <w:sz w:val="18"/>
          <w:szCs w:val="18"/>
          <w:lang w:eastAsia="ar-SA"/>
        </w:rPr>
        <w:t xml:space="preserve">Muestra de lo anterior, </w:t>
      </w:r>
      <w:r w:rsidR="007848C9">
        <w:rPr>
          <w:rFonts w:ascii="Arial" w:hAnsi="Arial" w:cs="Arial"/>
          <w:bCs/>
          <w:kern w:val="1"/>
          <w:sz w:val="18"/>
          <w:szCs w:val="18"/>
          <w:lang w:eastAsia="ar-SA"/>
        </w:rPr>
        <w:t>son las</w:t>
      </w:r>
      <w:r w:rsidRPr="00C57285">
        <w:rPr>
          <w:rFonts w:ascii="Arial" w:hAnsi="Arial" w:cs="Arial"/>
          <w:bCs/>
          <w:kern w:val="1"/>
          <w:sz w:val="18"/>
          <w:szCs w:val="18"/>
          <w:lang w:eastAsia="ar-SA"/>
        </w:rPr>
        <w:t xml:space="preserve"> inconformidades relacionadas con el desbloqueo de equipos reportadas en el portal “Soy Usuario”, </w:t>
      </w:r>
      <w:r w:rsidR="007848C9">
        <w:rPr>
          <w:rFonts w:ascii="Arial" w:hAnsi="Arial" w:cs="Arial"/>
          <w:bCs/>
          <w:kern w:val="1"/>
          <w:sz w:val="18"/>
          <w:szCs w:val="18"/>
          <w:lang w:eastAsia="ar-SA"/>
        </w:rPr>
        <w:t xml:space="preserve">mismas que en el año </w:t>
      </w:r>
      <w:r w:rsidR="007848C9" w:rsidRPr="00C57285">
        <w:rPr>
          <w:rFonts w:ascii="Arial" w:hAnsi="Arial" w:cs="Arial"/>
          <w:bCs/>
          <w:kern w:val="1"/>
          <w:sz w:val="18"/>
          <w:szCs w:val="18"/>
          <w:lang w:eastAsia="ar-SA"/>
        </w:rPr>
        <w:t>2019</w:t>
      </w:r>
      <w:r w:rsidR="007848C9">
        <w:rPr>
          <w:rFonts w:ascii="Arial" w:hAnsi="Arial" w:cs="Arial"/>
          <w:bCs/>
          <w:kern w:val="1"/>
          <w:sz w:val="18"/>
          <w:szCs w:val="18"/>
          <w:lang w:eastAsia="ar-SA"/>
        </w:rPr>
        <w:t xml:space="preserve"> fueron</w:t>
      </w:r>
      <w:r w:rsidRPr="00C57285">
        <w:rPr>
          <w:rFonts w:ascii="Arial" w:hAnsi="Arial" w:cs="Arial"/>
          <w:bCs/>
          <w:kern w:val="1"/>
          <w:sz w:val="18"/>
          <w:szCs w:val="18"/>
          <w:lang w:eastAsia="ar-SA"/>
        </w:rPr>
        <w:t xml:space="preserve"> 772</w:t>
      </w:r>
      <w:r w:rsidR="007848C9">
        <w:rPr>
          <w:rFonts w:ascii="Arial" w:hAnsi="Arial" w:cs="Arial"/>
          <w:bCs/>
          <w:kern w:val="1"/>
          <w:sz w:val="18"/>
          <w:szCs w:val="18"/>
          <w:lang w:eastAsia="ar-SA"/>
        </w:rPr>
        <w:t>,</w:t>
      </w:r>
      <w:r w:rsidRPr="00C57285">
        <w:rPr>
          <w:rFonts w:ascii="Arial" w:hAnsi="Arial" w:cs="Arial"/>
          <w:bCs/>
          <w:kern w:val="1"/>
          <w:sz w:val="18"/>
          <w:szCs w:val="18"/>
          <w:lang w:eastAsia="ar-SA"/>
        </w:rPr>
        <w:t xml:space="preserve"> en el año 2020 </w:t>
      </w:r>
      <w:r w:rsidR="007848C9">
        <w:rPr>
          <w:rFonts w:ascii="Arial" w:hAnsi="Arial" w:cs="Arial"/>
          <w:bCs/>
          <w:kern w:val="1"/>
          <w:sz w:val="18"/>
          <w:szCs w:val="18"/>
          <w:lang w:eastAsia="ar-SA"/>
        </w:rPr>
        <w:t xml:space="preserve">se reportaron </w:t>
      </w:r>
      <w:r w:rsidR="007848C9" w:rsidRPr="00C57285">
        <w:rPr>
          <w:rFonts w:ascii="Arial" w:hAnsi="Arial" w:cs="Arial"/>
          <w:bCs/>
          <w:kern w:val="1"/>
          <w:sz w:val="18"/>
          <w:szCs w:val="18"/>
          <w:lang w:eastAsia="ar-SA"/>
        </w:rPr>
        <w:t>1273</w:t>
      </w:r>
      <w:r w:rsidR="007848C9">
        <w:rPr>
          <w:rFonts w:ascii="Arial" w:hAnsi="Arial" w:cs="Arial"/>
          <w:bCs/>
          <w:kern w:val="1"/>
          <w:sz w:val="18"/>
          <w:szCs w:val="18"/>
          <w:lang w:eastAsia="ar-SA"/>
        </w:rPr>
        <w:t>,</w:t>
      </w:r>
      <w:r w:rsidRPr="00C57285">
        <w:rPr>
          <w:rFonts w:ascii="Arial" w:hAnsi="Arial" w:cs="Arial"/>
          <w:bCs/>
          <w:kern w:val="1"/>
          <w:sz w:val="18"/>
          <w:szCs w:val="18"/>
          <w:lang w:eastAsia="ar-SA"/>
        </w:rPr>
        <w:t xml:space="preserve"> </w:t>
      </w:r>
      <w:r w:rsidR="001058E5">
        <w:rPr>
          <w:rFonts w:ascii="Arial" w:hAnsi="Arial" w:cs="Arial"/>
          <w:bCs/>
          <w:kern w:val="1"/>
          <w:sz w:val="18"/>
          <w:szCs w:val="18"/>
          <w:lang w:eastAsia="ar-SA"/>
        </w:rPr>
        <w:t>959</w:t>
      </w:r>
      <w:r w:rsidR="00DD5653" w:rsidRPr="00C57285">
        <w:rPr>
          <w:rFonts w:ascii="Arial" w:hAnsi="Arial" w:cs="Arial"/>
          <w:bCs/>
          <w:kern w:val="1"/>
          <w:sz w:val="18"/>
          <w:szCs w:val="18"/>
          <w:lang w:eastAsia="ar-SA"/>
        </w:rPr>
        <w:t xml:space="preserve"> </w:t>
      </w:r>
      <w:r w:rsidR="007848C9">
        <w:rPr>
          <w:rFonts w:ascii="Arial" w:hAnsi="Arial" w:cs="Arial"/>
          <w:bCs/>
          <w:kern w:val="1"/>
          <w:sz w:val="18"/>
          <w:szCs w:val="18"/>
          <w:lang w:eastAsia="ar-SA"/>
        </w:rPr>
        <w:t xml:space="preserve">en </w:t>
      </w:r>
      <w:r w:rsidRPr="00C57285">
        <w:rPr>
          <w:rFonts w:ascii="Arial" w:hAnsi="Arial" w:cs="Arial"/>
          <w:bCs/>
          <w:kern w:val="1"/>
          <w:sz w:val="18"/>
          <w:szCs w:val="18"/>
          <w:lang w:eastAsia="ar-SA"/>
        </w:rPr>
        <w:t>el año 2021</w:t>
      </w:r>
      <w:r w:rsidR="007848C9">
        <w:rPr>
          <w:rFonts w:ascii="Arial" w:hAnsi="Arial" w:cs="Arial"/>
          <w:bCs/>
          <w:kern w:val="1"/>
          <w:sz w:val="18"/>
          <w:szCs w:val="18"/>
          <w:lang w:eastAsia="ar-SA"/>
        </w:rPr>
        <w:t xml:space="preserve"> </w:t>
      </w:r>
      <w:r w:rsidR="002C47AE">
        <w:rPr>
          <w:rFonts w:ascii="Arial" w:hAnsi="Arial" w:cs="Arial"/>
          <w:bCs/>
          <w:kern w:val="1"/>
          <w:sz w:val="18"/>
          <w:szCs w:val="18"/>
          <w:lang w:eastAsia="ar-SA"/>
        </w:rPr>
        <w:t>,</w:t>
      </w:r>
      <w:r w:rsidR="00927A17">
        <w:rPr>
          <w:rFonts w:ascii="Arial" w:hAnsi="Arial" w:cs="Arial"/>
          <w:bCs/>
          <w:kern w:val="1"/>
          <w:sz w:val="18"/>
          <w:szCs w:val="18"/>
          <w:lang w:eastAsia="ar-SA"/>
        </w:rPr>
        <w:t>704 en el</w:t>
      </w:r>
      <w:r w:rsidR="007848C9">
        <w:rPr>
          <w:rFonts w:ascii="Arial" w:hAnsi="Arial" w:cs="Arial"/>
          <w:bCs/>
          <w:kern w:val="1"/>
          <w:sz w:val="18"/>
          <w:szCs w:val="18"/>
          <w:lang w:eastAsia="ar-SA"/>
        </w:rPr>
        <w:t xml:space="preserve"> </w:t>
      </w:r>
      <w:r w:rsidR="00DD5653">
        <w:rPr>
          <w:rFonts w:ascii="Arial" w:hAnsi="Arial" w:cs="Arial"/>
          <w:bCs/>
          <w:kern w:val="1"/>
          <w:sz w:val="18"/>
          <w:szCs w:val="18"/>
          <w:lang w:eastAsia="ar-SA"/>
        </w:rPr>
        <w:t>2022</w:t>
      </w:r>
      <w:r w:rsidR="002C47AE">
        <w:rPr>
          <w:rFonts w:ascii="Arial" w:hAnsi="Arial" w:cs="Arial"/>
          <w:bCs/>
          <w:kern w:val="1"/>
          <w:sz w:val="18"/>
          <w:szCs w:val="18"/>
          <w:lang w:eastAsia="ar-SA"/>
        </w:rPr>
        <w:t xml:space="preserve"> y 331 en el primer semestre del 2023</w:t>
      </w:r>
      <w:r w:rsidRPr="00C57285">
        <w:rPr>
          <w:rFonts w:ascii="Arial" w:hAnsi="Arial" w:cs="Arial"/>
          <w:bCs/>
          <w:kern w:val="1"/>
          <w:sz w:val="18"/>
          <w:szCs w:val="18"/>
          <w:lang w:eastAsia="ar-SA"/>
        </w:rPr>
        <w:t xml:space="preserve">. </w:t>
      </w:r>
    </w:p>
    <w:p w14:paraId="438DF244" w14:textId="2961AE4B" w:rsidR="002E2320" w:rsidRPr="00C57285" w:rsidRDefault="002E2320" w:rsidP="00302699">
      <w:pPr>
        <w:suppressAutoHyphens/>
        <w:spacing w:after="0"/>
        <w:ind w:right="49"/>
        <w:contextualSpacing/>
        <w:mirrorIndents/>
        <w:jc w:val="both"/>
        <w:rPr>
          <w:rFonts w:ascii="Arial" w:hAnsi="Arial" w:cs="Arial"/>
          <w:bCs/>
          <w:kern w:val="1"/>
          <w:sz w:val="18"/>
          <w:szCs w:val="18"/>
          <w:lang w:eastAsia="ar-SA"/>
        </w:rPr>
      </w:pPr>
    </w:p>
    <w:p w14:paraId="1F416BB7" w14:textId="1DB57C74" w:rsidR="00B21424" w:rsidRPr="00C57285" w:rsidRDefault="002075A2" w:rsidP="00302699">
      <w:pPr>
        <w:spacing w:after="0"/>
        <w:contextualSpacing/>
        <w:mirrorIndents/>
        <w:jc w:val="both"/>
        <w:rPr>
          <w:rFonts w:ascii="Arial" w:hAnsi="Arial" w:cs="Arial"/>
          <w:bCs/>
          <w:kern w:val="1"/>
          <w:sz w:val="18"/>
          <w:szCs w:val="18"/>
          <w:lang w:eastAsia="ar-SA"/>
        </w:rPr>
      </w:pPr>
      <w:proofErr w:type="gramStart"/>
      <w:r w:rsidRPr="00C57285">
        <w:rPr>
          <w:rFonts w:ascii="Arial" w:eastAsia="Times New Roman" w:hAnsi="Arial" w:cs="Arial"/>
          <w:b/>
          <w:bCs/>
          <w:kern w:val="1"/>
          <w:sz w:val="18"/>
          <w:szCs w:val="18"/>
          <w:lang w:eastAsia="ar-SA"/>
        </w:rPr>
        <w:t>Cuarto.-</w:t>
      </w:r>
      <w:proofErr w:type="gramEnd"/>
      <w:r w:rsidRPr="00C57285">
        <w:rPr>
          <w:rFonts w:ascii="Arial" w:eastAsia="Times New Roman" w:hAnsi="Arial" w:cs="Arial"/>
          <w:b/>
          <w:bCs/>
          <w:kern w:val="1"/>
          <w:sz w:val="18"/>
          <w:szCs w:val="18"/>
          <w:lang w:eastAsia="ar-SA"/>
        </w:rPr>
        <w:t xml:space="preserve"> Medidas regulatorias relativas al desbloqueo de equipos terminales móviles.</w:t>
      </w:r>
      <w:r w:rsidR="00175AA8" w:rsidRPr="00C57285">
        <w:rPr>
          <w:rFonts w:ascii="Arial" w:eastAsia="Times New Roman" w:hAnsi="Arial" w:cs="Arial"/>
          <w:b/>
          <w:bCs/>
          <w:kern w:val="1"/>
          <w:sz w:val="18"/>
          <w:szCs w:val="18"/>
          <w:lang w:eastAsia="ar-SA"/>
        </w:rPr>
        <w:t xml:space="preserve"> </w:t>
      </w:r>
      <w:r w:rsidR="00175AA8" w:rsidRPr="00C57285">
        <w:rPr>
          <w:rFonts w:ascii="Arial" w:eastAsia="Times New Roman" w:hAnsi="Arial" w:cs="Arial"/>
          <w:kern w:val="1"/>
          <w:sz w:val="18"/>
          <w:szCs w:val="18"/>
          <w:lang w:eastAsia="ar-SA"/>
        </w:rPr>
        <w:t>E</w:t>
      </w:r>
      <w:r w:rsidR="00D016AB" w:rsidRPr="00C57285">
        <w:rPr>
          <w:rFonts w:ascii="Arial" w:hAnsi="Arial" w:cs="Arial"/>
          <w:kern w:val="1"/>
          <w:sz w:val="18"/>
          <w:szCs w:val="18"/>
          <w:lang w:eastAsia="ar-SA"/>
        </w:rPr>
        <w:t xml:space="preserve">l </w:t>
      </w:r>
      <w:r w:rsidR="00D016AB" w:rsidRPr="00C57285">
        <w:rPr>
          <w:rFonts w:ascii="Arial" w:hAnsi="Arial" w:cs="Arial"/>
          <w:bCs/>
          <w:kern w:val="1"/>
          <w:sz w:val="18"/>
          <w:szCs w:val="18"/>
          <w:lang w:eastAsia="ar-SA"/>
        </w:rPr>
        <w:t xml:space="preserve">Instituto ha emitido diversas disposiciones </w:t>
      </w:r>
      <w:r w:rsidR="00D02F91">
        <w:rPr>
          <w:rFonts w:ascii="Arial" w:hAnsi="Arial" w:cs="Arial"/>
          <w:bCs/>
          <w:kern w:val="1"/>
          <w:sz w:val="18"/>
          <w:szCs w:val="18"/>
          <w:lang w:eastAsia="ar-SA"/>
        </w:rPr>
        <w:t>en las que se incluyen</w:t>
      </w:r>
      <w:r w:rsidR="00BB4780">
        <w:rPr>
          <w:rFonts w:ascii="Arial" w:hAnsi="Arial" w:cs="Arial"/>
          <w:bCs/>
          <w:kern w:val="1"/>
          <w:sz w:val="18"/>
          <w:szCs w:val="18"/>
          <w:lang w:eastAsia="ar-SA"/>
        </w:rPr>
        <w:t xml:space="preserve"> medidas </w:t>
      </w:r>
      <w:r w:rsidR="00D016AB" w:rsidRPr="00C57285">
        <w:rPr>
          <w:rFonts w:ascii="Arial" w:hAnsi="Arial" w:cs="Arial"/>
          <w:bCs/>
          <w:kern w:val="1"/>
          <w:sz w:val="18"/>
          <w:szCs w:val="18"/>
          <w:lang w:eastAsia="ar-SA"/>
        </w:rPr>
        <w:t xml:space="preserve">relacionadas con el desbloqueo de equipos terminales móviles, a fin de que los usuarios puedan ejercer el derecho establecido en </w:t>
      </w:r>
      <w:r w:rsidR="00417BFB" w:rsidRPr="00C57285">
        <w:rPr>
          <w:rFonts w:ascii="Arial" w:hAnsi="Arial" w:cs="Arial"/>
          <w:bCs/>
          <w:kern w:val="1"/>
          <w:sz w:val="18"/>
          <w:szCs w:val="18"/>
          <w:lang w:eastAsia="ar-SA"/>
        </w:rPr>
        <w:t>la fracción XII d</w:t>
      </w:r>
      <w:r w:rsidR="00D016AB" w:rsidRPr="00C57285">
        <w:rPr>
          <w:rFonts w:ascii="Arial" w:hAnsi="Arial" w:cs="Arial"/>
          <w:bCs/>
          <w:kern w:val="1"/>
          <w:sz w:val="18"/>
          <w:szCs w:val="18"/>
          <w:lang w:eastAsia="ar-SA"/>
        </w:rPr>
        <w:t>el artículo</w:t>
      </w:r>
      <w:r w:rsidR="00430CFE" w:rsidRPr="00C57285">
        <w:rPr>
          <w:rFonts w:ascii="Arial" w:hAnsi="Arial" w:cs="Arial"/>
          <w:bCs/>
          <w:kern w:val="1"/>
          <w:sz w:val="18"/>
          <w:szCs w:val="18"/>
          <w:lang w:eastAsia="ar-SA"/>
        </w:rPr>
        <w:t xml:space="preserve"> </w:t>
      </w:r>
      <w:r w:rsidR="00D016AB" w:rsidRPr="00C57285">
        <w:rPr>
          <w:rFonts w:ascii="Arial" w:hAnsi="Arial" w:cs="Arial"/>
          <w:bCs/>
          <w:kern w:val="1"/>
          <w:sz w:val="18"/>
          <w:szCs w:val="18"/>
          <w:lang w:eastAsia="ar-SA"/>
        </w:rPr>
        <w:t>191 de la LFTR.</w:t>
      </w:r>
    </w:p>
    <w:p w14:paraId="1BF0E9B1" w14:textId="77777777" w:rsidR="00B21424" w:rsidRPr="00C57285" w:rsidRDefault="00B21424" w:rsidP="00302699">
      <w:pPr>
        <w:spacing w:after="0"/>
        <w:contextualSpacing/>
        <w:mirrorIndents/>
        <w:jc w:val="both"/>
        <w:rPr>
          <w:rFonts w:ascii="Arial" w:hAnsi="Arial" w:cs="Arial"/>
          <w:bCs/>
          <w:kern w:val="1"/>
          <w:sz w:val="18"/>
          <w:szCs w:val="18"/>
          <w:lang w:eastAsia="ar-SA"/>
        </w:rPr>
      </w:pPr>
    </w:p>
    <w:p w14:paraId="5F7C9D92" w14:textId="286C12A9" w:rsidR="00D06A6B" w:rsidRPr="00C57285" w:rsidRDefault="00D06A6B" w:rsidP="00302699">
      <w:pPr>
        <w:spacing w:after="0"/>
        <w:contextualSpacing/>
        <w:mirrorIndents/>
        <w:jc w:val="both"/>
        <w:rPr>
          <w:rFonts w:ascii="Arial" w:eastAsia="Times New Roman" w:hAnsi="Arial" w:cs="Arial"/>
          <w:kern w:val="1"/>
          <w:sz w:val="18"/>
          <w:szCs w:val="18"/>
          <w:lang w:eastAsia="ar-SA"/>
        </w:rPr>
      </w:pPr>
      <w:r w:rsidRPr="00C57285">
        <w:rPr>
          <w:rFonts w:ascii="Arial" w:eastAsia="Times New Roman" w:hAnsi="Arial" w:cs="Arial"/>
          <w:kern w:val="1"/>
          <w:sz w:val="18"/>
          <w:szCs w:val="18"/>
          <w:lang w:eastAsia="ar-SA"/>
        </w:rPr>
        <w:t xml:space="preserve">En ese sentido, </w:t>
      </w:r>
      <w:r w:rsidR="00CE5C9D" w:rsidRPr="00C57285">
        <w:rPr>
          <w:rFonts w:ascii="Arial" w:eastAsia="Times New Roman" w:hAnsi="Arial" w:cs="Arial"/>
          <w:kern w:val="1"/>
          <w:sz w:val="18"/>
          <w:szCs w:val="18"/>
          <w:lang w:eastAsia="ar-SA"/>
        </w:rPr>
        <w:t xml:space="preserve">en </w:t>
      </w:r>
      <w:r w:rsidRPr="00C57285">
        <w:rPr>
          <w:rFonts w:ascii="Arial" w:eastAsia="Times New Roman" w:hAnsi="Arial" w:cs="Arial"/>
          <w:kern w:val="1"/>
          <w:sz w:val="18"/>
          <w:szCs w:val="18"/>
          <w:lang w:eastAsia="ar-SA"/>
        </w:rPr>
        <w:t xml:space="preserve">las Reglas de Portabilidad </w:t>
      </w:r>
      <w:r w:rsidR="00CE5C9D" w:rsidRPr="00C57285">
        <w:rPr>
          <w:rFonts w:ascii="Arial" w:eastAsia="Times New Roman" w:hAnsi="Arial" w:cs="Arial"/>
          <w:kern w:val="1"/>
          <w:sz w:val="18"/>
          <w:szCs w:val="18"/>
          <w:lang w:eastAsia="ar-SA"/>
        </w:rPr>
        <w:t xml:space="preserve">se </w:t>
      </w:r>
      <w:r w:rsidRPr="00C57285">
        <w:rPr>
          <w:rFonts w:ascii="Arial" w:eastAsia="Times New Roman" w:hAnsi="Arial" w:cs="Arial"/>
          <w:kern w:val="1"/>
          <w:sz w:val="18"/>
          <w:szCs w:val="18"/>
          <w:lang w:eastAsia="ar-SA"/>
        </w:rPr>
        <w:t xml:space="preserve">establece que los derechos de los usuarios en materia de </w:t>
      </w:r>
      <w:r w:rsidR="00A33347" w:rsidRPr="00C57285">
        <w:rPr>
          <w:rFonts w:ascii="Arial" w:eastAsia="Times New Roman" w:hAnsi="Arial" w:cs="Arial"/>
          <w:kern w:val="1"/>
          <w:sz w:val="18"/>
          <w:szCs w:val="18"/>
          <w:lang w:eastAsia="ar-SA"/>
        </w:rPr>
        <w:t>p</w:t>
      </w:r>
      <w:r w:rsidRPr="00C57285">
        <w:rPr>
          <w:rFonts w:ascii="Arial" w:eastAsia="Times New Roman" w:hAnsi="Arial" w:cs="Arial"/>
          <w:kern w:val="1"/>
          <w:sz w:val="18"/>
          <w:szCs w:val="18"/>
          <w:lang w:eastAsia="ar-SA"/>
        </w:rPr>
        <w:t>ortabilidad son irrenunciables y que, entre éstos, se encuentra el derecho a obtener, en términos de las disposiciones legales y administrativas aplicables, el desbloqueo o el código de desbloqueo de sus equipos terminales para, en su caso, poder utilizarlos en la red del proveedor de servicios de telecomunicaciones al que porte su número.</w:t>
      </w:r>
    </w:p>
    <w:p w14:paraId="4AB5D376" w14:textId="77777777" w:rsidR="00D06A6B" w:rsidRPr="00C57285" w:rsidRDefault="00D06A6B" w:rsidP="00302699">
      <w:pPr>
        <w:suppressAutoHyphens/>
        <w:spacing w:after="0"/>
        <w:ind w:right="49"/>
        <w:contextualSpacing/>
        <w:mirrorIndents/>
        <w:jc w:val="both"/>
        <w:rPr>
          <w:rFonts w:ascii="Arial" w:eastAsia="Times New Roman" w:hAnsi="Arial" w:cs="Arial"/>
          <w:bCs/>
          <w:kern w:val="1"/>
          <w:sz w:val="18"/>
          <w:szCs w:val="18"/>
          <w:lang w:eastAsia="ar-SA"/>
        </w:rPr>
      </w:pPr>
    </w:p>
    <w:p w14:paraId="51EED75B" w14:textId="53104439" w:rsidR="00912BC2" w:rsidRPr="00C57285" w:rsidRDefault="00D016AB" w:rsidP="00302699">
      <w:pPr>
        <w:spacing w:after="0"/>
        <w:contextualSpacing/>
        <w:mirrorIndents/>
        <w:jc w:val="both"/>
        <w:rPr>
          <w:rFonts w:ascii="Arial" w:eastAsia="Times New Roman" w:hAnsi="Arial" w:cs="Arial"/>
          <w:kern w:val="1"/>
          <w:sz w:val="18"/>
          <w:szCs w:val="18"/>
          <w:lang w:eastAsia="ar-SA"/>
        </w:rPr>
      </w:pPr>
      <w:r w:rsidRPr="00C57285">
        <w:rPr>
          <w:rFonts w:ascii="Arial" w:eastAsia="Times New Roman" w:hAnsi="Arial" w:cs="Arial"/>
          <w:kern w:val="1"/>
          <w:sz w:val="18"/>
          <w:szCs w:val="18"/>
          <w:lang w:eastAsia="ar-SA"/>
        </w:rPr>
        <w:t xml:space="preserve">Adicionalmente, el Instituto al emitir la regulación asimétrica </w:t>
      </w:r>
      <w:r w:rsidR="005500B7" w:rsidRPr="00C57285">
        <w:rPr>
          <w:rFonts w:ascii="Arial" w:eastAsia="Times New Roman" w:hAnsi="Arial" w:cs="Arial"/>
          <w:kern w:val="1"/>
          <w:sz w:val="18"/>
          <w:szCs w:val="18"/>
          <w:lang w:eastAsia="ar-SA"/>
        </w:rPr>
        <w:t>aplicable</w:t>
      </w:r>
      <w:r w:rsidRPr="00C57285">
        <w:rPr>
          <w:rFonts w:ascii="Arial" w:eastAsia="Times New Roman" w:hAnsi="Arial" w:cs="Arial"/>
          <w:kern w:val="1"/>
          <w:sz w:val="18"/>
          <w:szCs w:val="18"/>
          <w:lang w:eastAsia="ar-SA"/>
        </w:rPr>
        <w:t xml:space="preserve"> </w:t>
      </w:r>
      <w:r w:rsidR="005500B7" w:rsidRPr="00C57285">
        <w:rPr>
          <w:rFonts w:ascii="Arial" w:eastAsia="Times New Roman" w:hAnsi="Arial" w:cs="Arial"/>
          <w:kern w:val="1"/>
          <w:sz w:val="18"/>
          <w:szCs w:val="18"/>
          <w:lang w:eastAsia="ar-SA"/>
        </w:rPr>
        <w:t>a</w:t>
      </w:r>
      <w:r w:rsidRPr="00C57285">
        <w:rPr>
          <w:rFonts w:ascii="Arial" w:eastAsia="Times New Roman" w:hAnsi="Arial" w:cs="Arial"/>
          <w:kern w:val="1"/>
          <w:sz w:val="18"/>
          <w:szCs w:val="18"/>
          <w:lang w:eastAsia="ar-SA"/>
        </w:rPr>
        <w:t>l Agente Económico Preponderante en</w:t>
      </w:r>
      <w:r w:rsidR="005500B7" w:rsidRPr="00C57285">
        <w:rPr>
          <w:rFonts w:ascii="Arial" w:eastAsia="Times New Roman" w:hAnsi="Arial" w:cs="Arial"/>
          <w:kern w:val="1"/>
          <w:sz w:val="18"/>
          <w:szCs w:val="18"/>
          <w:lang w:eastAsia="ar-SA"/>
        </w:rPr>
        <w:t xml:space="preserve"> el sector de las</w:t>
      </w:r>
      <w:r w:rsidRPr="00C57285">
        <w:rPr>
          <w:rFonts w:ascii="Arial" w:eastAsia="Times New Roman" w:hAnsi="Arial" w:cs="Arial"/>
          <w:kern w:val="1"/>
          <w:sz w:val="18"/>
          <w:szCs w:val="18"/>
          <w:lang w:eastAsia="ar-SA"/>
        </w:rPr>
        <w:t xml:space="preserve"> Telecomunicaciones</w:t>
      </w:r>
      <w:r w:rsidR="005500B7" w:rsidRPr="00C57285">
        <w:rPr>
          <w:rFonts w:ascii="Arial" w:eastAsia="Times New Roman" w:hAnsi="Arial" w:cs="Arial"/>
          <w:kern w:val="1"/>
          <w:sz w:val="18"/>
          <w:szCs w:val="18"/>
          <w:lang w:eastAsia="ar-SA"/>
        </w:rPr>
        <w:t>, estableció</w:t>
      </w:r>
      <w:r w:rsidRPr="00C57285">
        <w:rPr>
          <w:rFonts w:ascii="Arial" w:eastAsia="Times New Roman" w:hAnsi="Arial" w:cs="Arial"/>
          <w:kern w:val="1"/>
          <w:sz w:val="18"/>
          <w:szCs w:val="18"/>
          <w:lang w:eastAsia="ar-SA"/>
        </w:rPr>
        <w:t xml:space="preserve"> obligaciones específicas </w:t>
      </w:r>
      <w:r w:rsidR="0017321D" w:rsidRPr="00C57285">
        <w:rPr>
          <w:rFonts w:ascii="Arial" w:eastAsia="Times New Roman" w:hAnsi="Arial" w:cs="Arial"/>
          <w:kern w:val="1"/>
          <w:sz w:val="18"/>
          <w:szCs w:val="18"/>
          <w:lang w:eastAsia="ar-SA"/>
        </w:rPr>
        <w:t>para el</w:t>
      </w:r>
      <w:r w:rsidRPr="00C57285">
        <w:rPr>
          <w:rFonts w:ascii="Arial" w:eastAsia="Times New Roman" w:hAnsi="Arial" w:cs="Arial"/>
          <w:kern w:val="1"/>
          <w:sz w:val="18"/>
          <w:szCs w:val="18"/>
          <w:lang w:eastAsia="ar-SA"/>
        </w:rPr>
        <w:t xml:space="preserve"> desbloqueo de equipos móviles</w:t>
      </w:r>
      <w:r w:rsidR="00B54A6B" w:rsidRPr="00C57285">
        <w:rPr>
          <w:rFonts w:ascii="Arial" w:eastAsia="Times New Roman" w:hAnsi="Arial" w:cs="Arial"/>
          <w:kern w:val="1"/>
          <w:sz w:val="18"/>
          <w:szCs w:val="18"/>
          <w:lang w:eastAsia="ar-SA"/>
        </w:rPr>
        <w:t xml:space="preserve"> como su </w:t>
      </w:r>
      <w:r w:rsidR="00912BC2" w:rsidRPr="00C57285">
        <w:rPr>
          <w:rFonts w:ascii="Arial" w:eastAsia="Times New Roman" w:hAnsi="Arial" w:cs="Arial"/>
          <w:kern w:val="1"/>
          <w:sz w:val="18"/>
          <w:szCs w:val="18"/>
          <w:lang w:eastAsia="ar-SA"/>
        </w:rPr>
        <w:t>obliga</w:t>
      </w:r>
      <w:r w:rsidR="00B54A6B" w:rsidRPr="00C57285">
        <w:rPr>
          <w:rFonts w:ascii="Arial" w:eastAsia="Times New Roman" w:hAnsi="Arial" w:cs="Arial"/>
          <w:kern w:val="1"/>
          <w:sz w:val="18"/>
          <w:szCs w:val="18"/>
          <w:lang w:eastAsia="ar-SA"/>
        </w:rPr>
        <w:t>ción</w:t>
      </w:r>
      <w:r w:rsidR="00912BC2" w:rsidRPr="00C57285">
        <w:rPr>
          <w:rFonts w:ascii="Arial" w:eastAsia="Times New Roman" w:hAnsi="Arial" w:cs="Arial"/>
          <w:kern w:val="1"/>
          <w:sz w:val="18"/>
          <w:szCs w:val="18"/>
          <w:lang w:eastAsia="ar-SA"/>
        </w:rPr>
        <w:t xml:space="preserve"> a desbloquear sin costo alguno,</w:t>
      </w:r>
      <w:r w:rsidR="00AD617A" w:rsidRPr="00C57285">
        <w:rPr>
          <w:rFonts w:ascii="Arial" w:eastAsia="Times New Roman" w:hAnsi="Arial" w:cs="Arial"/>
          <w:kern w:val="1"/>
          <w:sz w:val="18"/>
          <w:szCs w:val="18"/>
          <w:lang w:eastAsia="ar-SA"/>
        </w:rPr>
        <w:t xml:space="preserve"> especificando que para el caso de suscriptores en el esquema de pospago, el desbloqueo se realizaría</w:t>
      </w:r>
      <w:r w:rsidR="00912BC2" w:rsidRPr="00C57285">
        <w:rPr>
          <w:rFonts w:ascii="Arial" w:eastAsia="Times New Roman" w:hAnsi="Arial" w:cs="Arial"/>
          <w:kern w:val="1"/>
          <w:sz w:val="18"/>
          <w:szCs w:val="18"/>
          <w:lang w:eastAsia="ar-SA"/>
        </w:rPr>
        <w:t xml:space="preserve"> una vez vencido el plazo contratado, bajo condiciones de terminación anticipada del contrato del servicio de telecomunicaciones y al momento de adquisición del equipo correspondiente si </w:t>
      </w:r>
      <w:r w:rsidR="00417BFB" w:rsidRPr="00C57285">
        <w:rPr>
          <w:rFonts w:ascii="Arial" w:eastAsia="Times New Roman" w:hAnsi="Arial" w:cs="Arial"/>
          <w:kern w:val="1"/>
          <w:sz w:val="18"/>
          <w:szCs w:val="18"/>
          <w:lang w:eastAsia="ar-SA"/>
        </w:rPr>
        <w:t>é</w:t>
      </w:r>
      <w:r w:rsidR="00912BC2" w:rsidRPr="00C57285">
        <w:rPr>
          <w:rFonts w:ascii="Arial" w:eastAsia="Times New Roman" w:hAnsi="Arial" w:cs="Arial"/>
          <w:kern w:val="1"/>
          <w:sz w:val="18"/>
          <w:szCs w:val="18"/>
          <w:lang w:eastAsia="ar-SA"/>
        </w:rPr>
        <w:t>ste ha sido pagado en su totalidad. Para el caso de suscriptores en el esquema de prepago, lo</w:t>
      </w:r>
      <w:r w:rsidR="00CE4F7E" w:rsidRPr="00C57285">
        <w:rPr>
          <w:rFonts w:ascii="Arial" w:eastAsia="Times New Roman" w:hAnsi="Arial" w:cs="Arial"/>
          <w:kern w:val="1"/>
          <w:sz w:val="18"/>
          <w:szCs w:val="18"/>
          <w:lang w:eastAsia="ar-SA"/>
        </w:rPr>
        <w:t>s</w:t>
      </w:r>
      <w:r w:rsidR="00912BC2" w:rsidRPr="00C57285">
        <w:rPr>
          <w:rFonts w:ascii="Arial" w:eastAsia="Times New Roman" w:hAnsi="Arial" w:cs="Arial"/>
          <w:kern w:val="1"/>
          <w:sz w:val="18"/>
          <w:szCs w:val="18"/>
          <w:lang w:eastAsia="ar-SA"/>
        </w:rPr>
        <w:t xml:space="preserve"> equipos debe</w:t>
      </w:r>
      <w:r w:rsidR="008A5F86" w:rsidRPr="00C57285">
        <w:rPr>
          <w:rFonts w:ascii="Arial" w:eastAsia="Times New Roman" w:hAnsi="Arial" w:cs="Arial"/>
          <w:kern w:val="1"/>
          <w:sz w:val="18"/>
          <w:szCs w:val="18"/>
          <w:lang w:eastAsia="ar-SA"/>
        </w:rPr>
        <w:t>n encontrarse desbloqueados.</w:t>
      </w:r>
    </w:p>
    <w:p w14:paraId="3D378529" w14:textId="77777777" w:rsidR="00912BC2" w:rsidRPr="00C57285" w:rsidRDefault="00912BC2" w:rsidP="00302699">
      <w:pPr>
        <w:spacing w:after="0"/>
        <w:contextualSpacing/>
        <w:mirrorIndents/>
        <w:jc w:val="both"/>
        <w:rPr>
          <w:rFonts w:ascii="Arial" w:eastAsia="Times New Roman" w:hAnsi="Arial" w:cs="Arial"/>
          <w:kern w:val="1"/>
          <w:sz w:val="18"/>
          <w:szCs w:val="18"/>
          <w:lang w:eastAsia="ar-SA"/>
        </w:rPr>
      </w:pPr>
    </w:p>
    <w:p w14:paraId="0D9C9F74" w14:textId="41F74AFA" w:rsidR="00453EB7" w:rsidRPr="00C57285" w:rsidRDefault="005D695F" w:rsidP="00302699">
      <w:pPr>
        <w:spacing w:after="0"/>
        <w:contextualSpacing/>
        <w:mirrorIndents/>
        <w:jc w:val="both"/>
        <w:rPr>
          <w:rFonts w:ascii="Arial" w:hAnsi="Arial" w:cs="Arial"/>
          <w:bCs/>
          <w:kern w:val="1"/>
          <w:sz w:val="18"/>
          <w:szCs w:val="18"/>
          <w:lang w:eastAsia="ar-SA"/>
        </w:rPr>
      </w:pPr>
      <w:r w:rsidRPr="00C57285">
        <w:rPr>
          <w:rFonts w:ascii="Arial" w:hAnsi="Arial" w:cs="Arial"/>
          <w:bCs/>
          <w:kern w:val="1"/>
          <w:sz w:val="18"/>
          <w:szCs w:val="18"/>
          <w:lang w:eastAsia="ar-SA"/>
        </w:rPr>
        <w:t>Por otra parte, la norma oficial mexicana NOM-184-SCFI-2018 establece la obligación de los proveedores de servicios de telecomunicaciones de contar con un mecanismo que les permita proporcionar a los consumidores la información necesaria para realizar el desbloqueo</w:t>
      </w:r>
      <w:r w:rsidR="00F83C09" w:rsidRPr="00C57285">
        <w:rPr>
          <w:rFonts w:ascii="Arial" w:hAnsi="Arial" w:cs="Arial"/>
          <w:bCs/>
          <w:kern w:val="1"/>
          <w:sz w:val="18"/>
          <w:szCs w:val="18"/>
          <w:lang w:eastAsia="ar-SA"/>
        </w:rPr>
        <w:t xml:space="preserve">, previendo el desbloqueo de los equipos terminales móviles bajo el </w:t>
      </w:r>
      <w:r w:rsidR="00453EB7" w:rsidRPr="00C57285">
        <w:rPr>
          <w:rFonts w:ascii="Arial" w:hAnsi="Arial" w:cs="Arial"/>
          <w:bCs/>
          <w:kern w:val="1"/>
          <w:sz w:val="18"/>
          <w:szCs w:val="18"/>
          <w:lang w:eastAsia="ar-SA"/>
        </w:rPr>
        <w:t>esquema de prepago</w:t>
      </w:r>
      <w:r w:rsidR="005240AF">
        <w:rPr>
          <w:rFonts w:ascii="Arial" w:hAnsi="Arial" w:cs="Arial"/>
          <w:bCs/>
          <w:kern w:val="1"/>
          <w:sz w:val="18"/>
          <w:szCs w:val="18"/>
          <w:lang w:eastAsia="ar-SA"/>
        </w:rPr>
        <w:t xml:space="preserve"> en un plazo máximo de 24 horas a partir de la solicitud del usuario</w:t>
      </w:r>
      <w:r w:rsidR="00F83C09" w:rsidRPr="00C57285">
        <w:rPr>
          <w:rFonts w:ascii="Arial" w:hAnsi="Arial" w:cs="Arial"/>
          <w:bCs/>
          <w:kern w:val="1"/>
          <w:sz w:val="18"/>
          <w:szCs w:val="18"/>
          <w:lang w:eastAsia="ar-SA"/>
        </w:rPr>
        <w:t>,</w:t>
      </w:r>
      <w:r w:rsidR="00453EB7" w:rsidRPr="00C57285">
        <w:rPr>
          <w:rFonts w:ascii="Arial" w:hAnsi="Arial" w:cs="Arial"/>
          <w:bCs/>
          <w:kern w:val="1"/>
          <w:sz w:val="18"/>
          <w:szCs w:val="18"/>
          <w:lang w:eastAsia="ar-SA"/>
        </w:rPr>
        <w:t xml:space="preserve"> y </w:t>
      </w:r>
      <w:r w:rsidR="00F83C09" w:rsidRPr="00C57285">
        <w:rPr>
          <w:rFonts w:ascii="Arial" w:hAnsi="Arial" w:cs="Arial"/>
          <w:bCs/>
          <w:kern w:val="1"/>
          <w:sz w:val="18"/>
          <w:szCs w:val="18"/>
          <w:lang w:eastAsia="ar-SA"/>
        </w:rPr>
        <w:t xml:space="preserve">para el caso de equipos terminales móviles </w:t>
      </w:r>
      <w:r w:rsidR="00453EB7" w:rsidRPr="00C57285">
        <w:rPr>
          <w:rFonts w:ascii="Arial" w:hAnsi="Arial" w:cs="Arial"/>
          <w:bCs/>
          <w:kern w:val="1"/>
          <w:sz w:val="18"/>
          <w:szCs w:val="18"/>
          <w:lang w:eastAsia="ar-SA"/>
        </w:rPr>
        <w:t>pospago</w:t>
      </w:r>
      <w:r w:rsidR="00F83C09" w:rsidRPr="00C57285">
        <w:rPr>
          <w:rFonts w:ascii="Arial" w:hAnsi="Arial" w:cs="Arial"/>
          <w:bCs/>
          <w:kern w:val="1"/>
          <w:sz w:val="18"/>
          <w:szCs w:val="18"/>
          <w:lang w:eastAsia="ar-SA"/>
        </w:rPr>
        <w:t>,</w:t>
      </w:r>
      <w:r w:rsidR="00EE494A" w:rsidRPr="00C57285">
        <w:rPr>
          <w:rFonts w:ascii="Arial" w:hAnsi="Arial" w:cs="Arial"/>
          <w:bCs/>
          <w:kern w:val="1"/>
          <w:sz w:val="18"/>
          <w:szCs w:val="18"/>
          <w:lang w:eastAsia="ar-SA"/>
        </w:rPr>
        <w:t xml:space="preserve"> </w:t>
      </w:r>
      <w:r w:rsidR="005240AF">
        <w:rPr>
          <w:rFonts w:ascii="Arial" w:hAnsi="Arial" w:cs="Arial"/>
          <w:bCs/>
          <w:kern w:val="1"/>
          <w:sz w:val="18"/>
          <w:szCs w:val="18"/>
          <w:lang w:eastAsia="ar-SA"/>
        </w:rPr>
        <w:t xml:space="preserve">en un plazo de máximo de 24 horas, </w:t>
      </w:r>
      <w:r w:rsidR="00EE494A" w:rsidRPr="00C57285">
        <w:rPr>
          <w:rFonts w:ascii="Arial" w:hAnsi="Arial" w:cs="Arial"/>
          <w:bCs/>
          <w:kern w:val="1"/>
          <w:sz w:val="18"/>
          <w:szCs w:val="18"/>
          <w:lang w:eastAsia="ar-SA"/>
        </w:rPr>
        <w:t xml:space="preserve">cuando </w:t>
      </w:r>
      <w:r w:rsidR="00F83C09" w:rsidRPr="00C57285">
        <w:rPr>
          <w:rFonts w:ascii="Arial" w:hAnsi="Arial" w:cs="Arial"/>
          <w:bCs/>
          <w:kern w:val="1"/>
          <w:sz w:val="18"/>
          <w:szCs w:val="18"/>
          <w:lang w:eastAsia="ar-SA"/>
        </w:rPr>
        <w:t xml:space="preserve">éstos </w:t>
      </w:r>
      <w:r w:rsidR="00EE494A" w:rsidRPr="00C57285">
        <w:rPr>
          <w:rFonts w:ascii="Arial" w:hAnsi="Arial" w:cs="Arial"/>
          <w:bCs/>
          <w:kern w:val="1"/>
          <w:sz w:val="18"/>
          <w:szCs w:val="18"/>
          <w:lang w:eastAsia="ar-SA"/>
        </w:rPr>
        <w:t>haya</w:t>
      </w:r>
      <w:r w:rsidR="00F83C09" w:rsidRPr="00C57285">
        <w:rPr>
          <w:rFonts w:ascii="Arial" w:hAnsi="Arial" w:cs="Arial"/>
          <w:bCs/>
          <w:kern w:val="1"/>
          <w:sz w:val="18"/>
          <w:szCs w:val="18"/>
          <w:lang w:eastAsia="ar-SA"/>
        </w:rPr>
        <w:t>n</w:t>
      </w:r>
      <w:r w:rsidR="00EE494A" w:rsidRPr="00C57285">
        <w:rPr>
          <w:rFonts w:ascii="Arial" w:hAnsi="Arial" w:cs="Arial"/>
          <w:bCs/>
          <w:kern w:val="1"/>
          <w:sz w:val="18"/>
          <w:szCs w:val="18"/>
          <w:lang w:eastAsia="ar-SA"/>
        </w:rPr>
        <w:t> sido pagado</w:t>
      </w:r>
      <w:r w:rsidR="0015002D" w:rsidRPr="00C57285">
        <w:rPr>
          <w:rFonts w:ascii="Arial" w:hAnsi="Arial" w:cs="Arial"/>
          <w:bCs/>
          <w:kern w:val="1"/>
          <w:sz w:val="18"/>
          <w:szCs w:val="18"/>
          <w:lang w:eastAsia="ar-SA"/>
        </w:rPr>
        <w:t>s</w:t>
      </w:r>
      <w:r w:rsidR="00EE494A" w:rsidRPr="00C57285">
        <w:rPr>
          <w:rFonts w:ascii="Arial" w:hAnsi="Arial" w:cs="Arial"/>
          <w:bCs/>
          <w:kern w:val="1"/>
          <w:sz w:val="18"/>
          <w:szCs w:val="18"/>
          <w:lang w:eastAsia="ar-SA"/>
        </w:rPr>
        <w:t xml:space="preserve"> de contado, concluido su </w:t>
      </w:r>
      <w:r w:rsidR="00EE494A" w:rsidRPr="00C57285">
        <w:rPr>
          <w:rFonts w:ascii="Arial" w:hAnsi="Arial" w:cs="Arial"/>
          <w:bCs/>
          <w:kern w:val="1"/>
          <w:sz w:val="18"/>
          <w:szCs w:val="18"/>
          <w:lang w:eastAsia="ar-SA"/>
        </w:rPr>
        <w:lastRenderedPageBreak/>
        <w:t xml:space="preserve">plazo forzoso o se haya realizado </w:t>
      </w:r>
      <w:r w:rsidR="00F83C09" w:rsidRPr="00C57285">
        <w:rPr>
          <w:rFonts w:ascii="Arial" w:hAnsi="Arial" w:cs="Arial"/>
          <w:bCs/>
          <w:kern w:val="1"/>
          <w:sz w:val="18"/>
          <w:szCs w:val="18"/>
          <w:lang w:eastAsia="ar-SA"/>
        </w:rPr>
        <w:t>su</w:t>
      </w:r>
      <w:r w:rsidR="00EE494A" w:rsidRPr="00C57285">
        <w:rPr>
          <w:rFonts w:ascii="Arial" w:hAnsi="Arial" w:cs="Arial"/>
          <w:bCs/>
          <w:kern w:val="1"/>
          <w:sz w:val="18"/>
          <w:szCs w:val="18"/>
          <w:lang w:eastAsia="ar-SA"/>
        </w:rPr>
        <w:t xml:space="preserve"> liquidación anticipada</w:t>
      </w:r>
      <w:r w:rsidR="005240AF">
        <w:rPr>
          <w:rFonts w:ascii="Arial" w:hAnsi="Arial" w:cs="Arial"/>
          <w:bCs/>
          <w:kern w:val="1"/>
          <w:sz w:val="18"/>
          <w:szCs w:val="18"/>
          <w:lang w:eastAsia="ar-SA"/>
        </w:rPr>
        <w:t xml:space="preserve">, </w:t>
      </w:r>
      <w:r w:rsidR="005240AF" w:rsidRPr="00B96CAF">
        <w:rPr>
          <w:rFonts w:ascii="Arial" w:hAnsi="Arial" w:cs="Arial"/>
          <w:bCs/>
          <w:kern w:val="1"/>
          <w:sz w:val="18"/>
          <w:szCs w:val="18"/>
          <w:lang w:eastAsia="ar-SA"/>
        </w:rPr>
        <w:t>siempre y cuando la solicitud se haya realizado en un día y horario hábil</w:t>
      </w:r>
      <w:r w:rsidRPr="00C57285">
        <w:rPr>
          <w:rFonts w:ascii="Arial" w:hAnsi="Arial" w:cs="Arial"/>
          <w:bCs/>
          <w:kern w:val="1"/>
          <w:sz w:val="18"/>
          <w:szCs w:val="18"/>
          <w:lang w:eastAsia="ar-SA"/>
        </w:rPr>
        <w:t>.</w:t>
      </w:r>
    </w:p>
    <w:p w14:paraId="4E8052D2" w14:textId="2BF62CD7" w:rsidR="00175AA8" w:rsidRPr="00C57285" w:rsidRDefault="00175AA8" w:rsidP="00302699">
      <w:pPr>
        <w:spacing w:after="0"/>
        <w:contextualSpacing/>
        <w:mirrorIndents/>
        <w:jc w:val="both"/>
        <w:rPr>
          <w:rFonts w:ascii="Arial" w:hAnsi="Arial" w:cs="Arial"/>
          <w:bCs/>
          <w:kern w:val="1"/>
          <w:sz w:val="18"/>
          <w:szCs w:val="18"/>
          <w:lang w:eastAsia="ar-SA"/>
        </w:rPr>
      </w:pPr>
    </w:p>
    <w:p w14:paraId="61FC876E" w14:textId="1DEA90FD" w:rsidR="00DE229E" w:rsidRPr="00C57285" w:rsidRDefault="00113C4B" w:rsidP="00302699">
      <w:pPr>
        <w:spacing w:after="0"/>
        <w:contextualSpacing/>
        <w:mirrorIndents/>
        <w:jc w:val="both"/>
        <w:rPr>
          <w:rFonts w:eastAsiaTheme="minorEastAsia" w:cs="Arial"/>
          <w:sz w:val="18"/>
          <w:szCs w:val="18"/>
        </w:rPr>
      </w:pPr>
      <w:r w:rsidRPr="00C57285">
        <w:rPr>
          <w:rFonts w:ascii="Arial" w:hAnsi="Arial" w:cs="Arial"/>
          <w:bCs/>
          <w:kern w:val="1"/>
          <w:sz w:val="18"/>
          <w:szCs w:val="18"/>
          <w:lang w:eastAsia="ar-SA"/>
        </w:rPr>
        <w:t xml:space="preserve">De lo que se sigue que, una vez liquidado el costo del equipo ante el proveedor de servicios </w:t>
      </w:r>
      <w:r w:rsidR="00C445D2">
        <w:rPr>
          <w:rFonts w:ascii="Arial" w:hAnsi="Arial" w:cs="Arial"/>
          <w:bCs/>
          <w:kern w:val="1"/>
          <w:sz w:val="18"/>
          <w:szCs w:val="18"/>
          <w:lang w:eastAsia="ar-SA"/>
        </w:rPr>
        <w:t xml:space="preserve">de </w:t>
      </w:r>
      <w:r w:rsidRPr="00C57285">
        <w:rPr>
          <w:rFonts w:ascii="Arial" w:hAnsi="Arial" w:cs="Arial"/>
          <w:bCs/>
          <w:kern w:val="1"/>
          <w:sz w:val="18"/>
          <w:szCs w:val="18"/>
          <w:lang w:eastAsia="ar-SA"/>
        </w:rPr>
        <w:t>telecomunicaciones, con independencia del esquema de contratación de los servicios y de su continuidad, el usuario es el propietario del equipo terminal móvil y debe disponer del mismo para su uso en cualquier red móvil de telecomunicaciones técnicamente compatible, considerando</w:t>
      </w:r>
      <w:r w:rsidR="003A1E43" w:rsidRPr="00C57285">
        <w:rPr>
          <w:rFonts w:ascii="Arial" w:hAnsi="Arial" w:cs="Arial"/>
          <w:bCs/>
          <w:kern w:val="1"/>
          <w:sz w:val="18"/>
          <w:szCs w:val="18"/>
          <w:lang w:eastAsia="ar-SA"/>
        </w:rPr>
        <w:t xml:space="preserve"> que los equipos terminales móviles son elementos independientes de las redes públicas de telecomunicaciones y de los servicios prestados a través de éstas</w:t>
      </w:r>
      <w:r w:rsidRPr="00C57285">
        <w:rPr>
          <w:rFonts w:ascii="Arial" w:hAnsi="Arial" w:cs="Arial"/>
          <w:bCs/>
          <w:kern w:val="1"/>
          <w:sz w:val="18"/>
          <w:szCs w:val="18"/>
          <w:lang w:eastAsia="ar-SA"/>
        </w:rPr>
        <w:t>.</w:t>
      </w:r>
      <w:r w:rsidR="00E151C5" w:rsidRPr="00C57285">
        <w:rPr>
          <w:rFonts w:ascii="Arial" w:hAnsi="Arial" w:cs="Arial"/>
          <w:bCs/>
          <w:kern w:val="1"/>
          <w:sz w:val="18"/>
          <w:szCs w:val="18"/>
          <w:lang w:eastAsia="ar-SA"/>
        </w:rPr>
        <w:t xml:space="preserve"> </w:t>
      </w:r>
      <w:r w:rsidR="006A47B1" w:rsidRPr="00C57285">
        <w:rPr>
          <w:rFonts w:ascii="Arial" w:hAnsi="Arial" w:cs="Arial"/>
          <w:bCs/>
          <w:kern w:val="1"/>
          <w:sz w:val="18"/>
          <w:szCs w:val="18"/>
          <w:lang w:eastAsia="ar-SA"/>
        </w:rPr>
        <w:t>Por lo que</w:t>
      </w:r>
      <w:r w:rsidR="00D35FB5" w:rsidRPr="00C57285">
        <w:rPr>
          <w:rFonts w:ascii="Arial" w:hAnsi="Arial" w:cs="Arial"/>
          <w:bCs/>
          <w:kern w:val="1"/>
          <w:sz w:val="18"/>
          <w:szCs w:val="18"/>
          <w:lang w:eastAsia="ar-SA"/>
        </w:rPr>
        <w:t xml:space="preserve"> </w:t>
      </w:r>
      <w:r w:rsidRPr="00C57285">
        <w:rPr>
          <w:rFonts w:ascii="Arial" w:hAnsi="Arial" w:cs="Arial"/>
          <w:bCs/>
          <w:kern w:val="1"/>
          <w:sz w:val="18"/>
          <w:szCs w:val="18"/>
          <w:lang w:eastAsia="ar-SA"/>
        </w:rPr>
        <w:t>una vez que el equipo terminal móvil ha sido liquidado en su totalidad se debe garantizar</w:t>
      </w:r>
      <w:r w:rsidR="00BE0B61">
        <w:rPr>
          <w:rFonts w:ascii="Arial" w:hAnsi="Arial" w:cs="Arial"/>
          <w:bCs/>
          <w:kern w:val="1"/>
          <w:sz w:val="18"/>
          <w:szCs w:val="18"/>
          <w:lang w:eastAsia="ar-SA"/>
        </w:rPr>
        <w:t xml:space="preserve"> </w:t>
      </w:r>
      <w:r w:rsidR="00833221">
        <w:rPr>
          <w:rFonts w:ascii="Arial" w:hAnsi="Arial" w:cs="Arial"/>
          <w:bCs/>
          <w:kern w:val="1"/>
          <w:sz w:val="18"/>
          <w:szCs w:val="18"/>
          <w:lang w:eastAsia="ar-SA"/>
        </w:rPr>
        <w:t>el cumplimiento de</w:t>
      </w:r>
      <w:r w:rsidR="00C97CC3">
        <w:rPr>
          <w:rFonts w:ascii="Arial" w:hAnsi="Arial" w:cs="Arial"/>
          <w:bCs/>
          <w:kern w:val="1"/>
          <w:sz w:val="18"/>
          <w:szCs w:val="18"/>
          <w:lang w:eastAsia="ar-SA"/>
        </w:rPr>
        <w:t xml:space="preserve"> </w:t>
      </w:r>
      <w:r w:rsidR="00BE0B61">
        <w:rPr>
          <w:rFonts w:ascii="Arial" w:hAnsi="Arial" w:cs="Arial"/>
          <w:bCs/>
          <w:kern w:val="1"/>
          <w:sz w:val="18"/>
          <w:szCs w:val="18"/>
          <w:lang w:eastAsia="ar-SA"/>
        </w:rPr>
        <w:t xml:space="preserve">los mecanismos </w:t>
      </w:r>
      <w:r w:rsidR="00C97CC3">
        <w:rPr>
          <w:rFonts w:ascii="Arial" w:hAnsi="Arial" w:cs="Arial"/>
          <w:bCs/>
          <w:kern w:val="1"/>
          <w:sz w:val="18"/>
          <w:szCs w:val="18"/>
          <w:lang w:eastAsia="ar-SA"/>
        </w:rPr>
        <w:t>que faciliten</w:t>
      </w:r>
      <w:r w:rsidRPr="00C57285">
        <w:rPr>
          <w:rFonts w:ascii="Arial" w:hAnsi="Arial" w:cs="Arial"/>
          <w:bCs/>
          <w:kern w:val="1"/>
          <w:sz w:val="18"/>
          <w:szCs w:val="18"/>
          <w:lang w:eastAsia="ar-SA"/>
        </w:rPr>
        <w:t xml:space="preserve"> </w:t>
      </w:r>
      <w:r w:rsidR="00BE0B61">
        <w:rPr>
          <w:rFonts w:ascii="Arial" w:hAnsi="Arial" w:cs="Arial"/>
          <w:bCs/>
          <w:kern w:val="1"/>
          <w:sz w:val="18"/>
          <w:szCs w:val="18"/>
          <w:lang w:eastAsia="ar-SA"/>
        </w:rPr>
        <w:t>el ejercicio d</w:t>
      </w:r>
      <w:r w:rsidR="00D35FB5" w:rsidRPr="00C57285">
        <w:rPr>
          <w:rFonts w:ascii="Arial" w:hAnsi="Arial" w:cs="Arial"/>
          <w:bCs/>
          <w:kern w:val="1"/>
          <w:sz w:val="18"/>
          <w:szCs w:val="18"/>
          <w:lang w:eastAsia="ar-SA"/>
        </w:rPr>
        <w:t xml:space="preserve">el </w:t>
      </w:r>
      <w:r w:rsidRPr="00C57285">
        <w:rPr>
          <w:rFonts w:ascii="Arial" w:hAnsi="Arial" w:cs="Arial"/>
          <w:bCs/>
          <w:kern w:val="1"/>
          <w:sz w:val="18"/>
          <w:szCs w:val="18"/>
          <w:lang w:eastAsia="ar-SA"/>
        </w:rPr>
        <w:t xml:space="preserve">derecho de los usuarios </w:t>
      </w:r>
      <w:r w:rsidR="00CF1566" w:rsidRPr="00C57285">
        <w:rPr>
          <w:rFonts w:ascii="Arial" w:hAnsi="Arial" w:cs="Arial"/>
          <w:bCs/>
          <w:kern w:val="1"/>
          <w:sz w:val="18"/>
          <w:szCs w:val="18"/>
          <w:lang w:eastAsia="ar-SA"/>
        </w:rPr>
        <w:t xml:space="preserve">al </w:t>
      </w:r>
      <w:r w:rsidR="00D35FB5" w:rsidRPr="00C57285">
        <w:rPr>
          <w:rFonts w:ascii="Arial" w:hAnsi="Arial" w:cs="Arial"/>
          <w:bCs/>
          <w:kern w:val="1"/>
          <w:sz w:val="18"/>
          <w:szCs w:val="18"/>
          <w:lang w:eastAsia="ar-SA"/>
        </w:rPr>
        <w:t xml:space="preserve">desbloqueo de </w:t>
      </w:r>
      <w:r w:rsidRPr="00C57285">
        <w:rPr>
          <w:rFonts w:ascii="Arial" w:hAnsi="Arial" w:cs="Arial"/>
          <w:bCs/>
          <w:kern w:val="1"/>
          <w:sz w:val="18"/>
          <w:szCs w:val="18"/>
          <w:lang w:eastAsia="ar-SA"/>
        </w:rPr>
        <w:t xml:space="preserve">sus </w:t>
      </w:r>
      <w:r w:rsidR="00D35FB5" w:rsidRPr="00C57285">
        <w:rPr>
          <w:rFonts w:ascii="Arial" w:hAnsi="Arial" w:cs="Arial"/>
          <w:bCs/>
          <w:kern w:val="1"/>
          <w:sz w:val="18"/>
          <w:szCs w:val="18"/>
          <w:lang w:eastAsia="ar-SA"/>
        </w:rPr>
        <w:t>equipos terminale</w:t>
      </w:r>
      <w:r w:rsidR="00E151C5" w:rsidRPr="00C57285">
        <w:rPr>
          <w:rFonts w:ascii="Arial" w:hAnsi="Arial" w:cs="Arial"/>
          <w:bCs/>
          <w:kern w:val="1"/>
          <w:sz w:val="18"/>
          <w:szCs w:val="18"/>
          <w:lang w:eastAsia="ar-SA"/>
        </w:rPr>
        <w:t>s.</w:t>
      </w:r>
      <w:r w:rsidR="00CF1566" w:rsidRPr="00C57285">
        <w:rPr>
          <w:rFonts w:ascii="Arial" w:hAnsi="Arial" w:cs="Arial"/>
          <w:bCs/>
          <w:kern w:val="1"/>
          <w:sz w:val="18"/>
          <w:szCs w:val="18"/>
          <w:lang w:eastAsia="ar-SA"/>
        </w:rPr>
        <w:t xml:space="preserve"> </w:t>
      </w:r>
    </w:p>
    <w:p w14:paraId="7FB49D7F" w14:textId="77777777" w:rsidR="001A37C2" w:rsidRPr="00C57285" w:rsidRDefault="001A37C2" w:rsidP="00302699">
      <w:pPr>
        <w:spacing w:after="0"/>
        <w:contextualSpacing/>
        <w:mirrorIndents/>
        <w:jc w:val="both"/>
        <w:rPr>
          <w:rFonts w:ascii="Arial" w:hAnsi="Arial" w:cs="Arial"/>
          <w:bCs/>
          <w:kern w:val="1"/>
          <w:sz w:val="18"/>
          <w:szCs w:val="18"/>
          <w:highlight w:val="yellow"/>
          <w:lang w:eastAsia="ar-SA"/>
        </w:rPr>
      </w:pPr>
    </w:p>
    <w:p w14:paraId="4DF4D2D8" w14:textId="46BFFC3C" w:rsidR="00CE2988" w:rsidRPr="00C57285" w:rsidRDefault="001A37C2" w:rsidP="00302699">
      <w:pPr>
        <w:spacing w:after="0"/>
        <w:contextualSpacing/>
        <w:mirrorIndents/>
        <w:jc w:val="both"/>
        <w:rPr>
          <w:rFonts w:ascii="Arial" w:hAnsi="Arial" w:cs="Arial"/>
          <w:bCs/>
          <w:kern w:val="1"/>
          <w:sz w:val="18"/>
          <w:szCs w:val="18"/>
          <w:highlight w:val="yellow"/>
          <w:lang w:eastAsia="ar-SA"/>
        </w:rPr>
      </w:pPr>
      <w:r w:rsidRPr="00C57285">
        <w:rPr>
          <w:rFonts w:ascii="Arial" w:hAnsi="Arial" w:cs="Arial"/>
          <w:bCs/>
          <w:kern w:val="1"/>
          <w:sz w:val="18"/>
          <w:szCs w:val="18"/>
          <w:lang w:eastAsia="ar-SA"/>
        </w:rPr>
        <w:t xml:space="preserve">Asimismo, </w:t>
      </w:r>
      <w:r w:rsidR="00D63DE5" w:rsidRPr="00C57285">
        <w:rPr>
          <w:rFonts w:ascii="Arial" w:hAnsi="Arial" w:cs="Arial"/>
          <w:bCs/>
          <w:kern w:val="1"/>
          <w:sz w:val="18"/>
          <w:szCs w:val="18"/>
          <w:lang w:eastAsia="ar-SA"/>
        </w:rPr>
        <w:t xml:space="preserve">desde la perspectiva técnica, </w:t>
      </w:r>
      <w:r w:rsidRPr="00C57285">
        <w:rPr>
          <w:rFonts w:ascii="Arial" w:hAnsi="Arial" w:cs="Arial"/>
          <w:bCs/>
          <w:kern w:val="1"/>
          <w:sz w:val="18"/>
          <w:szCs w:val="18"/>
          <w:lang w:eastAsia="ar-SA"/>
        </w:rPr>
        <w:t>el</w:t>
      </w:r>
      <w:r w:rsidR="00503494" w:rsidRPr="00C57285">
        <w:rPr>
          <w:rFonts w:ascii="Arial" w:hAnsi="Arial" w:cs="Arial"/>
          <w:bCs/>
          <w:kern w:val="1"/>
          <w:sz w:val="18"/>
          <w:szCs w:val="18"/>
          <w:lang w:eastAsia="ar-SA"/>
        </w:rPr>
        <w:t xml:space="preserve"> desbloqueo</w:t>
      </w:r>
      <w:r w:rsidRPr="00C57285">
        <w:rPr>
          <w:rFonts w:ascii="Arial" w:hAnsi="Arial" w:cs="Arial"/>
          <w:bCs/>
          <w:kern w:val="1"/>
          <w:sz w:val="18"/>
          <w:szCs w:val="18"/>
          <w:lang w:eastAsia="ar-SA"/>
        </w:rPr>
        <w:t xml:space="preserve"> </w:t>
      </w:r>
      <w:r w:rsidR="00503494" w:rsidRPr="00C57285">
        <w:rPr>
          <w:rFonts w:ascii="Arial" w:hAnsi="Arial" w:cs="Arial"/>
          <w:bCs/>
          <w:kern w:val="1"/>
          <w:sz w:val="18"/>
          <w:szCs w:val="18"/>
          <w:lang w:eastAsia="ar-SA"/>
        </w:rPr>
        <w:t>de un equipo terminal se refiere a</w:t>
      </w:r>
      <w:r w:rsidR="00D63DE5" w:rsidRPr="00C57285">
        <w:rPr>
          <w:rFonts w:ascii="Arial" w:hAnsi="Arial" w:cs="Arial"/>
          <w:bCs/>
          <w:kern w:val="1"/>
          <w:sz w:val="18"/>
          <w:szCs w:val="18"/>
          <w:lang w:eastAsia="ar-SA"/>
        </w:rPr>
        <w:t xml:space="preserve"> </w:t>
      </w:r>
      <w:r w:rsidR="00DD2F6B" w:rsidRPr="00C57285">
        <w:rPr>
          <w:rFonts w:ascii="Arial" w:hAnsi="Arial" w:cs="Arial"/>
          <w:bCs/>
          <w:kern w:val="1"/>
          <w:sz w:val="18"/>
          <w:szCs w:val="18"/>
          <w:lang w:eastAsia="ar-SA"/>
        </w:rPr>
        <w:t>la desactivación de</w:t>
      </w:r>
      <w:r w:rsidR="00503494" w:rsidRPr="00C57285">
        <w:rPr>
          <w:rFonts w:ascii="Arial" w:hAnsi="Arial" w:cs="Arial"/>
          <w:bCs/>
          <w:kern w:val="1"/>
          <w:sz w:val="18"/>
          <w:szCs w:val="18"/>
          <w:lang w:eastAsia="ar-SA"/>
        </w:rPr>
        <w:t xml:space="preserve"> </w:t>
      </w:r>
      <w:r w:rsidR="005463BE" w:rsidRPr="00C57285">
        <w:rPr>
          <w:rFonts w:ascii="Arial" w:hAnsi="Arial" w:cs="Arial"/>
          <w:bCs/>
          <w:kern w:val="1"/>
          <w:sz w:val="18"/>
          <w:szCs w:val="18"/>
          <w:lang w:eastAsia="ar-SA"/>
        </w:rPr>
        <w:t xml:space="preserve">las restricciones lógicas </w:t>
      </w:r>
      <w:r w:rsidR="00503494" w:rsidRPr="00C57285">
        <w:rPr>
          <w:rFonts w:ascii="Arial" w:hAnsi="Arial" w:cs="Arial"/>
          <w:bCs/>
          <w:kern w:val="1"/>
          <w:sz w:val="18"/>
          <w:szCs w:val="18"/>
          <w:lang w:eastAsia="ar-SA"/>
        </w:rPr>
        <w:t xml:space="preserve">que </w:t>
      </w:r>
      <w:r w:rsidR="005463BE" w:rsidRPr="00C57285">
        <w:rPr>
          <w:rFonts w:ascii="Arial" w:hAnsi="Arial" w:cs="Arial"/>
          <w:bCs/>
          <w:kern w:val="1"/>
          <w:sz w:val="18"/>
          <w:szCs w:val="18"/>
          <w:lang w:eastAsia="ar-SA"/>
        </w:rPr>
        <w:t xml:space="preserve">limitan que los equipos terminales móviles se conecten </w:t>
      </w:r>
      <w:r w:rsidR="00503494" w:rsidRPr="00C57285">
        <w:rPr>
          <w:rFonts w:ascii="Arial" w:hAnsi="Arial" w:cs="Arial"/>
          <w:bCs/>
          <w:kern w:val="1"/>
          <w:sz w:val="18"/>
          <w:szCs w:val="18"/>
          <w:lang w:eastAsia="ar-SA"/>
        </w:rPr>
        <w:t>a</w:t>
      </w:r>
      <w:r w:rsidR="005463BE" w:rsidRPr="00C57285">
        <w:rPr>
          <w:rFonts w:ascii="Arial" w:hAnsi="Arial" w:cs="Arial"/>
          <w:bCs/>
          <w:kern w:val="1"/>
          <w:sz w:val="18"/>
          <w:szCs w:val="18"/>
          <w:lang w:eastAsia="ar-SA"/>
        </w:rPr>
        <w:t xml:space="preserve"> la</w:t>
      </w:r>
      <w:r w:rsidR="00503494" w:rsidRPr="00C57285">
        <w:rPr>
          <w:rFonts w:ascii="Arial" w:hAnsi="Arial" w:cs="Arial"/>
          <w:bCs/>
          <w:kern w:val="1"/>
          <w:sz w:val="18"/>
          <w:szCs w:val="18"/>
          <w:lang w:eastAsia="ar-SA"/>
        </w:rPr>
        <w:t xml:space="preserve"> red </w:t>
      </w:r>
      <w:r w:rsidR="005463BE" w:rsidRPr="00C57285">
        <w:rPr>
          <w:rFonts w:ascii="Arial" w:hAnsi="Arial" w:cs="Arial"/>
          <w:bCs/>
          <w:kern w:val="1"/>
          <w:sz w:val="18"/>
          <w:szCs w:val="18"/>
          <w:lang w:eastAsia="ar-SA"/>
        </w:rPr>
        <w:t xml:space="preserve">de </w:t>
      </w:r>
      <w:r w:rsidR="005463BE" w:rsidRPr="00C57285">
        <w:rPr>
          <w:rFonts w:ascii="Arial" w:eastAsia="Times New Roman" w:hAnsi="Arial" w:cs="Arial"/>
          <w:bCs/>
          <w:kern w:val="1"/>
          <w:sz w:val="18"/>
          <w:szCs w:val="18"/>
          <w:lang w:eastAsia="ar-SA"/>
        </w:rPr>
        <w:t xml:space="preserve">otros concesionarios, </w:t>
      </w:r>
      <w:r w:rsidR="00DD2F6B" w:rsidRPr="00C57285">
        <w:rPr>
          <w:rFonts w:ascii="Arial" w:eastAsia="Times New Roman" w:hAnsi="Arial" w:cs="Arial"/>
          <w:bCs/>
          <w:kern w:val="1"/>
          <w:sz w:val="18"/>
          <w:szCs w:val="18"/>
          <w:lang w:eastAsia="ar-SA"/>
        </w:rPr>
        <w:t>aun</w:t>
      </w:r>
      <w:r w:rsidR="005463BE" w:rsidRPr="00C57285">
        <w:rPr>
          <w:rFonts w:ascii="Arial" w:eastAsia="Times New Roman" w:hAnsi="Arial" w:cs="Arial"/>
          <w:bCs/>
          <w:kern w:val="1"/>
          <w:sz w:val="18"/>
          <w:szCs w:val="18"/>
          <w:lang w:eastAsia="ar-SA"/>
        </w:rPr>
        <w:t xml:space="preserve"> cuando el </w:t>
      </w:r>
      <w:r w:rsidR="00DD2F6B" w:rsidRPr="00C57285">
        <w:rPr>
          <w:rFonts w:ascii="Arial" w:eastAsia="Times New Roman" w:hAnsi="Arial" w:cs="Arial"/>
          <w:bCs/>
          <w:kern w:val="1"/>
          <w:sz w:val="18"/>
          <w:szCs w:val="18"/>
          <w:lang w:eastAsia="ar-SA"/>
        </w:rPr>
        <w:t>equipo terminal</w:t>
      </w:r>
      <w:r w:rsidR="005463BE" w:rsidRPr="00C57285">
        <w:rPr>
          <w:rFonts w:ascii="Arial" w:eastAsia="Times New Roman" w:hAnsi="Arial" w:cs="Arial"/>
          <w:bCs/>
          <w:kern w:val="1"/>
          <w:sz w:val="18"/>
          <w:szCs w:val="18"/>
          <w:lang w:eastAsia="ar-SA"/>
        </w:rPr>
        <w:t xml:space="preserve"> sea </w:t>
      </w:r>
      <w:r w:rsidR="005463BE" w:rsidRPr="00C57285">
        <w:rPr>
          <w:rFonts w:ascii="Arial" w:hAnsi="Arial" w:cs="Arial"/>
          <w:bCs/>
          <w:kern w:val="1"/>
          <w:sz w:val="18"/>
          <w:szCs w:val="18"/>
          <w:lang w:eastAsia="ar-SA"/>
        </w:rPr>
        <w:t xml:space="preserve">técnicamente compatible. </w:t>
      </w:r>
      <w:r w:rsidR="00660BAA" w:rsidRPr="00C57285">
        <w:rPr>
          <w:rFonts w:ascii="Arial" w:hAnsi="Arial" w:cs="Arial"/>
          <w:bCs/>
          <w:kern w:val="1"/>
          <w:sz w:val="18"/>
          <w:szCs w:val="18"/>
          <w:lang w:eastAsia="ar-SA"/>
        </w:rPr>
        <w:t xml:space="preserve">El </w:t>
      </w:r>
      <w:r w:rsidR="00DD2F6B" w:rsidRPr="00C57285">
        <w:rPr>
          <w:rFonts w:ascii="Arial" w:hAnsi="Arial" w:cs="Arial"/>
          <w:bCs/>
          <w:kern w:val="1"/>
          <w:sz w:val="18"/>
          <w:szCs w:val="18"/>
          <w:lang w:eastAsia="ar-SA"/>
        </w:rPr>
        <w:t xml:space="preserve">tipo de </w:t>
      </w:r>
      <w:r w:rsidR="007B6B56" w:rsidRPr="00C57285">
        <w:rPr>
          <w:rFonts w:ascii="Arial" w:hAnsi="Arial" w:cs="Arial"/>
          <w:bCs/>
          <w:kern w:val="1"/>
          <w:sz w:val="18"/>
          <w:szCs w:val="18"/>
          <w:lang w:eastAsia="ar-SA"/>
        </w:rPr>
        <w:t>bloqueo,</w:t>
      </w:r>
      <w:r w:rsidR="00DD2F6B" w:rsidRPr="00C57285">
        <w:rPr>
          <w:rFonts w:ascii="Arial" w:hAnsi="Arial" w:cs="Arial"/>
          <w:bCs/>
          <w:kern w:val="1"/>
          <w:sz w:val="18"/>
          <w:szCs w:val="18"/>
          <w:lang w:eastAsia="ar-SA"/>
        </w:rPr>
        <w:t xml:space="preserve"> así como el </w:t>
      </w:r>
      <w:r w:rsidR="00660BAA" w:rsidRPr="00C57285">
        <w:rPr>
          <w:rFonts w:ascii="Arial" w:hAnsi="Arial" w:cs="Arial"/>
          <w:bCs/>
          <w:kern w:val="1"/>
          <w:sz w:val="18"/>
          <w:szCs w:val="18"/>
          <w:lang w:eastAsia="ar-SA"/>
        </w:rPr>
        <w:t xml:space="preserve">proceso </w:t>
      </w:r>
      <w:r w:rsidR="007B6B56" w:rsidRPr="00C57285">
        <w:rPr>
          <w:rFonts w:ascii="Arial" w:hAnsi="Arial" w:cs="Arial"/>
          <w:bCs/>
          <w:kern w:val="1"/>
          <w:sz w:val="18"/>
          <w:szCs w:val="18"/>
          <w:lang w:eastAsia="ar-SA"/>
        </w:rPr>
        <w:t xml:space="preserve">para su desactivación </w:t>
      </w:r>
      <w:r w:rsidR="005463BE" w:rsidRPr="00C57285">
        <w:rPr>
          <w:rFonts w:ascii="Arial" w:hAnsi="Arial" w:cs="Arial"/>
          <w:bCs/>
          <w:kern w:val="1"/>
          <w:sz w:val="18"/>
          <w:szCs w:val="18"/>
          <w:lang w:eastAsia="ar-SA"/>
        </w:rPr>
        <w:t>puede</w:t>
      </w:r>
      <w:r w:rsidR="00DD2F6B" w:rsidRPr="00C57285">
        <w:rPr>
          <w:rFonts w:ascii="Arial" w:hAnsi="Arial" w:cs="Arial"/>
          <w:bCs/>
          <w:kern w:val="1"/>
          <w:sz w:val="18"/>
          <w:szCs w:val="18"/>
          <w:lang w:eastAsia="ar-SA"/>
        </w:rPr>
        <w:t>n</w:t>
      </w:r>
      <w:r w:rsidR="005463BE" w:rsidRPr="00C57285">
        <w:rPr>
          <w:rFonts w:ascii="Arial" w:hAnsi="Arial" w:cs="Arial"/>
          <w:bCs/>
          <w:kern w:val="1"/>
          <w:sz w:val="18"/>
          <w:szCs w:val="18"/>
          <w:lang w:eastAsia="ar-SA"/>
        </w:rPr>
        <w:t xml:space="preserve"> </w:t>
      </w:r>
      <w:r w:rsidR="00660BAA" w:rsidRPr="00C57285">
        <w:rPr>
          <w:rFonts w:ascii="Arial" w:hAnsi="Arial" w:cs="Arial"/>
          <w:bCs/>
          <w:kern w:val="1"/>
          <w:sz w:val="18"/>
          <w:szCs w:val="18"/>
          <w:lang w:eastAsia="ar-SA"/>
        </w:rPr>
        <w:t>var</w:t>
      </w:r>
      <w:r w:rsidR="005463BE" w:rsidRPr="00C57285">
        <w:rPr>
          <w:rFonts w:ascii="Arial" w:hAnsi="Arial" w:cs="Arial"/>
          <w:bCs/>
          <w:kern w:val="1"/>
          <w:sz w:val="18"/>
          <w:szCs w:val="18"/>
          <w:lang w:eastAsia="ar-SA"/>
        </w:rPr>
        <w:t xml:space="preserve">iar </w:t>
      </w:r>
      <w:r w:rsidR="00DD2F6B" w:rsidRPr="00C57285">
        <w:rPr>
          <w:rFonts w:ascii="Arial" w:hAnsi="Arial" w:cs="Arial"/>
          <w:bCs/>
          <w:kern w:val="1"/>
          <w:sz w:val="18"/>
          <w:szCs w:val="18"/>
          <w:lang w:eastAsia="ar-SA"/>
        </w:rPr>
        <w:t>de acuerdo con el fabricante del</w:t>
      </w:r>
      <w:r w:rsidR="005463BE" w:rsidRPr="00C57285">
        <w:rPr>
          <w:rFonts w:ascii="Arial" w:hAnsi="Arial" w:cs="Arial"/>
          <w:bCs/>
          <w:kern w:val="1"/>
          <w:sz w:val="18"/>
          <w:szCs w:val="18"/>
          <w:lang w:eastAsia="ar-SA"/>
        </w:rPr>
        <w:t xml:space="preserve"> equipo </w:t>
      </w:r>
      <w:r w:rsidR="00DD2F6B" w:rsidRPr="00C57285">
        <w:rPr>
          <w:rFonts w:ascii="Arial" w:hAnsi="Arial" w:cs="Arial"/>
          <w:bCs/>
          <w:kern w:val="1"/>
          <w:sz w:val="18"/>
          <w:szCs w:val="18"/>
          <w:lang w:eastAsia="ar-SA"/>
        </w:rPr>
        <w:t xml:space="preserve">terminal y </w:t>
      </w:r>
      <w:r w:rsidR="007B6B56" w:rsidRPr="00C57285">
        <w:rPr>
          <w:rFonts w:ascii="Arial" w:hAnsi="Arial" w:cs="Arial"/>
          <w:bCs/>
          <w:kern w:val="1"/>
          <w:sz w:val="18"/>
          <w:szCs w:val="18"/>
          <w:lang w:eastAsia="ar-SA"/>
        </w:rPr>
        <w:t xml:space="preserve">los </w:t>
      </w:r>
      <w:r w:rsidR="00E33750" w:rsidRPr="00C57285">
        <w:rPr>
          <w:rFonts w:ascii="Arial" w:hAnsi="Arial" w:cs="Arial"/>
          <w:bCs/>
          <w:kern w:val="1"/>
          <w:sz w:val="18"/>
          <w:szCs w:val="18"/>
          <w:lang w:eastAsia="ar-SA"/>
        </w:rPr>
        <w:t>requerimientos d</w:t>
      </w:r>
      <w:r w:rsidR="00DD2F6B" w:rsidRPr="00C57285">
        <w:rPr>
          <w:rFonts w:ascii="Arial" w:hAnsi="Arial" w:cs="Arial"/>
          <w:bCs/>
          <w:kern w:val="1"/>
          <w:sz w:val="18"/>
          <w:szCs w:val="18"/>
          <w:lang w:eastAsia="ar-SA"/>
        </w:rPr>
        <w:t>el operador</w:t>
      </w:r>
      <w:r w:rsidR="00E33750" w:rsidRPr="00C57285">
        <w:rPr>
          <w:rFonts w:ascii="Arial" w:hAnsi="Arial" w:cs="Arial"/>
          <w:bCs/>
          <w:kern w:val="1"/>
          <w:sz w:val="18"/>
          <w:szCs w:val="18"/>
          <w:lang w:eastAsia="ar-SA"/>
        </w:rPr>
        <w:t xml:space="preserve"> que comercializa los equipos terminales</w:t>
      </w:r>
      <w:r w:rsidR="00DD2F6B" w:rsidRPr="00C57285">
        <w:rPr>
          <w:rFonts w:ascii="Arial" w:hAnsi="Arial" w:cs="Arial"/>
          <w:bCs/>
          <w:kern w:val="1"/>
          <w:sz w:val="18"/>
          <w:szCs w:val="18"/>
          <w:lang w:eastAsia="ar-SA"/>
        </w:rPr>
        <w:t>,</w:t>
      </w:r>
      <w:r w:rsidR="005463BE" w:rsidRPr="00C57285">
        <w:rPr>
          <w:rFonts w:ascii="Arial" w:hAnsi="Arial" w:cs="Arial"/>
          <w:bCs/>
          <w:kern w:val="1"/>
          <w:sz w:val="18"/>
          <w:szCs w:val="18"/>
          <w:lang w:eastAsia="ar-SA"/>
        </w:rPr>
        <w:t xml:space="preserve"> </w:t>
      </w:r>
      <w:r w:rsidR="008B3403" w:rsidRPr="00C57285">
        <w:rPr>
          <w:rFonts w:ascii="Arial" w:hAnsi="Arial" w:cs="Arial"/>
          <w:bCs/>
          <w:kern w:val="1"/>
          <w:sz w:val="18"/>
          <w:szCs w:val="18"/>
          <w:lang w:eastAsia="ar-SA"/>
        </w:rPr>
        <w:t>siendo posible el desbloqueo mediante el ingreso manual de</w:t>
      </w:r>
      <w:r w:rsidR="0042281A" w:rsidRPr="00C57285">
        <w:rPr>
          <w:rFonts w:ascii="Arial" w:hAnsi="Arial" w:cs="Arial"/>
          <w:bCs/>
          <w:kern w:val="1"/>
          <w:sz w:val="18"/>
          <w:szCs w:val="18"/>
          <w:lang w:eastAsia="ar-SA"/>
        </w:rPr>
        <w:t xml:space="preserve"> un código de desbloqueo</w:t>
      </w:r>
      <w:r w:rsidR="00524975" w:rsidRPr="00C57285">
        <w:rPr>
          <w:rFonts w:ascii="Arial" w:hAnsi="Arial" w:cs="Arial"/>
          <w:bCs/>
          <w:kern w:val="1"/>
          <w:sz w:val="18"/>
          <w:szCs w:val="18"/>
          <w:lang w:eastAsia="ar-SA"/>
        </w:rPr>
        <w:t>,</w:t>
      </w:r>
      <w:r w:rsidR="008B3403" w:rsidRPr="00C57285">
        <w:rPr>
          <w:rFonts w:ascii="Arial" w:hAnsi="Arial" w:cs="Arial"/>
          <w:bCs/>
          <w:kern w:val="1"/>
          <w:sz w:val="18"/>
          <w:szCs w:val="18"/>
          <w:lang w:eastAsia="ar-SA"/>
        </w:rPr>
        <w:t xml:space="preserve"> o bien, mediante la actualización</w:t>
      </w:r>
      <w:r w:rsidR="0042281A" w:rsidRPr="00C57285">
        <w:rPr>
          <w:rFonts w:ascii="Arial" w:hAnsi="Arial" w:cs="Arial"/>
          <w:bCs/>
          <w:kern w:val="1"/>
          <w:sz w:val="18"/>
          <w:szCs w:val="18"/>
          <w:lang w:eastAsia="ar-SA"/>
        </w:rPr>
        <w:t xml:space="preserve"> del software y</w:t>
      </w:r>
      <w:r w:rsidR="00643554" w:rsidRPr="00C57285">
        <w:rPr>
          <w:rFonts w:ascii="Arial" w:hAnsi="Arial" w:cs="Arial"/>
          <w:bCs/>
          <w:kern w:val="1"/>
          <w:sz w:val="18"/>
          <w:szCs w:val="18"/>
          <w:lang w:eastAsia="ar-SA"/>
        </w:rPr>
        <w:t>/o</w:t>
      </w:r>
      <w:r w:rsidR="0042281A" w:rsidRPr="00C57285">
        <w:rPr>
          <w:rFonts w:ascii="Arial" w:hAnsi="Arial" w:cs="Arial"/>
          <w:bCs/>
          <w:kern w:val="1"/>
          <w:sz w:val="18"/>
          <w:szCs w:val="18"/>
          <w:lang w:eastAsia="ar-SA"/>
        </w:rPr>
        <w:t xml:space="preserve"> configuración del equipo terminal móvil, </w:t>
      </w:r>
      <w:r w:rsidR="00B85E1F">
        <w:rPr>
          <w:rFonts w:ascii="Arial" w:hAnsi="Arial" w:cs="Arial"/>
          <w:bCs/>
          <w:kern w:val="1"/>
          <w:sz w:val="18"/>
          <w:szCs w:val="18"/>
          <w:lang w:eastAsia="ar-SA"/>
        </w:rPr>
        <w:t>lo cual</w:t>
      </w:r>
      <w:r w:rsidR="00B85E1F" w:rsidRPr="00C57285">
        <w:rPr>
          <w:rFonts w:ascii="Arial" w:hAnsi="Arial" w:cs="Arial"/>
          <w:bCs/>
          <w:kern w:val="1"/>
          <w:sz w:val="18"/>
          <w:szCs w:val="18"/>
          <w:lang w:eastAsia="ar-SA"/>
        </w:rPr>
        <w:t xml:space="preserve"> </w:t>
      </w:r>
      <w:r w:rsidR="00975265">
        <w:rPr>
          <w:rFonts w:ascii="Arial" w:hAnsi="Arial" w:cs="Arial"/>
          <w:bCs/>
          <w:kern w:val="1"/>
          <w:sz w:val="18"/>
          <w:szCs w:val="18"/>
          <w:lang w:eastAsia="ar-SA"/>
        </w:rPr>
        <w:t xml:space="preserve">en </w:t>
      </w:r>
      <w:r w:rsidR="0075420B">
        <w:rPr>
          <w:rFonts w:ascii="Arial" w:hAnsi="Arial" w:cs="Arial"/>
          <w:bCs/>
          <w:kern w:val="1"/>
          <w:sz w:val="18"/>
          <w:szCs w:val="18"/>
          <w:lang w:eastAsia="ar-SA"/>
        </w:rPr>
        <w:t>algunos</w:t>
      </w:r>
      <w:r w:rsidR="00975265">
        <w:rPr>
          <w:rFonts w:ascii="Arial" w:hAnsi="Arial" w:cs="Arial"/>
          <w:bCs/>
          <w:kern w:val="1"/>
          <w:sz w:val="18"/>
          <w:szCs w:val="18"/>
          <w:lang w:eastAsia="ar-SA"/>
        </w:rPr>
        <w:t xml:space="preserve"> equipos</w:t>
      </w:r>
      <w:r w:rsidR="002348AA">
        <w:rPr>
          <w:rFonts w:ascii="Arial" w:hAnsi="Arial" w:cs="Arial"/>
          <w:bCs/>
          <w:kern w:val="1"/>
          <w:sz w:val="18"/>
          <w:szCs w:val="18"/>
          <w:lang w:eastAsia="ar-SA"/>
        </w:rPr>
        <w:t xml:space="preserve"> </w:t>
      </w:r>
      <w:r w:rsidR="0042281A" w:rsidRPr="00C57285">
        <w:rPr>
          <w:rFonts w:ascii="Arial" w:hAnsi="Arial" w:cs="Arial"/>
          <w:bCs/>
          <w:kern w:val="1"/>
          <w:sz w:val="18"/>
          <w:szCs w:val="18"/>
          <w:lang w:eastAsia="ar-SA"/>
        </w:rPr>
        <w:t xml:space="preserve">puede ser </w:t>
      </w:r>
      <w:r w:rsidR="00643554" w:rsidRPr="00C57285">
        <w:rPr>
          <w:rFonts w:ascii="Arial" w:hAnsi="Arial" w:cs="Arial"/>
          <w:bCs/>
          <w:kern w:val="1"/>
          <w:sz w:val="18"/>
          <w:szCs w:val="18"/>
          <w:lang w:eastAsia="ar-SA"/>
        </w:rPr>
        <w:t>realizad</w:t>
      </w:r>
      <w:r w:rsidR="00B85E1F">
        <w:rPr>
          <w:rFonts w:ascii="Arial" w:hAnsi="Arial" w:cs="Arial"/>
          <w:bCs/>
          <w:kern w:val="1"/>
          <w:sz w:val="18"/>
          <w:szCs w:val="18"/>
          <w:lang w:eastAsia="ar-SA"/>
        </w:rPr>
        <w:t>o</w:t>
      </w:r>
      <w:r w:rsidR="0042281A" w:rsidRPr="00C57285">
        <w:rPr>
          <w:rFonts w:ascii="Arial" w:hAnsi="Arial" w:cs="Arial"/>
          <w:bCs/>
          <w:kern w:val="1"/>
          <w:sz w:val="18"/>
          <w:szCs w:val="18"/>
          <w:lang w:eastAsia="ar-SA"/>
        </w:rPr>
        <w:t xml:space="preserve"> de manera remota </w:t>
      </w:r>
      <w:r w:rsidR="003873AA">
        <w:rPr>
          <w:rFonts w:ascii="Arial" w:hAnsi="Arial" w:cs="Arial"/>
          <w:bCs/>
          <w:kern w:val="1"/>
          <w:sz w:val="18"/>
          <w:szCs w:val="18"/>
          <w:lang w:eastAsia="ar-SA"/>
        </w:rPr>
        <w:t xml:space="preserve">sin requerirse el ingreso </w:t>
      </w:r>
      <w:r w:rsidR="00872B13">
        <w:rPr>
          <w:rFonts w:ascii="Arial" w:hAnsi="Arial" w:cs="Arial"/>
          <w:bCs/>
          <w:kern w:val="1"/>
          <w:sz w:val="18"/>
          <w:szCs w:val="18"/>
          <w:lang w:eastAsia="ar-SA"/>
        </w:rPr>
        <w:t>de</w:t>
      </w:r>
      <w:r w:rsidR="003873AA">
        <w:rPr>
          <w:rFonts w:ascii="Arial" w:hAnsi="Arial" w:cs="Arial"/>
          <w:bCs/>
          <w:kern w:val="1"/>
          <w:sz w:val="18"/>
          <w:szCs w:val="18"/>
          <w:lang w:eastAsia="ar-SA"/>
        </w:rPr>
        <w:t xml:space="preserve"> un código de desbloqueo</w:t>
      </w:r>
      <w:r w:rsidR="0042281A" w:rsidRPr="00C57285">
        <w:rPr>
          <w:rFonts w:ascii="Arial" w:hAnsi="Arial" w:cs="Arial"/>
          <w:bCs/>
          <w:kern w:val="1"/>
          <w:sz w:val="18"/>
          <w:szCs w:val="18"/>
          <w:lang w:eastAsia="ar-SA"/>
        </w:rPr>
        <w:t>.</w:t>
      </w:r>
    </w:p>
    <w:p w14:paraId="0A44C466" w14:textId="0AAA3C5C" w:rsidR="009331AE" w:rsidRDefault="009331AE" w:rsidP="00302699">
      <w:pPr>
        <w:spacing w:after="0"/>
        <w:contextualSpacing/>
        <w:mirrorIndents/>
        <w:jc w:val="both"/>
        <w:rPr>
          <w:rFonts w:ascii="Arial" w:hAnsi="Arial" w:cs="Arial"/>
          <w:bCs/>
          <w:kern w:val="1"/>
          <w:sz w:val="18"/>
          <w:szCs w:val="18"/>
          <w:lang w:eastAsia="ar-SA"/>
        </w:rPr>
      </w:pPr>
    </w:p>
    <w:p w14:paraId="20C1BCFA" w14:textId="38DBB2DF" w:rsidR="00635928" w:rsidRDefault="00635928" w:rsidP="00635928">
      <w:pPr>
        <w:spacing w:after="0"/>
        <w:jc w:val="both"/>
        <w:rPr>
          <w:rFonts w:ascii="Arial" w:hAnsi="Arial" w:cs="Arial"/>
          <w:bCs/>
          <w:kern w:val="1"/>
          <w:sz w:val="18"/>
          <w:szCs w:val="18"/>
          <w:lang w:eastAsia="ar-SA"/>
        </w:rPr>
      </w:pPr>
      <w:r w:rsidRPr="000811BE">
        <w:rPr>
          <w:rFonts w:ascii="Arial" w:eastAsia="ITC Avant Garde" w:hAnsi="Arial" w:cs="Arial"/>
          <w:sz w:val="18"/>
          <w:szCs w:val="18"/>
        </w:rPr>
        <w:t xml:space="preserve">Además, </w:t>
      </w:r>
      <w:r w:rsidRPr="000811BE">
        <w:rPr>
          <w:rFonts w:ascii="Arial" w:hAnsi="Arial" w:cs="Arial"/>
          <w:bCs/>
          <w:kern w:val="1"/>
          <w:sz w:val="18"/>
          <w:szCs w:val="18"/>
          <w:lang w:eastAsia="ar-SA"/>
        </w:rPr>
        <w:t>como una medida para fortalecer el ejercicio del derecho de los usuarios al desbloqueo</w:t>
      </w:r>
      <w:r w:rsidR="00E41719">
        <w:rPr>
          <w:rFonts w:ascii="Arial" w:hAnsi="Arial" w:cs="Arial"/>
          <w:bCs/>
          <w:kern w:val="1"/>
          <w:sz w:val="18"/>
          <w:szCs w:val="18"/>
          <w:lang w:eastAsia="ar-SA"/>
        </w:rPr>
        <w:t xml:space="preserve"> e</w:t>
      </w:r>
      <w:r w:rsidRPr="000811BE">
        <w:rPr>
          <w:rFonts w:ascii="Arial" w:hAnsi="Arial" w:cs="Arial"/>
          <w:bCs/>
          <w:kern w:val="1"/>
          <w:sz w:val="18"/>
          <w:szCs w:val="18"/>
          <w:lang w:eastAsia="ar-SA"/>
        </w:rPr>
        <w:t xml:space="preserve"> </w:t>
      </w:r>
      <w:r w:rsidRPr="000811BE">
        <w:rPr>
          <w:rFonts w:ascii="Arial" w:eastAsia="ITC Avant Garde" w:hAnsi="Arial" w:cs="Arial"/>
          <w:sz w:val="18"/>
          <w:szCs w:val="18"/>
        </w:rPr>
        <w:t xml:space="preserve">incentivar la competencia entre </w:t>
      </w:r>
      <w:r w:rsidR="00B77AED">
        <w:rPr>
          <w:rFonts w:ascii="Arial" w:eastAsia="ITC Avant Garde" w:hAnsi="Arial" w:cs="Arial"/>
          <w:sz w:val="18"/>
          <w:szCs w:val="18"/>
        </w:rPr>
        <w:t xml:space="preserve">concesionarios y autorizados </w:t>
      </w:r>
      <w:r w:rsidR="00D233CE">
        <w:rPr>
          <w:rFonts w:ascii="Arial" w:eastAsia="ITC Avant Garde" w:hAnsi="Arial" w:cs="Arial"/>
          <w:sz w:val="18"/>
          <w:szCs w:val="18"/>
        </w:rPr>
        <w:t>del</w:t>
      </w:r>
      <w:r w:rsidR="009A06A4">
        <w:rPr>
          <w:rFonts w:ascii="Arial" w:eastAsia="ITC Avant Garde" w:hAnsi="Arial" w:cs="Arial"/>
          <w:sz w:val="18"/>
          <w:szCs w:val="18"/>
        </w:rPr>
        <w:t xml:space="preserve"> servicio móvil</w:t>
      </w:r>
      <w:r w:rsidR="002C47AE">
        <w:rPr>
          <w:rFonts w:ascii="Arial" w:eastAsia="ITC Avant Garde" w:hAnsi="Arial" w:cs="Arial"/>
          <w:sz w:val="18"/>
          <w:szCs w:val="18"/>
        </w:rPr>
        <w:t xml:space="preserve"> que comercialicen equipos terminales móviles</w:t>
      </w:r>
      <w:r w:rsidR="00E41719">
        <w:rPr>
          <w:rFonts w:ascii="Arial" w:eastAsia="ITC Avant Garde" w:hAnsi="Arial" w:cs="Arial"/>
          <w:sz w:val="18"/>
          <w:szCs w:val="18"/>
        </w:rPr>
        <w:t xml:space="preserve">, </w:t>
      </w:r>
      <w:r w:rsidR="00E41719">
        <w:rPr>
          <w:rFonts w:ascii="Arial" w:hAnsi="Arial" w:cs="Arial"/>
          <w:bCs/>
          <w:sz w:val="18"/>
          <w:szCs w:val="18"/>
        </w:rPr>
        <w:t>una vez que no</w:t>
      </w:r>
      <w:r w:rsidR="00E41719" w:rsidRPr="00541D4D">
        <w:rPr>
          <w:rFonts w:ascii="Arial" w:hAnsi="Arial" w:cs="Arial"/>
          <w:bCs/>
          <w:sz w:val="18"/>
          <w:szCs w:val="18"/>
        </w:rPr>
        <w:t xml:space="preserve"> existan adeudos</w:t>
      </w:r>
      <w:r w:rsidR="00E41719">
        <w:rPr>
          <w:rFonts w:ascii="Arial" w:hAnsi="Arial" w:cs="Arial"/>
          <w:bCs/>
          <w:sz w:val="18"/>
          <w:szCs w:val="18"/>
        </w:rPr>
        <w:t xml:space="preserve"> </w:t>
      </w:r>
      <w:r w:rsidR="004A61A5">
        <w:rPr>
          <w:rFonts w:ascii="Arial" w:hAnsi="Arial" w:cs="Arial"/>
          <w:bCs/>
          <w:sz w:val="18"/>
          <w:szCs w:val="18"/>
        </w:rPr>
        <w:t xml:space="preserve">por parte de los usuarios </w:t>
      </w:r>
      <w:r w:rsidR="007B1205">
        <w:rPr>
          <w:rFonts w:ascii="Arial" w:hAnsi="Arial" w:cs="Arial"/>
          <w:bCs/>
          <w:sz w:val="18"/>
          <w:szCs w:val="18"/>
        </w:rPr>
        <w:t>con los prestadores del servicio móvil</w:t>
      </w:r>
      <w:r w:rsidR="007B1205" w:rsidRPr="00541D4D">
        <w:rPr>
          <w:rFonts w:ascii="Arial" w:hAnsi="Arial" w:cs="Arial"/>
          <w:bCs/>
          <w:sz w:val="18"/>
          <w:szCs w:val="18"/>
        </w:rPr>
        <w:t xml:space="preserve"> </w:t>
      </w:r>
      <w:r w:rsidR="00E41719" w:rsidRPr="00541D4D">
        <w:rPr>
          <w:rFonts w:ascii="Arial" w:hAnsi="Arial" w:cs="Arial"/>
          <w:bCs/>
          <w:sz w:val="18"/>
          <w:szCs w:val="18"/>
        </w:rPr>
        <w:t xml:space="preserve">por la compra de </w:t>
      </w:r>
      <w:r w:rsidR="00D233CE">
        <w:rPr>
          <w:rFonts w:ascii="Arial" w:hAnsi="Arial" w:cs="Arial"/>
          <w:bCs/>
          <w:sz w:val="18"/>
          <w:szCs w:val="18"/>
        </w:rPr>
        <w:t>e</w:t>
      </w:r>
      <w:r w:rsidR="00E41719" w:rsidRPr="00541D4D">
        <w:rPr>
          <w:rFonts w:ascii="Arial" w:hAnsi="Arial" w:cs="Arial"/>
          <w:bCs/>
          <w:sz w:val="18"/>
          <w:szCs w:val="18"/>
        </w:rPr>
        <w:t>quipo</w:t>
      </w:r>
      <w:r w:rsidR="00E41719">
        <w:rPr>
          <w:rFonts w:ascii="Arial" w:hAnsi="Arial" w:cs="Arial"/>
          <w:bCs/>
          <w:sz w:val="18"/>
          <w:szCs w:val="18"/>
        </w:rPr>
        <w:t xml:space="preserve">s </w:t>
      </w:r>
      <w:r w:rsidR="00D233CE">
        <w:rPr>
          <w:rFonts w:ascii="Arial" w:hAnsi="Arial" w:cs="Arial"/>
          <w:bCs/>
          <w:sz w:val="18"/>
          <w:szCs w:val="18"/>
        </w:rPr>
        <w:t>t</w:t>
      </w:r>
      <w:r w:rsidR="00E41719">
        <w:rPr>
          <w:rFonts w:ascii="Arial" w:hAnsi="Arial" w:cs="Arial"/>
          <w:bCs/>
          <w:sz w:val="18"/>
          <w:szCs w:val="18"/>
        </w:rPr>
        <w:t xml:space="preserve">erminales </w:t>
      </w:r>
      <w:r w:rsidR="00D233CE">
        <w:rPr>
          <w:rFonts w:ascii="Arial" w:hAnsi="Arial" w:cs="Arial"/>
          <w:bCs/>
          <w:sz w:val="18"/>
          <w:szCs w:val="18"/>
        </w:rPr>
        <w:t>m</w:t>
      </w:r>
      <w:r w:rsidR="00E41719" w:rsidRPr="00234012">
        <w:rPr>
          <w:rFonts w:ascii="Arial" w:hAnsi="Arial" w:cs="Arial"/>
          <w:bCs/>
          <w:sz w:val="18"/>
          <w:szCs w:val="18"/>
        </w:rPr>
        <w:t xml:space="preserve">óviles </w:t>
      </w:r>
      <w:r w:rsidR="007B1205">
        <w:rPr>
          <w:rFonts w:ascii="Arial" w:hAnsi="Arial" w:cs="Arial"/>
          <w:bCs/>
          <w:sz w:val="18"/>
          <w:szCs w:val="18"/>
        </w:rPr>
        <w:t xml:space="preserve">en </w:t>
      </w:r>
      <w:r w:rsidR="00E41719" w:rsidRPr="00234012">
        <w:rPr>
          <w:rFonts w:ascii="Arial" w:hAnsi="Arial" w:cs="Arial"/>
          <w:bCs/>
          <w:sz w:val="18"/>
          <w:szCs w:val="18"/>
        </w:rPr>
        <w:t xml:space="preserve">el esquema de </w:t>
      </w:r>
      <w:r w:rsidR="00D233CE">
        <w:rPr>
          <w:rFonts w:ascii="Arial" w:hAnsi="Arial" w:cs="Arial"/>
          <w:bCs/>
          <w:sz w:val="18"/>
          <w:szCs w:val="18"/>
        </w:rPr>
        <w:t>p</w:t>
      </w:r>
      <w:r w:rsidR="00E41719">
        <w:rPr>
          <w:rFonts w:ascii="Arial" w:hAnsi="Arial" w:cs="Arial"/>
          <w:bCs/>
          <w:sz w:val="18"/>
          <w:szCs w:val="18"/>
        </w:rPr>
        <w:t>ospago,</w:t>
      </w:r>
      <w:r w:rsidRPr="000811BE">
        <w:rPr>
          <w:rFonts w:ascii="Arial" w:eastAsia="ITC Avant Garde" w:hAnsi="Arial" w:cs="Arial"/>
          <w:sz w:val="18"/>
          <w:szCs w:val="18"/>
        </w:rPr>
        <w:t xml:space="preserve"> se considera adecuado el envío de una notificación en la que se indique </w:t>
      </w:r>
      <w:r w:rsidRPr="000811BE">
        <w:rPr>
          <w:rFonts w:ascii="Arial" w:hAnsi="Arial" w:cs="Arial"/>
          <w:bCs/>
          <w:kern w:val="1"/>
          <w:sz w:val="18"/>
          <w:szCs w:val="18"/>
          <w:lang w:eastAsia="ar-SA"/>
        </w:rPr>
        <w:t xml:space="preserve">el procedimiento a seguir para el desbloqueo de su equipo terminal </w:t>
      </w:r>
      <w:r w:rsidRPr="000811BE">
        <w:rPr>
          <w:rFonts w:ascii="Arial" w:eastAsia="ITC Avant Garde" w:hAnsi="Arial" w:cs="Arial"/>
          <w:sz w:val="18"/>
          <w:szCs w:val="18"/>
        </w:rPr>
        <w:t xml:space="preserve">y la </w:t>
      </w:r>
      <w:r w:rsidRPr="000811BE">
        <w:rPr>
          <w:rFonts w:ascii="Arial" w:hAnsi="Arial" w:cs="Arial"/>
          <w:bCs/>
          <w:kern w:val="1"/>
          <w:sz w:val="18"/>
          <w:szCs w:val="18"/>
          <w:lang w:eastAsia="ar-SA"/>
        </w:rPr>
        <w:t xml:space="preserve">información necesaria para solicitarlo. </w:t>
      </w:r>
    </w:p>
    <w:p w14:paraId="044DCCCE" w14:textId="082120FC" w:rsidR="00D94E4D" w:rsidRDefault="00D94E4D" w:rsidP="00D94E4D">
      <w:pPr>
        <w:spacing w:after="0"/>
        <w:jc w:val="both"/>
        <w:rPr>
          <w:rFonts w:ascii="Arial" w:hAnsi="Arial" w:cs="Arial"/>
          <w:bCs/>
          <w:kern w:val="1"/>
          <w:sz w:val="18"/>
          <w:szCs w:val="18"/>
          <w:lang w:eastAsia="ar-SA"/>
        </w:rPr>
      </w:pPr>
    </w:p>
    <w:p w14:paraId="68AB460A" w14:textId="6F7213FC" w:rsidR="00ED6A2C" w:rsidRDefault="00ED6A2C" w:rsidP="00302699">
      <w:pPr>
        <w:spacing w:after="0"/>
        <w:contextualSpacing/>
        <w:mirrorIndents/>
        <w:jc w:val="both"/>
        <w:rPr>
          <w:rFonts w:ascii="Arial" w:hAnsi="Arial" w:cs="Arial"/>
          <w:bCs/>
          <w:kern w:val="1"/>
          <w:sz w:val="18"/>
          <w:szCs w:val="18"/>
          <w:lang w:eastAsia="ar-SA"/>
        </w:rPr>
      </w:pPr>
      <w:r w:rsidRPr="00C57285">
        <w:rPr>
          <w:rFonts w:ascii="Arial" w:hAnsi="Arial" w:cs="Arial"/>
          <w:bCs/>
          <w:kern w:val="1"/>
          <w:sz w:val="18"/>
          <w:szCs w:val="18"/>
          <w:lang w:eastAsia="ar-SA"/>
        </w:rPr>
        <w:t xml:space="preserve">Por otra parte, se han identificado múltiples factores que dificultan el desbloqueo de equipos móviles, tales como, errores en los códigos de desbloqueo entregados a los usuarios, diferencias en los mecanismos de desbloqueo entre equipos de distintos fabricantes, existencia de equipos terminales móviles “obsoletos”, entre otros, </w:t>
      </w:r>
      <w:r w:rsidR="00FF28BA" w:rsidRPr="00C57285">
        <w:rPr>
          <w:rFonts w:ascii="Arial" w:hAnsi="Arial" w:cs="Arial"/>
          <w:bCs/>
          <w:kern w:val="1"/>
          <w:sz w:val="18"/>
          <w:szCs w:val="18"/>
          <w:lang w:eastAsia="ar-SA"/>
        </w:rPr>
        <w:t>los cuales deben ser considerados para el establecimiento de los parámetros que serán utilizados para determinar el cumplimiento de las obligaciones que serán establecidas para el desbloqueo de equipos. En este sentido</w:t>
      </w:r>
      <w:r w:rsidR="008A79A1">
        <w:rPr>
          <w:rFonts w:ascii="Arial" w:hAnsi="Arial" w:cs="Arial"/>
          <w:bCs/>
          <w:kern w:val="1"/>
          <w:sz w:val="18"/>
          <w:szCs w:val="18"/>
          <w:lang w:eastAsia="ar-SA"/>
        </w:rPr>
        <w:t>, para efectos de los presentes Lineamientos,</w:t>
      </w:r>
      <w:r w:rsidR="00FF28BA" w:rsidRPr="00C57285">
        <w:rPr>
          <w:rFonts w:ascii="Arial" w:hAnsi="Arial" w:cs="Arial"/>
          <w:bCs/>
          <w:kern w:val="1"/>
          <w:sz w:val="18"/>
          <w:szCs w:val="18"/>
          <w:lang w:eastAsia="ar-SA"/>
        </w:rPr>
        <w:t xml:space="preserve"> la totalidad de los equipos terminales móviles </w:t>
      </w:r>
      <w:r w:rsidR="008870D2" w:rsidRPr="00C57285">
        <w:rPr>
          <w:rFonts w:ascii="Arial" w:hAnsi="Arial" w:cs="Arial"/>
          <w:bCs/>
          <w:kern w:val="1"/>
          <w:sz w:val="18"/>
          <w:szCs w:val="18"/>
          <w:lang w:eastAsia="ar-SA"/>
        </w:rPr>
        <w:t>comercializados</w:t>
      </w:r>
      <w:r w:rsidR="008A79A1">
        <w:rPr>
          <w:rFonts w:ascii="Arial" w:hAnsi="Arial" w:cs="Arial"/>
          <w:bCs/>
          <w:kern w:val="1"/>
          <w:sz w:val="18"/>
          <w:szCs w:val="18"/>
          <w:lang w:eastAsia="ar-SA"/>
        </w:rPr>
        <w:t xml:space="preserve"> bajo los esquemas prepago y pospago</w:t>
      </w:r>
      <w:r w:rsidR="008870D2" w:rsidRPr="00C57285">
        <w:rPr>
          <w:rFonts w:ascii="Arial" w:hAnsi="Arial" w:cs="Arial"/>
          <w:bCs/>
          <w:kern w:val="1"/>
          <w:sz w:val="18"/>
          <w:szCs w:val="18"/>
          <w:lang w:eastAsia="ar-SA"/>
        </w:rPr>
        <w:t xml:space="preserve"> </w:t>
      </w:r>
      <w:r w:rsidR="00FF28BA" w:rsidRPr="00C57285">
        <w:rPr>
          <w:rFonts w:ascii="Arial" w:hAnsi="Arial" w:cs="Arial"/>
          <w:bCs/>
          <w:kern w:val="1"/>
          <w:sz w:val="18"/>
          <w:szCs w:val="18"/>
          <w:lang w:eastAsia="ar-SA"/>
        </w:rPr>
        <w:t>deben ser desbloqueados</w:t>
      </w:r>
      <w:r w:rsidR="008A79A1">
        <w:rPr>
          <w:rFonts w:ascii="Arial" w:hAnsi="Arial" w:cs="Arial"/>
          <w:bCs/>
          <w:kern w:val="1"/>
          <w:sz w:val="18"/>
          <w:szCs w:val="18"/>
          <w:lang w:eastAsia="ar-SA"/>
        </w:rPr>
        <w:t xml:space="preserve"> dentro de un plazo máximo de 24 horas contadas a partir de la solicitud de los usuarios,</w:t>
      </w:r>
      <w:r w:rsidR="00FF28BA" w:rsidRPr="00C57285">
        <w:rPr>
          <w:rFonts w:ascii="Arial" w:hAnsi="Arial" w:cs="Arial"/>
          <w:bCs/>
          <w:kern w:val="1"/>
          <w:sz w:val="18"/>
          <w:szCs w:val="18"/>
          <w:lang w:eastAsia="ar-SA"/>
        </w:rPr>
        <w:t xml:space="preserve"> pero se reconoce que existen factores externos fuera del control de los proveedores de servicios móviles que dificultan </w:t>
      </w:r>
      <w:r w:rsidR="00952B7C">
        <w:rPr>
          <w:rFonts w:ascii="Arial" w:hAnsi="Arial" w:cs="Arial"/>
          <w:bCs/>
          <w:kern w:val="1"/>
          <w:sz w:val="18"/>
          <w:szCs w:val="18"/>
          <w:lang w:eastAsia="ar-SA"/>
        </w:rPr>
        <w:t>su</w:t>
      </w:r>
      <w:r w:rsidR="00FF28BA" w:rsidRPr="00C57285">
        <w:rPr>
          <w:rFonts w:ascii="Arial" w:hAnsi="Arial" w:cs="Arial"/>
          <w:bCs/>
          <w:kern w:val="1"/>
          <w:sz w:val="18"/>
          <w:szCs w:val="18"/>
          <w:lang w:eastAsia="ar-SA"/>
        </w:rPr>
        <w:t xml:space="preserve"> desbloqueo</w:t>
      </w:r>
      <w:r w:rsidR="00D92918">
        <w:rPr>
          <w:rFonts w:ascii="Arial" w:hAnsi="Arial" w:cs="Arial"/>
          <w:bCs/>
          <w:kern w:val="1"/>
          <w:sz w:val="18"/>
          <w:szCs w:val="18"/>
          <w:lang w:eastAsia="ar-SA"/>
        </w:rPr>
        <w:t>,</w:t>
      </w:r>
      <w:r w:rsidR="00FF28BA" w:rsidRPr="00C57285">
        <w:rPr>
          <w:rFonts w:ascii="Arial" w:hAnsi="Arial" w:cs="Arial"/>
          <w:bCs/>
          <w:kern w:val="1"/>
          <w:sz w:val="18"/>
          <w:szCs w:val="18"/>
          <w:lang w:eastAsia="ar-SA"/>
        </w:rPr>
        <w:t xml:space="preserve"> por lo que se plantea como parámetro de cumplimiento el que el </w:t>
      </w:r>
      <w:r w:rsidR="00366CA7">
        <w:rPr>
          <w:rFonts w:ascii="Arial" w:hAnsi="Arial" w:cs="Arial"/>
          <w:bCs/>
          <w:kern w:val="1"/>
          <w:sz w:val="18"/>
          <w:szCs w:val="18"/>
          <w:lang w:eastAsia="ar-SA"/>
        </w:rPr>
        <w:t>99</w:t>
      </w:r>
      <w:r w:rsidR="00FF28BA" w:rsidRPr="00C57285">
        <w:rPr>
          <w:rFonts w:ascii="Arial" w:hAnsi="Arial" w:cs="Arial"/>
          <w:bCs/>
          <w:kern w:val="1"/>
          <w:sz w:val="18"/>
          <w:szCs w:val="18"/>
          <w:lang w:eastAsia="ar-SA"/>
        </w:rPr>
        <w:t>% de los equipos terminales móviles sean desbloqueados</w:t>
      </w:r>
      <w:r w:rsidR="008870D2" w:rsidRPr="00C57285">
        <w:rPr>
          <w:rFonts w:ascii="Arial" w:hAnsi="Arial" w:cs="Arial"/>
          <w:bCs/>
          <w:kern w:val="1"/>
          <w:sz w:val="18"/>
          <w:szCs w:val="18"/>
          <w:lang w:eastAsia="ar-SA"/>
        </w:rPr>
        <w:t xml:space="preserve"> dentro </w:t>
      </w:r>
      <w:r w:rsidR="009C21B8">
        <w:rPr>
          <w:rFonts w:ascii="Arial" w:hAnsi="Arial" w:cs="Arial"/>
          <w:bCs/>
          <w:kern w:val="1"/>
          <w:sz w:val="18"/>
          <w:szCs w:val="18"/>
          <w:lang w:eastAsia="ar-SA"/>
        </w:rPr>
        <w:t>del plazo máximo de 24 horas referido</w:t>
      </w:r>
      <w:r w:rsidR="00FF28BA" w:rsidRPr="00C57285">
        <w:rPr>
          <w:rFonts w:ascii="Arial" w:hAnsi="Arial" w:cs="Arial"/>
          <w:bCs/>
          <w:kern w:val="1"/>
          <w:sz w:val="18"/>
          <w:szCs w:val="18"/>
          <w:lang w:eastAsia="ar-SA"/>
        </w:rPr>
        <w:t>.</w:t>
      </w:r>
    </w:p>
    <w:p w14:paraId="0136B892" w14:textId="13AF4EDA" w:rsidR="00114070" w:rsidRDefault="00114070" w:rsidP="00302699">
      <w:pPr>
        <w:spacing w:after="0"/>
        <w:contextualSpacing/>
        <w:mirrorIndents/>
        <w:jc w:val="both"/>
        <w:rPr>
          <w:rFonts w:ascii="Arial" w:hAnsi="Arial" w:cs="Arial"/>
          <w:bCs/>
          <w:kern w:val="1"/>
          <w:sz w:val="18"/>
          <w:szCs w:val="18"/>
          <w:lang w:eastAsia="ar-SA"/>
        </w:rPr>
      </w:pPr>
    </w:p>
    <w:p w14:paraId="07F8ED24" w14:textId="77777777" w:rsidR="00E45197" w:rsidRDefault="00E45197" w:rsidP="00E45197">
      <w:pPr>
        <w:spacing w:after="0"/>
        <w:jc w:val="both"/>
        <w:rPr>
          <w:rFonts w:ascii="Arial" w:hAnsi="Arial" w:cs="Arial"/>
          <w:bCs/>
          <w:kern w:val="1"/>
          <w:sz w:val="18"/>
          <w:szCs w:val="18"/>
          <w:lang w:eastAsia="ar-SA"/>
        </w:rPr>
      </w:pPr>
      <w:r>
        <w:rPr>
          <w:rFonts w:ascii="Arial" w:hAnsi="Arial" w:cs="Arial"/>
          <w:bCs/>
          <w:kern w:val="1"/>
          <w:sz w:val="18"/>
          <w:szCs w:val="18"/>
          <w:lang w:eastAsia="ar-SA"/>
        </w:rPr>
        <w:t xml:space="preserve">En tal sentido, el desbloqueo efectivo de los equipos terminales móviles favorece la competencia al permitir que un usuario seleccione entre los diferentes proveedores de servicios móviles el que mejor se adapte a sus necesidades, sin que el bloqueo de su equipo terminal constituya una </w:t>
      </w:r>
      <w:r w:rsidRPr="00CE2988">
        <w:rPr>
          <w:rFonts w:ascii="Arial" w:hAnsi="Arial" w:cs="Arial"/>
          <w:bCs/>
          <w:kern w:val="1"/>
          <w:sz w:val="18"/>
          <w:szCs w:val="18"/>
          <w:lang w:eastAsia="ar-SA"/>
        </w:rPr>
        <w:t xml:space="preserve">barrera </w:t>
      </w:r>
      <w:r>
        <w:rPr>
          <w:rFonts w:ascii="Arial" w:hAnsi="Arial" w:cs="Arial"/>
          <w:bCs/>
          <w:kern w:val="1"/>
          <w:sz w:val="18"/>
          <w:szCs w:val="18"/>
          <w:lang w:eastAsia="ar-SA"/>
        </w:rPr>
        <w:t xml:space="preserve">que impida </w:t>
      </w:r>
      <w:r w:rsidRPr="00CE2988">
        <w:rPr>
          <w:rFonts w:ascii="Arial" w:hAnsi="Arial" w:cs="Arial"/>
          <w:bCs/>
          <w:kern w:val="1"/>
          <w:sz w:val="18"/>
          <w:szCs w:val="18"/>
          <w:lang w:eastAsia="ar-SA"/>
        </w:rPr>
        <w:t>la conexión de</w:t>
      </w:r>
      <w:r>
        <w:rPr>
          <w:rFonts w:ascii="Arial" w:hAnsi="Arial" w:cs="Arial"/>
          <w:bCs/>
          <w:kern w:val="1"/>
          <w:sz w:val="18"/>
          <w:szCs w:val="18"/>
          <w:lang w:eastAsia="ar-SA"/>
        </w:rPr>
        <w:t xml:space="preserve"> este</w:t>
      </w:r>
      <w:r w:rsidRPr="00CE2988">
        <w:rPr>
          <w:rFonts w:ascii="Arial" w:hAnsi="Arial" w:cs="Arial"/>
          <w:bCs/>
          <w:kern w:val="1"/>
          <w:sz w:val="18"/>
          <w:szCs w:val="18"/>
          <w:lang w:eastAsia="ar-SA"/>
        </w:rPr>
        <w:t xml:space="preserve"> a</w:t>
      </w:r>
      <w:r>
        <w:rPr>
          <w:rFonts w:ascii="Arial" w:hAnsi="Arial" w:cs="Arial"/>
          <w:bCs/>
          <w:kern w:val="1"/>
          <w:sz w:val="18"/>
          <w:szCs w:val="18"/>
          <w:lang w:eastAsia="ar-SA"/>
        </w:rPr>
        <w:t xml:space="preserve"> la </w:t>
      </w:r>
      <w:r w:rsidRPr="00CE2988">
        <w:rPr>
          <w:rFonts w:ascii="Arial" w:hAnsi="Arial" w:cs="Arial"/>
          <w:bCs/>
          <w:kern w:val="1"/>
          <w:sz w:val="18"/>
          <w:szCs w:val="18"/>
          <w:lang w:eastAsia="ar-SA"/>
        </w:rPr>
        <w:t xml:space="preserve">red </w:t>
      </w:r>
      <w:r>
        <w:rPr>
          <w:rFonts w:ascii="Arial" w:hAnsi="Arial" w:cs="Arial"/>
          <w:bCs/>
          <w:kern w:val="1"/>
          <w:sz w:val="18"/>
          <w:szCs w:val="18"/>
          <w:lang w:eastAsia="ar-SA"/>
        </w:rPr>
        <w:t xml:space="preserve">de un nuevo proveedor de servicios, garantizando con ello </w:t>
      </w:r>
      <w:r w:rsidRPr="00CE2988">
        <w:rPr>
          <w:rFonts w:ascii="Arial" w:hAnsi="Arial" w:cs="Arial"/>
          <w:bCs/>
          <w:kern w:val="1"/>
          <w:sz w:val="18"/>
          <w:szCs w:val="18"/>
          <w:lang w:eastAsia="ar-SA"/>
        </w:rPr>
        <w:t>condiciones de competencia entre los prestadores del servicio móvil</w:t>
      </w:r>
      <w:r>
        <w:rPr>
          <w:rFonts w:ascii="Arial" w:hAnsi="Arial" w:cs="Arial"/>
          <w:bCs/>
          <w:kern w:val="1"/>
          <w:sz w:val="18"/>
          <w:szCs w:val="18"/>
          <w:lang w:eastAsia="ar-SA"/>
        </w:rPr>
        <w:t xml:space="preserve">. </w:t>
      </w:r>
    </w:p>
    <w:p w14:paraId="539DE3C4" w14:textId="77777777" w:rsidR="00DD5385" w:rsidRPr="00C57285" w:rsidRDefault="00DD5385" w:rsidP="00302699">
      <w:pPr>
        <w:spacing w:after="0"/>
        <w:contextualSpacing/>
        <w:mirrorIndents/>
        <w:jc w:val="both"/>
        <w:rPr>
          <w:rFonts w:ascii="Arial" w:hAnsi="Arial" w:cs="Arial"/>
          <w:bCs/>
          <w:kern w:val="1"/>
          <w:sz w:val="18"/>
          <w:szCs w:val="18"/>
          <w:lang w:eastAsia="ar-SA"/>
        </w:rPr>
      </w:pPr>
    </w:p>
    <w:p w14:paraId="679A8F00" w14:textId="03F965B4" w:rsidR="0036239D" w:rsidRPr="00C57285" w:rsidRDefault="00E151C5" w:rsidP="00302699">
      <w:pPr>
        <w:spacing w:after="0"/>
        <w:contextualSpacing/>
        <w:mirrorIndents/>
        <w:jc w:val="both"/>
        <w:rPr>
          <w:rFonts w:ascii="Arial" w:hAnsi="Arial" w:cs="Arial"/>
          <w:bCs/>
          <w:kern w:val="1"/>
          <w:sz w:val="18"/>
          <w:szCs w:val="18"/>
          <w:lang w:eastAsia="ar-SA"/>
        </w:rPr>
      </w:pPr>
      <w:r w:rsidRPr="000811BE">
        <w:rPr>
          <w:rFonts w:ascii="Arial" w:hAnsi="Arial" w:cs="Arial"/>
          <w:bCs/>
          <w:kern w:val="1"/>
          <w:sz w:val="18"/>
          <w:szCs w:val="18"/>
          <w:lang w:eastAsia="ar-SA"/>
        </w:rPr>
        <w:t>Es así que</w:t>
      </w:r>
      <w:r w:rsidR="00FA3866" w:rsidRPr="000811BE">
        <w:rPr>
          <w:rFonts w:ascii="Arial" w:hAnsi="Arial" w:cs="Arial"/>
          <w:bCs/>
          <w:kern w:val="1"/>
          <w:sz w:val="18"/>
          <w:szCs w:val="18"/>
          <w:lang w:eastAsia="ar-SA"/>
        </w:rPr>
        <w:t xml:space="preserve">, </w:t>
      </w:r>
      <w:r w:rsidR="00E3215B" w:rsidRPr="000811BE">
        <w:rPr>
          <w:rFonts w:ascii="Arial" w:hAnsi="Arial" w:cs="Arial"/>
          <w:bCs/>
          <w:kern w:val="1"/>
          <w:sz w:val="18"/>
          <w:szCs w:val="18"/>
          <w:lang w:eastAsia="ar-SA"/>
        </w:rPr>
        <w:t>para</w:t>
      </w:r>
      <w:r w:rsidR="00526610" w:rsidRPr="000811BE">
        <w:rPr>
          <w:rFonts w:ascii="Arial" w:hAnsi="Arial" w:cs="Arial"/>
          <w:bCs/>
          <w:kern w:val="1"/>
          <w:sz w:val="18"/>
          <w:szCs w:val="18"/>
          <w:lang w:eastAsia="ar-SA"/>
        </w:rPr>
        <w:t xml:space="preserve"> </w:t>
      </w:r>
      <w:r w:rsidR="00526610" w:rsidRPr="000811BE">
        <w:rPr>
          <w:rFonts w:ascii="Arial" w:eastAsia="Times New Roman" w:hAnsi="Arial" w:cs="Arial"/>
          <w:bCs/>
          <w:kern w:val="1"/>
          <w:sz w:val="18"/>
          <w:szCs w:val="18"/>
          <w:lang w:eastAsia="ar-SA"/>
        </w:rPr>
        <w:t xml:space="preserve">prevenir y, en su caso, sancionar </w:t>
      </w:r>
      <w:r w:rsidR="0017321D" w:rsidRPr="000811BE">
        <w:rPr>
          <w:rFonts w:ascii="Arial" w:hAnsi="Arial" w:cs="Arial"/>
          <w:bCs/>
          <w:kern w:val="1"/>
          <w:sz w:val="18"/>
          <w:szCs w:val="18"/>
          <w:lang w:eastAsia="ar-SA"/>
        </w:rPr>
        <w:t xml:space="preserve">posibles barreras a la competencia y libre concurrencia, </w:t>
      </w:r>
      <w:r w:rsidR="00EF3BAA" w:rsidRPr="000811BE">
        <w:rPr>
          <w:rFonts w:ascii="Arial" w:hAnsi="Arial" w:cs="Arial"/>
          <w:bCs/>
          <w:kern w:val="1"/>
          <w:sz w:val="18"/>
          <w:szCs w:val="18"/>
          <w:lang w:eastAsia="ar-SA"/>
        </w:rPr>
        <w:t>resulta necesari</w:t>
      </w:r>
      <w:r w:rsidR="00E3215B" w:rsidRPr="000811BE">
        <w:rPr>
          <w:rFonts w:ascii="Arial" w:hAnsi="Arial" w:cs="Arial"/>
          <w:bCs/>
          <w:kern w:val="1"/>
          <w:sz w:val="18"/>
          <w:szCs w:val="18"/>
          <w:lang w:eastAsia="ar-SA"/>
        </w:rPr>
        <w:t>a</w:t>
      </w:r>
      <w:r w:rsidR="00EF3BAA" w:rsidRPr="000811BE">
        <w:rPr>
          <w:rFonts w:ascii="Arial" w:hAnsi="Arial" w:cs="Arial"/>
          <w:bCs/>
          <w:kern w:val="1"/>
          <w:sz w:val="18"/>
          <w:szCs w:val="18"/>
          <w:lang w:eastAsia="ar-SA"/>
        </w:rPr>
        <w:t xml:space="preserve"> </w:t>
      </w:r>
      <w:r w:rsidR="000A1DC4" w:rsidRPr="000811BE">
        <w:rPr>
          <w:rFonts w:ascii="Arial" w:hAnsi="Arial" w:cs="Arial"/>
          <w:bCs/>
          <w:kern w:val="1"/>
          <w:sz w:val="18"/>
          <w:szCs w:val="18"/>
          <w:lang w:eastAsia="ar-SA"/>
        </w:rPr>
        <w:t>la emisión de los</w:t>
      </w:r>
      <w:r w:rsidR="003F4C73" w:rsidRPr="000811BE">
        <w:rPr>
          <w:rFonts w:ascii="Arial" w:hAnsi="Arial" w:cs="Arial"/>
          <w:bCs/>
          <w:kern w:val="1"/>
          <w:sz w:val="18"/>
          <w:szCs w:val="18"/>
          <w:lang w:eastAsia="ar-SA"/>
        </w:rPr>
        <w:t xml:space="preserve"> L</w:t>
      </w:r>
      <w:r w:rsidR="00EF3BAA" w:rsidRPr="000811BE">
        <w:rPr>
          <w:rFonts w:ascii="Arial" w:hAnsi="Arial" w:cs="Arial"/>
          <w:bCs/>
          <w:kern w:val="1"/>
          <w:sz w:val="18"/>
          <w:szCs w:val="18"/>
          <w:lang w:eastAsia="ar-SA"/>
        </w:rPr>
        <w:t>ineamientos para el desbloqueo de equipos terminales móviles</w:t>
      </w:r>
      <w:r w:rsidR="0045349B" w:rsidRPr="000811BE">
        <w:rPr>
          <w:rFonts w:ascii="Arial" w:hAnsi="Arial" w:cs="Arial"/>
          <w:bCs/>
          <w:kern w:val="1"/>
          <w:sz w:val="18"/>
          <w:szCs w:val="18"/>
          <w:lang w:eastAsia="ar-SA"/>
        </w:rPr>
        <w:t>,</w:t>
      </w:r>
      <w:r w:rsidR="00EF3BAA" w:rsidRPr="000811BE">
        <w:rPr>
          <w:rFonts w:ascii="Arial" w:hAnsi="Arial" w:cs="Arial"/>
          <w:bCs/>
          <w:kern w:val="1"/>
          <w:sz w:val="18"/>
          <w:szCs w:val="18"/>
          <w:lang w:eastAsia="ar-SA"/>
        </w:rPr>
        <w:t xml:space="preserve"> </w:t>
      </w:r>
      <w:r w:rsidR="0045349B" w:rsidRPr="000811BE">
        <w:rPr>
          <w:rFonts w:ascii="Arial" w:hAnsi="Arial" w:cs="Arial"/>
          <w:bCs/>
          <w:kern w:val="1"/>
          <w:sz w:val="18"/>
          <w:szCs w:val="18"/>
          <w:lang w:eastAsia="ar-SA"/>
        </w:rPr>
        <w:t xml:space="preserve">en los que el Instituto establezca las obligaciones y plazos a los que deberán sujetarse los </w:t>
      </w:r>
      <w:r w:rsidR="0085669A" w:rsidRPr="000811BE">
        <w:rPr>
          <w:rFonts w:ascii="Arial" w:hAnsi="Arial" w:cs="Arial"/>
          <w:bCs/>
          <w:kern w:val="1"/>
          <w:sz w:val="18"/>
          <w:szCs w:val="18"/>
          <w:lang w:eastAsia="ar-SA"/>
        </w:rPr>
        <w:t>prestadores del servicio móvil</w:t>
      </w:r>
      <w:r w:rsidR="00E04200" w:rsidRPr="000811BE">
        <w:rPr>
          <w:rFonts w:ascii="Arial" w:hAnsi="Arial" w:cs="Arial"/>
          <w:bCs/>
          <w:kern w:val="1"/>
          <w:sz w:val="18"/>
          <w:szCs w:val="18"/>
          <w:lang w:eastAsia="ar-SA"/>
        </w:rPr>
        <w:t xml:space="preserve"> </w:t>
      </w:r>
      <w:r w:rsidR="00D56942" w:rsidRPr="000811BE">
        <w:rPr>
          <w:rFonts w:ascii="Arial" w:hAnsi="Arial" w:cs="Arial"/>
          <w:bCs/>
          <w:kern w:val="1"/>
          <w:sz w:val="18"/>
          <w:szCs w:val="18"/>
          <w:lang w:eastAsia="ar-SA"/>
        </w:rPr>
        <w:t xml:space="preserve">y los </w:t>
      </w:r>
      <w:r w:rsidR="00EF3BAA" w:rsidRPr="000811BE">
        <w:rPr>
          <w:rFonts w:ascii="Arial" w:hAnsi="Arial" w:cs="Arial"/>
          <w:bCs/>
          <w:kern w:val="1"/>
          <w:sz w:val="18"/>
          <w:szCs w:val="18"/>
          <w:lang w:eastAsia="ar-SA"/>
        </w:rPr>
        <w:t xml:space="preserve">parámetros que serán utilizados para determinar el cumplimiento de las obligaciones establecidas en los </w:t>
      </w:r>
      <w:r w:rsidR="0084083F" w:rsidRPr="000811BE">
        <w:rPr>
          <w:rFonts w:ascii="Arial" w:hAnsi="Arial" w:cs="Arial"/>
          <w:bCs/>
          <w:kern w:val="1"/>
          <w:sz w:val="18"/>
          <w:szCs w:val="18"/>
          <w:lang w:eastAsia="ar-SA"/>
        </w:rPr>
        <w:t>mismos</w:t>
      </w:r>
      <w:r w:rsidR="00EF3BAA" w:rsidRPr="000811BE">
        <w:rPr>
          <w:rFonts w:ascii="Arial" w:hAnsi="Arial" w:cs="Arial"/>
          <w:bCs/>
          <w:kern w:val="1"/>
          <w:sz w:val="18"/>
          <w:szCs w:val="18"/>
          <w:lang w:eastAsia="ar-SA"/>
        </w:rPr>
        <w:t>.</w:t>
      </w:r>
    </w:p>
    <w:p w14:paraId="19D535E4" w14:textId="77777777" w:rsidR="00F846E3" w:rsidRDefault="00F846E3" w:rsidP="00302699">
      <w:pPr>
        <w:spacing w:after="0"/>
        <w:contextualSpacing/>
        <w:mirrorIndents/>
        <w:jc w:val="both"/>
        <w:rPr>
          <w:rFonts w:ascii="Arial" w:hAnsi="Arial" w:cs="Arial"/>
          <w:b/>
          <w:kern w:val="1"/>
          <w:sz w:val="18"/>
          <w:szCs w:val="18"/>
          <w:lang w:eastAsia="ar-SA"/>
        </w:rPr>
      </w:pPr>
    </w:p>
    <w:p w14:paraId="69243EB1" w14:textId="773726B7" w:rsidR="00AF261D" w:rsidRPr="00C57285" w:rsidRDefault="0036239D" w:rsidP="00302699">
      <w:pPr>
        <w:spacing w:after="0"/>
        <w:contextualSpacing/>
        <w:mirrorIndents/>
        <w:jc w:val="both"/>
        <w:rPr>
          <w:rFonts w:ascii="Arial" w:hAnsi="Arial" w:cs="Arial"/>
          <w:bCs/>
          <w:kern w:val="1"/>
          <w:sz w:val="18"/>
          <w:szCs w:val="18"/>
          <w:lang w:eastAsia="ar-SA"/>
        </w:rPr>
      </w:pPr>
      <w:proofErr w:type="gramStart"/>
      <w:r w:rsidRPr="00C57285">
        <w:rPr>
          <w:rFonts w:ascii="Arial" w:hAnsi="Arial" w:cs="Arial"/>
          <w:b/>
          <w:kern w:val="1"/>
          <w:sz w:val="18"/>
          <w:szCs w:val="18"/>
          <w:lang w:eastAsia="ar-SA"/>
        </w:rPr>
        <w:t>Quinto.-</w:t>
      </w:r>
      <w:proofErr w:type="gramEnd"/>
      <w:r w:rsidRPr="00C57285">
        <w:rPr>
          <w:rFonts w:ascii="Arial" w:hAnsi="Arial" w:cs="Arial"/>
          <w:b/>
          <w:kern w:val="1"/>
          <w:sz w:val="18"/>
          <w:szCs w:val="18"/>
          <w:lang w:eastAsia="ar-SA"/>
        </w:rPr>
        <w:t xml:space="preserve"> El desbloqueo de equipos en el ámbito internacional.</w:t>
      </w:r>
      <w:r w:rsidRPr="00C57285">
        <w:rPr>
          <w:rFonts w:ascii="Arial" w:hAnsi="Arial" w:cs="Arial"/>
          <w:bCs/>
          <w:kern w:val="1"/>
          <w:sz w:val="18"/>
          <w:szCs w:val="18"/>
          <w:lang w:eastAsia="ar-SA"/>
        </w:rPr>
        <w:t xml:space="preserve"> </w:t>
      </w:r>
      <w:r w:rsidR="00AF4817" w:rsidRPr="00C57285">
        <w:rPr>
          <w:rFonts w:ascii="Arial" w:hAnsi="Arial" w:cs="Arial"/>
          <w:bCs/>
          <w:kern w:val="1"/>
          <w:sz w:val="18"/>
          <w:szCs w:val="18"/>
          <w:lang w:eastAsia="ar-SA"/>
        </w:rPr>
        <w:t>De</w:t>
      </w:r>
      <w:r w:rsidR="00AF261D" w:rsidRPr="00C57285">
        <w:rPr>
          <w:rFonts w:ascii="Arial" w:hAnsi="Arial" w:cs="Arial"/>
          <w:bCs/>
          <w:kern w:val="1"/>
          <w:sz w:val="18"/>
          <w:szCs w:val="18"/>
          <w:lang w:eastAsia="ar-SA"/>
        </w:rPr>
        <w:t xml:space="preserve"> la experiencia internacional relacionada con el desbloqueo de equipos terminales es posible identificar diversos esquemas regulatorios en los cuales los equipos terminales son comercializados de manera desbloqueada sin importar la modalidad contractual en la que son puestos a disposición del usuario final y otros en los que el desbloqueo se realiza una vez cumplidas condiciones como la conclusión del plazo del contrato del servicio o la terminación anticipada del mismo.</w:t>
      </w:r>
    </w:p>
    <w:p w14:paraId="0CF7FFD3" w14:textId="2E860D11" w:rsidR="00AF261D" w:rsidRPr="00C57285" w:rsidRDefault="00AF261D" w:rsidP="00302699">
      <w:pPr>
        <w:spacing w:after="0"/>
        <w:contextualSpacing/>
        <w:mirrorIndents/>
        <w:jc w:val="both"/>
        <w:rPr>
          <w:rFonts w:ascii="Arial" w:hAnsi="Arial" w:cs="Arial"/>
          <w:bCs/>
          <w:kern w:val="1"/>
          <w:sz w:val="18"/>
          <w:szCs w:val="18"/>
          <w:lang w:eastAsia="ar-SA"/>
        </w:rPr>
      </w:pPr>
    </w:p>
    <w:p w14:paraId="2EDB3B26" w14:textId="1C5C4C62" w:rsidR="00C47033" w:rsidRPr="00C57285" w:rsidRDefault="00191DF4" w:rsidP="00737583">
      <w:pPr>
        <w:pStyle w:val="NormalWeb"/>
        <w:spacing w:before="0" w:beforeAutospacing="0" w:after="0" w:afterAutospacing="0" w:line="276" w:lineRule="auto"/>
        <w:jc w:val="both"/>
        <w:rPr>
          <w:rFonts w:ascii="Arial" w:hAnsi="Arial" w:cs="Arial"/>
          <w:bCs/>
          <w:kern w:val="1"/>
          <w:sz w:val="18"/>
          <w:szCs w:val="18"/>
          <w:lang w:eastAsia="ar-SA"/>
        </w:rPr>
      </w:pPr>
      <w:r w:rsidRPr="00C57285">
        <w:rPr>
          <w:rFonts w:ascii="Arial" w:hAnsi="Arial" w:cs="Arial"/>
          <w:bCs/>
          <w:kern w:val="1"/>
          <w:sz w:val="18"/>
          <w:szCs w:val="18"/>
          <w:lang w:eastAsia="ar-SA"/>
        </w:rPr>
        <w:lastRenderedPageBreak/>
        <w:t>Ejemplo</w:t>
      </w:r>
      <w:r w:rsidR="00D65394" w:rsidRPr="00C57285">
        <w:rPr>
          <w:rFonts w:ascii="Arial" w:hAnsi="Arial" w:cs="Arial"/>
          <w:bCs/>
          <w:kern w:val="1"/>
          <w:sz w:val="18"/>
          <w:szCs w:val="18"/>
          <w:lang w:eastAsia="ar-SA"/>
        </w:rPr>
        <w:t xml:space="preserve"> de lo anterior se observa en países como Canadá, en donde </w:t>
      </w:r>
      <w:r w:rsidR="003F4542" w:rsidRPr="00C57285">
        <w:rPr>
          <w:rFonts w:ascii="Arial" w:hAnsi="Arial" w:cs="Arial"/>
          <w:bCs/>
          <w:kern w:val="1"/>
          <w:sz w:val="18"/>
          <w:szCs w:val="18"/>
          <w:lang w:eastAsia="ar-SA"/>
        </w:rPr>
        <w:t>el regulador del sector de telecomunicaciones,</w:t>
      </w:r>
      <w:r w:rsidR="00D65394" w:rsidRPr="00C57285">
        <w:rPr>
          <w:rFonts w:ascii="Arial" w:hAnsi="Arial" w:cs="Arial"/>
          <w:bCs/>
          <w:kern w:val="1"/>
          <w:sz w:val="18"/>
          <w:szCs w:val="18"/>
          <w:lang w:eastAsia="ar-SA"/>
        </w:rPr>
        <w:t xml:space="preserve"> </w:t>
      </w:r>
      <w:r w:rsidR="00041CD8" w:rsidRPr="00C57285">
        <w:rPr>
          <w:rFonts w:ascii="Arial" w:hAnsi="Arial" w:cs="Arial"/>
          <w:bCs/>
          <w:kern w:val="1"/>
          <w:sz w:val="18"/>
          <w:szCs w:val="18"/>
          <w:lang w:eastAsia="ar-SA"/>
        </w:rPr>
        <w:t>Canadian Radio-</w:t>
      </w:r>
      <w:proofErr w:type="spellStart"/>
      <w:r w:rsidR="00041CD8" w:rsidRPr="00C57285">
        <w:rPr>
          <w:rFonts w:ascii="Arial" w:hAnsi="Arial" w:cs="Arial"/>
          <w:bCs/>
          <w:kern w:val="1"/>
          <w:sz w:val="18"/>
          <w:szCs w:val="18"/>
          <w:lang w:eastAsia="ar-SA"/>
        </w:rPr>
        <w:t>television</w:t>
      </w:r>
      <w:proofErr w:type="spellEnd"/>
      <w:r w:rsidR="00041CD8" w:rsidRPr="00C57285">
        <w:rPr>
          <w:rFonts w:ascii="Arial" w:hAnsi="Arial" w:cs="Arial"/>
          <w:bCs/>
          <w:kern w:val="1"/>
          <w:sz w:val="18"/>
          <w:szCs w:val="18"/>
          <w:lang w:eastAsia="ar-SA"/>
        </w:rPr>
        <w:t xml:space="preserve"> and </w:t>
      </w:r>
      <w:proofErr w:type="spellStart"/>
      <w:r w:rsidR="00041CD8" w:rsidRPr="00C57285">
        <w:rPr>
          <w:rFonts w:ascii="Arial" w:hAnsi="Arial" w:cs="Arial"/>
          <w:bCs/>
          <w:kern w:val="1"/>
          <w:sz w:val="18"/>
          <w:szCs w:val="18"/>
          <w:lang w:eastAsia="ar-SA"/>
        </w:rPr>
        <w:t>Telecommunications</w:t>
      </w:r>
      <w:proofErr w:type="spellEnd"/>
      <w:r w:rsidR="00041CD8" w:rsidRPr="00C57285">
        <w:rPr>
          <w:rFonts w:ascii="Arial" w:hAnsi="Arial" w:cs="Arial"/>
          <w:bCs/>
          <w:kern w:val="1"/>
          <w:sz w:val="18"/>
          <w:szCs w:val="18"/>
          <w:lang w:eastAsia="ar-SA"/>
        </w:rPr>
        <w:t xml:space="preserve"> </w:t>
      </w:r>
      <w:proofErr w:type="spellStart"/>
      <w:r w:rsidR="00041CD8" w:rsidRPr="00C57285">
        <w:rPr>
          <w:rFonts w:ascii="Arial" w:hAnsi="Arial" w:cs="Arial"/>
          <w:bCs/>
          <w:kern w:val="1"/>
          <w:sz w:val="18"/>
          <w:szCs w:val="18"/>
          <w:lang w:eastAsia="ar-SA"/>
        </w:rPr>
        <w:t>Commission</w:t>
      </w:r>
      <w:proofErr w:type="spellEnd"/>
      <w:r w:rsidR="00041CD8" w:rsidRPr="00C57285">
        <w:rPr>
          <w:rFonts w:ascii="Arial" w:hAnsi="Arial" w:cs="Arial"/>
          <w:bCs/>
          <w:kern w:val="1"/>
          <w:sz w:val="18"/>
          <w:szCs w:val="18"/>
          <w:lang w:eastAsia="ar-SA"/>
        </w:rPr>
        <w:t xml:space="preserve"> </w:t>
      </w:r>
      <w:r w:rsidR="00D65394" w:rsidRPr="00C57285">
        <w:rPr>
          <w:rFonts w:ascii="Arial" w:hAnsi="Arial" w:cs="Arial"/>
          <w:bCs/>
          <w:kern w:val="1"/>
          <w:sz w:val="18"/>
          <w:szCs w:val="18"/>
          <w:lang w:eastAsia="ar-SA"/>
        </w:rPr>
        <w:t>(CR</w:t>
      </w:r>
      <w:r w:rsidR="0014383E" w:rsidRPr="00C57285">
        <w:rPr>
          <w:rFonts w:ascii="Arial" w:hAnsi="Arial" w:cs="Arial"/>
          <w:bCs/>
          <w:kern w:val="1"/>
          <w:sz w:val="18"/>
          <w:szCs w:val="18"/>
          <w:lang w:eastAsia="ar-SA"/>
        </w:rPr>
        <w:t>T</w:t>
      </w:r>
      <w:r w:rsidR="00D65394" w:rsidRPr="00C57285">
        <w:rPr>
          <w:rFonts w:ascii="Arial" w:hAnsi="Arial" w:cs="Arial"/>
          <w:bCs/>
          <w:kern w:val="1"/>
          <w:sz w:val="18"/>
          <w:szCs w:val="18"/>
          <w:lang w:eastAsia="ar-SA"/>
        </w:rPr>
        <w:t>C, por sus siglas en inglés</w:t>
      </w:r>
      <w:r w:rsidRPr="00C57285">
        <w:rPr>
          <w:rFonts w:ascii="Arial" w:hAnsi="Arial" w:cs="Arial"/>
          <w:bCs/>
          <w:kern w:val="1"/>
          <w:sz w:val="18"/>
          <w:szCs w:val="18"/>
          <w:lang w:eastAsia="ar-SA"/>
        </w:rPr>
        <w:t>)</w:t>
      </w:r>
      <w:r w:rsidR="0014383E" w:rsidRPr="00C57285">
        <w:rPr>
          <w:rFonts w:ascii="Arial" w:hAnsi="Arial" w:cs="Arial"/>
          <w:bCs/>
          <w:kern w:val="1"/>
          <w:sz w:val="18"/>
          <w:szCs w:val="18"/>
          <w:lang w:eastAsia="ar-SA"/>
        </w:rPr>
        <w:t>,</w:t>
      </w:r>
      <w:r w:rsidRPr="00C57285">
        <w:rPr>
          <w:rFonts w:ascii="Arial" w:hAnsi="Arial" w:cs="Arial"/>
          <w:bCs/>
          <w:kern w:val="1"/>
          <w:sz w:val="18"/>
          <w:szCs w:val="18"/>
          <w:lang w:eastAsia="ar-SA"/>
        </w:rPr>
        <w:t xml:space="preserve"> ha emitido </w:t>
      </w:r>
      <w:r w:rsidR="002D4FE4" w:rsidRPr="00C57285">
        <w:rPr>
          <w:rFonts w:ascii="Arial" w:hAnsi="Arial" w:cs="Arial"/>
          <w:bCs/>
          <w:kern w:val="1"/>
          <w:sz w:val="18"/>
          <w:szCs w:val="18"/>
          <w:lang w:eastAsia="ar-SA"/>
        </w:rPr>
        <w:t xml:space="preserve">diversas </w:t>
      </w:r>
      <w:r w:rsidRPr="00C57285">
        <w:rPr>
          <w:rFonts w:ascii="Arial" w:hAnsi="Arial" w:cs="Arial"/>
          <w:bCs/>
          <w:kern w:val="1"/>
          <w:sz w:val="18"/>
          <w:szCs w:val="18"/>
          <w:lang w:eastAsia="ar-SA"/>
        </w:rPr>
        <w:t>disposiciones</w:t>
      </w:r>
      <w:r w:rsidR="008F0D71" w:rsidRPr="00C57285">
        <w:rPr>
          <w:rStyle w:val="Refdenotaalpie"/>
          <w:rFonts w:ascii="Arial" w:hAnsi="Arial" w:cs="Arial"/>
          <w:bCs/>
          <w:kern w:val="1"/>
          <w:sz w:val="18"/>
          <w:szCs w:val="18"/>
          <w:lang w:eastAsia="ar-SA"/>
        </w:rPr>
        <w:footnoteReference w:id="2"/>
      </w:r>
      <w:r w:rsidRPr="00C57285">
        <w:rPr>
          <w:rFonts w:ascii="Arial" w:hAnsi="Arial" w:cs="Arial"/>
          <w:bCs/>
          <w:kern w:val="1"/>
          <w:sz w:val="18"/>
          <w:szCs w:val="18"/>
          <w:lang w:eastAsia="ar-SA"/>
        </w:rPr>
        <w:t xml:space="preserve"> </w:t>
      </w:r>
      <w:r w:rsidR="008F0D71" w:rsidRPr="00C57285">
        <w:rPr>
          <w:rFonts w:ascii="Arial" w:hAnsi="Arial" w:cs="Arial"/>
          <w:bCs/>
          <w:kern w:val="1"/>
          <w:sz w:val="18"/>
          <w:szCs w:val="18"/>
          <w:lang w:eastAsia="ar-SA"/>
        </w:rPr>
        <w:t xml:space="preserve">mediante las cuales </w:t>
      </w:r>
      <w:r w:rsidRPr="00C57285">
        <w:rPr>
          <w:rFonts w:ascii="Arial" w:hAnsi="Arial" w:cs="Arial"/>
          <w:bCs/>
          <w:kern w:val="1"/>
          <w:sz w:val="18"/>
          <w:szCs w:val="18"/>
          <w:lang w:eastAsia="ar-SA"/>
        </w:rPr>
        <w:t>determinó que</w:t>
      </w:r>
      <w:r w:rsidR="008F0D71" w:rsidRPr="00C57285">
        <w:rPr>
          <w:rFonts w:ascii="Arial" w:hAnsi="Arial" w:cs="Arial"/>
          <w:bCs/>
          <w:kern w:val="1"/>
          <w:sz w:val="18"/>
          <w:szCs w:val="18"/>
          <w:lang w:eastAsia="ar-SA"/>
        </w:rPr>
        <w:t xml:space="preserve"> </w:t>
      </w:r>
      <w:r w:rsidR="00A760D1" w:rsidRPr="00737583">
        <w:rPr>
          <w:rFonts w:ascii="Arial" w:eastAsia="Calibri" w:hAnsi="Arial" w:cs="Arial"/>
          <w:bCs/>
          <w:kern w:val="1"/>
          <w:sz w:val="18"/>
          <w:szCs w:val="18"/>
          <w:lang w:val="es-ES" w:eastAsia="ar-SA"/>
        </w:rPr>
        <w:t xml:space="preserve">cualquier dispositivo proporcionado por un proveedor de servicios </w:t>
      </w:r>
      <w:r w:rsidR="00D923EE" w:rsidRPr="00737583">
        <w:rPr>
          <w:rFonts w:ascii="Arial" w:eastAsia="Calibri" w:hAnsi="Arial" w:cs="Arial"/>
          <w:bCs/>
          <w:kern w:val="1"/>
          <w:sz w:val="18"/>
          <w:szCs w:val="18"/>
          <w:lang w:val="es-ES" w:eastAsia="ar-SA"/>
        </w:rPr>
        <w:t xml:space="preserve">móviles </w:t>
      </w:r>
      <w:r w:rsidR="00A760D1" w:rsidRPr="00737583">
        <w:rPr>
          <w:rFonts w:ascii="Arial" w:eastAsia="Calibri" w:hAnsi="Arial" w:cs="Arial"/>
          <w:bCs/>
          <w:kern w:val="1"/>
          <w:sz w:val="18"/>
          <w:szCs w:val="18"/>
          <w:lang w:val="es-ES" w:eastAsia="ar-SA"/>
        </w:rPr>
        <w:t xml:space="preserve">debe </w:t>
      </w:r>
      <w:r w:rsidR="00D923EE" w:rsidRPr="00737583">
        <w:rPr>
          <w:rFonts w:ascii="Arial" w:eastAsia="Calibri" w:hAnsi="Arial" w:cs="Arial"/>
          <w:bCs/>
          <w:kern w:val="1"/>
          <w:sz w:val="18"/>
          <w:szCs w:val="18"/>
          <w:lang w:val="es-ES" w:eastAsia="ar-SA"/>
        </w:rPr>
        <w:t>encontrarse</w:t>
      </w:r>
      <w:r w:rsidR="00A760D1" w:rsidRPr="00737583">
        <w:rPr>
          <w:rFonts w:ascii="Arial" w:eastAsia="Calibri" w:hAnsi="Arial" w:cs="Arial"/>
          <w:bCs/>
          <w:kern w:val="1"/>
          <w:sz w:val="18"/>
          <w:szCs w:val="18"/>
          <w:lang w:val="es-ES" w:eastAsia="ar-SA"/>
        </w:rPr>
        <w:t xml:space="preserve"> desbloqueado.</w:t>
      </w:r>
      <w:r w:rsidR="00D65394" w:rsidRPr="00737583">
        <w:rPr>
          <w:rFonts w:ascii="Arial" w:eastAsia="Calibri" w:hAnsi="Arial" w:cs="Arial"/>
          <w:bCs/>
          <w:kern w:val="1"/>
          <w:sz w:val="18"/>
          <w:szCs w:val="18"/>
          <w:lang w:val="es-ES" w:eastAsia="ar-SA"/>
        </w:rPr>
        <w:t xml:space="preserve"> </w:t>
      </w:r>
      <w:r w:rsidR="003D66E5" w:rsidRPr="00737583">
        <w:rPr>
          <w:rFonts w:ascii="Arial" w:eastAsia="Calibri" w:hAnsi="Arial" w:cs="Arial"/>
          <w:bCs/>
          <w:kern w:val="1"/>
          <w:sz w:val="18"/>
          <w:szCs w:val="18"/>
          <w:lang w:val="es-ES" w:eastAsia="ar-SA"/>
        </w:rPr>
        <w:t>De forma</w:t>
      </w:r>
      <w:r w:rsidR="00466589" w:rsidRPr="00737583">
        <w:rPr>
          <w:rFonts w:ascii="Arial" w:eastAsia="Calibri" w:hAnsi="Arial" w:cs="Arial"/>
          <w:bCs/>
          <w:kern w:val="1"/>
          <w:sz w:val="18"/>
          <w:szCs w:val="18"/>
          <w:lang w:val="es-ES" w:eastAsia="ar-SA"/>
        </w:rPr>
        <w:t xml:space="preserve"> similar</w:t>
      </w:r>
      <w:r w:rsidR="003D66E5" w:rsidRPr="00737583">
        <w:rPr>
          <w:rFonts w:ascii="Arial" w:eastAsia="Calibri" w:hAnsi="Arial" w:cs="Arial"/>
          <w:bCs/>
          <w:kern w:val="1"/>
          <w:sz w:val="18"/>
          <w:szCs w:val="18"/>
          <w:lang w:val="es-ES" w:eastAsia="ar-SA"/>
        </w:rPr>
        <w:t>,</w:t>
      </w:r>
      <w:r w:rsidR="002D4FE4" w:rsidRPr="00737583">
        <w:rPr>
          <w:rFonts w:ascii="Arial" w:eastAsia="Calibri" w:hAnsi="Arial" w:cs="Arial"/>
          <w:bCs/>
          <w:kern w:val="1"/>
          <w:sz w:val="18"/>
          <w:szCs w:val="18"/>
          <w:lang w:val="es-ES" w:eastAsia="ar-SA"/>
        </w:rPr>
        <w:t xml:space="preserve"> </w:t>
      </w:r>
      <w:r w:rsidR="005C6B67" w:rsidRPr="00737583">
        <w:rPr>
          <w:rFonts w:ascii="Arial" w:eastAsia="Calibri" w:hAnsi="Arial" w:cs="Arial"/>
          <w:bCs/>
          <w:kern w:val="1"/>
          <w:sz w:val="18"/>
          <w:szCs w:val="18"/>
          <w:lang w:val="es-ES" w:eastAsia="ar-SA"/>
        </w:rPr>
        <w:t xml:space="preserve">la Subsecretaria de </w:t>
      </w:r>
      <w:r w:rsidR="005C6B67">
        <w:rPr>
          <w:rFonts w:ascii="Arial" w:eastAsia="Calibri" w:hAnsi="Arial" w:cs="Arial"/>
          <w:bCs/>
          <w:kern w:val="1"/>
          <w:sz w:val="18"/>
          <w:szCs w:val="18"/>
          <w:lang w:val="es-ES" w:eastAsia="ar-SA"/>
        </w:rPr>
        <w:t>T</w:t>
      </w:r>
      <w:r w:rsidR="005C6B67" w:rsidRPr="00737583">
        <w:rPr>
          <w:rFonts w:ascii="Arial" w:eastAsia="Calibri" w:hAnsi="Arial" w:cs="Arial"/>
          <w:bCs/>
          <w:kern w:val="1"/>
          <w:sz w:val="18"/>
          <w:szCs w:val="18"/>
          <w:lang w:val="es-ES" w:eastAsia="ar-SA"/>
        </w:rPr>
        <w:t>elecomunicaciones</w:t>
      </w:r>
      <w:r w:rsidR="005C6B67">
        <w:rPr>
          <w:rFonts w:ascii="Arial" w:eastAsia="Calibri" w:hAnsi="Arial" w:cs="Arial"/>
          <w:bCs/>
          <w:kern w:val="1"/>
          <w:sz w:val="18"/>
          <w:szCs w:val="18"/>
          <w:lang w:val="es-ES" w:eastAsia="ar-SA"/>
        </w:rPr>
        <w:t xml:space="preserve"> de</w:t>
      </w:r>
      <w:r w:rsidR="005C6B67" w:rsidRPr="00737583">
        <w:rPr>
          <w:rFonts w:ascii="Arial" w:eastAsia="Calibri" w:hAnsi="Arial" w:cs="Arial"/>
          <w:bCs/>
          <w:kern w:val="1"/>
          <w:sz w:val="18"/>
          <w:szCs w:val="18"/>
          <w:lang w:val="es-ES" w:eastAsia="ar-SA"/>
        </w:rPr>
        <w:t xml:space="preserve"> </w:t>
      </w:r>
      <w:r w:rsidR="002D4FE4" w:rsidRPr="00C57285">
        <w:rPr>
          <w:rFonts w:ascii="Arial" w:hAnsi="Arial" w:cs="Arial"/>
          <w:bCs/>
          <w:kern w:val="1"/>
          <w:sz w:val="18"/>
          <w:szCs w:val="18"/>
          <w:lang w:eastAsia="ar-SA"/>
        </w:rPr>
        <w:t>Chile</w:t>
      </w:r>
      <w:r w:rsidR="00D65394" w:rsidRPr="00C57285">
        <w:rPr>
          <w:rStyle w:val="Refdenotaalpie"/>
          <w:rFonts w:ascii="Arial" w:hAnsi="Arial" w:cs="Arial"/>
          <w:bCs/>
          <w:kern w:val="1"/>
          <w:sz w:val="18"/>
          <w:szCs w:val="18"/>
          <w:lang w:eastAsia="ar-SA"/>
        </w:rPr>
        <w:footnoteReference w:id="3"/>
      </w:r>
      <w:r w:rsidR="005C6B67">
        <w:rPr>
          <w:rFonts w:ascii="Arial" w:hAnsi="Arial" w:cs="Arial"/>
          <w:bCs/>
          <w:kern w:val="1"/>
          <w:sz w:val="18"/>
          <w:szCs w:val="18"/>
          <w:lang w:eastAsia="ar-SA"/>
        </w:rPr>
        <w:t xml:space="preserve"> (SUBTEL),</w:t>
      </w:r>
      <w:r w:rsidR="00D65394" w:rsidRPr="00C57285">
        <w:rPr>
          <w:rFonts w:ascii="Arial" w:hAnsi="Arial" w:cs="Arial"/>
          <w:bCs/>
          <w:kern w:val="1"/>
          <w:sz w:val="18"/>
          <w:szCs w:val="18"/>
          <w:lang w:eastAsia="ar-SA"/>
        </w:rPr>
        <w:t xml:space="preserve"> </w:t>
      </w:r>
      <w:r w:rsidR="002D4FE4" w:rsidRPr="00C57285">
        <w:rPr>
          <w:rFonts w:ascii="Arial" w:hAnsi="Arial" w:cs="Arial"/>
          <w:bCs/>
          <w:kern w:val="1"/>
          <w:sz w:val="18"/>
          <w:szCs w:val="18"/>
          <w:lang w:eastAsia="ar-SA"/>
        </w:rPr>
        <w:t>determin</w:t>
      </w:r>
      <w:r w:rsidR="0023662A" w:rsidRPr="00C57285">
        <w:rPr>
          <w:rFonts w:ascii="Arial" w:hAnsi="Arial" w:cs="Arial"/>
          <w:bCs/>
          <w:kern w:val="1"/>
          <w:sz w:val="18"/>
          <w:szCs w:val="18"/>
          <w:lang w:eastAsia="ar-SA"/>
        </w:rPr>
        <w:t>ó</w:t>
      </w:r>
      <w:r w:rsidR="002D4FE4" w:rsidRPr="00C57285">
        <w:rPr>
          <w:rFonts w:ascii="Arial" w:hAnsi="Arial" w:cs="Arial"/>
          <w:bCs/>
          <w:kern w:val="1"/>
          <w:sz w:val="18"/>
          <w:szCs w:val="18"/>
          <w:lang w:eastAsia="ar-SA"/>
        </w:rPr>
        <w:t xml:space="preserve"> que</w:t>
      </w:r>
      <w:r w:rsidR="00466589" w:rsidRPr="00C57285">
        <w:rPr>
          <w:rFonts w:ascii="Arial" w:hAnsi="Arial" w:cs="Arial"/>
          <w:bCs/>
          <w:kern w:val="1"/>
          <w:sz w:val="18"/>
          <w:szCs w:val="18"/>
          <w:lang w:eastAsia="ar-SA"/>
        </w:rPr>
        <w:t xml:space="preserve"> todos</w:t>
      </w:r>
      <w:r w:rsidR="00D65394" w:rsidRPr="00C57285">
        <w:rPr>
          <w:rFonts w:ascii="Arial" w:hAnsi="Arial" w:cs="Arial"/>
          <w:bCs/>
          <w:kern w:val="1"/>
          <w:sz w:val="18"/>
          <w:szCs w:val="18"/>
          <w:lang w:eastAsia="ar-SA"/>
        </w:rPr>
        <w:t xml:space="preserve"> los equipos terminales </w:t>
      </w:r>
      <w:r w:rsidR="002D4FE4" w:rsidRPr="00C57285">
        <w:rPr>
          <w:rFonts w:ascii="Arial" w:hAnsi="Arial" w:cs="Arial"/>
          <w:bCs/>
          <w:kern w:val="1"/>
          <w:sz w:val="18"/>
          <w:szCs w:val="18"/>
          <w:lang w:eastAsia="ar-SA"/>
        </w:rPr>
        <w:t>móviles</w:t>
      </w:r>
      <w:r w:rsidR="00466589" w:rsidRPr="00C57285">
        <w:rPr>
          <w:rFonts w:ascii="Arial" w:hAnsi="Arial" w:cs="Arial"/>
          <w:bCs/>
          <w:kern w:val="1"/>
          <w:sz w:val="18"/>
          <w:szCs w:val="18"/>
          <w:lang w:eastAsia="ar-SA"/>
        </w:rPr>
        <w:t xml:space="preserve"> comercializados</w:t>
      </w:r>
      <w:r w:rsidR="002D4FE4" w:rsidRPr="00C57285">
        <w:rPr>
          <w:rFonts w:ascii="Arial" w:hAnsi="Arial" w:cs="Arial"/>
          <w:bCs/>
          <w:kern w:val="1"/>
          <w:sz w:val="18"/>
          <w:szCs w:val="18"/>
          <w:lang w:eastAsia="ar-SA"/>
        </w:rPr>
        <w:t xml:space="preserve"> </w:t>
      </w:r>
      <w:r w:rsidR="00466589" w:rsidRPr="00C57285">
        <w:rPr>
          <w:rFonts w:ascii="Arial" w:hAnsi="Arial" w:cs="Arial"/>
          <w:bCs/>
          <w:kern w:val="1"/>
          <w:sz w:val="18"/>
          <w:szCs w:val="18"/>
          <w:lang w:eastAsia="ar-SA"/>
        </w:rPr>
        <w:t xml:space="preserve">bajo cualquier modalidad contractual </w:t>
      </w:r>
      <w:r w:rsidR="00D65394" w:rsidRPr="00C57285">
        <w:rPr>
          <w:rFonts w:ascii="Arial" w:hAnsi="Arial" w:cs="Arial"/>
          <w:bCs/>
          <w:kern w:val="1"/>
          <w:sz w:val="18"/>
          <w:szCs w:val="18"/>
          <w:lang w:eastAsia="ar-SA"/>
        </w:rPr>
        <w:t xml:space="preserve">no </w:t>
      </w:r>
      <w:r w:rsidR="008E6791" w:rsidRPr="00C57285">
        <w:rPr>
          <w:rFonts w:ascii="Arial" w:hAnsi="Arial" w:cs="Arial"/>
          <w:bCs/>
          <w:kern w:val="1"/>
          <w:sz w:val="18"/>
          <w:szCs w:val="18"/>
          <w:lang w:eastAsia="ar-SA"/>
        </w:rPr>
        <w:t>deben</w:t>
      </w:r>
      <w:r w:rsidR="00D65394" w:rsidRPr="00C57285">
        <w:rPr>
          <w:rFonts w:ascii="Arial" w:hAnsi="Arial" w:cs="Arial"/>
          <w:bCs/>
          <w:kern w:val="1"/>
          <w:sz w:val="18"/>
          <w:szCs w:val="18"/>
          <w:lang w:eastAsia="ar-SA"/>
        </w:rPr>
        <w:t xml:space="preserve"> </w:t>
      </w:r>
      <w:r w:rsidR="0023662A" w:rsidRPr="00C57285">
        <w:rPr>
          <w:rFonts w:ascii="Arial" w:hAnsi="Arial" w:cs="Arial"/>
          <w:bCs/>
          <w:kern w:val="1"/>
          <w:sz w:val="18"/>
          <w:szCs w:val="18"/>
          <w:lang w:eastAsia="ar-SA"/>
        </w:rPr>
        <w:t xml:space="preserve">contar con restricciones </w:t>
      </w:r>
      <w:r w:rsidR="00D65394" w:rsidRPr="00C57285">
        <w:rPr>
          <w:rFonts w:ascii="Arial" w:hAnsi="Arial" w:cs="Arial"/>
          <w:bCs/>
          <w:kern w:val="1"/>
          <w:sz w:val="18"/>
          <w:szCs w:val="18"/>
          <w:lang w:eastAsia="ar-SA"/>
        </w:rPr>
        <w:t>técnicas que</w:t>
      </w:r>
      <w:r w:rsidR="0023662A" w:rsidRPr="00C57285">
        <w:rPr>
          <w:rFonts w:ascii="Arial" w:hAnsi="Arial" w:cs="Arial"/>
          <w:bCs/>
          <w:kern w:val="1"/>
          <w:sz w:val="18"/>
          <w:szCs w:val="18"/>
          <w:lang w:eastAsia="ar-SA"/>
        </w:rPr>
        <w:t xml:space="preserve"> limiten </w:t>
      </w:r>
      <w:r w:rsidR="00D65394" w:rsidRPr="00C57285">
        <w:rPr>
          <w:rFonts w:ascii="Arial" w:hAnsi="Arial" w:cs="Arial"/>
          <w:bCs/>
          <w:kern w:val="1"/>
          <w:sz w:val="18"/>
          <w:szCs w:val="18"/>
          <w:lang w:eastAsia="ar-SA"/>
        </w:rPr>
        <w:t xml:space="preserve">su uso en una sola red. </w:t>
      </w:r>
    </w:p>
    <w:p w14:paraId="5AA1C435" w14:textId="77777777" w:rsidR="00C47033" w:rsidRPr="00C57285" w:rsidRDefault="00C47033" w:rsidP="00302699">
      <w:pPr>
        <w:spacing w:after="0"/>
        <w:contextualSpacing/>
        <w:mirrorIndents/>
        <w:jc w:val="both"/>
        <w:rPr>
          <w:rFonts w:ascii="Arial" w:hAnsi="Arial" w:cs="Arial"/>
          <w:bCs/>
          <w:kern w:val="1"/>
          <w:sz w:val="18"/>
          <w:szCs w:val="18"/>
          <w:lang w:eastAsia="ar-SA"/>
        </w:rPr>
      </w:pPr>
    </w:p>
    <w:p w14:paraId="67209E25" w14:textId="4C839C34" w:rsidR="008F0D71" w:rsidRPr="00C57285" w:rsidRDefault="00C47033" w:rsidP="00302699">
      <w:pPr>
        <w:spacing w:after="0"/>
        <w:contextualSpacing/>
        <w:mirrorIndents/>
        <w:jc w:val="both"/>
        <w:rPr>
          <w:rFonts w:ascii="Arial" w:hAnsi="Arial" w:cs="Arial"/>
          <w:bCs/>
          <w:kern w:val="1"/>
          <w:sz w:val="18"/>
          <w:szCs w:val="18"/>
          <w:lang w:eastAsia="ar-SA"/>
        </w:rPr>
      </w:pPr>
      <w:r w:rsidRPr="00C57285">
        <w:rPr>
          <w:rFonts w:ascii="Arial" w:hAnsi="Arial" w:cs="Arial"/>
          <w:bCs/>
          <w:kern w:val="1"/>
          <w:sz w:val="18"/>
          <w:szCs w:val="18"/>
          <w:lang w:eastAsia="ar-SA"/>
        </w:rPr>
        <w:t>Por otra parte, en</w:t>
      </w:r>
      <w:r w:rsidR="00D65394" w:rsidRPr="00C57285">
        <w:rPr>
          <w:rFonts w:ascii="Arial" w:hAnsi="Arial" w:cs="Arial"/>
          <w:bCs/>
          <w:kern w:val="1"/>
          <w:sz w:val="18"/>
          <w:szCs w:val="18"/>
          <w:lang w:eastAsia="ar-SA"/>
        </w:rPr>
        <w:t xml:space="preserve"> Estados Unidos, la</w:t>
      </w:r>
      <w:r w:rsidR="005B32A8" w:rsidRPr="00C57285">
        <w:rPr>
          <w:rFonts w:ascii="Arial" w:hAnsi="Arial" w:cs="Arial"/>
          <w:bCs/>
          <w:kern w:val="1"/>
          <w:sz w:val="18"/>
          <w:szCs w:val="18"/>
          <w:lang w:eastAsia="ar-SA"/>
        </w:rPr>
        <w:t xml:space="preserve"> </w:t>
      </w:r>
      <w:r w:rsidR="000C30A5" w:rsidRPr="00C57285">
        <w:rPr>
          <w:rFonts w:ascii="Arial" w:hAnsi="Arial" w:cs="Arial"/>
          <w:bCs/>
          <w:kern w:val="1"/>
          <w:sz w:val="18"/>
          <w:szCs w:val="18"/>
          <w:lang w:eastAsia="ar-SA"/>
        </w:rPr>
        <w:t>asociación</w:t>
      </w:r>
      <w:r w:rsidR="00D65394" w:rsidRPr="00C57285">
        <w:rPr>
          <w:rFonts w:ascii="Arial" w:hAnsi="Arial" w:cs="Arial"/>
          <w:bCs/>
          <w:kern w:val="1"/>
          <w:sz w:val="18"/>
          <w:szCs w:val="18"/>
          <w:lang w:eastAsia="ar-SA"/>
        </w:rPr>
        <w:t xml:space="preserve"> </w:t>
      </w:r>
      <w:proofErr w:type="spellStart"/>
      <w:r w:rsidR="00D65394" w:rsidRPr="00C57285">
        <w:rPr>
          <w:rFonts w:ascii="Arial" w:hAnsi="Arial" w:cs="Arial"/>
          <w:bCs/>
          <w:kern w:val="1"/>
          <w:sz w:val="18"/>
          <w:szCs w:val="18"/>
          <w:lang w:eastAsia="ar-SA"/>
        </w:rPr>
        <w:t>Cellular</w:t>
      </w:r>
      <w:proofErr w:type="spellEnd"/>
      <w:r w:rsidR="00D65394" w:rsidRPr="00C57285">
        <w:rPr>
          <w:rFonts w:ascii="Arial" w:hAnsi="Arial" w:cs="Arial"/>
          <w:bCs/>
          <w:kern w:val="1"/>
          <w:sz w:val="18"/>
          <w:szCs w:val="18"/>
          <w:lang w:eastAsia="ar-SA"/>
        </w:rPr>
        <w:t xml:space="preserve"> </w:t>
      </w:r>
      <w:proofErr w:type="spellStart"/>
      <w:r w:rsidR="00D65394" w:rsidRPr="00C57285">
        <w:rPr>
          <w:rFonts w:ascii="Arial" w:hAnsi="Arial" w:cs="Arial"/>
          <w:bCs/>
          <w:kern w:val="1"/>
          <w:sz w:val="18"/>
          <w:szCs w:val="18"/>
          <w:lang w:eastAsia="ar-SA"/>
        </w:rPr>
        <w:t>Telecommunications</w:t>
      </w:r>
      <w:proofErr w:type="spellEnd"/>
      <w:r w:rsidR="00D65394" w:rsidRPr="00C57285">
        <w:rPr>
          <w:rFonts w:ascii="Arial" w:hAnsi="Arial" w:cs="Arial"/>
          <w:bCs/>
          <w:kern w:val="1"/>
          <w:sz w:val="18"/>
          <w:szCs w:val="18"/>
          <w:lang w:eastAsia="ar-SA"/>
        </w:rPr>
        <w:t xml:space="preserve"> </w:t>
      </w:r>
      <w:proofErr w:type="spellStart"/>
      <w:r w:rsidR="00D65394" w:rsidRPr="00C57285">
        <w:rPr>
          <w:rFonts w:ascii="Arial" w:hAnsi="Arial" w:cs="Arial"/>
          <w:bCs/>
          <w:kern w:val="1"/>
          <w:sz w:val="18"/>
          <w:szCs w:val="18"/>
          <w:lang w:eastAsia="ar-SA"/>
        </w:rPr>
        <w:t>Industry</w:t>
      </w:r>
      <w:proofErr w:type="spellEnd"/>
      <w:r w:rsidR="00D65394" w:rsidRPr="00C57285">
        <w:rPr>
          <w:rFonts w:ascii="Arial" w:hAnsi="Arial" w:cs="Arial"/>
          <w:bCs/>
          <w:kern w:val="1"/>
          <w:sz w:val="18"/>
          <w:szCs w:val="18"/>
          <w:lang w:eastAsia="ar-SA"/>
        </w:rPr>
        <w:t xml:space="preserve"> </w:t>
      </w:r>
      <w:proofErr w:type="spellStart"/>
      <w:r w:rsidR="00D65394" w:rsidRPr="00C57285">
        <w:rPr>
          <w:rFonts w:ascii="Arial" w:hAnsi="Arial" w:cs="Arial"/>
          <w:bCs/>
          <w:kern w:val="1"/>
          <w:sz w:val="18"/>
          <w:szCs w:val="18"/>
          <w:lang w:eastAsia="ar-SA"/>
        </w:rPr>
        <w:t>Association</w:t>
      </w:r>
      <w:proofErr w:type="spellEnd"/>
      <w:r w:rsidR="005B32A8" w:rsidRPr="00C57285">
        <w:rPr>
          <w:rFonts w:ascii="Arial" w:hAnsi="Arial" w:cs="Arial"/>
          <w:bCs/>
          <w:kern w:val="1"/>
          <w:sz w:val="18"/>
          <w:szCs w:val="18"/>
          <w:lang w:eastAsia="ar-SA"/>
        </w:rPr>
        <w:t xml:space="preserve"> (CTIA, por sus siglas en inglés)</w:t>
      </w:r>
      <w:r w:rsidR="00D65394" w:rsidRPr="00C57285">
        <w:rPr>
          <w:rFonts w:ascii="Arial" w:hAnsi="Arial" w:cs="Arial"/>
          <w:bCs/>
          <w:kern w:val="1"/>
          <w:sz w:val="18"/>
          <w:szCs w:val="18"/>
          <w:lang w:eastAsia="ar-SA"/>
        </w:rPr>
        <w:t xml:space="preserve"> </w:t>
      </w:r>
      <w:r w:rsidR="00194520" w:rsidRPr="00C57285">
        <w:rPr>
          <w:rFonts w:ascii="Arial" w:hAnsi="Arial" w:cs="Arial"/>
          <w:bCs/>
          <w:kern w:val="1"/>
          <w:sz w:val="18"/>
          <w:szCs w:val="18"/>
          <w:lang w:eastAsia="ar-SA"/>
        </w:rPr>
        <w:t>emitió los principios de desbloqueo</w:t>
      </w:r>
      <w:r w:rsidR="00D65394" w:rsidRPr="00C57285">
        <w:rPr>
          <w:rFonts w:ascii="Arial" w:hAnsi="Arial" w:cs="Arial"/>
          <w:bCs/>
          <w:kern w:val="1"/>
          <w:sz w:val="18"/>
          <w:szCs w:val="18"/>
          <w:lang w:eastAsia="ar-SA"/>
        </w:rPr>
        <w:t xml:space="preserve"> </w:t>
      </w:r>
      <w:r w:rsidR="00194520" w:rsidRPr="00C57285">
        <w:rPr>
          <w:rFonts w:ascii="Arial" w:hAnsi="Arial" w:cs="Arial"/>
          <w:bCs/>
          <w:kern w:val="1"/>
          <w:sz w:val="18"/>
          <w:szCs w:val="18"/>
          <w:lang w:eastAsia="ar-SA"/>
        </w:rPr>
        <w:t xml:space="preserve">que los </w:t>
      </w:r>
      <w:r w:rsidR="00D65394" w:rsidRPr="00C57285">
        <w:rPr>
          <w:rFonts w:ascii="Arial" w:hAnsi="Arial" w:cs="Arial"/>
          <w:bCs/>
          <w:kern w:val="1"/>
          <w:sz w:val="18"/>
          <w:szCs w:val="18"/>
          <w:lang w:eastAsia="ar-SA"/>
        </w:rPr>
        <w:t xml:space="preserve">proveedores de servicios móviles </w:t>
      </w:r>
      <w:r w:rsidR="00194520" w:rsidRPr="00C57285">
        <w:rPr>
          <w:rFonts w:ascii="Arial" w:hAnsi="Arial" w:cs="Arial"/>
          <w:bCs/>
          <w:kern w:val="1"/>
          <w:sz w:val="18"/>
          <w:szCs w:val="18"/>
          <w:lang w:eastAsia="ar-SA"/>
        </w:rPr>
        <w:t xml:space="preserve">adscritos </w:t>
      </w:r>
      <w:r w:rsidR="00B73159" w:rsidRPr="00C57285">
        <w:rPr>
          <w:rFonts w:ascii="Arial" w:hAnsi="Arial" w:cs="Arial"/>
          <w:bCs/>
          <w:kern w:val="1"/>
          <w:sz w:val="18"/>
          <w:szCs w:val="18"/>
          <w:lang w:eastAsia="ar-SA"/>
        </w:rPr>
        <w:t xml:space="preserve">al </w:t>
      </w:r>
      <w:r w:rsidR="00117976" w:rsidRPr="00C57285">
        <w:rPr>
          <w:rFonts w:ascii="Arial" w:hAnsi="Arial" w:cs="Arial"/>
          <w:bCs/>
          <w:kern w:val="1"/>
          <w:sz w:val="18"/>
          <w:szCs w:val="18"/>
          <w:lang w:eastAsia="ar-SA"/>
        </w:rPr>
        <w:t>“</w:t>
      </w:r>
      <w:r w:rsidR="00B73159" w:rsidRPr="00C57285">
        <w:rPr>
          <w:rFonts w:ascii="Arial" w:hAnsi="Arial" w:cs="Arial"/>
          <w:bCs/>
          <w:i/>
          <w:iCs/>
          <w:kern w:val="1"/>
          <w:sz w:val="18"/>
          <w:szCs w:val="18"/>
          <w:lang w:eastAsia="ar-SA"/>
        </w:rPr>
        <w:t>Código del Consumidor</w:t>
      </w:r>
      <w:r w:rsidR="00117976" w:rsidRPr="00C57285">
        <w:rPr>
          <w:rFonts w:ascii="Arial" w:hAnsi="Arial" w:cs="Arial"/>
          <w:bCs/>
          <w:i/>
          <w:iCs/>
          <w:kern w:val="1"/>
          <w:sz w:val="18"/>
          <w:szCs w:val="18"/>
          <w:lang w:eastAsia="ar-SA"/>
        </w:rPr>
        <w:t xml:space="preserve"> para el servicio inalámbrico</w:t>
      </w:r>
      <w:r w:rsidR="00B73159" w:rsidRPr="00C57285">
        <w:rPr>
          <w:rFonts w:ascii="Arial" w:hAnsi="Arial" w:cs="Arial"/>
          <w:bCs/>
          <w:i/>
          <w:iCs/>
          <w:kern w:val="1"/>
          <w:sz w:val="18"/>
          <w:szCs w:val="18"/>
          <w:lang w:eastAsia="ar-SA"/>
        </w:rPr>
        <w:t xml:space="preserve"> de CTIA</w:t>
      </w:r>
      <w:r w:rsidR="00117976" w:rsidRPr="00C57285">
        <w:rPr>
          <w:rFonts w:ascii="Arial" w:hAnsi="Arial" w:cs="Arial"/>
          <w:bCs/>
          <w:kern w:val="1"/>
          <w:sz w:val="18"/>
          <w:szCs w:val="18"/>
          <w:lang w:eastAsia="ar-SA"/>
        </w:rPr>
        <w:t>”</w:t>
      </w:r>
      <w:r w:rsidR="00F54810" w:rsidRPr="00C57285">
        <w:rPr>
          <w:sz w:val="18"/>
          <w:szCs w:val="18"/>
          <w:vertAlign w:val="superscript"/>
        </w:rPr>
        <w:footnoteReference w:id="4"/>
      </w:r>
      <w:r w:rsidR="00B73159" w:rsidRPr="00C57285">
        <w:rPr>
          <w:rFonts w:ascii="Arial" w:hAnsi="Arial" w:cs="Arial"/>
          <w:bCs/>
          <w:kern w:val="1"/>
          <w:sz w:val="18"/>
          <w:szCs w:val="18"/>
          <w:lang w:eastAsia="ar-SA"/>
        </w:rPr>
        <w:t xml:space="preserve"> (del inglés, </w:t>
      </w:r>
      <w:proofErr w:type="spellStart"/>
      <w:r w:rsidR="00B73159" w:rsidRPr="00C57285">
        <w:rPr>
          <w:rFonts w:ascii="Arial" w:hAnsi="Arial" w:cs="Arial"/>
          <w:bCs/>
          <w:kern w:val="1"/>
          <w:sz w:val="18"/>
          <w:szCs w:val="18"/>
          <w:lang w:eastAsia="ar-SA"/>
        </w:rPr>
        <w:t>CTIA’s</w:t>
      </w:r>
      <w:proofErr w:type="spellEnd"/>
      <w:r w:rsidR="00B73159" w:rsidRPr="00C57285">
        <w:rPr>
          <w:rFonts w:ascii="Arial" w:hAnsi="Arial" w:cs="Arial"/>
          <w:bCs/>
          <w:kern w:val="1"/>
          <w:sz w:val="18"/>
          <w:szCs w:val="18"/>
          <w:lang w:eastAsia="ar-SA"/>
        </w:rPr>
        <w:t xml:space="preserve"> </w:t>
      </w:r>
      <w:proofErr w:type="spellStart"/>
      <w:r w:rsidR="00B73159" w:rsidRPr="00C57285">
        <w:rPr>
          <w:rFonts w:ascii="Arial" w:hAnsi="Arial" w:cs="Arial"/>
          <w:bCs/>
          <w:kern w:val="1"/>
          <w:sz w:val="18"/>
          <w:szCs w:val="18"/>
          <w:lang w:eastAsia="ar-SA"/>
        </w:rPr>
        <w:t>Consumer</w:t>
      </w:r>
      <w:proofErr w:type="spellEnd"/>
      <w:r w:rsidR="00B73159" w:rsidRPr="00C57285">
        <w:rPr>
          <w:rFonts w:ascii="Arial" w:hAnsi="Arial" w:cs="Arial"/>
          <w:bCs/>
          <w:kern w:val="1"/>
          <w:sz w:val="18"/>
          <w:szCs w:val="18"/>
          <w:lang w:eastAsia="ar-SA"/>
        </w:rPr>
        <w:t xml:space="preserve"> </w:t>
      </w:r>
      <w:proofErr w:type="spellStart"/>
      <w:r w:rsidR="00B73159" w:rsidRPr="00C57285">
        <w:rPr>
          <w:rFonts w:ascii="Arial" w:hAnsi="Arial" w:cs="Arial"/>
          <w:bCs/>
          <w:kern w:val="1"/>
          <w:sz w:val="18"/>
          <w:szCs w:val="18"/>
          <w:lang w:eastAsia="ar-SA"/>
        </w:rPr>
        <w:t>Code</w:t>
      </w:r>
      <w:proofErr w:type="spellEnd"/>
      <w:r w:rsidR="00B73159" w:rsidRPr="00C57285">
        <w:rPr>
          <w:rFonts w:ascii="Arial" w:hAnsi="Arial" w:cs="Arial"/>
          <w:bCs/>
          <w:kern w:val="1"/>
          <w:sz w:val="18"/>
          <w:szCs w:val="18"/>
          <w:lang w:eastAsia="ar-SA"/>
        </w:rPr>
        <w:t xml:space="preserve"> </w:t>
      </w:r>
      <w:proofErr w:type="spellStart"/>
      <w:r w:rsidR="00B73159" w:rsidRPr="00C57285">
        <w:rPr>
          <w:rFonts w:ascii="Arial" w:hAnsi="Arial" w:cs="Arial"/>
          <w:bCs/>
          <w:kern w:val="1"/>
          <w:sz w:val="18"/>
          <w:szCs w:val="18"/>
          <w:lang w:eastAsia="ar-SA"/>
        </w:rPr>
        <w:t>for</w:t>
      </w:r>
      <w:proofErr w:type="spellEnd"/>
      <w:r w:rsidR="00B73159" w:rsidRPr="00C57285">
        <w:rPr>
          <w:rFonts w:ascii="Arial" w:hAnsi="Arial" w:cs="Arial"/>
          <w:bCs/>
          <w:kern w:val="1"/>
          <w:sz w:val="18"/>
          <w:szCs w:val="18"/>
          <w:lang w:eastAsia="ar-SA"/>
        </w:rPr>
        <w:t xml:space="preserve"> Wireless </w:t>
      </w:r>
      <w:proofErr w:type="spellStart"/>
      <w:r w:rsidR="00B73159" w:rsidRPr="00C57285">
        <w:rPr>
          <w:rFonts w:ascii="Arial" w:hAnsi="Arial" w:cs="Arial"/>
          <w:bCs/>
          <w:kern w:val="1"/>
          <w:sz w:val="18"/>
          <w:szCs w:val="18"/>
          <w:lang w:eastAsia="ar-SA"/>
        </w:rPr>
        <w:t>Service</w:t>
      </w:r>
      <w:proofErr w:type="spellEnd"/>
      <w:r w:rsidR="00B73159" w:rsidRPr="00C57285">
        <w:rPr>
          <w:rFonts w:ascii="Arial" w:hAnsi="Arial" w:cs="Arial"/>
          <w:bCs/>
          <w:kern w:val="1"/>
          <w:sz w:val="18"/>
          <w:szCs w:val="18"/>
          <w:lang w:eastAsia="ar-SA"/>
        </w:rPr>
        <w:t xml:space="preserve">) </w:t>
      </w:r>
      <w:r w:rsidR="00D65394" w:rsidRPr="00C57285">
        <w:rPr>
          <w:rFonts w:ascii="Arial" w:hAnsi="Arial" w:cs="Arial"/>
          <w:bCs/>
          <w:kern w:val="1"/>
          <w:sz w:val="18"/>
          <w:szCs w:val="18"/>
          <w:lang w:eastAsia="ar-SA"/>
        </w:rPr>
        <w:t>debe</w:t>
      </w:r>
      <w:r w:rsidR="00B73159" w:rsidRPr="00C57285">
        <w:rPr>
          <w:rFonts w:ascii="Arial" w:hAnsi="Arial" w:cs="Arial"/>
          <w:bCs/>
          <w:kern w:val="1"/>
          <w:sz w:val="18"/>
          <w:szCs w:val="18"/>
          <w:lang w:eastAsia="ar-SA"/>
        </w:rPr>
        <w:t>n observar</w:t>
      </w:r>
      <w:r w:rsidR="00D65394" w:rsidRPr="00C57285">
        <w:rPr>
          <w:rFonts w:ascii="Arial" w:hAnsi="Arial" w:cs="Arial"/>
          <w:bCs/>
          <w:kern w:val="1"/>
          <w:sz w:val="18"/>
          <w:szCs w:val="18"/>
          <w:lang w:eastAsia="ar-SA"/>
        </w:rPr>
        <w:t xml:space="preserve"> para el desbloqueo de </w:t>
      </w:r>
      <w:r w:rsidR="00B73159" w:rsidRPr="00C57285">
        <w:rPr>
          <w:rFonts w:ascii="Arial" w:hAnsi="Arial" w:cs="Arial"/>
          <w:bCs/>
          <w:kern w:val="1"/>
          <w:sz w:val="18"/>
          <w:szCs w:val="18"/>
          <w:lang w:eastAsia="ar-SA"/>
        </w:rPr>
        <w:t>equipos terminales móviles</w:t>
      </w:r>
      <w:r w:rsidR="00194520" w:rsidRPr="00C57285">
        <w:rPr>
          <w:rFonts w:ascii="Arial" w:hAnsi="Arial" w:cs="Arial"/>
          <w:bCs/>
          <w:kern w:val="1"/>
          <w:sz w:val="18"/>
          <w:szCs w:val="18"/>
          <w:lang w:eastAsia="ar-SA"/>
        </w:rPr>
        <w:t>,</w:t>
      </w:r>
      <w:r w:rsidR="00D65394" w:rsidRPr="00C57285">
        <w:rPr>
          <w:rFonts w:ascii="Arial" w:hAnsi="Arial" w:cs="Arial"/>
          <w:bCs/>
          <w:kern w:val="1"/>
          <w:sz w:val="18"/>
          <w:szCs w:val="18"/>
          <w:lang w:eastAsia="ar-SA"/>
        </w:rPr>
        <w:t xml:space="preserve"> </w:t>
      </w:r>
      <w:r w:rsidR="00F916F9" w:rsidRPr="00C57285">
        <w:rPr>
          <w:rFonts w:ascii="Arial" w:hAnsi="Arial" w:cs="Arial"/>
          <w:bCs/>
          <w:kern w:val="1"/>
          <w:sz w:val="18"/>
          <w:szCs w:val="18"/>
          <w:lang w:eastAsia="ar-SA"/>
        </w:rPr>
        <w:t>en los que se considera el esquema</w:t>
      </w:r>
      <w:r w:rsidR="00D65394" w:rsidRPr="00C57285">
        <w:rPr>
          <w:rFonts w:ascii="Arial" w:hAnsi="Arial" w:cs="Arial"/>
          <w:bCs/>
          <w:kern w:val="1"/>
          <w:sz w:val="18"/>
          <w:szCs w:val="18"/>
          <w:lang w:eastAsia="ar-SA"/>
        </w:rPr>
        <w:t xml:space="preserve"> </w:t>
      </w:r>
      <w:r w:rsidR="00F916F9" w:rsidRPr="00C57285">
        <w:rPr>
          <w:rFonts w:ascii="Arial" w:hAnsi="Arial" w:cs="Arial"/>
          <w:bCs/>
          <w:kern w:val="1"/>
          <w:sz w:val="18"/>
          <w:szCs w:val="18"/>
          <w:lang w:eastAsia="ar-SA"/>
        </w:rPr>
        <w:t>del servicio,</w:t>
      </w:r>
      <w:r w:rsidR="007376E4" w:rsidRPr="00C57285">
        <w:rPr>
          <w:rFonts w:ascii="Arial" w:hAnsi="Arial" w:cs="Arial"/>
          <w:bCs/>
          <w:kern w:val="1"/>
          <w:sz w:val="18"/>
          <w:szCs w:val="18"/>
          <w:lang w:eastAsia="ar-SA"/>
        </w:rPr>
        <w:t xml:space="preserve"> la </w:t>
      </w:r>
      <w:r w:rsidR="00F916F9" w:rsidRPr="00C57285">
        <w:rPr>
          <w:rFonts w:ascii="Arial" w:hAnsi="Arial" w:cs="Arial"/>
          <w:bCs/>
          <w:kern w:val="1"/>
          <w:sz w:val="18"/>
          <w:szCs w:val="18"/>
          <w:lang w:eastAsia="ar-SA"/>
        </w:rPr>
        <w:t>vigencia del contrato</w:t>
      </w:r>
      <w:r w:rsidR="007376E4" w:rsidRPr="00C57285">
        <w:rPr>
          <w:rFonts w:ascii="Arial" w:hAnsi="Arial" w:cs="Arial"/>
          <w:bCs/>
          <w:kern w:val="1"/>
          <w:sz w:val="18"/>
          <w:szCs w:val="18"/>
          <w:lang w:eastAsia="ar-SA"/>
        </w:rPr>
        <w:t xml:space="preserve"> y el estado del financiamiento del equipo terminal móvil</w:t>
      </w:r>
      <w:r w:rsidR="00E87419" w:rsidRPr="00C57285">
        <w:rPr>
          <w:rFonts w:ascii="Arial" w:hAnsi="Arial" w:cs="Arial"/>
          <w:bCs/>
          <w:kern w:val="1"/>
          <w:sz w:val="18"/>
          <w:szCs w:val="18"/>
          <w:lang w:eastAsia="ar-SA"/>
        </w:rPr>
        <w:t xml:space="preserve">, </w:t>
      </w:r>
      <w:r w:rsidR="00F83603" w:rsidRPr="00C57285">
        <w:rPr>
          <w:rFonts w:ascii="Arial" w:hAnsi="Arial" w:cs="Arial"/>
          <w:bCs/>
          <w:kern w:val="1"/>
          <w:sz w:val="18"/>
          <w:szCs w:val="18"/>
          <w:lang w:eastAsia="ar-SA"/>
        </w:rPr>
        <w:t>así como</w:t>
      </w:r>
      <w:r w:rsidR="00F51C93">
        <w:rPr>
          <w:rFonts w:ascii="Arial" w:hAnsi="Arial" w:cs="Arial"/>
          <w:bCs/>
          <w:kern w:val="1"/>
          <w:sz w:val="18"/>
          <w:szCs w:val="18"/>
          <w:lang w:eastAsia="ar-SA"/>
        </w:rPr>
        <w:t xml:space="preserve"> el envío de notificaciones </w:t>
      </w:r>
      <w:r w:rsidR="00EB4489" w:rsidRPr="00EB4489">
        <w:rPr>
          <w:rFonts w:ascii="Arial" w:hAnsi="Arial" w:cs="Arial"/>
          <w:bCs/>
          <w:kern w:val="1"/>
          <w:sz w:val="18"/>
          <w:szCs w:val="18"/>
          <w:lang w:eastAsia="ar-SA"/>
        </w:rPr>
        <w:t xml:space="preserve">cuando </w:t>
      </w:r>
      <w:r w:rsidR="00EB4489">
        <w:rPr>
          <w:rFonts w:ascii="Arial" w:hAnsi="Arial" w:cs="Arial"/>
          <w:bCs/>
          <w:kern w:val="1"/>
          <w:sz w:val="18"/>
          <w:szCs w:val="18"/>
          <w:lang w:eastAsia="ar-SA"/>
        </w:rPr>
        <w:t>los</w:t>
      </w:r>
      <w:r w:rsidR="00EB4489" w:rsidRPr="00EB4489">
        <w:rPr>
          <w:rFonts w:ascii="Arial" w:hAnsi="Arial" w:cs="Arial"/>
          <w:bCs/>
          <w:kern w:val="1"/>
          <w:sz w:val="18"/>
          <w:szCs w:val="18"/>
          <w:lang w:eastAsia="ar-SA"/>
        </w:rPr>
        <w:t xml:space="preserve"> dispositivos sean elegibles para </w:t>
      </w:r>
      <w:r w:rsidR="00F51C93">
        <w:rPr>
          <w:rFonts w:ascii="Arial" w:hAnsi="Arial" w:cs="Arial"/>
          <w:bCs/>
          <w:kern w:val="1"/>
          <w:sz w:val="18"/>
          <w:szCs w:val="18"/>
          <w:lang w:eastAsia="ar-SA"/>
        </w:rPr>
        <w:t xml:space="preserve">el </w:t>
      </w:r>
      <w:r w:rsidR="00EB4489" w:rsidRPr="00EB4489">
        <w:rPr>
          <w:rFonts w:ascii="Arial" w:hAnsi="Arial" w:cs="Arial"/>
          <w:bCs/>
          <w:kern w:val="1"/>
          <w:sz w:val="18"/>
          <w:szCs w:val="18"/>
          <w:lang w:eastAsia="ar-SA"/>
        </w:rPr>
        <w:t>desbloque</w:t>
      </w:r>
      <w:r w:rsidR="00F51C93">
        <w:rPr>
          <w:rFonts w:ascii="Arial" w:hAnsi="Arial" w:cs="Arial"/>
          <w:bCs/>
          <w:kern w:val="1"/>
          <w:sz w:val="18"/>
          <w:szCs w:val="18"/>
          <w:lang w:eastAsia="ar-SA"/>
        </w:rPr>
        <w:t>o</w:t>
      </w:r>
      <w:r w:rsidR="00EB4489">
        <w:rPr>
          <w:rFonts w:ascii="Arial" w:hAnsi="Arial" w:cs="Arial"/>
          <w:bCs/>
          <w:kern w:val="1"/>
          <w:sz w:val="18"/>
          <w:szCs w:val="18"/>
          <w:lang w:eastAsia="ar-SA"/>
        </w:rPr>
        <w:t xml:space="preserve"> y</w:t>
      </w:r>
      <w:r w:rsidR="00EB4489" w:rsidRPr="00C57285">
        <w:rPr>
          <w:rFonts w:ascii="Arial" w:hAnsi="Arial" w:cs="Arial"/>
          <w:bCs/>
          <w:kern w:val="1"/>
          <w:sz w:val="18"/>
          <w:szCs w:val="18"/>
          <w:lang w:eastAsia="ar-SA"/>
        </w:rPr>
        <w:t xml:space="preserve"> </w:t>
      </w:r>
      <w:r w:rsidR="00F83603" w:rsidRPr="00C57285">
        <w:rPr>
          <w:rFonts w:ascii="Arial" w:hAnsi="Arial" w:cs="Arial"/>
          <w:bCs/>
          <w:kern w:val="1"/>
          <w:sz w:val="18"/>
          <w:szCs w:val="18"/>
          <w:lang w:eastAsia="ar-SA"/>
        </w:rPr>
        <w:t>su realización a</w:t>
      </w:r>
      <w:r w:rsidR="00E87419" w:rsidRPr="00C57285">
        <w:rPr>
          <w:rFonts w:ascii="Arial" w:hAnsi="Arial" w:cs="Arial"/>
          <w:bCs/>
          <w:kern w:val="1"/>
          <w:sz w:val="18"/>
          <w:szCs w:val="18"/>
          <w:lang w:eastAsia="ar-SA"/>
        </w:rPr>
        <w:t xml:space="preserve">utomatizada </w:t>
      </w:r>
      <w:r w:rsidR="00F83603" w:rsidRPr="00C57285">
        <w:rPr>
          <w:rFonts w:ascii="Arial" w:hAnsi="Arial" w:cs="Arial"/>
          <w:bCs/>
          <w:kern w:val="1"/>
          <w:sz w:val="18"/>
          <w:szCs w:val="18"/>
          <w:lang w:eastAsia="ar-SA"/>
        </w:rPr>
        <w:t>y de forma remota</w:t>
      </w:r>
      <w:r w:rsidR="00E87419" w:rsidRPr="00C57285">
        <w:rPr>
          <w:rFonts w:ascii="Arial" w:hAnsi="Arial" w:cs="Arial"/>
          <w:bCs/>
          <w:kern w:val="1"/>
          <w:sz w:val="18"/>
          <w:szCs w:val="18"/>
          <w:lang w:eastAsia="ar-SA"/>
        </w:rPr>
        <w:t>.</w:t>
      </w:r>
    </w:p>
    <w:p w14:paraId="7A27B708" w14:textId="77777777" w:rsidR="00F83603" w:rsidRPr="00C57285" w:rsidRDefault="00F83603" w:rsidP="00302699">
      <w:pPr>
        <w:spacing w:after="0"/>
        <w:contextualSpacing/>
        <w:mirrorIndents/>
        <w:jc w:val="both"/>
        <w:rPr>
          <w:sz w:val="18"/>
          <w:szCs w:val="18"/>
        </w:rPr>
      </w:pPr>
    </w:p>
    <w:p w14:paraId="07DF1F7B" w14:textId="75E211F0" w:rsidR="003E4203" w:rsidRPr="00C57285" w:rsidRDefault="002075A2" w:rsidP="00302699">
      <w:pPr>
        <w:spacing w:after="0"/>
        <w:contextualSpacing/>
        <w:mirrorIndents/>
        <w:jc w:val="both"/>
        <w:rPr>
          <w:rFonts w:ascii="Arial" w:hAnsi="Arial" w:cs="Arial"/>
          <w:bCs/>
          <w:kern w:val="1"/>
          <w:sz w:val="18"/>
          <w:szCs w:val="18"/>
          <w:lang w:eastAsia="ar-SA"/>
        </w:rPr>
      </w:pPr>
      <w:proofErr w:type="gramStart"/>
      <w:r w:rsidRPr="00C57285">
        <w:rPr>
          <w:rFonts w:ascii="Arial" w:hAnsi="Arial" w:cs="Arial"/>
          <w:b/>
          <w:kern w:val="1"/>
          <w:sz w:val="18"/>
          <w:szCs w:val="18"/>
          <w:lang w:eastAsia="ar-SA"/>
        </w:rPr>
        <w:t>Sexto</w:t>
      </w:r>
      <w:r w:rsidR="006827A0" w:rsidRPr="00C57285">
        <w:rPr>
          <w:rFonts w:ascii="Arial" w:hAnsi="Arial" w:cs="Arial"/>
          <w:b/>
          <w:kern w:val="1"/>
          <w:sz w:val="18"/>
          <w:szCs w:val="18"/>
          <w:lang w:eastAsia="ar-SA"/>
        </w:rPr>
        <w:t>.-</w:t>
      </w:r>
      <w:proofErr w:type="gramEnd"/>
      <w:r w:rsidR="00634A23" w:rsidRPr="00C57285">
        <w:rPr>
          <w:rFonts w:ascii="Arial" w:hAnsi="Arial" w:cs="Arial"/>
          <w:b/>
          <w:kern w:val="1"/>
          <w:sz w:val="18"/>
          <w:szCs w:val="18"/>
          <w:lang w:eastAsia="ar-SA"/>
        </w:rPr>
        <w:t xml:space="preserve"> Consulta Pública</w:t>
      </w:r>
      <w:r w:rsidR="003E4203" w:rsidRPr="00C57285">
        <w:rPr>
          <w:rFonts w:ascii="Arial" w:hAnsi="Arial" w:cs="Arial"/>
          <w:b/>
          <w:kern w:val="1"/>
          <w:sz w:val="18"/>
          <w:szCs w:val="18"/>
          <w:lang w:eastAsia="ar-SA"/>
        </w:rPr>
        <w:t xml:space="preserve"> y Análisis de Impacto Regulatorio</w:t>
      </w:r>
      <w:r w:rsidR="00634A23" w:rsidRPr="00C57285">
        <w:rPr>
          <w:rFonts w:ascii="Arial" w:hAnsi="Arial" w:cs="Arial"/>
          <w:bCs/>
          <w:kern w:val="1"/>
          <w:sz w:val="18"/>
          <w:szCs w:val="18"/>
          <w:lang w:eastAsia="ar-SA"/>
        </w:rPr>
        <w:t>.</w:t>
      </w:r>
      <w:r w:rsidR="003E4203" w:rsidRPr="00C57285">
        <w:rPr>
          <w:rFonts w:ascii="Arial" w:hAnsi="Arial" w:cs="Arial"/>
          <w:bCs/>
          <w:kern w:val="1"/>
          <w:sz w:val="18"/>
          <w:szCs w:val="18"/>
          <w:lang w:eastAsia="ar-SA"/>
        </w:rPr>
        <w:t xml:space="preserve"> El artículo 51 de la LFTR establece que para la emisión y modificación de reglas, lineamientos o disposiciones administrativas de carácter general, así como en cualquier caso que determine el Pleno, el Instituto deberá realizar consultas públicas bajo los principios de transparencia y participación ciudadana; asimismo señala que previamente a la emisión de reglas, lineamientos o disposiciones administrativas de carácter general de que se trate, el Instituto deberá realizar y hacer público un análisis de impacto regulatorio.</w:t>
      </w:r>
    </w:p>
    <w:p w14:paraId="15C76C95" w14:textId="77777777" w:rsidR="003E4203" w:rsidRPr="00C57285" w:rsidRDefault="003E4203" w:rsidP="00302699">
      <w:pPr>
        <w:spacing w:after="0"/>
        <w:contextualSpacing/>
        <w:mirrorIndents/>
        <w:jc w:val="both"/>
        <w:rPr>
          <w:rFonts w:ascii="Arial" w:hAnsi="Arial" w:cs="Arial"/>
          <w:bCs/>
          <w:kern w:val="1"/>
          <w:sz w:val="18"/>
          <w:szCs w:val="18"/>
          <w:lang w:eastAsia="ar-SA"/>
        </w:rPr>
      </w:pPr>
    </w:p>
    <w:p w14:paraId="0861ADF6" w14:textId="27F08362" w:rsidR="00324FC1" w:rsidRPr="00C57285" w:rsidRDefault="003E4203" w:rsidP="00302699">
      <w:pPr>
        <w:suppressAutoHyphens/>
        <w:spacing w:after="0"/>
        <w:ind w:right="49"/>
        <w:contextualSpacing/>
        <w:mirrorIndents/>
        <w:jc w:val="both"/>
        <w:rPr>
          <w:rFonts w:ascii="Arial" w:eastAsia="Times New Roman" w:hAnsi="Arial" w:cs="Arial"/>
          <w:kern w:val="1"/>
          <w:sz w:val="18"/>
          <w:szCs w:val="18"/>
          <w:lang w:eastAsia="ar-SA"/>
        </w:rPr>
      </w:pPr>
      <w:r w:rsidRPr="00C57285">
        <w:rPr>
          <w:rFonts w:ascii="Arial" w:hAnsi="Arial" w:cs="Arial"/>
          <w:bCs/>
          <w:kern w:val="1"/>
          <w:sz w:val="18"/>
          <w:szCs w:val="18"/>
          <w:lang w:eastAsia="ar-SA"/>
        </w:rPr>
        <w:t xml:space="preserve">En este sentido, el Pleno del Instituto estimó conveniente someter a </w:t>
      </w:r>
      <w:r w:rsidR="00D74C49">
        <w:rPr>
          <w:rFonts w:ascii="Arial" w:hAnsi="Arial" w:cs="Arial"/>
          <w:bCs/>
          <w:kern w:val="1"/>
          <w:sz w:val="18"/>
          <w:szCs w:val="18"/>
          <w:lang w:eastAsia="ar-SA"/>
        </w:rPr>
        <w:t>C</w:t>
      </w:r>
      <w:r w:rsidRPr="00C57285">
        <w:rPr>
          <w:rFonts w:ascii="Arial" w:hAnsi="Arial" w:cs="Arial"/>
          <w:bCs/>
          <w:kern w:val="1"/>
          <w:sz w:val="18"/>
          <w:szCs w:val="18"/>
          <w:lang w:eastAsia="ar-SA"/>
        </w:rPr>
        <w:t xml:space="preserve">onsulta </w:t>
      </w:r>
      <w:r w:rsidR="00D74C49">
        <w:rPr>
          <w:rFonts w:ascii="Arial" w:hAnsi="Arial" w:cs="Arial"/>
          <w:bCs/>
          <w:kern w:val="1"/>
          <w:sz w:val="18"/>
          <w:szCs w:val="18"/>
          <w:lang w:eastAsia="ar-SA"/>
        </w:rPr>
        <w:t>P</w:t>
      </w:r>
      <w:r w:rsidRPr="00C57285">
        <w:rPr>
          <w:rFonts w:ascii="Arial" w:hAnsi="Arial" w:cs="Arial"/>
          <w:bCs/>
          <w:kern w:val="1"/>
          <w:sz w:val="18"/>
          <w:szCs w:val="18"/>
          <w:lang w:eastAsia="ar-SA"/>
        </w:rPr>
        <w:t xml:space="preserve">ública el Anteproyecto de </w:t>
      </w:r>
      <w:r w:rsidR="00F62F26" w:rsidRPr="00C57285">
        <w:rPr>
          <w:rFonts w:ascii="Arial" w:hAnsi="Arial" w:cs="Arial"/>
          <w:bCs/>
          <w:kern w:val="1"/>
          <w:sz w:val="18"/>
          <w:szCs w:val="18"/>
          <w:lang w:eastAsia="ar-SA"/>
        </w:rPr>
        <w:t>Lineamientos</w:t>
      </w:r>
      <w:r w:rsidR="00324FC1" w:rsidRPr="00C57285">
        <w:rPr>
          <w:rFonts w:ascii="Arial" w:hAnsi="Arial" w:cs="Arial"/>
          <w:bCs/>
          <w:kern w:val="1"/>
          <w:sz w:val="18"/>
          <w:szCs w:val="18"/>
          <w:lang w:eastAsia="ar-SA"/>
        </w:rPr>
        <w:t xml:space="preserve">, misma que se llevó a cabo </w:t>
      </w:r>
      <w:r w:rsidR="00324FC1" w:rsidRPr="00C57285">
        <w:rPr>
          <w:rFonts w:ascii="Arial" w:eastAsia="Times New Roman" w:hAnsi="Arial" w:cs="Arial"/>
          <w:kern w:val="1"/>
          <w:sz w:val="18"/>
          <w:szCs w:val="18"/>
          <w:lang w:eastAsia="ar-SA"/>
        </w:rPr>
        <w:t>del 15 de marzo al 03 de mayo de 2022.</w:t>
      </w:r>
    </w:p>
    <w:p w14:paraId="1E9D3AC4" w14:textId="265B7516" w:rsidR="003E4203" w:rsidRPr="00C57285" w:rsidRDefault="003E4203" w:rsidP="00302699">
      <w:pPr>
        <w:spacing w:after="0"/>
        <w:contextualSpacing/>
        <w:mirrorIndents/>
        <w:jc w:val="both"/>
        <w:rPr>
          <w:rFonts w:ascii="Arial" w:hAnsi="Arial" w:cs="Arial"/>
          <w:bCs/>
          <w:kern w:val="1"/>
          <w:sz w:val="18"/>
          <w:szCs w:val="18"/>
          <w:lang w:eastAsia="ar-SA"/>
        </w:rPr>
      </w:pPr>
      <w:r w:rsidRPr="00C57285">
        <w:rPr>
          <w:rFonts w:ascii="Arial" w:hAnsi="Arial" w:cs="Arial"/>
          <w:bCs/>
          <w:kern w:val="1"/>
          <w:sz w:val="18"/>
          <w:szCs w:val="18"/>
          <w:lang w:eastAsia="ar-SA"/>
        </w:rPr>
        <w:t xml:space="preserve"> </w:t>
      </w:r>
    </w:p>
    <w:p w14:paraId="1D68417A" w14:textId="5B0054AA" w:rsidR="003E4203" w:rsidRPr="00C57285" w:rsidRDefault="003E4203" w:rsidP="00302699">
      <w:pPr>
        <w:spacing w:after="0"/>
        <w:contextualSpacing/>
        <w:mirrorIndents/>
        <w:jc w:val="both"/>
        <w:rPr>
          <w:rFonts w:ascii="Arial" w:hAnsi="Arial" w:cs="Arial"/>
          <w:bCs/>
          <w:kern w:val="1"/>
          <w:sz w:val="18"/>
          <w:szCs w:val="18"/>
          <w:lang w:eastAsia="ar-SA"/>
        </w:rPr>
      </w:pPr>
      <w:r w:rsidRPr="00C57285">
        <w:rPr>
          <w:rFonts w:ascii="Arial" w:hAnsi="Arial" w:cs="Arial"/>
          <w:bCs/>
          <w:kern w:val="1"/>
          <w:sz w:val="18"/>
          <w:szCs w:val="18"/>
          <w:lang w:eastAsia="ar-SA"/>
        </w:rPr>
        <w:t xml:space="preserve">Al efecto, una vez concluido el plazo de consulta respectivo, se publicaron en el portal de Internet del Instituto todos y cada uno de los comentarios, opiniones y propuestas concretas recibidas respecto del Anteproyecto materia de dicha </w:t>
      </w:r>
      <w:r w:rsidR="00D74C49">
        <w:rPr>
          <w:rFonts w:ascii="Arial" w:hAnsi="Arial" w:cs="Arial"/>
          <w:bCs/>
          <w:kern w:val="1"/>
          <w:sz w:val="18"/>
          <w:szCs w:val="18"/>
          <w:lang w:eastAsia="ar-SA"/>
        </w:rPr>
        <w:t>C</w:t>
      </w:r>
      <w:r w:rsidRPr="00C57285">
        <w:rPr>
          <w:rFonts w:ascii="Arial" w:hAnsi="Arial" w:cs="Arial"/>
          <w:bCs/>
          <w:kern w:val="1"/>
          <w:sz w:val="18"/>
          <w:szCs w:val="18"/>
          <w:lang w:eastAsia="ar-SA"/>
        </w:rPr>
        <w:t xml:space="preserve">onsulta </w:t>
      </w:r>
      <w:r w:rsidR="00D74C49">
        <w:rPr>
          <w:rFonts w:ascii="Arial" w:hAnsi="Arial" w:cs="Arial"/>
          <w:bCs/>
          <w:kern w:val="1"/>
          <w:sz w:val="18"/>
          <w:szCs w:val="18"/>
          <w:lang w:eastAsia="ar-SA"/>
        </w:rPr>
        <w:t>P</w:t>
      </w:r>
      <w:r w:rsidRPr="00C57285">
        <w:rPr>
          <w:rFonts w:ascii="Arial" w:hAnsi="Arial" w:cs="Arial"/>
          <w:bCs/>
          <w:kern w:val="1"/>
          <w:sz w:val="18"/>
          <w:szCs w:val="18"/>
          <w:lang w:eastAsia="ar-SA"/>
        </w:rPr>
        <w:t xml:space="preserve">ública. En relación con lo anterior, se menciona que, durante la </w:t>
      </w:r>
      <w:r w:rsidR="00D74C49">
        <w:rPr>
          <w:rFonts w:ascii="Arial" w:hAnsi="Arial" w:cs="Arial"/>
          <w:bCs/>
          <w:kern w:val="1"/>
          <w:sz w:val="18"/>
          <w:szCs w:val="18"/>
          <w:lang w:eastAsia="ar-SA"/>
        </w:rPr>
        <w:t>C</w:t>
      </w:r>
      <w:r w:rsidRPr="00C57285">
        <w:rPr>
          <w:rFonts w:ascii="Arial" w:hAnsi="Arial" w:cs="Arial"/>
          <w:bCs/>
          <w:kern w:val="1"/>
          <w:sz w:val="18"/>
          <w:szCs w:val="18"/>
          <w:lang w:eastAsia="ar-SA"/>
        </w:rPr>
        <w:t xml:space="preserve">onsulta </w:t>
      </w:r>
      <w:r w:rsidR="00D74C49">
        <w:rPr>
          <w:rFonts w:ascii="Arial" w:hAnsi="Arial" w:cs="Arial"/>
          <w:bCs/>
          <w:kern w:val="1"/>
          <w:sz w:val="18"/>
          <w:szCs w:val="18"/>
          <w:lang w:eastAsia="ar-SA"/>
        </w:rPr>
        <w:t>P</w:t>
      </w:r>
      <w:r w:rsidRPr="00C57285">
        <w:rPr>
          <w:rFonts w:ascii="Arial" w:hAnsi="Arial" w:cs="Arial"/>
          <w:bCs/>
          <w:kern w:val="1"/>
          <w:sz w:val="18"/>
          <w:szCs w:val="18"/>
          <w:lang w:eastAsia="ar-SA"/>
        </w:rPr>
        <w:t xml:space="preserve">ública de mérito, se recibieron </w:t>
      </w:r>
      <w:r w:rsidR="00D74C49">
        <w:rPr>
          <w:rFonts w:ascii="Arial" w:hAnsi="Arial" w:cs="Arial"/>
          <w:bCs/>
          <w:kern w:val="1"/>
          <w:sz w:val="18"/>
          <w:szCs w:val="18"/>
          <w:lang w:eastAsia="ar-SA"/>
        </w:rPr>
        <w:t>nueve</w:t>
      </w:r>
      <w:r w:rsidRPr="00C57285">
        <w:rPr>
          <w:rFonts w:ascii="Arial" w:hAnsi="Arial" w:cs="Arial"/>
          <w:bCs/>
          <w:kern w:val="1"/>
          <w:sz w:val="18"/>
          <w:szCs w:val="18"/>
          <w:lang w:eastAsia="ar-SA"/>
        </w:rPr>
        <w:t xml:space="preserve"> participaciones de concesionarios y del público en general.</w:t>
      </w:r>
    </w:p>
    <w:p w14:paraId="43A4ADB3" w14:textId="77777777" w:rsidR="003E4203" w:rsidRPr="00C57285" w:rsidRDefault="003E4203" w:rsidP="00302699">
      <w:pPr>
        <w:spacing w:after="0"/>
        <w:contextualSpacing/>
        <w:mirrorIndents/>
        <w:jc w:val="both"/>
        <w:rPr>
          <w:rFonts w:ascii="Arial" w:hAnsi="Arial" w:cs="Arial"/>
          <w:bCs/>
          <w:kern w:val="1"/>
          <w:sz w:val="18"/>
          <w:szCs w:val="18"/>
          <w:lang w:eastAsia="ar-SA"/>
        </w:rPr>
      </w:pPr>
    </w:p>
    <w:p w14:paraId="1FA897B4" w14:textId="04D323D4" w:rsidR="003E4203" w:rsidRPr="00C57285" w:rsidRDefault="003E4203" w:rsidP="00302699">
      <w:pPr>
        <w:spacing w:after="0"/>
        <w:contextualSpacing/>
        <w:mirrorIndents/>
        <w:jc w:val="both"/>
        <w:rPr>
          <w:rFonts w:ascii="Arial" w:hAnsi="Arial" w:cs="Arial"/>
          <w:bCs/>
          <w:kern w:val="1"/>
          <w:sz w:val="18"/>
          <w:szCs w:val="18"/>
          <w:lang w:eastAsia="ar-SA"/>
        </w:rPr>
      </w:pPr>
      <w:r w:rsidRPr="00C57285">
        <w:rPr>
          <w:rFonts w:ascii="Arial" w:hAnsi="Arial" w:cs="Arial"/>
          <w:bCs/>
          <w:kern w:val="1"/>
          <w:sz w:val="18"/>
          <w:szCs w:val="18"/>
          <w:lang w:eastAsia="ar-SA"/>
        </w:rPr>
        <w:t xml:space="preserve">De las manifestaciones y propuestas realizadas, el Instituto identificó oportunidades de precisión y mejora del instrumento regulatorio de mérito, logrando clarificar y robustecer su contenido. Las respuestas y comentarios a las participaciones recibidas del público durante el periodo de </w:t>
      </w:r>
      <w:r w:rsidR="00D74C49">
        <w:rPr>
          <w:rFonts w:ascii="Arial" w:hAnsi="Arial" w:cs="Arial"/>
          <w:bCs/>
          <w:kern w:val="1"/>
          <w:sz w:val="18"/>
          <w:szCs w:val="18"/>
          <w:lang w:eastAsia="ar-SA"/>
        </w:rPr>
        <w:t>C</w:t>
      </w:r>
      <w:r w:rsidRPr="00C57285">
        <w:rPr>
          <w:rFonts w:ascii="Arial" w:hAnsi="Arial" w:cs="Arial"/>
          <w:bCs/>
          <w:kern w:val="1"/>
          <w:sz w:val="18"/>
          <w:szCs w:val="18"/>
          <w:lang w:eastAsia="ar-SA"/>
        </w:rPr>
        <w:t xml:space="preserve">onsulta </w:t>
      </w:r>
      <w:r w:rsidR="00D74C49">
        <w:rPr>
          <w:rFonts w:ascii="Arial" w:hAnsi="Arial" w:cs="Arial"/>
          <w:bCs/>
          <w:kern w:val="1"/>
          <w:sz w:val="18"/>
          <w:szCs w:val="18"/>
          <w:lang w:eastAsia="ar-SA"/>
        </w:rPr>
        <w:t>P</w:t>
      </w:r>
      <w:r w:rsidRPr="00C57285">
        <w:rPr>
          <w:rFonts w:ascii="Arial" w:hAnsi="Arial" w:cs="Arial"/>
          <w:bCs/>
          <w:kern w:val="1"/>
          <w:sz w:val="18"/>
          <w:szCs w:val="18"/>
          <w:lang w:eastAsia="ar-SA"/>
        </w:rPr>
        <w:t>ública se encuentran disponibles en la página de Internet del Instituto.</w:t>
      </w:r>
    </w:p>
    <w:p w14:paraId="6E3332C1" w14:textId="77777777" w:rsidR="003E4203" w:rsidRPr="00C57285" w:rsidRDefault="003E4203" w:rsidP="00302699">
      <w:pPr>
        <w:spacing w:after="0"/>
        <w:contextualSpacing/>
        <w:mirrorIndents/>
        <w:jc w:val="both"/>
        <w:rPr>
          <w:rFonts w:ascii="Arial" w:hAnsi="Arial" w:cs="Arial"/>
          <w:bCs/>
          <w:kern w:val="1"/>
          <w:sz w:val="18"/>
          <w:szCs w:val="18"/>
          <w:lang w:eastAsia="ar-SA"/>
        </w:rPr>
      </w:pPr>
    </w:p>
    <w:p w14:paraId="21D0888B" w14:textId="77777777" w:rsidR="003E4203" w:rsidRPr="00C57285" w:rsidRDefault="003E4203" w:rsidP="00302699">
      <w:pPr>
        <w:spacing w:after="0"/>
        <w:contextualSpacing/>
        <w:mirrorIndents/>
        <w:jc w:val="both"/>
        <w:rPr>
          <w:rFonts w:ascii="Arial" w:hAnsi="Arial" w:cs="Arial"/>
          <w:bCs/>
          <w:kern w:val="1"/>
          <w:sz w:val="18"/>
          <w:szCs w:val="18"/>
          <w:lang w:eastAsia="ar-SA"/>
        </w:rPr>
      </w:pPr>
      <w:r w:rsidRPr="00C57285">
        <w:rPr>
          <w:rFonts w:ascii="Arial" w:hAnsi="Arial" w:cs="Arial"/>
          <w:bCs/>
          <w:kern w:val="1"/>
          <w:sz w:val="18"/>
          <w:szCs w:val="18"/>
          <w:lang w:eastAsia="ar-SA"/>
        </w:rPr>
        <w:t>Por otra parte, la Unidad de Política Regulatoria del Instituto realizó el Análisis de Impacto Regulatorio correspondiente, mismo que fue sometido formalmente a opinión no vinculante de la Coordinación General de Mejora Regulatoria del propio Instituto.</w:t>
      </w:r>
    </w:p>
    <w:p w14:paraId="58130028" w14:textId="77777777" w:rsidR="003E4203" w:rsidRPr="00C57285" w:rsidRDefault="003E4203" w:rsidP="00302699">
      <w:pPr>
        <w:spacing w:after="0"/>
        <w:contextualSpacing/>
        <w:mirrorIndents/>
        <w:jc w:val="both"/>
        <w:rPr>
          <w:rFonts w:ascii="Arial" w:hAnsi="Arial" w:cs="Arial"/>
          <w:bCs/>
          <w:kern w:val="1"/>
          <w:sz w:val="18"/>
          <w:szCs w:val="18"/>
          <w:lang w:eastAsia="ar-SA"/>
        </w:rPr>
      </w:pPr>
    </w:p>
    <w:p w14:paraId="6BF9D931" w14:textId="2EC7A4A8" w:rsidR="003E4203" w:rsidRPr="00C57285" w:rsidRDefault="003E4203" w:rsidP="00302699">
      <w:pPr>
        <w:spacing w:after="0"/>
        <w:contextualSpacing/>
        <w:mirrorIndents/>
        <w:jc w:val="both"/>
        <w:rPr>
          <w:rFonts w:ascii="Arial" w:hAnsi="Arial" w:cs="Arial"/>
          <w:bCs/>
          <w:kern w:val="1"/>
          <w:sz w:val="18"/>
          <w:szCs w:val="18"/>
          <w:lang w:eastAsia="ar-SA"/>
        </w:rPr>
      </w:pPr>
      <w:r w:rsidRPr="00C57285">
        <w:rPr>
          <w:rFonts w:ascii="Arial" w:hAnsi="Arial" w:cs="Arial"/>
          <w:bCs/>
          <w:kern w:val="1"/>
          <w:sz w:val="18"/>
          <w:szCs w:val="18"/>
          <w:lang w:eastAsia="ar-SA"/>
        </w:rPr>
        <w:t xml:space="preserve">Como consecuencia de lo anterior, mediante oficio </w:t>
      </w:r>
      <w:r w:rsidR="003C6455" w:rsidRPr="008A7C3E">
        <w:rPr>
          <w:rFonts w:ascii="Arial" w:hAnsi="Arial" w:cs="Arial"/>
          <w:bCs/>
          <w:kern w:val="1"/>
          <w:sz w:val="18"/>
          <w:szCs w:val="18"/>
          <w:lang w:eastAsia="ar-SA"/>
        </w:rPr>
        <w:t>IFT/211/CGMR/</w:t>
      </w:r>
      <w:r w:rsidR="008A7C3E">
        <w:rPr>
          <w:rFonts w:ascii="Arial" w:hAnsi="Arial" w:cs="Arial"/>
          <w:bCs/>
          <w:kern w:val="1"/>
          <w:sz w:val="18"/>
          <w:szCs w:val="18"/>
          <w:lang w:eastAsia="ar-SA"/>
        </w:rPr>
        <w:t>181</w:t>
      </w:r>
      <w:r w:rsidR="003C6455" w:rsidRPr="008A7C3E">
        <w:rPr>
          <w:rFonts w:ascii="Arial" w:hAnsi="Arial" w:cs="Arial"/>
          <w:bCs/>
          <w:kern w:val="1"/>
          <w:sz w:val="18"/>
          <w:szCs w:val="18"/>
          <w:lang w:eastAsia="ar-SA"/>
        </w:rPr>
        <w:t>/202</w:t>
      </w:r>
      <w:r w:rsidR="008A7C3E">
        <w:rPr>
          <w:rFonts w:ascii="Arial" w:hAnsi="Arial" w:cs="Arial"/>
          <w:bCs/>
          <w:kern w:val="1"/>
          <w:sz w:val="18"/>
          <w:szCs w:val="18"/>
          <w:lang w:eastAsia="ar-SA"/>
        </w:rPr>
        <w:t>3</w:t>
      </w:r>
      <w:r w:rsidR="00CB116E" w:rsidRPr="008A7C3E">
        <w:rPr>
          <w:rFonts w:ascii="Arial" w:hAnsi="Arial" w:cs="Arial"/>
          <w:bCs/>
          <w:kern w:val="1"/>
          <w:sz w:val="18"/>
          <w:szCs w:val="18"/>
          <w:lang w:eastAsia="ar-SA"/>
        </w:rPr>
        <w:t xml:space="preserve"> </w:t>
      </w:r>
      <w:r w:rsidRPr="008A7C3E">
        <w:rPr>
          <w:rFonts w:ascii="Arial" w:hAnsi="Arial" w:cs="Arial"/>
          <w:bCs/>
          <w:kern w:val="1"/>
          <w:sz w:val="18"/>
          <w:szCs w:val="18"/>
          <w:lang w:eastAsia="ar-SA"/>
        </w:rPr>
        <w:t xml:space="preserve">del </w:t>
      </w:r>
      <w:r w:rsidR="008A7C3E">
        <w:rPr>
          <w:rFonts w:ascii="Arial" w:hAnsi="Arial" w:cs="Arial"/>
          <w:bCs/>
          <w:kern w:val="1"/>
          <w:sz w:val="18"/>
          <w:szCs w:val="18"/>
          <w:lang w:eastAsia="ar-SA"/>
        </w:rPr>
        <w:t>30</w:t>
      </w:r>
      <w:r w:rsidR="008A7C3E" w:rsidRPr="008A7C3E">
        <w:rPr>
          <w:rFonts w:ascii="Arial" w:hAnsi="Arial" w:cs="Arial"/>
          <w:bCs/>
          <w:kern w:val="1"/>
          <w:sz w:val="18"/>
          <w:szCs w:val="18"/>
          <w:lang w:eastAsia="ar-SA"/>
        </w:rPr>
        <w:t xml:space="preserve"> </w:t>
      </w:r>
      <w:r w:rsidRPr="008A7C3E">
        <w:rPr>
          <w:rFonts w:ascii="Arial" w:hAnsi="Arial" w:cs="Arial"/>
          <w:bCs/>
          <w:kern w:val="1"/>
          <w:sz w:val="18"/>
          <w:szCs w:val="18"/>
          <w:lang w:eastAsia="ar-SA"/>
        </w:rPr>
        <w:t xml:space="preserve">de </w:t>
      </w:r>
      <w:r w:rsidR="009B5FED" w:rsidRPr="008A7C3E">
        <w:rPr>
          <w:rFonts w:ascii="Arial" w:hAnsi="Arial" w:cs="Arial"/>
          <w:bCs/>
          <w:kern w:val="1"/>
          <w:sz w:val="18"/>
          <w:szCs w:val="18"/>
          <w:lang w:eastAsia="ar-SA"/>
        </w:rPr>
        <w:t xml:space="preserve">agosto </w:t>
      </w:r>
      <w:r w:rsidRPr="008A7C3E">
        <w:rPr>
          <w:rFonts w:ascii="Arial" w:hAnsi="Arial" w:cs="Arial"/>
          <w:bCs/>
          <w:kern w:val="1"/>
          <w:sz w:val="18"/>
          <w:szCs w:val="18"/>
          <w:lang w:eastAsia="ar-SA"/>
        </w:rPr>
        <w:t>de 202</w:t>
      </w:r>
      <w:r w:rsidR="008A7C3E">
        <w:rPr>
          <w:rFonts w:ascii="Arial" w:hAnsi="Arial" w:cs="Arial"/>
          <w:bCs/>
          <w:kern w:val="1"/>
          <w:sz w:val="18"/>
          <w:szCs w:val="18"/>
          <w:lang w:eastAsia="ar-SA"/>
        </w:rPr>
        <w:t>3</w:t>
      </w:r>
      <w:r w:rsidRPr="00C57285">
        <w:rPr>
          <w:rFonts w:ascii="Arial" w:hAnsi="Arial" w:cs="Arial"/>
          <w:bCs/>
          <w:kern w:val="1"/>
          <w:sz w:val="18"/>
          <w:szCs w:val="18"/>
          <w:lang w:eastAsia="ar-SA"/>
        </w:rPr>
        <w:t>, la Coordinación General de Mejora Regulatoria emitió la opinión no vinculante respecto del “</w:t>
      </w:r>
      <w:r w:rsidRPr="00C57285">
        <w:rPr>
          <w:rFonts w:ascii="Arial" w:eastAsia="Times New Roman" w:hAnsi="Arial" w:cs="Arial"/>
          <w:i/>
          <w:iCs/>
          <w:kern w:val="1"/>
          <w:sz w:val="18"/>
          <w:szCs w:val="18"/>
          <w:lang w:eastAsia="ar-SA"/>
        </w:rPr>
        <w:t>Anteproyecto de Lineamientos para el desbloqueo de Equipos Terminales Móviles que deben observar los prestadores del Servicio Móvil</w:t>
      </w:r>
      <w:r w:rsidRPr="00C57285">
        <w:rPr>
          <w:rFonts w:ascii="Arial" w:hAnsi="Arial" w:cs="Arial"/>
          <w:bCs/>
          <w:kern w:val="1"/>
          <w:sz w:val="18"/>
          <w:szCs w:val="18"/>
          <w:lang w:eastAsia="ar-SA"/>
        </w:rPr>
        <w:t>”.</w:t>
      </w:r>
    </w:p>
    <w:p w14:paraId="6B0E24C2" w14:textId="77777777" w:rsidR="003E4203" w:rsidRPr="00C57285" w:rsidRDefault="003E4203" w:rsidP="00302699">
      <w:pPr>
        <w:spacing w:after="0"/>
        <w:contextualSpacing/>
        <w:mirrorIndents/>
        <w:jc w:val="both"/>
        <w:rPr>
          <w:rFonts w:ascii="Arial" w:hAnsi="Arial" w:cs="Arial"/>
          <w:bCs/>
          <w:kern w:val="1"/>
          <w:sz w:val="18"/>
          <w:szCs w:val="18"/>
          <w:lang w:eastAsia="ar-SA"/>
        </w:rPr>
      </w:pPr>
    </w:p>
    <w:p w14:paraId="18A51F57" w14:textId="492DFF37" w:rsidR="003E4203" w:rsidRPr="00C57285" w:rsidRDefault="003E4203" w:rsidP="00302699">
      <w:pPr>
        <w:spacing w:after="0"/>
        <w:contextualSpacing/>
        <w:mirrorIndents/>
        <w:jc w:val="both"/>
        <w:rPr>
          <w:rFonts w:ascii="Arial" w:hAnsi="Arial" w:cs="Arial"/>
          <w:bCs/>
          <w:kern w:val="1"/>
          <w:sz w:val="18"/>
          <w:szCs w:val="18"/>
          <w:lang w:eastAsia="ar-SA"/>
        </w:rPr>
      </w:pPr>
      <w:r w:rsidRPr="00C57285">
        <w:rPr>
          <w:rFonts w:ascii="Arial" w:hAnsi="Arial" w:cs="Arial"/>
          <w:bCs/>
          <w:kern w:val="1"/>
          <w:sz w:val="18"/>
          <w:szCs w:val="18"/>
          <w:lang w:eastAsia="ar-SA"/>
        </w:rPr>
        <w:t>El Análisis de Impacto Regulatorio del “</w:t>
      </w:r>
      <w:r w:rsidR="001D63A5" w:rsidRPr="00C57285">
        <w:rPr>
          <w:rFonts w:ascii="Arial" w:eastAsia="Times New Roman" w:hAnsi="Arial" w:cs="Arial"/>
          <w:i/>
          <w:iCs/>
          <w:kern w:val="1"/>
          <w:sz w:val="18"/>
          <w:szCs w:val="18"/>
          <w:lang w:eastAsia="ar-SA"/>
        </w:rPr>
        <w:t>Anteproyecto de Lineamientos para el desbloqueo de Equipos Terminales Móviles que deben observar los prestadores del Servicio Móvil</w:t>
      </w:r>
      <w:r w:rsidRPr="00C57285">
        <w:rPr>
          <w:rFonts w:ascii="Arial" w:hAnsi="Arial" w:cs="Arial"/>
          <w:bCs/>
          <w:kern w:val="1"/>
          <w:sz w:val="18"/>
          <w:szCs w:val="18"/>
          <w:lang w:eastAsia="ar-SA"/>
        </w:rPr>
        <w:t>”, fue debidamente publicado en la página de Internet del Instituto, en el espacio destinado para los procesos de consultas públicas, a efecto de darle debida publicidad</w:t>
      </w:r>
      <w:r w:rsidR="00EA1AE9" w:rsidRPr="00C57285">
        <w:rPr>
          <w:rFonts w:ascii="Arial" w:hAnsi="Arial" w:cs="Arial"/>
          <w:bCs/>
          <w:kern w:val="1"/>
          <w:sz w:val="18"/>
          <w:szCs w:val="18"/>
          <w:lang w:eastAsia="ar-SA"/>
        </w:rPr>
        <w:t xml:space="preserve"> en términos del artículo 51 de la LFTR</w:t>
      </w:r>
      <w:r w:rsidRPr="00C57285">
        <w:rPr>
          <w:rFonts w:ascii="Arial" w:hAnsi="Arial" w:cs="Arial"/>
          <w:bCs/>
          <w:kern w:val="1"/>
          <w:sz w:val="18"/>
          <w:szCs w:val="18"/>
          <w:lang w:eastAsia="ar-SA"/>
        </w:rPr>
        <w:t>.</w:t>
      </w:r>
    </w:p>
    <w:p w14:paraId="7D3CEBD2" w14:textId="11AFFFA3" w:rsidR="00993DC0" w:rsidRPr="00C57285" w:rsidRDefault="00993DC0" w:rsidP="00302699">
      <w:pPr>
        <w:spacing w:after="0"/>
        <w:contextualSpacing/>
        <w:mirrorIndents/>
        <w:jc w:val="both"/>
        <w:rPr>
          <w:rFonts w:ascii="Arial" w:eastAsia="Times New Roman" w:hAnsi="Arial" w:cs="Arial"/>
          <w:bCs/>
          <w:kern w:val="1"/>
          <w:sz w:val="18"/>
          <w:szCs w:val="18"/>
          <w:lang w:val="es-ES_tradnl" w:eastAsia="ar-SA"/>
        </w:rPr>
      </w:pPr>
    </w:p>
    <w:p w14:paraId="574F9595" w14:textId="30B3C340" w:rsidR="00C66A46" w:rsidRDefault="00DE0A5E" w:rsidP="00302699">
      <w:pPr>
        <w:spacing w:after="0"/>
        <w:contextualSpacing/>
        <w:mirrorIndents/>
        <w:jc w:val="both"/>
        <w:rPr>
          <w:rFonts w:ascii="Arial" w:eastAsia="Times New Roman" w:hAnsi="Arial" w:cs="Arial"/>
          <w:bCs/>
          <w:kern w:val="1"/>
          <w:sz w:val="18"/>
          <w:szCs w:val="18"/>
          <w:lang w:eastAsia="ar-SA"/>
        </w:rPr>
      </w:pPr>
      <w:r w:rsidRPr="00C57285">
        <w:rPr>
          <w:rFonts w:ascii="Arial" w:eastAsia="Times New Roman" w:hAnsi="Arial" w:cs="Arial"/>
          <w:bCs/>
          <w:kern w:val="1"/>
          <w:sz w:val="18"/>
          <w:szCs w:val="18"/>
          <w:lang w:eastAsia="ar-SA"/>
        </w:rPr>
        <w:t>Por lo anterior, con fundamento en los artículos 28, párrafos décimo quinto</w:t>
      </w:r>
      <w:r w:rsidR="0021602A" w:rsidRPr="00C57285">
        <w:rPr>
          <w:rFonts w:ascii="Arial" w:eastAsia="Times New Roman" w:hAnsi="Arial" w:cs="Arial"/>
          <w:bCs/>
          <w:kern w:val="1"/>
          <w:sz w:val="18"/>
          <w:szCs w:val="18"/>
          <w:lang w:eastAsia="ar-SA"/>
        </w:rPr>
        <w:t>,</w:t>
      </w:r>
      <w:r w:rsidRPr="00C57285">
        <w:rPr>
          <w:rFonts w:ascii="Arial" w:eastAsia="Times New Roman" w:hAnsi="Arial" w:cs="Arial"/>
          <w:bCs/>
          <w:kern w:val="1"/>
          <w:sz w:val="18"/>
          <w:szCs w:val="18"/>
          <w:lang w:eastAsia="ar-SA"/>
        </w:rPr>
        <w:t xml:space="preserve"> décimo sexto</w:t>
      </w:r>
      <w:r w:rsidR="0021602A" w:rsidRPr="00C57285">
        <w:rPr>
          <w:rFonts w:ascii="Arial" w:eastAsia="Times New Roman" w:hAnsi="Arial" w:cs="Arial"/>
          <w:bCs/>
          <w:kern w:val="1"/>
          <w:sz w:val="18"/>
          <w:szCs w:val="18"/>
          <w:lang w:eastAsia="ar-SA"/>
        </w:rPr>
        <w:t xml:space="preserve"> y vigésimo fracción IV</w:t>
      </w:r>
      <w:r w:rsidRPr="00C57285">
        <w:rPr>
          <w:rFonts w:ascii="Arial" w:eastAsia="Times New Roman" w:hAnsi="Arial" w:cs="Arial"/>
          <w:bCs/>
          <w:kern w:val="1"/>
          <w:sz w:val="18"/>
          <w:szCs w:val="18"/>
          <w:lang w:eastAsia="ar-SA"/>
        </w:rPr>
        <w:t xml:space="preserve"> de la Constitución Política de los Estados Unidos Mexicanos; 1, 2, 7, 15 fracciones </w:t>
      </w:r>
      <w:r w:rsidR="00872EE8" w:rsidRPr="00C57285">
        <w:rPr>
          <w:rFonts w:ascii="Arial" w:eastAsia="Times New Roman" w:hAnsi="Arial" w:cs="Arial"/>
          <w:bCs/>
          <w:kern w:val="1"/>
          <w:sz w:val="18"/>
          <w:szCs w:val="18"/>
          <w:lang w:eastAsia="ar-SA"/>
        </w:rPr>
        <w:t>I,</w:t>
      </w:r>
      <w:r w:rsidRPr="00C57285">
        <w:rPr>
          <w:rFonts w:ascii="Arial" w:eastAsia="Times New Roman" w:hAnsi="Arial" w:cs="Arial"/>
          <w:bCs/>
          <w:kern w:val="1"/>
          <w:sz w:val="18"/>
          <w:szCs w:val="18"/>
          <w:lang w:eastAsia="ar-SA"/>
        </w:rPr>
        <w:t xml:space="preserve"> </w:t>
      </w:r>
      <w:r w:rsidR="00023283">
        <w:rPr>
          <w:rFonts w:ascii="Arial" w:eastAsia="Times New Roman" w:hAnsi="Arial" w:cs="Arial"/>
          <w:bCs/>
          <w:kern w:val="1"/>
          <w:sz w:val="18"/>
          <w:szCs w:val="18"/>
          <w:lang w:eastAsia="ar-SA"/>
        </w:rPr>
        <w:t xml:space="preserve">LVI </w:t>
      </w:r>
      <w:r w:rsidR="00F62F26" w:rsidRPr="00C57285">
        <w:rPr>
          <w:rFonts w:ascii="Arial" w:eastAsia="Times New Roman" w:hAnsi="Arial" w:cs="Arial"/>
          <w:bCs/>
          <w:kern w:val="1"/>
          <w:sz w:val="18"/>
          <w:szCs w:val="18"/>
          <w:lang w:eastAsia="ar-SA"/>
        </w:rPr>
        <w:t>y</w:t>
      </w:r>
      <w:r w:rsidRPr="00C57285">
        <w:rPr>
          <w:rFonts w:ascii="Arial" w:eastAsia="Times New Roman" w:hAnsi="Arial" w:cs="Arial"/>
          <w:bCs/>
          <w:kern w:val="1"/>
          <w:sz w:val="18"/>
          <w:szCs w:val="18"/>
          <w:lang w:eastAsia="ar-SA"/>
        </w:rPr>
        <w:t xml:space="preserve"> LXIII,</w:t>
      </w:r>
      <w:r w:rsidR="00993DC0" w:rsidRPr="00C57285">
        <w:rPr>
          <w:rFonts w:ascii="Arial" w:eastAsia="Times New Roman" w:hAnsi="Arial" w:cs="Arial"/>
          <w:bCs/>
          <w:kern w:val="1"/>
          <w:sz w:val="18"/>
          <w:szCs w:val="18"/>
          <w:lang w:eastAsia="ar-SA"/>
        </w:rPr>
        <w:t xml:space="preserve"> 51</w:t>
      </w:r>
      <w:r w:rsidR="0096698C" w:rsidRPr="00C57285">
        <w:rPr>
          <w:rFonts w:ascii="Arial" w:eastAsia="Times New Roman" w:hAnsi="Arial" w:cs="Arial"/>
          <w:bCs/>
          <w:kern w:val="1"/>
          <w:sz w:val="18"/>
          <w:szCs w:val="18"/>
          <w:lang w:eastAsia="ar-SA"/>
        </w:rPr>
        <w:t>,</w:t>
      </w:r>
      <w:r w:rsidRPr="00C57285">
        <w:rPr>
          <w:rFonts w:ascii="Arial" w:eastAsia="Times New Roman" w:hAnsi="Arial" w:cs="Arial"/>
          <w:bCs/>
          <w:kern w:val="1"/>
          <w:sz w:val="18"/>
          <w:szCs w:val="18"/>
          <w:lang w:eastAsia="ar-SA"/>
        </w:rPr>
        <w:t xml:space="preserve"> </w:t>
      </w:r>
      <w:r w:rsidR="00872EE8" w:rsidRPr="00C57285">
        <w:rPr>
          <w:rFonts w:ascii="Arial" w:eastAsia="Times New Roman" w:hAnsi="Arial" w:cs="Arial"/>
          <w:bCs/>
          <w:kern w:val="1"/>
          <w:sz w:val="18"/>
          <w:szCs w:val="18"/>
          <w:lang w:eastAsia="ar-SA"/>
        </w:rPr>
        <w:t>191</w:t>
      </w:r>
      <w:r w:rsidRPr="00C57285">
        <w:rPr>
          <w:rFonts w:ascii="Arial" w:eastAsia="Times New Roman" w:hAnsi="Arial" w:cs="Arial"/>
          <w:bCs/>
          <w:kern w:val="1"/>
          <w:sz w:val="18"/>
          <w:szCs w:val="18"/>
          <w:lang w:eastAsia="ar-SA"/>
        </w:rPr>
        <w:t xml:space="preserve"> </w:t>
      </w:r>
      <w:r w:rsidR="00872EE8" w:rsidRPr="00C57285">
        <w:rPr>
          <w:rFonts w:ascii="Arial" w:eastAsia="Times New Roman" w:hAnsi="Arial" w:cs="Arial"/>
          <w:bCs/>
          <w:kern w:val="1"/>
          <w:sz w:val="18"/>
          <w:szCs w:val="18"/>
          <w:lang w:eastAsia="ar-SA"/>
        </w:rPr>
        <w:t>fracciones XI y XII</w:t>
      </w:r>
      <w:r w:rsidR="00CE5C9D" w:rsidRPr="00C57285">
        <w:rPr>
          <w:rFonts w:ascii="Arial" w:eastAsia="Times New Roman" w:hAnsi="Arial" w:cs="Arial"/>
          <w:bCs/>
          <w:kern w:val="1"/>
          <w:sz w:val="18"/>
          <w:szCs w:val="18"/>
          <w:lang w:eastAsia="ar-SA"/>
        </w:rPr>
        <w:t xml:space="preserve">, </w:t>
      </w:r>
      <w:r w:rsidR="00F816BB" w:rsidRPr="00C57285">
        <w:rPr>
          <w:rFonts w:ascii="Arial" w:eastAsia="Times New Roman" w:hAnsi="Arial" w:cs="Arial"/>
          <w:bCs/>
          <w:kern w:val="1"/>
          <w:sz w:val="18"/>
          <w:szCs w:val="18"/>
          <w:lang w:eastAsia="ar-SA"/>
        </w:rPr>
        <w:t xml:space="preserve">y </w:t>
      </w:r>
      <w:r w:rsidR="00CE5C9D" w:rsidRPr="00C57285">
        <w:rPr>
          <w:rFonts w:ascii="Arial" w:eastAsia="Times New Roman" w:hAnsi="Arial" w:cs="Arial"/>
          <w:bCs/>
          <w:kern w:val="1"/>
          <w:sz w:val="18"/>
          <w:szCs w:val="18"/>
          <w:lang w:eastAsia="ar-SA"/>
        </w:rPr>
        <w:t>298, inciso C), fracción IV</w:t>
      </w:r>
      <w:r w:rsidR="00872EE8" w:rsidRPr="00C57285">
        <w:rPr>
          <w:rFonts w:ascii="Arial" w:eastAsia="Times New Roman" w:hAnsi="Arial" w:cs="Arial"/>
          <w:bCs/>
          <w:kern w:val="1"/>
          <w:sz w:val="18"/>
          <w:szCs w:val="18"/>
          <w:lang w:eastAsia="ar-SA"/>
        </w:rPr>
        <w:t xml:space="preserve"> de la</w:t>
      </w:r>
      <w:r w:rsidRPr="00C57285">
        <w:rPr>
          <w:rFonts w:ascii="Arial" w:eastAsia="Times New Roman" w:hAnsi="Arial" w:cs="Arial"/>
          <w:bCs/>
          <w:kern w:val="1"/>
          <w:sz w:val="18"/>
          <w:szCs w:val="18"/>
          <w:lang w:eastAsia="ar-SA"/>
        </w:rPr>
        <w:t xml:space="preserve"> Ley Federal de Telecomunicaciones y Radiodifusión</w:t>
      </w:r>
      <w:r w:rsidR="00F62F26" w:rsidRPr="00C57285">
        <w:rPr>
          <w:rFonts w:ascii="Arial" w:eastAsia="Times New Roman" w:hAnsi="Arial" w:cs="Arial"/>
          <w:bCs/>
          <w:kern w:val="1"/>
          <w:sz w:val="18"/>
          <w:szCs w:val="18"/>
          <w:lang w:eastAsia="ar-SA"/>
        </w:rPr>
        <w:t>,</w:t>
      </w:r>
      <w:r w:rsidR="00C66A46">
        <w:rPr>
          <w:rFonts w:ascii="Arial" w:eastAsia="Times New Roman" w:hAnsi="Arial" w:cs="Arial"/>
          <w:bCs/>
          <w:kern w:val="1"/>
          <w:sz w:val="18"/>
          <w:szCs w:val="18"/>
          <w:lang w:eastAsia="ar-SA"/>
        </w:rPr>
        <w:t xml:space="preserve"> </w:t>
      </w:r>
      <w:r w:rsidR="00C66A46" w:rsidRPr="007F70B5">
        <w:rPr>
          <w:rFonts w:ascii="Arial" w:eastAsia="Times New Roman" w:hAnsi="Arial" w:cs="Arial"/>
          <w:bCs/>
          <w:kern w:val="1"/>
          <w:sz w:val="18"/>
          <w:szCs w:val="18"/>
          <w:lang w:eastAsia="ar-SA"/>
        </w:rPr>
        <w:t>1, 4, fracción I y 6 fracciones I</w:t>
      </w:r>
      <w:r w:rsidR="00C66A46">
        <w:rPr>
          <w:rFonts w:ascii="Arial" w:eastAsia="Times New Roman" w:hAnsi="Arial" w:cs="Arial"/>
          <w:bCs/>
          <w:kern w:val="1"/>
          <w:sz w:val="18"/>
          <w:szCs w:val="18"/>
          <w:lang w:eastAsia="ar-SA"/>
        </w:rPr>
        <w:t xml:space="preserve"> y XXV del Estatuto Orgánico del Instituto Federal de Telecomunicaciones</w:t>
      </w:r>
      <w:r w:rsidR="00DC2A37" w:rsidRPr="00C57285">
        <w:rPr>
          <w:rFonts w:ascii="Arial" w:hAnsi="Arial" w:cs="Arial"/>
          <w:snapToGrid w:val="0"/>
          <w:sz w:val="18"/>
          <w:szCs w:val="18"/>
        </w:rPr>
        <w:t xml:space="preserve"> el Pleno de este Instituto</w:t>
      </w:r>
      <w:r w:rsidR="00DC2A37" w:rsidRPr="00C57285">
        <w:rPr>
          <w:rFonts w:ascii="Arial" w:eastAsia="Times New Roman" w:hAnsi="Arial" w:cs="Arial"/>
          <w:bCs/>
          <w:kern w:val="1"/>
          <w:sz w:val="18"/>
          <w:szCs w:val="18"/>
          <w:lang w:eastAsia="ar-SA"/>
        </w:rPr>
        <w:t xml:space="preserve"> </w:t>
      </w:r>
      <w:r w:rsidR="00697861" w:rsidRPr="00C57285">
        <w:rPr>
          <w:rFonts w:ascii="Arial" w:eastAsia="Times New Roman" w:hAnsi="Arial" w:cs="Arial"/>
          <w:bCs/>
          <w:kern w:val="1"/>
          <w:sz w:val="18"/>
          <w:szCs w:val="18"/>
          <w:lang w:eastAsia="ar-SA"/>
        </w:rPr>
        <w:t>emite</w:t>
      </w:r>
      <w:r w:rsidRPr="00C57285">
        <w:rPr>
          <w:rFonts w:ascii="Arial" w:eastAsia="Times New Roman" w:hAnsi="Arial" w:cs="Arial"/>
          <w:bCs/>
          <w:kern w:val="1"/>
          <w:sz w:val="18"/>
          <w:szCs w:val="18"/>
          <w:lang w:eastAsia="ar-SA"/>
        </w:rPr>
        <w:t xml:space="preserve"> </w:t>
      </w:r>
      <w:r w:rsidR="00BE4D33" w:rsidRPr="00C57285">
        <w:rPr>
          <w:rFonts w:ascii="Arial" w:eastAsia="Times New Roman" w:hAnsi="Arial" w:cs="Arial"/>
          <w:bCs/>
          <w:kern w:val="1"/>
          <w:sz w:val="18"/>
          <w:szCs w:val="18"/>
          <w:lang w:eastAsia="ar-SA"/>
        </w:rPr>
        <w:t xml:space="preserve">el </w:t>
      </w:r>
      <w:r w:rsidR="00697861" w:rsidRPr="00C57285">
        <w:rPr>
          <w:rFonts w:ascii="Arial" w:eastAsia="Times New Roman" w:hAnsi="Arial" w:cs="Arial"/>
          <w:bCs/>
          <w:kern w:val="1"/>
          <w:sz w:val="18"/>
          <w:szCs w:val="18"/>
          <w:lang w:eastAsia="ar-SA"/>
        </w:rPr>
        <w:t>siguiente</w:t>
      </w:r>
      <w:r w:rsidRPr="00C57285">
        <w:rPr>
          <w:rFonts w:ascii="Arial" w:eastAsia="Times New Roman" w:hAnsi="Arial" w:cs="Arial"/>
          <w:bCs/>
          <w:kern w:val="1"/>
          <w:sz w:val="18"/>
          <w:szCs w:val="18"/>
          <w:lang w:eastAsia="ar-SA"/>
        </w:rPr>
        <w:t>:</w:t>
      </w:r>
    </w:p>
    <w:p w14:paraId="516318FE" w14:textId="77777777" w:rsidR="00C66A46" w:rsidRDefault="00C66A46" w:rsidP="00302699">
      <w:pPr>
        <w:spacing w:after="0"/>
        <w:contextualSpacing/>
        <w:mirrorIndents/>
        <w:jc w:val="both"/>
        <w:rPr>
          <w:rFonts w:ascii="Arial" w:eastAsia="Times New Roman" w:hAnsi="Arial" w:cs="Arial"/>
          <w:bCs/>
          <w:kern w:val="1"/>
          <w:sz w:val="18"/>
          <w:szCs w:val="18"/>
          <w:lang w:eastAsia="ar-SA"/>
        </w:rPr>
      </w:pPr>
    </w:p>
    <w:p w14:paraId="1DF19487" w14:textId="77777777" w:rsidR="00C66A46" w:rsidRPr="00383A63" w:rsidRDefault="00C66A46" w:rsidP="00C66A46">
      <w:pPr>
        <w:spacing w:after="0"/>
        <w:jc w:val="center"/>
        <w:rPr>
          <w:rFonts w:ascii="Arial" w:hAnsi="Arial" w:cs="Arial"/>
          <w:b/>
          <w:sz w:val="18"/>
          <w:szCs w:val="18"/>
          <w:lang w:val="es-MX"/>
        </w:rPr>
      </w:pPr>
      <w:r w:rsidRPr="00C57285">
        <w:rPr>
          <w:rFonts w:ascii="Arial" w:hAnsi="Arial" w:cs="Arial"/>
          <w:b/>
          <w:sz w:val="18"/>
          <w:szCs w:val="18"/>
          <w:lang w:val="es-MX"/>
        </w:rPr>
        <w:t>Acuerdo</w:t>
      </w:r>
    </w:p>
    <w:p w14:paraId="57DBD429" w14:textId="77777777" w:rsidR="00C66A46" w:rsidRPr="00C57285" w:rsidRDefault="00C66A46" w:rsidP="00C66A46">
      <w:pPr>
        <w:spacing w:after="0"/>
        <w:rPr>
          <w:rFonts w:ascii="Arial" w:hAnsi="Arial" w:cs="Arial"/>
          <w:sz w:val="18"/>
          <w:szCs w:val="18"/>
          <w:lang w:val="es-MX"/>
        </w:rPr>
      </w:pPr>
    </w:p>
    <w:p w14:paraId="27670FEC" w14:textId="7CD72A4E" w:rsidR="00C66A46" w:rsidRPr="00211F99" w:rsidRDefault="00C66A46" w:rsidP="00C66A46">
      <w:pPr>
        <w:pStyle w:val="Default"/>
        <w:spacing w:line="276" w:lineRule="auto"/>
        <w:contextualSpacing/>
        <w:mirrorIndents/>
        <w:jc w:val="both"/>
        <w:rPr>
          <w:rFonts w:ascii="Arial" w:eastAsia="Times New Roman" w:hAnsi="Arial" w:cs="Arial"/>
          <w:bCs/>
          <w:color w:val="auto"/>
          <w:kern w:val="1"/>
          <w:sz w:val="18"/>
          <w:szCs w:val="18"/>
          <w:lang w:val="es-ES" w:eastAsia="ar-SA"/>
        </w:rPr>
      </w:pPr>
      <w:proofErr w:type="gramStart"/>
      <w:r>
        <w:rPr>
          <w:rFonts w:ascii="Arial" w:hAnsi="Arial" w:cs="Arial"/>
          <w:b/>
          <w:snapToGrid w:val="0"/>
          <w:sz w:val="18"/>
          <w:szCs w:val="18"/>
        </w:rPr>
        <w:t>Primero</w:t>
      </w:r>
      <w:r w:rsidRPr="00C57285">
        <w:rPr>
          <w:rFonts w:ascii="Arial" w:hAnsi="Arial" w:cs="Arial"/>
          <w:b/>
          <w:snapToGrid w:val="0"/>
          <w:sz w:val="18"/>
          <w:szCs w:val="18"/>
        </w:rPr>
        <w:t>.-</w:t>
      </w:r>
      <w:proofErr w:type="gramEnd"/>
      <w:r w:rsidRPr="00C57285">
        <w:rPr>
          <w:rFonts w:ascii="Arial" w:hAnsi="Arial" w:cs="Arial"/>
          <w:b/>
          <w:snapToGrid w:val="0"/>
          <w:sz w:val="18"/>
          <w:szCs w:val="18"/>
        </w:rPr>
        <w:t xml:space="preserve"> </w:t>
      </w:r>
      <w:r w:rsidRPr="00C57285">
        <w:rPr>
          <w:rFonts w:ascii="Arial" w:hAnsi="Arial" w:cs="Arial"/>
          <w:sz w:val="18"/>
          <w:szCs w:val="18"/>
        </w:rPr>
        <w:t>Se aprueban y emiten los “</w:t>
      </w:r>
      <w:r w:rsidRPr="00C57285">
        <w:rPr>
          <w:rFonts w:ascii="Arial" w:hAnsi="Arial" w:cs="Arial"/>
          <w:i/>
          <w:iCs/>
          <w:sz w:val="18"/>
          <w:szCs w:val="18"/>
        </w:rPr>
        <w:t>Lineamientos para el desbloqueo de Equipos Terminales Móviles que deben observar los prestadores del servicio móvil</w:t>
      </w:r>
      <w:r w:rsidRPr="00C57285">
        <w:rPr>
          <w:rFonts w:ascii="Arial" w:hAnsi="Arial" w:cs="Arial"/>
          <w:sz w:val="18"/>
          <w:szCs w:val="18"/>
        </w:rPr>
        <w:t>”</w:t>
      </w:r>
      <w:r>
        <w:rPr>
          <w:rFonts w:ascii="Arial" w:hAnsi="Arial" w:cs="Arial"/>
          <w:sz w:val="18"/>
          <w:szCs w:val="18"/>
        </w:rPr>
        <w:t xml:space="preserve">, mismos que se encuentran como Anexo Único del presente Acuerdo y que forma parte integral de este, los cuales entrarán en vigor </w:t>
      </w:r>
      <w:r w:rsidRPr="00C57285">
        <w:rPr>
          <w:rFonts w:ascii="Arial" w:eastAsia="ITC Avant Garde" w:hAnsi="Arial" w:cs="Arial"/>
          <w:sz w:val="18"/>
          <w:szCs w:val="18"/>
        </w:rPr>
        <w:t>a los 180 (ciento ochenta) días naturales siguientes al de su publicación en el Diario Oficial de la Federación.</w:t>
      </w:r>
    </w:p>
    <w:p w14:paraId="37DAA135" w14:textId="77777777" w:rsidR="00C66A46" w:rsidRDefault="00C66A46" w:rsidP="00C66A46">
      <w:pPr>
        <w:pStyle w:val="Default"/>
        <w:spacing w:line="276" w:lineRule="auto"/>
        <w:contextualSpacing/>
        <w:mirrorIndents/>
        <w:jc w:val="both"/>
        <w:rPr>
          <w:rFonts w:ascii="Arial" w:eastAsia="Times New Roman" w:hAnsi="Arial" w:cs="Arial"/>
          <w:bCs/>
          <w:color w:val="auto"/>
          <w:kern w:val="1"/>
          <w:sz w:val="18"/>
          <w:szCs w:val="18"/>
          <w:lang w:val="es-ES" w:eastAsia="ar-SA"/>
        </w:rPr>
      </w:pPr>
    </w:p>
    <w:p w14:paraId="59674B3D" w14:textId="77777777" w:rsidR="00C66A46" w:rsidRPr="00383A63" w:rsidRDefault="00C66A46" w:rsidP="00C66A46">
      <w:pPr>
        <w:pStyle w:val="Default"/>
        <w:spacing w:line="276" w:lineRule="auto"/>
        <w:contextualSpacing/>
        <w:mirrorIndents/>
        <w:jc w:val="both"/>
        <w:rPr>
          <w:rFonts w:ascii="Arial" w:eastAsia="Times New Roman" w:hAnsi="Arial" w:cs="Arial"/>
          <w:b/>
          <w:color w:val="auto"/>
          <w:kern w:val="1"/>
          <w:sz w:val="18"/>
          <w:szCs w:val="18"/>
          <w:lang w:val="es-ES" w:eastAsia="ar-SA"/>
        </w:rPr>
      </w:pPr>
      <w:proofErr w:type="gramStart"/>
      <w:r w:rsidRPr="00383A63">
        <w:rPr>
          <w:rFonts w:ascii="Arial" w:eastAsia="Times New Roman" w:hAnsi="Arial" w:cs="Arial"/>
          <w:b/>
          <w:color w:val="auto"/>
          <w:kern w:val="1"/>
          <w:sz w:val="18"/>
          <w:szCs w:val="18"/>
          <w:lang w:val="es-ES" w:eastAsia="ar-SA"/>
        </w:rPr>
        <w:t>Segundo.-</w:t>
      </w:r>
      <w:proofErr w:type="gramEnd"/>
      <w:r w:rsidRPr="00383A63">
        <w:rPr>
          <w:rFonts w:ascii="Arial" w:eastAsia="Times New Roman" w:hAnsi="Arial" w:cs="Arial"/>
          <w:b/>
          <w:color w:val="auto"/>
          <w:kern w:val="1"/>
          <w:sz w:val="18"/>
          <w:szCs w:val="18"/>
          <w:lang w:val="es-ES" w:eastAsia="ar-SA"/>
        </w:rPr>
        <w:t xml:space="preserve"> </w:t>
      </w:r>
      <w:r w:rsidRPr="00C57285">
        <w:rPr>
          <w:rFonts w:ascii="Arial" w:eastAsia="ITC Avant Garde" w:hAnsi="Arial" w:cs="Arial"/>
          <w:sz w:val="18"/>
          <w:szCs w:val="18"/>
        </w:rPr>
        <w:t>Publíquese el presente Acuerdo</w:t>
      </w:r>
      <w:r>
        <w:rPr>
          <w:rFonts w:ascii="Arial" w:eastAsia="ITC Avant Garde" w:hAnsi="Arial" w:cs="Arial"/>
          <w:sz w:val="18"/>
          <w:szCs w:val="18"/>
        </w:rPr>
        <w:t xml:space="preserve"> y su Anexo Único</w:t>
      </w:r>
      <w:r w:rsidRPr="00C57285">
        <w:rPr>
          <w:rFonts w:ascii="Arial" w:eastAsia="ITC Avant Garde" w:hAnsi="Arial" w:cs="Arial"/>
          <w:sz w:val="18"/>
          <w:szCs w:val="18"/>
        </w:rPr>
        <w:t xml:space="preserve"> en el Diario Oficial de la Federación, de conformidad con lo dispuesto en el artículo 46 de la Ley Federal de Telecomunicaciones y Radiodifusión</w:t>
      </w:r>
      <w:r>
        <w:rPr>
          <w:rFonts w:ascii="Arial" w:eastAsia="ITC Avant Garde" w:hAnsi="Arial" w:cs="Arial"/>
          <w:sz w:val="18"/>
          <w:szCs w:val="18"/>
        </w:rPr>
        <w:t xml:space="preserve"> y en el portal de Internet del Instituto Federal de Telecomunicaciones</w:t>
      </w:r>
      <w:r w:rsidRPr="00C57285">
        <w:rPr>
          <w:rFonts w:ascii="Arial" w:eastAsia="ITC Avant Garde" w:hAnsi="Arial" w:cs="Arial"/>
          <w:sz w:val="18"/>
          <w:szCs w:val="18"/>
        </w:rPr>
        <w:t>.</w:t>
      </w:r>
    </w:p>
    <w:p w14:paraId="2E12C803" w14:textId="5DE037C4" w:rsidR="00D74C49" w:rsidRDefault="00D74C49">
      <w:pPr>
        <w:spacing w:after="160" w:line="259" w:lineRule="auto"/>
        <w:rPr>
          <w:rFonts w:ascii="Arial" w:hAnsi="Arial" w:cs="Arial"/>
          <w:b/>
          <w:sz w:val="18"/>
          <w:szCs w:val="18"/>
          <w:lang w:val="es-MX"/>
        </w:rPr>
      </w:pPr>
      <w:r>
        <w:rPr>
          <w:rFonts w:ascii="Arial" w:hAnsi="Arial" w:cs="Arial"/>
          <w:b/>
          <w:sz w:val="18"/>
          <w:szCs w:val="18"/>
          <w:lang w:val="es-MX"/>
        </w:rPr>
        <w:br w:type="page"/>
      </w:r>
    </w:p>
    <w:p w14:paraId="7DC8523C" w14:textId="77777777" w:rsidR="002A4E64" w:rsidRDefault="002A4E64" w:rsidP="00302699">
      <w:pPr>
        <w:spacing w:after="0"/>
        <w:contextualSpacing/>
        <w:mirrorIndents/>
        <w:jc w:val="both"/>
        <w:rPr>
          <w:rFonts w:ascii="Arial" w:hAnsi="Arial" w:cs="Arial"/>
          <w:b/>
          <w:sz w:val="18"/>
          <w:szCs w:val="18"/>
          <w:lang w:val="es-MX"/>
        </w:rPr>
      </w:pPr>
    </w:p>
    <w:p w14:paraId="72F4E0A4" w14:textId="77777777" w:rsidR="00D74C49" w:rsidRDefault="00D74C49" w:rsidP="00302699">
      <w:pPr>
        <w:spacing w:after="0"/>
        <w:contextualSpacing/>
        <w:mirrorIndents/>
        <w:jc w:val="both"/>
        <w:rPr>
          <w:rFonts w:ascii="Arial" w:hAnsi="Arial" w:cs="Arial"/>
          <w:b/>
          <w:sz w:val="18"/>
          <w:szCs w:val="18"/>
          <w:lang w:val="es-MX"/>
        </w:rPr>
      </w:pPr>
    </w:p>
    <w:p w14:paraId="383CD81B" w14:textId="17E0CBE7" w:rsidR="002A4E64" w:rsidRPr="00383A63" w:rsidRDefault="002A4E64" w:rsidP="002A4E64">
      <w:pPr>
        <w:spacing w:after="0"/>
        <w:jc w:val="center"/>
        <w:rPr>
          <w:rFonts w:ascii="Arial" w:hAnsi="Arial" w:cs="Arial"/>
          <w:b/>
          <w:sz w:val="18"/>
          <w:szCs w:val="18"/>
          <w:lang w:val="es-MX"/>
        </w:rPr>
      </w:pPr>
      <w:r>
        <w:rPr>
          <w:rFonts w:ascii="Arial" w:hAnsi="Arial" w:cs="Arial"/>
          <w:b/>
          <w:sz w:val="18"/>
          <w:szCs w:val="18"/>
          <w:lang w:val="es-MX"/>
        </w:rPr>
        <w:t>Anexo Único</w:t>
      </w:r>
    </w:p>
    <w:p w14:paraId="5D2A1A1F" w14:textId="31C96879" w:rsidR="003C6455" w:rsidRPr="00C57285" w:rsidRDefault="003C6455" w:rsidP="00302699">
      <w:pPr>
        <w:pStyle w:val="Default"/>
        <w:spacing w:line="276" w:lineRule="auto"/>
        <w:contextualSpacing/>
        <w:mirrorIndents/>
        <w:jc w:val="both"/>
        <w:rPr>
          <w:rFonts w:ascii="Arial" w:eastAsia="Times New Roman" w:hAnsi="Arial" w:cs="Arial"/>
          <w:bCs/>
          <w:color w:val="auto"/>
          <w:kern w:val="1"/>
          <w:sz w:val="18"/>
          <w:szCs w:val="18"/>
          <w:lang w:val="es-ES" w:eastAsia="ar-SA"/>
        </w:rPr>
      </w:pPr>
    </w:p>
    <w:p w14:paraId="6691E11D" w14:textId="4B4E4BC2" w:rsidR="00995046" w:rsidRPr="00C57285" w:rsidRDefault="00995046" w:rsidP="00302699">
      <w:pPr>
        <w:pStyle w:val="Default"/>
        <w:spacing w:line="276" w:lineRule="auto"/>
        <w:contextualSpacing/>
        <w:mirrorIndents/>
        <w:jc w:val="both"/>
        <w:rPr>
          <w:rFonts w:ascii="Arial" w:eastAsia="Times New Roman" w:hAnsi="Arial" w:cs="Arial"/>
          <w:b/>
          <w:bCs/>
          <w:sz w:val="18"/>
          <w:szCs w:val="18"/>
          <w:lang w:eastAsia="es-MX"/>
        </w:rPr>
      </w:pPr>
      <w:bookmarkStart w:id="2" w:name="_Hlk105593918"/>
      <w:r w:rsidRPr="00C57285">
        <w:rPr>
          <w:rFonts w:ascii="Arial" w:eastAsia="Times New Roman" w:hAnsi="Arial" w:cs="Arial"/>
          <w:b/>
          <w:bCs/>
          <w:sz w:val="18"/>
          <w:szCs w:val="18"/>
          <w:lang w:eastAsia="es-MX"/>
        </w:rPr>
        <w:t>Lineamientos para el desbloqueo de Equipos Terminales Móviles que deben observar los prestadores del servicio móvil.</w:t>
      </w:r>
    </w:p>
    <w:bookmarkEnd w:id="2"/>
    <w:p w14:paraId="0575F8F8" w14:textId="77777777" w:rsidR="00995046" w:rsidRPr="00C57285" w:rsidRDefault="00995046" w:rsidP="00302699">
      <w:pPr>
        <w:spacing w:after="0"/>
        <w:contextualSpacing/>
        <w:mirrorIndents/>
        <w:jc w:val="center"/>
        <w:rPr>
          <w:rFonts w:ascii="Arial" w:hAnsi="Arial" w:cs="Arial"/>
          <w:b/>
          <w:bCs/>
          <w:color w:val="000000"/>
          <w:sz w:val="18"/>
          <w:szCs w:val="18"/>
          <w:lang w:eastAsia="es-MX"/>
        </w:rPr>
      </w:pPr>
    </w:p>
    <w:p w14:paraId="19DCF6FF" w14:textId="77777777" w:rsidR="00995046" w:rsidRDefault="00995046" w:rsidP="00302699">
      <w:pPr>
        <w:spacing w:after="0"/>
        <w:contextualSpacing/>
        <w:mirrorIndents/>
        <w:jc w:val="center"/>
        <w:rPr>
          <w:rFonts w:ascii="Arial" w:hAnsi="Arial" w:cs="Arial"/>
          <w:b/>
          <w:bCs/>
          <w:color w:val="000000"/>
          <w:sz w:val="18"/>
          <w:szCs w:val="18"/>
          <w:lang w:eastAsia="es-MX"/>
        </w:rPr>
      </w:pPr>
      <w:r w:rsidRPr="00C57285">
        <w:rPr>
          <w:rFonts w:ascii="Arial" w:hAnsi="Arial" w:cs="Arial"/>
          <w:b/>
          <w:bCs/>
          <w:color w:val="000000"/>
          <w:sz w:val="18"/>
          <w:szCs w:val="18"/>
          <w:lang w:eastAsia="es-MX"/>
        </w:rPr>
        <w:t>Capítulo I</w:t>
      </w:r>
    </w:p>
    <w:p w14:paraId="0308070A" w14:textId="77777777" w:rsidR="0022244B" w:rsidRPr="00C57285" w:rsidRDefault="0022244B" w:rsidP="00302699">
      <w:pPr>
        <w:spacing w:after="0"/>
        <w:contextualSpacing/>
        <w:mirrorIndents/>
        <w:jc w:val="center"/>
        <w:rPr>
          <w:rFonts w:ascii="Arial" w:hAnsi="Arial" w:cs="Arial"/>
          <w:b/>
          <w:bCs/>
          <w:color w:val="000000"/>
          <w:sz w:val="18"/>
          <w:szCs w:val="18"/>
          <w:lang w:eastAsia="es-MX"/>
        </w:rPr>
      </w:pPr>
    </w:p>
    <w:p w14:paraId="4CFC5141" w14:textId="77777777" w:rsidR="00995046" w:rsidRPr="00C57285" w:rsidRDefault="00995046" w:rsidP="00302699">
      <w:pPr>
        <w:spacing w:after="0"/>
        <w:contextualSpacing/>
        <w:mirrorIndents/>
        <w:jc w:val="center"/>
        <w:rPr>
          <w:rFonts w:ascii="Arial" w:hAnsi="Arial" w:cs="Arial"/>
          <w:b/>
          <w:bCs/>
          <w:color w:val="000000"/>
          <w:sz w:val="18"/>
          <w:szCs w:val="18"/>
          <w:lang w:eastAsia="es-MX"/>
        </w:rPr>
      </w:pPr>
      <w:r w:rsidRPr="00C57285">
        <w:rPr>
          <w:rFonts w:ascii="Arial" w:hAnsi="Arial" w:cs="Arial"/>
          <w:b/>
          <w:bCs/>
          <w:color w:val="000000"/>
          <w:sz w:val="18"/>
          <w:szCs w:val="18"/>
          <w:lang w:eastAsia="es-MX"/>
        </w:rPr>
        <w:t>Disposiciones Generales</w:t>
      </w:r>
    </w:p>
    <w:p w14:paraId="06C6026F" w14:textId="77777777" w:rsidR="00995046" w:rsidRPr="00C57285" w:rsidRDefault="00995046" w:rsidP="00302699">
      <w:pPr>
        <w:tabs>
          <w:tab w:val="left" w:pos="726"/>
        </w:tabs>
        <w:spacing w:after="0"/>
        <w:contextualSpacing/>
        <w:mirrorIndents/>
        <w:rPr>
          <w:rFonts w:ascii="Arial" w:hAnsi="Arial" w:cs="Arial"/>
          <w:b/>
          <w:bCs/>
          <w:color w:val="000000"/>
          <w:sz w:val="18"/>
          <w:szCs w:val="18"/>
          <w:lang w:eastAsia="es-MX"/>
        </w:rPr>
      </w:pPr>
    </w:p>
    <w:p w14:paraId="75580B4D" w14:textId="75BB4593" w:rsidR="00995046" w:rsidRPr="00C57285" w:rsidRDefault="00995046" w:rsidP="00B96CAF">
      <w:pPr>
        <w:spacing w:after="0"/>
        <w:jc w:val="both"/>
        <w:rPr>
          <w:rFonts w:ascii="Arial" w:hAnsi="Arial" w:cs="Arial"/>
          <w:sz w:val="18"/>
          <w:szCs w:val="18"/>
        </w:rPr>
      </w:pPr>
      <w:proofErr w:type="gramStart"/>
      <w:r w:rsidRPr="00FC37F1">
        <w:rPr>
          <w:rFonts w:ascii="Arial" w:hAnsi="Arial" w:cs="Arial"/>
          <w:b/>
          <w:sz w:val="18"/>
          <w:szCs w:val="18"/>
        </w:rPr>
        <w:t>Primero</w:t>
      </w:r>
      <w:r w:rsidRPr="00FC37F1">
        <w:rPr>
          <w:rFonts w:ascii="Arial" w:hAnsi="Arial" w:cs="Arial"/>
          <w:bCs/>
          <w:sz w:val="18"/>
          <w:szCs w:val="18"/>
        </w:rPr>
        <w:t>.-</w:t>
      </w:r>
      <w:proofErr w:type="gramEnd"/>
      <w:r w:rsidRPr="00FC37F1">
        <w:rPr>
          <w:rFonts w:ascii="Arial" w:hAnsi="Arial" w:cs="Arial"/>
          <w:bCs/>
          <w:sz w:val="18"/>
          <w:szCs w:val="18"/>
        </w:rPr>
        <w:t xml:space="preserve"> </w:t>
      </w:r>
      <w:r w:rsidRPr="00FC37F1">
        <w:rPr>
          <w:rFonts w:ascii="Arial" w:hAnsi="Arial" w:cs="Arial"/>
          <w:sz w:val="18"/>
          <w:szCs w:val="18"/>
        </w:rPr>
        <w:t>Los presentes Lineamientos tienen por objeto</w:t>
      </w:r>
      <w:r w:rsidR="00CA259E">
        <w:rPr>
          <w:rFonts w:ascii="Arial" w:hAnsi="Arial" w:cs="Arial"/>
          <w:sz w:val="18"/>
          <w:szCs w:val="18"/>
        </w:rPr>
        <w:t>, exclusivamente en el ámbito de competencia del Instituto,</w:t>
      </w:r>
      <w:r w:rsidRPr="00FC37F1">
        <w:rPr>
          <w:rFonts w:ascii="Arial" w:hAnsi="Arial" w:cs="Arial"/>
          <w:sz w:val="18"/>
          <w:szCs w:val="18"/>
        </w:rPr>
        <w:t xml:space="preserve"> establecer las obligaciones</w:t>
      </w:r>
      <w:r w:rsidR="002C47AE">
        <w:rPr>
          <w:rFonts w:ascii="Arial" w:hAnsi="Arial" w:cs="Arial"/>
          <w:sz w:val="18"/>
          <w:szCs w:val="18"/>
        </w:rPr>
        <w:t>, parámetros</w:t>
      </w:r>
      <w:r w:rsidRPr="00FC37F1">
        <w:rPr>
          <w:rFonts w:ascii="Arial" w:hAnsi="Arial" w:cs="Arial"/>
          <w:sz w:val="18"/>
          <w:szCs w:val="18"/>
        </w:rPr>
        <w:t xml:space="preserve"> y plazos a los que deberán sujetarse los concesionarios y autorizados que presten el Servicio Móvil para realizar el desbloqueo de los Equipos Terminales Móviles</w:t>
      </w:r>
      <w:r w:rsidR="007C216E">
        <w:rPr>
          <w:rFonts w:ascii="Arial" w:hAnsi="Arial" w:cs="Arial"/>
          <w:sz w:val="18"/>
          <w:szCs w:val="18"/>
        </w:rPr>
        <w:t>,</w:t>
      </w:r>
      <w:r w:rsidR="00FC37F1" w:rsidRPr="00B96CAF">
        <w:rPr>
          <w:rFonts w:ascii="Arial" w:hAnsi="Arial" w:cs="Arial"/>
          <w:sz w:val="18"/>
          <w:szCs w:val="18"/>
        </w:rPr>
        <w:t xml:space="preserve"> </w:t>
      </w:r>
      <w:r w:rsidR="00FC37F1">
        <w:rPr>
          <w:rFonts w:ascii="Arial" w:hAnsi="Arial" w:cs="Arial"/>
          <w:sz w:val="18"/>
          <w:szCs w:val="18"/>
        </w:rPr>
        <w:t xml:space="preserve">a efecto de </w:t>
      </w:r>
      <w:r w:rsidR="00FC37F1" w:rsidRPr="00FC37F1">
        <w:rPr>
          <w:rFonts w:ascii="Arial" w:hAnsi="Arial" w:cs="Arial"/>
          <w:bCs/>
          <w:kern w:val="1"/>
          <w:sz w:val="18"/>
          <w:szCs w:val="18"/>
          <w:lang w:eastAsia="ar-SA"/>
        </w:rPr>
        <w:t xml:space="preserve">prevenir y evitar el establecimiento de barreras </w:t>
      </w:r>
      <w:r w:rsidR="001E02D1">
        <w:rPr>
          <w:rFonts w:ascii="Arial" w:hAnsi="Arial" w:cs="Arial"/>
          <w:bCs/>
          <w:kern w:val="1"/>
          <w:sz w:val="18"/>
          <w:szCs w:val="18"/>
          <w:lang w:eastAsia="ar-SA"/>
        </w:rPr>
        <w:t xml:space="preserve">que impidan </w:t>
      </w:r>
      <w:r w:rsidR="00FC37F1">
        <w:rPr>
          <w:rFonts w:ascii="Arial" w:hAnsi="Arial" w:cs="Arial"/>
          <w:bCs/>
          <w:kern w:val="1"/>
          <w:sz w:val="18"/>
          <w:szCs w:val="18"/>
          <w:lang w:eastAsia="ar-SA"/>
        </w:rPr>
        <w:t>su</w:t>
      </w:r>
      <w:r w:rsidR="00FC37F1" w:rsidRPr="00FC37F1">
        <w:rPr>
          <w:rFonts w:ascii="Arial" w:hAnsi="Arial" w:cs="Arial"/>
          <w:bCs/>
          <w:kern w:val="1"/>
          <w:sz w:val="18"/>
          <w:szCs w:val="18"/>
          <w:lang w:eastAsia="ar-SA"/>
        </w:rPr>
        <w:t xml:space="preserve"> conexión </w:t>
      </w:r>
      <w:r w:rsidR="007C216E">
        <w:rPr>
          <w:rFonts w:ascii="Arial" w:hAnsi="Arial" w:cs="Arial"/>
          <w:bCs/>
          <w:kern w:val="1"/>
          <w:sz w:val="18"/>
          <w:szCs w:val="18"/>
          <w:lang w:eastAsia="ar-SA"/>
        </w:rPr>
        <w:t>en</w:t>
      </w:r>
      <w:r w:rsidR="00FC37F1" w:rsidRPr="00FC37F1">
        <w:rPr>
          <w:rFonts w:ascii="Arial" w:hAnsi="Arial" w:cs="Arial"/>
          <w:bCs/>
          <w:kern w:val="1"/>
          <w:sz w:val="18"/>
          <w:szCs w:val="18"/>
          <w:lang w:eastAsia="ar-SA"/>
        </w:rPr>
        <w:t xml:space="preserve"> cualquier red </w:t>
      </w:r>
      <w:r w:rsidR="00FC37F1">
        <w:rPr>
          <w:rFonts w:ascii="Arial" w:hAnsi="Arial" w:cs="Arial"/>
          <w:bCs/>
          <w:kern w:val="1"/>
          <w:sz w:val="18"/>
          <w:szCs w:val="18"/>
          <w:lang w:eastAsia="ar-SA"/>
        </w:rPr>
        <w:t>pública de telecomunicaciones.</w:t>
      </w:r>
    </w:p>
    <w:p w14:paraId="4DB684E7" w14:textId="77777777" w:rsidR="00995046" w:rsidRPr="00C57285" w:rsidRDefault="00995046" w:rsidP="00302699">
      <w:pPr>
        <w:spacing w:after="0"/>
        <w:contextualSpacing/>
        <w:mirrorIndents/>
        <w:jc w:val="both"/>
        <w:rPr>
          <w:rFonts w:ascii="Arial" w:hAnsi="Arial" w:cs="Arial"/>
          <w:sz w:val="18"/>
          <w:szCs w:val="18"/>
        </w:rPr>
      </w:pPr>
    </w:p>
    <w:p w14:paraId="6E157C8A" w14:textId="70A1B076" w:rsidR="00995046" w:rsidRPr="00C57285" w:rsidRDefault="00995046" w:rsidP="00302699">
      <w:pPr>
        <w:spacing w:after="0"/>
        <w:contextualSpacing/>
        <w:mirrorIndents/>
        <w:jc w:val="both"/>
        <w:rPr>
          <w:rFonts w:ascii="Arial" w:hAnsi="Arial" w:cs="Arial"/>
          <w:sz w:val="18"/>
          <w:szCs w:val="18"/>
        </w:rPr>
      </w:pPr>
      <w:proofErr w:type="gramStart"/>
      <w:r w:rsidRPr="00C57285">
        <w:rPr>
          <w:rFonts w:ascii="Arial" w:hAnsi="Arial" w:cs="Arial"/>
          <w:b/>
          <w:bCs/>
          <w:sz w:val="18"/>
          <w:szCs w:val="18"/>
        </w:rPr>
        <w:t>Segundo</w:t>
      </w:r>
      <w:r w:rsidRPr="00C57285">
        <w:rPr>
          <w:rFonts w:ascii="Arial" w:hAnsi="Arial" w:cs="Arial"/>
          <w:sz w:val="18"/>
          <w:szCs w:val="18"/>
        </w:rPr>
        <w:t>.-</w:t>
      </w:r>
      <w:proofErr w:type="gramEnd"/>
      <w:r w:rsidRPr="00C57285">
        <w:rPr>
          <w:rFonts w:ascii="Arial" w:hAnsi="Arial" w:cs="Arial"/>
          <w:sz w:val="18"/>
          <w:szCs w:val="18"/>
        </w:rPr>
        <w:t xml:space="preserve"> Los presentes Lineamientos son aplicables a los titulares de Concesi</w:t>
      </w:r>
      <w:r w:rsidR="00734EC1">
        <w:rPr>
          <w:rFonts w:ascii="Arial" w:hAnsi="Arial" w:cs="Arial"/>
          <w:sz w:val="18"/>
          <w:szCs w:val="18"/>
        </w:rPr>
        <w:t>ones</w:t>
      </w:r>
      <w:r w:rsidRPr="00C57285">
        <w:rPr>
          <w:rFonts w:ascii="Arial" w:hAnsi="Arial" w:cs="Arial"/>
          <w:sz w:val="18"/>
          <w:szCs w:val="18"/>
        </w:rPr>
        <w:t xml:space="preserve"> Única</w:t>
      </w:r>
      <w:r w:rsidR="00734EC1">
        <w:rPr>
          <w:rFonts w:ascii="Arial" w:hAnsi="Arial" w:cs="Arial"/>
          <w:sz w:val="18"/>
          <w:szCs w:val="18"/>
        </w:rPr>
        <w:t>s,</w:t>
      </w:r>
      <w:r w:rsidRPr="00C57285">
        <w:rPr>
          <w:rFonts w:ascii="Arial" w:hAnsi="Arial" w:cs="Arial"/>
          <w:sz w:val="18"/>
          <w:szCs w:val="18"/>
        </w:rPr>
        <w:t xml:space="preserve"> Conces</w:t>
      </w:r>
      <w:r w:rsidR="00734EC1">
        <w:rPr>
          <w:rFonts w:ascii="Arial" w:hAnsi="Arial" w:cs="Arial"/>
          <w:sz w:val="18"/>
          <w:szCs w:val="18"/>
        </w:rPr>
        <w:t>iones</w:t>
      </w:r>
      <w:r w:rsidRPr="00C57285">
        <w:rPr>
          <w:rFonts w:ascii="Arial" w:hAnsi="Arial" w:cs="Arial"/>
          <w:sz w:val="18"/>
          <w:szCs w:val="18"/>
        </w:rPr>
        <w:t xml:space="preserve"> de Red Pública de Telecomunicaciones</w:t>
      </w:r>
      <w:r w:rsidR="00734EC1">
        <w:rPr>
          <w:rFonts w:ascii="Arial" w:hAnsi="Arial" w:cs="Arial"/>
          <w:sz w:val="18"/>
          <w:szCs w:val="18"/>
        </w:rPr>
        <w:t xml:space="preserve"> y</w:t>
      </w:r>
      <w:r w:rsidRPr="00C57285">
        <w:rPr>
          <w:rFonts w:ascii="Arial" w:hAnsi="Arial" w:cs="Arial"/>
          <w:sz w:val="18"/>
          <w:szCs w:val="18"/>
        </w:rPr>
        <w:t xml:space="preserve"> autorizados</w:t>
      </w:r>
      <w:r w:rsidR="00734EC1">
        <w:rPr>
          <w:rFonts w:ascii="Arial" w:hAnsi="Arial" w:cs="Arial"/>
          <w:sz w:val="18"/>
          <w:szCs w:val="18"/>
        </w:rPr>
        <w:t xml:space="preserve"> </w:t>
      </w:r>
      <w:r w:rsidR="006B031B">
        <w:rPr>
          <w:rFonts w:ascii="Arial" w:hAnsi="Arial" w:cs="Arial"/>
          <w:sz w:val="18"/>
          <w:szCs w:val="18"/>
        </w:rPr>
        <w:t xml:space="preserve">que comercialicen Equipos </w:t>
      </w:r>
      <w:r w:rsidR="00212C59">
        <w:rPr>
          <w:rFonts w:ascii="Arial" w:hAnsi="Arial" w:cs="Arial"/>
          <w:sz w:val="18"/>
          <w:szCs w:val="18"/>
        </w:rPr>
        <w:t>Terminales Móviles</w:t>
      </w:r>
      <w:r w:rsidR="005D76F6">
        <w:rPr>
          <w:rFonts w:ascii="Arial" w:hAnsi="Arial" w:cs="Arial"/>
          <w:sz w:val="18"/>
          <w:szCs w:val="18"/>
        </w:rPr>
        <w:t xml:space="preserve"> para su utilización en una red pública de telecomunicaciones determinada</w:t>
      </w:r>
      <w:r w:rsidRPr="00C57285">
        <w:rPr>
          <w:rFonts w:ascii="Arial" w:hAnsi="Arial" w:cs="Arial"/>
          <w:sz w:val="18"/>
          <w:szCs w:val="18"/>
        </w:rPr>
        <w:t>.</w:t>
      </w:r>
    </w:p>
    <w:p w14:paraId="188E4738" w14:textId="77777777" w:rsidR="00B31444" w:rsidRPr="00C57285" w:rsidRDefault="00B31444" w:rsidP="00302699">
      <w:pPr>
        <w:spacing w:after="0"/>
        <w:contextualSpacing/>
        <w:mirrorIndents/>
        <w:jc w:val="both"/>
        <w:rPr>
          <w:rFonts w:ascii="Arial" w:hAnsi="Arial" w:cs="Arial"/>
          <w:sz w:val="18"/>
          <w:szCs w:val="18"/>
        </w:rPr>
      </w:pPr>
    </w:p>
    <w:p w14:paraId="428F09DA" w14:textId="77777777" w:rsidR="00995046" w:rsidRPr="00C57285" w:rsidRDefault="00995046" w:rsidP="00302699">
      <w:pPr>
        <w:spacing w:after="0"/>
        <w:contextualSpacing/>
        <w:mirrorIndents/>
        <w:jc w:val="both"/>
        <w:rPr>
          <w:rFonts w:ascii="Arial" w:hAnsi="Arial" w:cs="Arial"/>
          <w:b/>
          <w:sz w:val="18"/>
          <w:szCs w:val="18"/>
        </w:rPr>
      </w:pPr>
      <w:proofErr w:type="gramStart"/>
      <w:r w:rsidRPr="00C57285">
        <w:rPr>
          <w:rFonts w:ascii="Arial" w:hAnsi="Arial" w:cs="Arial"/>
          <w:b/>
          <w:sz w:val="18"/>
          <w:szCs w:val="18"/>
        </w:rPr>
        <w:t>Tercero</w:t>
      </w:r>
      <w:r w:rsidRPr="00C57285">
        <w:rPr>
          <w:rFonts w:ascii="Arial" w:hAnsi="Arial" w:cs="Arial"/>
          <w:bCs/>
          <w:sz w:val="18"/>
          <w:szCs w:val="18"/>
        </w:rPr>
        <w:t>.-</w:t>
      </w:r>
      <w:proofErr w:type="gramEnd"/>
      <w:r w:rsidRPr="00C57285">
        <w:rPr>
          <w:rFonts w:ascii="Arial" w:hAnsi="Arial" w:cs="Arial"/>
          <w:bCs/>
          <w:sz w:val="18"/>
          <w:szCs w:val="18"/>
        </w:rPr>
        <w:t xml:space="preserve"> Para efectos de los presentes Lineamientos, además de </w:t>
      </w:r>
      <w:r w:rsidRPr="00C57285">
        <w:rPr>
          <w:rFonts w:ascii="Arial" w:hAnsi="Arial" w:cs="Arial"/>
          <w:sz w:val="18"/>
          <w:szCs w:val="18"/>
        </w:rPr>
        <w:t>las definiciones previstas en la Ley Federal de Telecomunicaciones y Radiodifusión serán aplicables las siguientes:</w:t>
      </w:r>
    </w:p>
    <w:p w14:paraId="0479D38E" w14:textId="77777777" w:rsidR="00995046" w:rsidRPr="00C57285" w:rsidRDefault="00995046" w:rsidP="00302699">
      <w:pPr>
        <w:spacing w:after="0"/>
        <w:contextualSpacing/>
        <w:mirrorIndents/>
        <w:jc w:val="both"/>
        <w:rPr>
          <w:rFonts w:ascii="Arial" w:hAnsi="Arial" w:cs="Arial"/>
          <w:sz w:val="18"/>
          <w:szCs w:val="18"/>
        </w:rPr>
      </w:pPr>
    </w:p>
    <w:p w14:paraId="50B59C84" w14:textId="77777777" w:rsidR="00995046" w:rsidRPr="00C57285" w:rsidRDefault="00995046" w:rsidP="00302699">
      <w:pPr>
        <w:pStyle w:val="Prrafodelista"/>
        <w:numPr>
          <w:ilvl w:val="0"/>
          <w:numId w:val="11"/>
        </w:numPr>
        <w:spacing w:line="276" w:lineRule="auto"/>
        <w:ind w:left="567" w:hanging="567"/>
        <w:contextualSpacing/>
        <w:mirrorIndents/>
        <w:jc w:val="both"/>
        <w:rPr>
          <w:rFonts w:eastAsiaTheme="minorEastAsia" w:cs="Arial"/>
          <w:sz w:val="18"/>
          <w:szCs w:val="18"/>
        </w:rPr>
      </w:pPr>
      <w:r w:rsidRPr="00C57285">
        <w:rPr>
          <w:rFonts w:eastAsiaTheme="minorEastAsia" w:cs="Arial"/>
          <w:b/>
          <w:bCs/>
          <w:sz w:val="18"/>
          <w:szCs w:val="18"/>
        </w:rPr>
        <w:t>AEPT</w:t>
      </w:r>
      <w:r w:rsidRPr="00C57285">
        <w:rPr>
          <w:rFonts w:eastAsiaTheme="minorEastAsia" w:cs="Arial"/>
          <w:sz w:val="18"/>
          <w:szCs w:val="18"/>
        </w:rPr>
        <w:t xml:space="preserve">: </w:t>
      </w:r>
      <w:r w:rsidRPr="00C57285">
        <w:rPr>
          <w:sz w:val="18"/>
          <w:szCs w:val="18"/>
        </w:rPr>
        <w:t>Agente económico preponderante en el sector de telecomunicaciones declarado mediante Acuerdo P/IFT/EXT/060314/76;</w:t>
      </w:r>
    </w:p>
    <w:p w14:paraId="62425B0D" w14:textId="77777777" w:rsidR="00995046" w:rsidRPr="00C57285" w:rsidRDefault="00995046" w:rsidP="00302699">
      <w:pPr>
        <w:pStyle w:val="Prrafodelista"/>
        <w:numPr>
          <w:ilvl w:val="0"/>
          <w:numId w:val="11"/>
        </w:numPr>
        <w:spacing w:line="276" w:lineRule="auto"/>
        <w:ind w:left="567" w:hanging="567"/>
        <w:contextualSpacing/>
        <w:mirrorIndents/>
        <w:jc w:val="both"/>
        <w:rPr>
          <w:rFonts w:eastAsiaTheme="minorEastAsia" w:cs="Arial"/>
          <w:sz w:val="18"/>
          <w:szCs w:val="18"/>
        </w:rPr>
      </w:pPr>
      <w:r w:rsidRPr="00C57285">
        <w:rPr>
          <w:rFonts w:cs="Arial"/>
          <w:b/>
          <w:bCs/>
          <w:sz w:val="18"/>
          <w:szCs w:val="18"/>
        </w:rPr>
        <w:t>Código de desbloqueo</w:t>
      </w:r>
      <w:r w:rsidRPr="00C57285">
        <w:rPr>
          <w:rFonts w:cs="Arial"/>
          <w:sz w:val="18"/>
          <w:szCs w:val="18"/>
        </w:rPr>
        <w:t xml:space="preserve">: Conjunto de dígitos necesario </w:t>
      </w:r>
      <w:r w:rsidRPr="00C57285">
        <w:rPr>
          <w:rFonts w:eastAsiaTheme="minorEastAsia" w:cs="Arial"/>
          <w:sz w:val="18"/>
          <w:szCs w:val="18"/>
        </w:rPr>
        <w:t>para el desbloqueo del Equipo Terminal Móvil;</w:t>
      </w:r>
    </w:p>
    <w:p w14:paraId="26ABFF87" w14:textId="77777777" w:rsidR="00995046" w:rsidRPr="00C57285" w:rsidRDefault="00995046" w:rsidP="00302699">
      <w:pPr>
        <w:pStyle w:val="Prrafodelista"/>
        <w:numPr>
          <w:ilvl w:val="0"/>
          <w:numId w:val="11"/>
        </w:numPr>
        <w:spacing w:line="276" w:lineRule="auto"/>
        <w:ind w:left="567" w:hanging="567"/>
        <w:contextualSpacing/>
        <w:mirrorIndents/>
        <w:jc w:val="both"/>
        <w:rPr>
          <w:rFonts w:cs="Arial"/>
          <w:sz w:val="18"/>
          <w:szCs w:val="18"/>
        </w:rPr>
      </w:pPr>
      <w:r w:rsidRPr="00C57285">
        <w:rPr>
          <w:rFonts w:cs="Arial"/>
          <w:b/>
          <w:bCs/>
          <w:sz w:val="18"/>
          <w:szCs w:val="18"/>
        </w:rPr>
        <w:t>Concesionario</w:t>
      </w:r>
      <w:r w:rsidRPr="00C57285">
        <w:rPr>
          <w:rFonts w:cs="Arial"/>
          <w:sz w:val="18"/>
          <w:szCs w:val="18"/>
        </w:rPr>
        <w:t>: Persona física o moral, titular de una Concesión Única o de Red Pública de Telecomunicaciones que le permite prestar servicios públicos de telecomunicaciones móviles;</w:t>
      </w:r>
    </w:p>
    <w:p w14:paraId="2F76B6E9" w14:textId="77777777" w:rsidR="00995046" w:rsidRPr="007B6BA6" w:rsidRDefault="00995046" w:rsidP="00302699">
      <w:pPr>
        <w:pStyle w:val="Prrafodelista"/>
        <w:numPr>
          <w:ilvl w:val="0"/>
          <w:numId w:val="11"/>
        </w:numPr>
        <w:spacing w:line="276" w:lineRule="auto"/>
        <w:ind w:left="567" w:hanging="567"/>
        <w:contextualSpacing/>
        <w:mirrorIndents/>
        <w:jc w:val="both"/>
        <w:rPr>
          <w:rFonts w:cs="Arial"/>
          <w:b/>
          <w:bCs/>
          <w:sz w:val="18"/>
          <w:szCs w:val="18"/>
        </w:rPr>
      </w:pPr>
      <w:r w:rsidRPr="007B6BA6">
        <w:rPr>
          <w:rFonts w:cs="Arial"/>
          <w:b/>
          <w:bCs/>
          <w:sz w:val="18"/>
          <w:szCs w:val="18"/>
        </w:rPr>
        <w:t xml:space="preserve">Concesionario Mayorista Móvil: </w:t>
      </w:r>
      <w:r w:rsidRPr="007B6BA6">
        <w:rPr>
          <w:rFonts w:cs="Arial"/>
          <w:sz w:val="18"/>
          <w:szCs w:val="18"/>
        </w:rPr>
        <w:t>Titular de una concesión de las previstas en la Ley Federal de Telecomunicaciones y Radiodifusión y que ofrece servicios mayoristas de telecomunicaciones móviles;</w:t>
      </w:r>
    </w:p>
    <w:p w14:paraId="7853CC74" w14:textId="37EAD040" w:rsidR="00995046" w:rsidRPr="000D3E89" w:rsidRDefault="00995046" w:rsidP="00302699">
      <w:pPr>
        <w:pStyle w:val="Prrafodelista"/>
        <w:numPr>
          <w:ilvl w:val="0"/>
          <w:numId w:val="11"/>
        </w:numPr>
        <w:spacing w:line="276" w:lineRule="auto"/>
        <w:ind w:left="567" w:hanging="567"/>
        <w:contextualSpacing/>
        <w:mirrorIndents/>
        <w:jc w:val="both"/>
        <w:rPr>
          <w:rFonts w:eastAsiaTheme="minorEastAsia" w:cs="Arial"/>
          <w:b/>
          <w:bCs/>
          <w:sz w:val="18"/>
          <w:szCs w:val="18"/>
        </w:rPr>
      </w:pPr>
      <w:r w:rsidRPr="00C57285">
        <w:rPr>
          <w:rFonts w:cs="Arial"/>
          <w:b/>
          <w:bCs/>
          <w:sz w:val="18"/>
          <w:szCs w:val="18"/>
        </w:rPr>
        <w:t>Desbloqueo</w:t>
      </w:r>
      <w:r w:rsidRPr="00C57285">
        <w:rPr>
          <w:rFonts w:eastAsiaTheme="minorEastAsia" w:cs="Arial"/>
          <w:b/>
          <w:bCs/>
          <w:sz w:val="18"/>
          <w:szCs w:val="18"/>
        </w:rPr>
        <w:t xml:space="preserve">: </w:t>
      </w:r>
      <w:r w:rsidRPr="00C57285">
        <w:rPr>
          <w:rFonts w:eastAsiaTheme="minorEastAsia" w:cs="Arial"/>
          <w:sz w:val="18"/>
          <w:szCs w:val="18"/>
        </w:rPr>
        <w:t>Eliminación de la restricción técnica con la que cuentan los Equipos Terminales Móviles para que puedan ser utilizados en cualquier red pública de telecomunicaciones técnicamente compatible;</w:t>
      </w:r>
    </w:p>
    <w:p w14:paraId="5D72B952" w14:textId="2880E53C" w:rsidR="008A7C3E" w:rsidRPr="00C57285" w:rsidRDefault="008A7C3E" w:rsidP="00302699">
      <w:pPr>
        <w:pStyle w:val="Prrafodelista"/>
        <w:numPr>
          <w:ilvl w:val="0"/>
          <w:numId w:val="11"/>
        </w:numPr>
        <w:spacing w:line="276" w:lineRule="auto"/>
        <w:ind w:left="567" w:hanging="567"/>
        <w:contextualSpacing/>
        <w:mirrorIndents/>
        <w:jc w:val="both"/>
        <w:rPr>
          <w:rFonts w:eastAsiaTheme="minorEastAsia" w:cs="Arial"/>
          <w:b/>
          <w:bCs/>
          <w:sz w:val="18"/>
          <w:szCs w:val="18"/>
        </w:rPr>
      </w:pPr>
      <w:r>
        <w:rPr>
          <w:rFonts w:cs="Arial"/>
          <w:b/>
          <w:bCs/>
          <w:sz w:val="18"/>
          <w:szCs w:val="18"/>
        </w:rPr>
        <w:t>Día hábil:</w:t>
      </w:r>
      <w:r>
        <w:rPr>
          <w:rFonts w:eastAsiaTheme="minorEastAsia" w:cs="Arial"/>
          <w:b/>
          <w:bCs/>
          <w:sz w:val="18"/>
          <w:szCs w:val="18"/>
        </w:rPr>
        <w:t xml:space="preserve"> </w:t>
      </w:r>
      <w:r w:rsidRPr="000D3E89">
        <w:rPr>
          <w:rFonts w:eastAsiaTheme="minorEastAsia" w:cs="Arial"/>
          <w:sz w:val="18"/>
          <w:szCs w:val="18"/>
        </w:rPr>
        <w:t>De lunes a sábado de cada semana, salvo</w:t>
      </w:r>
      <w:r w:rsidR="0041399C">
        <w:rPr>
          <w:rFonts w:eastAsiaTheme="minorEastAsia" w:cs="Arial"/>
          <w:sz w:val="18"/>
          <w:szCs w:val="18"/>
        </w:rPr>
        <w:t xml:space="preserve"> los </w:t>
      </w:r>
      <w:r w:rsidR="0041399C" w:rsidRPr="000D3E89">
        <w:rPr>
          <w:rFonts w:eastAsiaTheme="minorEastAsia" w:cs="Arial"/>
          <w:sz w:val="18"/>
          <w:szCs w:val="18"/>
        </w:rPr>
        <w:t>días de descanso obligatorio</w:t>
      </w:r>
      <w:r w:rsidR="0041399C">
        <w:rPr>
          <w:rFonts w:eastAsiaTheme="minorEastAsia" w:cs="Arial"/>
          <w:sz w:val="18"/>
          <w:szCs w:val="18"/>
        </w:rPr>
        <w:t xml:space="preserve"> conforme a lo establecido en el artículo 74 de la Ley Federal de Trabajo.</w:t>
      </w:r>
    </w:p>
    <w:p w14:paraId="41D766BE" w14:textId="17717A54" w:rsidR="00995046" w:rsidRPr="000D3E89" w:rsidRDefault="00995046" w:rsidP="00302699">
      <w:pPr>
        <w:pStyle w:val="Prrafodelista"/>
        <w:numPr>
          <w:ilvl w:val="0"/>
          <w:numId w:val="11"/>
        </w:numPr>
        <w:spacing w:line="276" w:lineRule="auto"/>
        <w:ind w:left="567" w:hanging="567"/>
        <w:contextualSpacing/>
        <w:mirrorIndents/>
        <w:jc w:val="both"/>
        <w:rPr>
          <w:rFonts w:eastAsiaTheme="minorEastAsia" w:cs="Arial"/>
          <w:b/>
          <w:bCs/>
          <w:sz w:val="18"/>
          <w:szCs w:val="18"/>
        </w:rPr>
      </w:pPr>
      <w:r w:rsidRPr="00C57285">
        <w:rPr>
          <w:rFonts w:cs="Arial"/>
          <w:b/>
          <w:bCs/>
          <w:sz w:val="18"/>
          <w:szCs w:val="18"/>
        </w:rPr>
        <w:t>Equipo Terminal Móvil:</w:t>
      </w:r>
      <w:r w:rsidRPr="00C57285">
        <w:rPr>
          <w:rFonts w:cs="Arial"/>
          <w:sz w:val="18"/>
          <w:szCs w:val="18"/>
        </w:rPr>
        <w:t xml:space="preserve"> Dispositivo móvil que utiliza el usuario para conectarse más allá del punto de conexión terminal de una red pública </w:t>
      </w:r>
      <w:r w:rsidR="00C606F8">
        <w:rPr>
          <w:rFonts w:cs="Arial"/>
          <w:sz w:val="18"/>
          <w:szCs w:val="18"/>
        </w:rPr>
        <w:t xml:space="preserve">de telecomunicaciones </w:t>
      </w:r>
      <w:r w:rsidRPr="00C57285">
        <w:rPr>
          <w:rFonts w:cs="Arial"/>
          <w:sz w:val="18"/>
          <w:szCs w:val="18"/>
        </w:rPr>
        <w:t>con el propósito de tener acceso y/o recibir uno o más servicios de telecomunicaciones;</w:t>
      </w:r>
    </w:p>
    <w:p w14:paraId="552B601B" w14:textId="048420B7" w:rsidR="0041399C" w:rsidRPr="000D3E89" w:rsidRDefault="0041399C" w:rsidP="00302699">
      <w:pPr>
        <w:pStyle w:val="Prrafodelista"/>
        <w:numPr>
          <w:ilvl w:val="0"/>
          <w:numId w:val="11"/>
        </w:numPr>
        <w:spacing w:line="276" w:lineRule="auto"/>
        <w:ind w:left="567" w:hanging="567"/>
        <w:contextualSpacing/>
        <w:mirrorIndents/>
        <w:jc w:val="both"/>
        <w:rPr>
          <w:rFonts w:cs="Arial"/>
          <w:sz w:val="18"/>
          <w:szCs w:val="18"/>
        </w:rPr>
      </w:pPr>
      <w:r>
        <w:rPr>
          <w:rFonts w:cs="Arial"/>
          <w:b/>
          <w:bCs/>
          <w:sz w:val="18"/>
          <w:szCs w:val="18"/>
        </w:rPr>
        <w:t>Horario hábil:</w:t>
      </w:r>
      <w:r w:rsidR="00A970A8">
        <w:rPr>
          <w:rFonts w:cs="Arial"/>
          <w:b/>
          <w:bCs/>
          <w:sz w:val="18"/>
          <w:szCs w:val="18"/>
        </w:rPr>
        <w:t xml:space="preserve"> </w:t>
      </w:r>
      <w:r w:rsidR="00A970A8" w:rsidRPr="000D3E89">
        <w:rPr>
          <w:rFonts w:cs="Arial"/>
          <w:sz w:val="18"/>
          <w:szCs w:val="18"/>
        </w:rPr>
        <w:t>De 9:00 a 18:00 horas en el huso horario del centro del país, donde UTC es el tiempo universal coordinado</w:t>
      </w:r>
      <w:r w:rsidR="00A970A8">
        <w:rPr>
          <w:rFonts w:cs="Arial"/>
          <w:sz w:val="18"/>
          <w:szCs w:val="18"/>
        </w:rPr>
        <w:t>.</w:t>
      </w:r>
    </w:p>
    <w:p w14:paraId="6B516C68" w14:textId="0186A1D5" w:rsidR="00995046" w:rsidRPr="00C57285" w:rsidRDefault="00995046" w:rsidP="00302699">
      <w:pPr>
        <w:pStyle w:val="Prrafodelista"/>
        <w:numPr>
          <w:ilvl w:val="0"/>
          <w:numId w:val="11"/>
        </w:numPr>
        <w:spacing w:line="276" w:lineRule="auto"/>
        <w:ind w:left="567" w:hanging="567"/>
        <w:contextualSpacing/>
        <w:mirrorIndents/>
        <w:jc w:val="both"/>
        <w:rPr>
          <w:rFonts w:cs="Arial"/>
          <w:b/>
          <w:bCs/>
          <w:sz w:val="18"/>
          <w:szCs w:val="18"/>
        </w:rPr>
      </w:pPr>
      <w:r w:rsidRPr="00C57285">
        <w:rPr>
          <w:rFonts w:cs="Arial"/>
          <w:b/>
          <w:bCs/>
          <w:sz w:val="18"/>
          <w:szCs w:val="18"/>
        </w:rPr>
        <w:t>IMEI:</w:t>
      </w:r>
      <w:r w:rsidRPr="00C57285">
        <w:rPr>
          <w:rFonts w:cs="Arial"/>
          <w:sz w:val="18"/>
          <w:szCs w:val="18"/>
        </w:rPr>
        <w:t xml:space="preserve"> Identificador Internacional del Equipo Terminal Móvil (</w:t>
      </w:r>
      <w:r w:rsidRPr="00C57285">
        <w:rPr>
          <w:rFonts w:cs="Arial"/>
          <w:i/>
          <w:iCs/>
          <w:sz w:val="18"/>
          <w:szCs w:val="18"/>
        </w:rPr>
        <w:t xml:space="preserve">International Mobile </w:t>
      </w:r>
      <w:proofErr w:type="spellStart"/>
      <w:r w:rsidRPr="00C57285">
        <w:rPr>
          <w:rFonts w:cs="Arial"/>
          <w:i/>
          <w:iCs/>
          <w:sz w:val="18"/>
          <w:szCs w:val="18"/>
        </w:rPr>
        <w:t>Equipment</w:t>
      </w:r>
      <w:proofErr w:type="spellEnd"/>
      <w:r w:rsidRPr="00C57285">
        <w:rPr>
          <w:rFonts w:cs="Arial"/>
          <w:i/>
          <w:iCs/>
          <w:sz w:val="18"/>
          <w:szCs w:val="18"/>
        </w:rPr>
        <w:t xml:space="preserve"> </w:t>
      </w:r>
      <w:proofErr w:type="spellStart"/>
      <w:r w:rsidRPr="00C57285">
        <w:rPr>
          <w:rFonts w:cs="Arial"/>
          <w:i/>
          <w:iCs/>
          <w:sz w:val="18"/>
          <w:szCs w:val="18"/>
        </w:rPr>
        <w:t>Identity</w:t>
      </w:r>
      <w:proofErr w:type="spellEnd"/>
      <w:r w:rsidRPr="00C57285">
        <w:rPr>
          <w:rFonts w:cs="Arial"/>
          <w:sz w:val="18"/>
          <w:szCs w:val="18"/>
        </w:rPr>
        <w:t>);</w:t>
      </w:r>
    </w:p>
    <w:p w14:paraId="2DB8C399" w14:textId="77777777" w:rsidR="00995046" w:rsidRPr="00C57285" w:rsidRDefault="00995046" w:rsidP="00302699">
      <w:pPr>
        <w:pStyle w:val="Prrafodelista"/>
        <w:numPr>
          <w:ilvl w:val="0"/>
          <w:numId w:val="11"/>
        </w:numPr>
        <w:spacing w:line="276" w:lineRule="auto"/>
        <w:ind w:left="567" w:hanging="567"/>
        <w:contextualSpacing/>
        <w:mirrorIndents/>
        <w:jc w:val="both"/>
        <w:rPr>
          <w:rFonts w:cs="Arial"/>
          <w:b/>
          <w:bCs/>
          <w:sz w:val="18"/>
          <w:szCs w:val="18"/>
        </w:rPr>
      </w:pPr>
      <w:r w:rsidRPr="00C57285">
        <w:rPr>
          <w:rFonts w:cs="Arial"/>
          <w:b/>
          <w:bCs/>
          <w:sz w:val="18"/>
          <w:szCs w:val="18"/>
        </w:rPr>
        <w:t>Instituto</w:t>
      </w:r>
      <w:r w:rsidRPr="00C57285">
        <w:rPr>
          <w:rFonts w:cs="Arial"/>
          <w:sz w:val="18"/>
          <w:szCs w:val="18"/>
        </w:rPr>
        <w:t>: Instituto Federal de Telecomunicaciones;</w:t>
      </w:r>
    </w:p>
    <w:p w14:paraId="24349B20" w14:textId="77777777" w:rsidR="00995046" w:rsidRPr="00C57285" w:rsidRDefault="00995046" w:rsidP="00302699">
      <w:pPr>
        <w:pStyle w:val="Prrafodelista"/>
        <w:numPr>
          <w:ilvl w:val="0"/>
          <w:numId w:val="11"/>
        </w:numPr>
        <w:spacing w:line="276" w:lineRule="auto"/>
        <w:ind w:left="567" w:hanging="567"/>
        <w:contextualSpacing/>
        <w:mirrorIndents/>
        <w:jc w:val="both"/>
        <w:rPr>
          <w:rFonts w:cs="Arial"/>
          <w:b/>
          <w:bCs/>
          <w:sz w:val="18"/>
          <w:szCs w:val="18"/>
        </w:rPr>
      </w:pPr>
      <w:r w:rsidRPr="00C57285">
        <w:rPr>
          <w:rFonts w:cs="Arial"/>
          <w:b/>
          <w:bCs/>
          <w:sz w:val="18"/>
          <w:szCs w:val="18"/>
        </w:rPr>
        <w:t>Ley</w:t>
      </w:r>
      <w:r w:rsidRPr="00C57285">
        <w:rPr>
          <w:rFonts w:cs="Arial"/>
          <w:sz w:val="18"/>
          <w:szCs w:val="18"/>
        </w:rPr>
        <w:t>: Ley Federal de Telecomunicaciones y Radiodifusión;</w:t>
      </w:r>
    </w:p>
    <w:p w14:paraId="112FEC9A" w14:textId="77777777" w:rsidR="00995046" w:rsidRPr="00C57285" w:rsidRDefault="00995046" w:rsidP="00302699">
      <w:pPr>
        <w:pStyle w:val="Prrafodelista"/>
        <w:numPr>
          <w:ilvl w:val="0"/>
          <w:numId w:val="11"/>
        </w:numPr>
        <w:spacing w:line="276" w:lineRule="auto"/>
        <w:ind w:left="567" w:hanging="567"/>
        <w:contextualSpacing/>
        <w:mirrorIndents/>
        <w:jc w:val="both"/>
        <w:rPr>
          <w:rFonts w:cs="Arial"/>
          <w:sz w:val="18"/>
          <w:szCs w:val="18"/>
        </w:rPr>
      </w:pPr>
      <w:r w:rsidRPr="00C57285">
        <w:rPr>
          <w:rFonts w:cs="Arial"/>
          <w:b/>
          <w:bCs/>
          <w:sz w:val="18"/>
          <w:szCs w:val="18"/>
        </w:rPr>
        <w:t>Lineamientos</w:t>
      </w:r>
      <w:r w:rsidRPr="00C57285">
        <w:rPr>
          <w:rFonts w:cs="Arial"/>
          <w:sz w:val="18"/>
          <w:szCs w:val="18"/>
        </w:rPr>
        <w:t>: Los presentes Lineamientos para el Desbloqueo de Equipos Terminales Móviles que deben observar los prestadores del servicio móvil;</w:t>
      </w:r>
    </w:p>
    <w:p w14:paraId="7694787B" w14:textId="77777777" w:rsidR="00995046" w:rsidRPr="00C57285" w:rsidRDefault="00995046" w:rsidP="00302699">
      <w:pPr>
        <w:pStyle w:val="Prrafodelista"/>
        <w:numPr>
          <w:ilvl w:val="0"/>
          <w:numId w:val="11"/>
        </w:numPr>
        <w:spacing w:line="276" w:lineRule="auto"/>
        <w:ind w:left="567" w:hanging="567"/>
        <w:contextualSpacing/>
        <w:mirrorIndents/>
        <w:jc w:val="both"/>
        <w:rPr>
          <w:rFonts w:cs="Arial"/>
          <w:sz w:val="18"/>
          <w:szCs w:val="18"/>
        </w:rPr>
      </w:pPr>
      <w:r w:rsidRPr="00C57285">
        <w:rPr>
          <w:rFonts w:cs="Arial"/>
          <w:b/>
          <w:bCs/>
          <w:sz w:val="18"/>
          <w:szCs w:val="18"/>
        </w:rPr>
        <w:t>Operadores Móviles Virtuales</w:t>
      </w:r>
      <w:r w:rsidRPr="00C57285">
        <w:rPr>
          <w:rFonts w:cs="Arial"/>
          <w:sz w:val="18"/>
          <w:szCs w:val="18"/>
        </w:rPr>
        <w:t>: Concesionario o autorizado que preste, comercialice o revenda servicios móviles o capacidades que previamente haya contratado con algún Concesionario Mayorista Móvil;</w:t>
      </w:r>
    </w:p>
    <w:p w14:paraId="38DEEACA" w14:textId="77777777" w:rsidR="00995046" w:rsidRPr="00C57285" w:rsidRDefault="00995046" w:rsidP="00302699">
      <w:pPr>
        <w:pStyle w:val="Prrafodelista"/>
        <w:numPr>
          <w:ilvl w:val="0"/>
          <w:numId w:val="11"/>
        </w:numPr>
        <w:spacing w:line="276" w:lineRule="auto"/>
        <w:ind w:left="567" w:hanging="567"/>
        <w:contextualSpacing/>
        <w:mirrorIndents/>
        <w:jc w:val="both"/>
        <w:rPr>
          <w:rFonts w:cs="Arial"/>
          <w:sz w:val="18"/>
          <w:szCs w:val="18"/>
        </w:rPr>
      </w:pPr>
      <w:r w:rsidRPr="00C57285">
        <w:rPr>
          <w:rFonts w:cs="Arial"/>
          <w:b/>
          <w:bCs/>
          <w:sz w:val="18"/>
          <w:szCs w:val="18"/>
        </w:rPr>
        <w:t>Plazo inicial</w:t>
      </w:r>
      <w:r w:rsidRPr="00C57285">
        <w:rPr>
          <w:rFonts w:cs="Arial"/>
          <w:sz w:val="18"/>
          <w:szCs w:val="18"/>
        </w:rPr>
        <w:t xml:space="preserve">: Plazo determinado en el que se establece una vigencia mínima obligatoria para </w:t>
      </w:r>
      <w:r w:rsidRPr="00F70F00">
        <w:rPr>
          <w:rFonts w:cs="Arial"/>
          <w:sz w:val="18"/>
          <w:szCs w:val="18"/>
        </w:rPr>
        <w:t>ambas partes</w:t>
      </w:r>
      <w:r w:rsidRPr="00C57285">
        <w:rPr>
          <w:rFonts w:cs="Arial"/>
          <w:sz w:val="18"/>
          <w:szCs w:val="18"/>
        </w:rPr>
        <w:t xml:space="preserve"> para la prestación del servicio de telecomunicaciones;</w:t>
      </w:r>
    </w:p>
    <w:p w14:paraId="5AE214A2" w14:textId="77777777" w:rsidR="00995046" w:rsidRPr="00C57285" w:rsidRDefault="00995046" w:rsidP="00302699">
      <w:pPr>
        <w:pStyle w:val="Prrafodelista"/>
        <w:numPr>
          <w:ilvl w:val="0"/>
          <w:numId w:val="11"/>
        </w:numPr>
        <w:spacing w:line="276" w:lineRule="auto"/>
        <w:ind w:left="567" w:hanging="567"/>
        <w:contextualSpacing/>
        <w:mirrorIndents/>
        <w:jc w:val="both"/>
        <w:rPr>
          <w:rFonts w:cs="Arial"/>
          <w:sz w:val="18"/>
          <w:szCs w:val="18"/>
        </w:rPr>
      </w:pPr>
      <w:r w:rsidRPr="00C57285">
        <w:rPr>
          <w:rFonts w:cs="Arial"/>
          <w:b/>
          <w:bCs/>
          <w:sz w:val="18"/>
          <w:szCs w:val="18"/>
        </w:rPr>
        <w:t>Pospago</w:t>
      </w:r>
      <w:r w:rsidRPr="00C57285">
        <w:rPr>
          <w:rFonts w:cs="Arial"/>
          <w:sz w:val="18"/>
          <w:szCs w:val="18"/>
        </w:rPr>
        <w:t>: Esquema de contratación mediante el cual el Usuario paga los servicios de telecomunicaciones de manera posterior a la utilización de estos;</w:t>
      </w:r>
    </w:p>
    <w:p w14:paraId="2E3E6F1B" w14:textId="77777777" w:rsidR="00995046" w:rsidRPr="00C57285" w:rsidRDefault="00995046" w:rsidP="00302699">
      <w:pPr>
        <w:pStyle w:val="Prrafodelista"/>
        <w:numPr>
          <w:ilvl w:val="0"/>
          <w:numId w:val="11"/>
        </w:numPr>
        <w:spacing w:line="276" w:lineRule="auto"/>
        <w:ind w:left="567" w:hanging="567"/>
        <w:contextualSpacing/>
        <w:mirrorIndents/>
        <w:jc w:val="both"/>
        <w:rPr>
          <w:rFonts w:cs="Arial"/>
          <w:sz w:val="18"/>
          <w:szCs w:val="18"/>
        </w:rPr>
      </w:pPr>
      <w:r w:rsidRPr="00C57285">
        <w:rPr>
          <w:rFonts w:cs="Arial"/>
          <w:b/>
          <w:bCs/>
          <w:sz w:val="18"/>
          <w:szCs w:val="18"/>
        </w:rPr>
        <w:t>Prepago</w:t>
      </w:r>
      <w:r w:rsidRPr="00C57285">
        <w:rPr>
          <w:rFonts w:cs="Arial"/>
          <w:sz w:val="18"/>
          <w:szCs w:val="18"/>
        </w:rPr>
        <w:t>: Esquema de contratación mediante el cual el Usuario paga los servicios de telecomunicaciones de manera anticipada a la utilización de estos;</w:t>
      </w:r>
    </w:p>
    <w:p w14:paraId="21AD06BE" w14:textId="72A13E3E" w:rsidR="009355CE" w:rsidRPr="00C57285" w:rsidRDefault="00995046" w:rsidP="00302699">
      <w:pPr>
        <w:pStyle w:val="Prrafodelista"/>
        <w:numPr>
          <w:ilvl w:val="0"/>
          <w:numId w:val="11"/>
        </w:numPr>
        <w:spacing w:line="276" w:lineRule="auto"/>
        <w:ind w:left="567" w:hanging="567"/>
        <w:contextualSpacing/>
        <w:mirrorIndents/>
        <w:jc w:val="both"/>
        <w:rPr>
          <w:rFonts w:cs="Arial"/>
          <w:sz w:val="18"/>
          <w:szCs w:val="18"/>
        </w:rPr>
      </w:pPr>
      <w:r w:rsidRPr="00C57285">
        <w:rPr>
          <w:rFonts w:cs="Arial"/>
          <w:b/>
          <w:bCs/>
          <w:sz w:val="18"/>
          <w:szCs w:val="18"/>
        </w:rPr>
        <w:lastRenderedPageBreak/>
        <w:t>Prestadores del Servicio Móvil:</w:t>
      </w:r>
      <w:r w:rsidRPr="00C57285">
        <w:rPr>
          <w:rFonts w:cs="Arial"/>
          <w:sz w:val="18"/>
          <w:szCs w:val="18"/>
        </w:rPr>
        <w:t xml:space="preserve"> Los Concesionarios y Operadores Móviles Virtuales que prestan el servicio móvil</w:t>
      </w:r>
      <w:r w:rsidR="004E4A49">
        <w:rPr>
          <w:rFonts w:cs="Arial"/>
          <w:sz w:val="18"/>
          <w:szCs w:val="18"/>
        </w:rPr>
        <w:t xml:space="preserve"> a los que se refiere el Lineamiento Segundo</w:t>
      </w:r>
      <w:r w:rsidRPr="00C57285">
        <w:rPr>
          <w:rFonts w:cs="Arial"/>
          <w:b/>
          <w:bCs/>
          <w:sz w:val="18"/>
          <w:szCs w:val="18"/>
        </w:rPr>
        <w:t>;</w:t>
      </w:r>
    </w:p>
    <w:p w14:paraId="2A72C7A6" w14:textId="77777777" w:rsidR="00995046" w:rsidRPr="00C57285" w:rsidRDefault="00995046" w:rsidP="00302699">
      <w:pPr>
        <w:pStyle w:val="Prrafodelista"/>
        <w:numPr>
          <w:ilvl w:val="0"/>
          <w:numId w:val="11"/>
        </w:numPr>
        <w:spacing w:line="276" w:lineRule="auto"/>
        <w:ind w:left="567" w:hanging="567"/>
        <w:contextualSpacing/>
        <w:mirrorIndents/>
        <w:jc w:val="both"/>
        <w:rPr>
          <w:rFonts w:cs="Arial"/>
          <w:sz w:val="18"/>
          <w:szCs w:val="18"/>
        </w:rPr>
      </w:pPr>
      <w:r w:rsidRPr="00C57285">
        <w:rPr>
          <w:rFonts w:cs="Arial"/>
          <w:b/>
          <w:bCs/>
          <w:sz w:val="18"/>
          <w:szCs w:val="18"/>
        </w:rPr>
        <w:t>Servicio Móvil</w:t>
      </w:r>
      <w:r w:rsidRPr="00C57285">
        <w:rPr>
          <w:rFonts w:cs="Arial"/>
          <w:sz w:val="18"/>
          <w:szCs w:val="18"/>
        </w:rPr>
        <w:t>: Servicio de telecomunicaciones prestado a usuarios finales móviles, que de acuerdo con los títulos de concesión y autorizaciones correspondientes se presta a través de Equipos Terminales Móviles que no tienen una ubicación geográfica determinada, y</w:t>
      </w:r>
    </w:p>
    <w:p w14:paraId="1062073F" w14:textId="77777777" w:rsidR="00995046" w:rsidRDefault="00995046" w:rsidP="00302699">
      <w:pPr>
        <w:pStyle w:val="Prrafodelista"/>
        <w:numPr>
          <w:ilvl w:val="0"/>
          <w:numId w:val="11"/>
        </w:numPr>
        <w:spacing w:line="276" w:lineRule="auto"/>
        <w:ind w:left="567" w:hanging="567"/>
        <w:contextualSpacing/>
        <w:mirrorIndents/>
        <w:jc w:val="both"/>
        <w:rPr>
          <w:rFonts w:cs="Arial"/>
          <w:sz w:val="18"/>
          <w:szCs w:val="18"/>
        </w:rPr>
      </w:pPr>
      <w:r w:rsidRPr="00C57285">
        <w:rPr>
          <w:rFonts w:cs="Arial"/>
          <w:b/>
          <w:bCs/>
          <w:sz w:val="18"/>
          <w:szCs w:val="18"/>
        </w:rPr>
        <w:t>Usuario</w:t>
      </w:r>
      <w:r w:rsidRPr="00C57285">
        <w:rPr>
          <w:rFonts w:cs="Arial"/>
          <w:sz w:val="18"/>
          <w:szCs w:val="18"/>
        </w:rPr>
        <w:t>: Persona física o moral que utiliza un Servicio Móvil como destinatario final.</w:t>
      </w:r>
    </w:p>
    <w:p w14:paraId="5151E2D7" w14:textId="6C84F632" w:rsidR="003E2825" w:rsidRPr="00852E26" w:rsidRDefault="003E2825" w:rsidP="00302699">
      <w:pPr>
        <w:pStyle w:val="Prrafodelista"/>
        <w:numPr>
          <w:ilvl w:val="0"/>
          <w:numId w:val="11"/>
        </w:numPr>
        <w:spacing w:line="276" w:lineRule="auto"/>
        <w:ind w:left="567" w:hanging="567"/>
        <w:contextualSpacing/>
        <w:mirrorIndents/>
        <w:jc w:val="both"/>
        <w:rPr>
          <w:rFonts w:cs="Arial"/>
          <w:b/>
          <w:bCs/>
          <w:sz w:val="18"/>
          <w:szCs w:val="18"/>
        </w:rPr>
      </w:pPr>
      <w:r w:rsidRPr="00852E26">
        <w:rPr>
          <w:rFonts w:cs="Arial"/>
          <w:b/>
          <w:bCs/>
          <w:sz w:val="18"/>
          <w:szCs w:val="18"/>
        </w:rPr>
        <w:t>Ventanilla Electrónica</w:t>
      </w:r>
      <w:r>
        <w:rPr>
          <w:rFonts w:cs="Arial"/>
          <w:b/>
          <w:bCs/>
          <w:sz w:val="18"/>
          <w:szCs w:val="18"/>
        </w:rPr>
        <w:t xml:space="preserve">: </w:t>
      </w:r>
      <w:r w:rsidR="0067350A">
        <w:rPr>
          <w:rFonts w:cs="Arial"/>
          <w:color w:val="000000"/>
          <w:sz w:val="18"/>
          <w:szCs w:val="18"/>
        </w:rPr>
        <w:t>Punto de contacto digital a través del Portal de Internet del Instituto definido en los "</w:t>
      </w:r>
      <w:r w:rsidR="0067350A" w:rsidRPr="00852E26">
        <w:rPr>
          <w:rFonts w:cs="Arial"/>
          <w:i/>
          <w:iCs/>
          <w:color w:val="000000"/>
          <w:sz w:val="18"/>
          <w:szCs w:val="18"/>
        </w:rPr>
        <w:t>Lineamientos para la sustanciación de los trámites y servicios que se realicen ante el Instituto Federal de Telecomunicaciones, a través de la Ventanilla Electrónica</w:t>
      </w:r>
      <w:r w:rsidR="0067350A">
        <w:rPr>
          <w:rFonts w:cs="Arial"/>
          <w:color w:val="000000"/>
          <w:sz w:val="18"/>
          <w:szCs w:val="18"/>
        </w:rPr>
        <w:t>".</w:t>
      </w:r>
    </w:p>
    <w:p w14:paraId="1BBCAA7F" w14:textId="77777777" w:rsidR="00995046" w:rsidRPr="00C57285" w:rsidRDefault="00995046" w:rsidP="00302699">
      <w:pPr>
        <w:pStyle w:val="Prrafodelista"/>
        <w:spacing w:line="276" w:lineRule="auto"/>
        <w:ind w:left="709" w:hanging="513"/>
        <w:contextualSpacing/>
        <w:mirrorIndents/>
        <w:jc w:val="both"/>
        <w:rPr>
          <w:rFonts w:eastAsiaTheme="minorEastAsia" w:cs="Arial"/>
          <w:sz w:val="18"/>
          <w:szCs w:val="18"/>
        </w:rPr>
      </w:pPr>
    </w:p>
    <w:p w14:paraId="2FE57CDD" w14:textId="77777777" w:rsidR="00995046" w:rsidRPr="00C57285" w:rsidRDefault="00995046" w:rsidP="00302699">
      <w:pPr>
        <w:spacing w:after="0"/>
        <w:contextualSpacing/>
        <w:mirrorIndents/>
        <w:jc w:val="both"/>
        <w:rPr>
          <w:rFonts w:ascii="Arial" w:hAnsi="Arial" w:cs="Arial"/>
          <w:sz w:val="18"/>
          <w:szCs w:val="18"/>
        </w:rPr>
      </w:pPr>
      <w:r w:rsidRPr="00C57285">
        <w:rPr>
          <w:rFonts w:ascii="Arial" w:hAnsi="Arial" w:cs="Arial"/>
          <w:sz w:val="18"/>
          <w:szCs w:val="18"/>
        </w:rPr>
        <w:t xml:space="preserve">Las definiciones comprendidas en la presente disposición pueden ser utilizadas indistintamente en singular o plural. </w:t>
      </w:r>
    </w:p>
    <w:p w14:paraId="11F40301" w14:textId="77777777" w:rsidR="00995046" w:rsidRPr="00C57285" w:rsidRDefault="00995046" w:rsidP="00302699">
      <w:pPr>
        <w:spacing w:after="0"/>
        <w:contextualSpacing/>
        <w:mirrorIndents/>
        <w:jc w:val="both"/>
        <w:rPr>
          <w:rFonts w:ascii="Arial" w:hAnsi="Arial" w:cs="Arial"/>
          <w:sz w:val="18"/>
          <w:szCs w:val="18"/>
        </w:rPr>
      </w:pPr>
    </w:p>
    <w:p w14:paraId="5923F33C" w14:textId="77777777" w:rsidR="00995046" w:rsidRDefault="00995046" w:rsidP="00302699">
      <w:pPr>
        <w:spacing w:after="0"/>
        <w:contextualSpacing/>
        <w:mirrorIndents/>
        <w:jc w:val="center"/>
        <w:rPr>
          <w:rFonts w:ascii="Arial" w:hAnsi="Arial" w:cs="Arial"/>
          <w:b/>
          <w:bCs/>
          <w:sz w:val="18"/>
          <w:szCs w:val="18"/>
        </w:rPr>
      </w:pPr>
      <w:r w:rsidRPr="00C57285">
        <w:rPr>
          <w:rFonts w:ascii="Arial" w:hAnsi="Arial" w:cs="Arial"/>
          <w:b/>
          <w:bCs/>
          <w:sz w:val="18"/>
          <w:szCs w:val="18"/>
        </w:rPr>
        <w:t>Capítulo II</w:t>
      </w:r>
    </w:p>
    <w:p w14:paraId="11A5F0F6" w14:textId="77777777" w:rsidR="0022244B" w:rsidRPr="00C57285" w:rsidRDefault="0022244B" w:rsidP="00302699">
      <w:pPr>
        <w:spacing w:after="0"/>
        <w:contextualSpacing/>
        <w:mirrorIndents/>
        <w:jc w:val="center"/>
        <w:rPr>
          <w:rFonts w:ascii="Arial" w:hAnsi="Arial" w:cs="Arial"/>
          <w:b/>
          <w:bCs/>
          <w:sz w:val="18"/>
          <w:szCs w:val="18"/>
        </w:rPr>
      </w:pPr>
    </w:p>
    <w:p w14:paraId="533735A3" w14:textId="77777777" w:rsidR="00995046" w:rsidRPr="00C57285" w:rsidRDefault="00995046" w:rsidP="00302699">
      <w:pPr>
        <w:spacing w:after="0"/>
        <w:contextualSpacing/>
        <w:mirrorIndents/>
        <w:jc w:val="center"/>
        <w:rPr>
          <w:rFonts w:ascii="Arial" w:hAnsi="Arial" w:cs="Arial"/>
          <w:b/>
          <w:bCs/>
          <w:sz w:val="18"/>
          <w:szCs w:val="18"/>
        </w:rPr>
      </w:pPr>
      <w:r w:rsidRPr="00C57285">
        <w:rPr>
          <w:rFonts w:ascii="Arial" w:hAnsi="Arial" w:cs="Arial"/>
          <w:b/>
          <w:bCs/>
          <w:sz w:val="18"/>
          <w:szCs w:val="18"/>
        </w:rPr>
        <w:t>Del Desbloqueo de los Equipos Terminales Móviles</w:t>
      </w:r>
    </w:p>
    <w:p w14:paraId="08119D30" w14:textId="77777777" w:rsidR="00995046" w:rsidRPr="00C57285" w:rsidRDefault="00995046" w:rsidP="00302699">
      <w:pPr>
        <w:spacing w:after="0"/>
        <w:contextualSpacing/>
        <w:mirrorIndents/>
        <w:jc w:val="both"/>
        <w:rPr>
          <w:rFonts w:ascii="Arial" w:hAnsi="Arial" w:cs="Arial"/>
          <w:bCs/>
          <w:sz w:val="18"/>
          <w:szCs w:val="18"/>
        </w:rPr>
      </w:pPr>
    </w:p>
    <w:p w14:paraId="26C7EE4A" w14:textId="79A6D6E9" w:rsidR="00995046" w:rsidRPr="00C57285" w:rsidRDefault="00995046" w:rsidP="00302699">
      <w:pPr>
        <w:spacing w:after="0"/>
        <w:contextualSpacing/>
        <w:mirrorIndents/>
        <w:jc w:val="both"/>
        <w:rPr>
          <w:rFonts w:ascii="Arial" w:hAnsi="Arial" w:cs="Arial"/>
          <w:bCs/>
          <w:sz w:val="18"/>
          <w:szCs w:val="18"/>
        </w:rPr>
      </w:pPr>
      <w:proofErr w:type="gramStart"/>
      <w:r w:rsidRPr="00C57285">
        <w:rPr>
          <w:rFonts w:ascii="Arial" w:hAnsi="Arial" w:cs="Arial"/>
          <w:b/>
          <w:sz w:val="18"/>
          <w:szCs w:val="18"/>
        </w:rPr>
        <w:t>Cuarto.-</w:t>
      </w:r>
      <w:proofErr w:type="gramEnd"/>
      <w:r w:rsidRPr="00C57285">
        <w:rPr>
          <w:rFonts w:ascii="Arial" w:hAnsi="Arial" w:cs="Arial"/>
          <w:bCs/>
          <w:sz w:val="18"/>
          <w:szCs w:val="18"/>
        </w:rPr>
        <w:t xml:space="preserve"> Los Prestadores del Servicio Móvil están obligados a realizar de forma gratuita el desbloqueo de los Equipos Terminales Móviles conforme a lo dispuesto en los presentes Lineamientos para lo cual deberán contar con</w:t>
      </w:r>
      <w:r w:rsidR="00EE4B88">
        <w:rPr>
          <w:rFonts w:ascii="Arial" w:hAnsi="Arial" w:cs="Arial"/>
          <w:bCs/>
          <w:sz w:val="18"/>
          <w:szCs w:val="18"/>
        </w:rPr>
        <w:t xml:space="preserve"> los mecanismos para realizar el desbloqueo correspondiente o con</w:t>
      </w:r>
      <w:r w:rsidRPr="00C57285">
        <w:rPr>
          <w:rFonts w:ascii="Arial" w:hAnsi="Arial" w:cs="Arial"/>
          <w:bCs/>
          <w:sz w:val="18"/>
          <w:szCs w:val="18"/>
        </w:rPr>
        <w:t xml:space="preserve"> los códigos de desbloqueo de los Equipos Terminales Móviles antes de su comercialización.</w:t>
      </w:r>
    </w:p>
    <w:p w14:paraId="5F0D5B08" w14:textId="77777777" w:rsidR="00995046" w:rsidRPr="00C57285" w:rsidRDefault="00995046" w:rsidP="00302699">
      <w:pPr>
        <w:spacing w:after="0"/>
        <w:contextualSpacing/>
        <w:mirrorIndents/>
        <w:jc w:val="both"/>
        <w:rPr>
          <w:rFonts w:ascii="Arial" w:eastAsia="ITC Avant Garde" w:hAnsi="Arial" w:cs="Arial"/>
          <w:sz w:val="18"/>
          <w:szCs w:val="18"/>
        </w:rPr>
      </w:pPr>
    </w:p>
    <w:p w14:paraId="34276476" w14:textId="5C69C7BE" w:rsidR="005A770C" w:rsidRPr="004B35F6" w:rsidRDefault="005A770C" w:rsidP="004B35F6">
      <w:pPr>
        <w:spacing w:after="0"/>
        <w:contextualSpacing/>
        <w:mirrorIndents/>
        <w:jc w:val="both"/>
        <w:rPr>
          <w:rFonts w:ascii="Arial" w:hAnsi="Arial" w:cs="Arial"/>
          <w:bCs/>
          <w:sz w:val="18"/>
          <w:szCs w:val="18"/>
        </w:rPr>
      </w:pPr>
      <w:proofErr w:type="gramStart"/>
      <w:r w:rsidRPr="00737583">
        <w:rPr>
          <w:rFonts w:ascii="Arial" w:hAnsi="Arial" w:cs="Arial"/>
          <w:b/>
          <w:sz w:val="18"/>
          <w:szCs w:val="18"/>
        </w:rPr>
        <w:t>Quinto.-</w:t>
      </w:r>
      <w:proofErr w:type="gramEnd"/>
      <w:r w:rsidRPr="00737583">
        <w:rPr>
          <w:rFonts w:ascii="Arial" w:hAnsi="Arial" w:cs="Arial"/>
          <w:b/>
          <w:sz w:val="18"/>
          <w:szCs w:val="18"/>
        </w:rPr>
        <w:t xml:space="preserve"> </w:t>
      </w:r>
      <w:r w:rsidR="001A2170">
        <w:rPr>
          <w:rFonts w:ascii="Arial" w:hAnsi="Arial" w:cs="Arial"/>
          <w:bCs/>
          <w:sz w:val="18"/>
          <w:szCs w:val="18"/>
        </w:rPr>
        <w:t>A</w:t>
      </w:r>
      <w:r w:rsidR="001A2170" w:rsidRPr="004B35F6">
        <w:rPr>
          <w:rFonts w:ascii="Arial" w:hAnsi="Arial" w:cs="Arial"/>
          <w:bCs/>
          <w:sz w:val="18"/>
          <w:szCs w:val="18"/>
        </w:rPr>
        <w:t>l momento de comercializar un Equipo Terminal Móvil</w:t>
      </w:r>
      <w:r w:rsidR="004B35F6">
        <w:rPr>
          <w:rFonts w:ascii="Arial" w:hAnsi="Arial" w:cs="Arial"/>
          <w:bCs/>
          <w:sz w:val="18"/>
          <w:szCs w:val="18"/>
        </w:rPr>
        <w:t xml:space="preserve"> </w:t>
      </w:r>
      <w:r w:rsidR="004B35F6" w:rsidRPr="004B35F6">
        <w:rPr>
          <w:rFonts w:ascii="Arial" w:hAnsi="Arial" w:cs="Arial"/>
          <w:bCs/>
          <w:sz w:val="18"/>
          <w:szCs w:val="18"/>
        </w:rPr>
        <w:t>tanto en el esquema de Prepago como Pospago</w:t>
      </w:r>
      <w:r w:rsidR="004B35F6">
        <w:rPr>
          <w:rFonts w:ascii="Arial" w:hAnsi="Arial" w:cs="Arial"/>
          <w:bCs/>
          <w:sz w:val="18"/>
          <w:szCs w:val="18"/>
        </w:rPr>
        <w:t xml:space="preserve">, </w:t>
      </w:r>
      <w:r w:rsidR="001A2170" w:rsidRPr="004B35F6">
        <w:rPr>
          <w:rFonts w:ascii="Arial" w:hAnsi="Arial" w:cs="Arial"/>
          <w:bCs/>
          <w:sz w:val="18"/>
          <w:szCs w:val="18"/>
        </w:rPr>
        <w:t>l</w:t>
      </w:r>
      <w:r w:rsidRPr="00C57285">
        <w:rPr>
          <w:rFonts w:ascii="Arial" w:hAnsi="Arial" w:cs="Arial"/>
          <w:bCs/>
          <w:sz w:val="18"/>
          <w:szCs w:val="18"/>
        </w:rPr>
        <w:t xml:space="preserve">os Prestadores del Servicio Móvil </w:t>
      </w:r>
      <w:r w:rsidRPr="004B35F6">
        <w:rPr>
          <w:rFonts w:ascii="Arial" w:hAnsi="Arial" w:cs="Arial"/>
          <w:bCs/>
          <w:sz w:val="18"/>
          <w:szCs w:val="18"/>
        </w:rPr>
        <w:t>deberán informar</w:t>
      </w:r>
      <w:r w:rsidR="001A2170" w:rsidRPr="004B35F6">
        <w:rPr>
          <w:rFonts w:ascii="Arial" w:hAnsi="Arial" w:cs="Arial"/>
          <w:bCs/>
          <w:sz w:val="18"/>
          <w:szCs w:val="18"/>
        </w:rPr>
        <w:t xml:space="preserve"> a los Usuarios</w:t>
      </w:r>
      <w:r w:rsidR="004B35F6" w:rsidRPr="004B35F6">
        <w:rPr>
          <w:rFonts w:ascii="Arial" w:hAnsi="Arial" w:cs="Arial"/>
          <w:bCs/>
          <w:sz w:val="18"/>
          <w:szCs w:val="18"/>
        </w:rPr>
        <w:t xml:space="preserve"> </w:t>
      </w:r>
      <w:r w:rsidR="004B35F6" w:rsidRPr="002E7A08">
        <w:rPr>
          <w:rFonts w:ascii="Arial" w:hAnsi="Arial" w:cs="Arial"/>
          <w:bCs/>
          <w:sz w:val="18"/>
          <w:szCs w:val="18"/>
        </w:rPr>
        <w:t>a través de medios físicos</w:t>
      </w:r>
      <w:r w:rsidR="004B35F6">
        <w:rPr>
          <w:rFonts w:ascii="Arial" w:hAnsi="Arial" w:cs="Arial"/>
          <w:bCs/>
          <w:sz w:val="18"/>
          <w:szCs w:val="18"/>
        </w:rPr>
        <w:t>,</w:t>
      </w:r>
      <w:r w:rsidR="004B35F6" w:rsidRPr="002E7A08">
        <w:rPr>
          <w:rFonts w:ascii="Arial" w:hAnsi="Arial" w:cs="Arial"/>
          <w:bCs/>
          <w:sz w:val="18"/>
          <w:szCs w:val="18"/>
        </w:rPr>
        <w:t xml:space="preserve"> electrónicos</w:t>
      </w:r>
      <w:r w:rsidR="004B35F6">
        <w:rPr>
          <w:rFonts w:ascii="Arial" w:hAnsi="Arial" w:cs="Arial"/>
          <w:bCs/>
          <w:sz w:val="18"/>
          <w:szCs w:val="18"/>
        </w:rPr>
        <w:t>,</w:t>
      </w:r>
      <w:r w:rsidR="004B35F6" w:rsidRPr="002E7A08">
        <w:rPr>
          <w:rFonts w:ascii="Arial" w:hAnsi="Arial" w:cs="Arial"/>
          <w:bCs/>
          <w:sz w:val="18"/>
          <w:szCs w:val="18"/>
        </w:rPr>
        <w:t xml:space="preserve"> digitales o de cualquier otra nueva tecnología que lo permita</w:t>
      </w:r>
      <w:r w:rsidR="004B35F6">
        <w:rPr>
          <w:rFonts w:ascii="Arial" w:hAnsi="Arial" w:cs="Arial"/>
          <w:bCs/>
          <w:sz w:val="18"/>
          <w:szCs w:val="18"/>
        </w:rPr>
        <w:t>,</w:t>
      </w:r>
      <w:r w:rsidRPr="004B35F6">
        <w:rPr>
          <w:rFonts w:ascii="Arial" w:hAnsi="Arial" w:cs="Arial"/>
          <w:bCs/>
          <w:sz w:val="18"/>
          <w:szCs w:val="18"/>
        </w:rPr>
        <w:t xml:space="preserve"> si </w:t>
      </w:r>
      <w:r w:rsidR="001A2170" w:rsidRPr="004B35F6">
        <w:rPr>
          <w:rFonts w:ascii="Arial" w:hAnsi="Arial" w:cs="Arial"/>
          <w:bCs/>
          <w:sz w:val="18"/>
          <w:szCs w:val="18"/>
        </w:rPr>
        <w:t xml:space="preserve">el equipo </w:t>
      </w:r>
      <w:r w:rsidRPr="004B35F6">
        <w:rPr>
          <w:rFonts w:ascii="Arial" w:hAnsi="Arial" w:cs="Arial"/>
          <w:bCs/>
          <w:sz w:val="18"/>
          <w:szCs w:val="18"/>
        </w:rPr>
        <w:t>se encuentra bloqueado y, en su caso, los requisitos y procedimiento para solicitar el desbloqueo del Equipo Terminal Móvil.</w:t>
      </w:r>
    </w:p>
    <w:p w14:paraId="08134939" w14:textId="24AE74DA" w:rsidR="005A770C" w:rsidRPr="004B35F6" w:rsidRDefault="005A770C" w:rsidP="00030F90">
      <w:pPr>
        <w:spacing w:after="0"/>
        <w:jc w:val="both"/>
        <w:rPr>
          <w:rFonts w:ascii="Arial" w:eastAsia="ITC Avant Garde" w:hAnsi="Arial" w:cs="Arial"/>
          <w:sz w:val="18"/>
          <w:szCs w:val="18"/>
          <w:lang w:val="es-MX"/>
        </w:rPr>
      </w:pPr>
    </w:p>
    <w:p w14:paraId="29214B64" w14:textId="77777777" w:rsidR="00A95CF7" w:rsidRPr="0021737E" w:rsidRDefault="00A95CF7" w:rsidP="00A95CF7">
      <w:pPr>
        <w:spacing w:after="0"/>
        <w:contextualSpacing/>
        <w:mirrorIndents/>
        <w:jc w:val="both"/>
        <w:rPr>
          <w:rFonts w:ascii="Arial" w:hAnsi="Arial" w:cs="Arial"/>
          <w:bCs/>
          <w:sz w:val="18"/>
          <w:szCs w:val="18"/>
        </w:rPr>
      </w:pPr>
      <w:r w:rsidRPr="0021737E">
        <w:rPr>
          <w:rFonts w:ascii="Arial" w:hAnsi="Arial" w:cs="Arial"/>
          <w:bCs/>
          <w:sz w:val="18"/>
          <w:szCs w:val="18"/>
        </w:rPr>
        <w:t xml:space="preserve">Los Prestadores del Servicio Móvil deberán implementar mecanismos para que </w:t>
      </w:r>
      <w:r w:rsidRPr="005F1EFE">
        <w:rPr>
          <w:rFonts w:ascii="Arial" w:hAnsi="Arial" w:cs="Arial"/>
          <w:bCs/>
          <w:sz w:val="18"/>
          <w:szCs w:val="18"/>
        </w:rPr>
        <w:t>los Equipos Terminales Móviles</w:t>
      </w:r>
      <w:r>
        <w:rPr>
          <w:rFonts w:ascii="Arial" w:hAnsi="Arial" w:cs="Arial"/>
          <w:bCs/>
          <w:sz w:val="18"/>
          <w:szCs w:val="18"/>
        </w:rPr>
        <w:t xml:space="preserve"> que hayan</w:t>
      </w:r>
      <w:r w:rsidRPr="005F1EFE">
        <w:rPr>
          <w:rFonts w:ascii="Arial" w:hAnsi="Arial" w:cs="Arial"/>
          <w:bCs/>
          <w:sz w:val="18"/>
          <w:szCs w:val="18"/>
        </w:rPr>
        <w:t xml:space="preserve"> </w:t>
      </w:r>
      <w:r>
        <w:rPr>
          <w:rFonts w:ascii="Arial" w:hAnsi="Arial" w:cs="Arial"/>
          <w:bCs/>
          <w:sz w:val="18"/>
          <w:szCs w:val="18"/>
        </w:rPr>
        <w:t xml:space="preserve">sido </w:t>
      </w:r>
      <w:r w:rsidRPr="005F1EFE">
        <w:rPr>
          <w:rFonts w:ascii="Arial" w:hAnsi="Arial" w:cs="Arial"/>
          <w:bCs/>
          <w:sz w:val="18"/>
          <w:szCs w:val="18"/>
        </w:rPr>
        <w:t xml:space="preserve">adquiridos de contado </w:t>
      </w:r>
      <w:r>
        <w:rPr>
          <w:rFonts w:ascii="Arial" w:hAnsi="Arial" w:cs="Arial"/>
          <w:bCs/>
          <w:sz w:val="18"/>
          <w:szCs w:val="18"/>
        </w:rPr>
        <w:t xml:space="preserve">bajo cualquier esquema de contratación, </w:t>
      </w:r>
      <w:r w:rsidRPr="005F1EFE">
        <w:rPr>
          <w:rFonts w:ascii="Arial" w:hAnsi="Arial" w:cs="Arial"/>
          <w:bCs/>
          <w:sz w:val="18"/>
          <w:szCs w:val="18"/>
        </w:rPr>
        <w:t xml:space="preserve">o </w:t>
      </w:r>
      <w:r>
        <w:rPr>
          <w:rFonts w:ascii="Arial" w:hAnsi="Arial" w:cs="Arial"/>
          <w:bCs/>
          <w:sz w:val="18"/>
          <w:szCs w:val="18"/>
        </w:rPr>
        <w:t xml:space="preserve">cuyo </w:t>
      </w:r>
      <w:r w:rsidRPr="005F1EFE">
        <w:rPr>
          <w:rFonts w:ascii="Arial" w:hAnsi="Arial" w:cs="Arial"/>
          <w:bCs/>
          <w:sz w:val="18"/>
          <w:szCs w:val="18"/>
        </w:rPr>
        <w:t>financiamiento en el esquema Pospago</w:t>
      </w:r>
      <w:r>
        <w:rPr>
          <w:rFonts w:ascii="Arial" w:hAnsi="Arial" w:cs="Arial"/>
          <w:bCs/>
          <w:sz w:val="18"/>
          <w:szCs w:val="18"/>
        </w:rPr>
        <w:t xml:space="preserve"> haya sido liquidado, notifiquen a los usuarios mediante el envío de un mensaje corto </w:t>
      </w:r>
      <w:r w:rsidRPr="005F1EFE">
        <w:rPr>
          <w:rFonts w:ascii="Arial" w:hAnsi="Arial" w:cs="Arial"/>
          <w:bCs/>
          <w:sz w:val="18"/>
          <w:szCs w:val="18"/>
        </w:rPr>
        <w:t xml:space="preserve">dentro de los 10 (diez) días naturales posteriores </w:t>
      </w:r>
      <w:r>
        <w:rPr>
          <w:rFonts w:ascii="Arial" w:hAnsi="Arial" w:cs="Arial"/>
          <w:bCs/>
          <w:sz w:val="18"/>
          <w:szCs w:val="18"/>
        </w:rPr>
        <w:t xml:space="preserve">a estos supuestos, que los Equipos Terminales Móviles </w:t>
      </w:r>
      <w:r w:rsidRPr="0021737E">
        <w:rPr>
          <w:rFonts w:ascii="Arial" w:hAnsi="Arial" w:cs="Arial"/>
          <w:bCs/>
          <w:sz w:val="18"/>
          <w:szCs w:val="18"/>
        </w:rPr>
        <w:t>podrán ser desbloqueados y el procedimiento para solicitarlo.</w:t>
      </w:r>
      <w:r>
        <w:rPr>
          <w:rFonts w:ascii="Arial" w:hAnsi="Arial" w:cs="Arial"/>
          <w:bCs/>
          <w:sz w:val="18"/>
          <w:szCs w:val="18"/>
        </w:rPr>
        <w:t xml:space="preserve"> Para el caso de los Equipos Terminales Móviles desbloqueados de manera previa al envío de dicha notificación, no será necesario el envío de información adicional.</w:t>
      </w:r>
    </w:p>
    <w:p w14:paraId="108ADB5D" w14:textId="77777777" w:rsidR="007F095C" w:rsidRPr="0048374A" w:rsidRDefault="007F095C" w:rsidP="00CD6D3A">
      <w:pPr>
        <w:spacing w:after="0"/>
        <w:contextualSpacing/>
        <w:mirrorIndents/>
        <w:jc w:val="both"/>
        <w:rPr>
          <w:rFonts w:ascii="Arial" w:hAnsi="Arial" w:cs="Arial"/>
          <w:bCs/>
          <w:sz w:val="18"/>
          <w:szCs w:val="18"/>
        </w:rPr>
      </w:pPr>
    </w:p>
    <w:p w14:paraId="7BBA9A5D" w14:textId="4618C2DE" w:rsidR="007B6BA6" w:rsidRDefault="005A770C" w:rsidP="007B6BA6">
      <w:pPr>
        <w:spacing w:after="0"/>
        <w:contextualSpacing/>
        <w:mirrorIndents/>
        <w:jc w:val="both"/>
        <w:rPr>
          <w:rFonts w:ascii="Arial" w:hAnsi="Arial" w:cs="Arial"/>
          <w:bCs/>
          <w:sz w:val="18"/>
          <w:szCs w:val="18"/>
        </w:rPr>
      </w:pPr>
      <w:proofErr w:type="gramStart"/>
      <w:r>
        <w:rPr>
          <w:rFonts w:ascii="Arial" w:hAnsi="Arial" w:cs="Arial"/>
          <w:b/>
          <w:sz w:val="18"/>
          <w:szCs w:val="18"/>
        </w:rPr>
        <w:t>Sexto</w:t>
      </w:r>
      <w:r w:rsidR="007B6BA6" w:rsidRPr="00E17A02">
        <w:rPr>
          <w:rFonts w:ascii="Arial" w:hAnsi="Arial" w:cs="Arial"/>
          <w:b/>
          <w:sz w:val="18"/>
          <w:szCs w:val="18"/>
        </w:rPr>
        <w:t>.-</w:t>
      </w:r>
      <w:proofErr w:type="gramEnd"/>
      <w:r w:rsidR="007B6BA6">
        <w:rPr>
          <w:rFonts w:ascii="Arial" w:hAnsi="Arial" w:cs="Arial"/>
          <w:bCs/>
          <w:sz w:val="18"/>
          <w:szCs w:val="18"/>
        </w:rPr>
        <w:t xml:space="preserve"> </w:t>
      </w:r>
      <w:r w:rsidR="007B6BA6" w:rsidRPr="00234012">
        <w:rPr>
          <w:rFonts w:ascii="Arial" w:hAnsi="Arial" w:cs="Arial"/>
          <w:bCs/>
          <w:sz w:val="18"/>
          <w:szCs w:val="18"/>
        </w:rPr>
        <w:t>Para el caso de los Equipos Terminales Móviles comercializados a Usuarios en el esquema de Prepago</w:t>
      </w:r>
      <w:r w:rsidR="007B6BA6">
        <w:rPr>
          <w:rFonts w:ascii="Arial" w:hAnsi="Arial" w:cs="Arial"/>
          <w:bCs/>
          <w:sz w:val="18"/>
          <w:szCs w:val="18"/>
        </w:rPr>
        <w:t>,</w:t>
      </w:r>
      <w:r w:rsidR="007B6BA6" w:rsidRPr="00234012">
        <w:rPr>
          <w:rFonts w:ascii="Arial" w:hAnsi="Arial" w:cs="Arial"/>
          <w:bCs/>
          <w:sz w:val="18"/>
          <w:szCs w:val="18"/>
        </w:rPr>
        <w:t xml:space="preserve"> el desbloqueo se realizará en un plazo máximo de 24 horas contadas a partir de la solicitud del </w:t>
      </w:r>
      <w:r w:rsidR="007B6BA6">
        <w:rPr>
          <w:rFonts w:ascii="Arial" w:hAnsi="Arial" w:cs="Arial"/>
          <w:bCs/>
          <w:sz w:val="18"/>
          <w:szCs w:val="18"/>
        </w:rPr>
        <w:t>Usuario</w:t>
      </w:r>
      <w:r w:rsidR="007B6BA6" w:rsidRPr="00234012">
        <w:rPr>
          <w:rFonts w:ascii="Arial" w:hAnsi="Arial" w:cs="Arial"/>
          <w:bCs/>
          <w:sz w:val="18"/>
          <w:szCs w:val="18"/>
        </w:rPr>
        <w:t xml:space="preserve">, siempre y cuando se haya realizado en un día y horario hábil. En caso contrario dicho plazo se computará a partir del siguiente </w:t>
      </w:r>
      <w:r w:rsidR="007B6BA6" w:rsidRPr="00F70F00">
        <w:rPr>
          <w:rFonts w:ascii="Arial" w:hAnsi="Arial" w:cs="Arial"/>
          <w:bCs/>
          <w:sz w:val="18"/>
          <w:szCs w:val="18"/>
        </w:rPr>
        <w:t>día y horario hábil.</w:t>
      </w:r>
    </w:p>
    <w:p w14:paraId="20365D2C" w14:textId="77777777" w:rsidR="00995046" w:rsidRPr="00C57285" w:rsidRDefault="00995046" w:rsidP="00302699">
      <w:pPr>
        <w:spacing w:after="0"/>
        <w:contextualSpacing/>
        <w:mirrorIndents/>
        <w:jc w:val="both"/>
        <w:rPr>
          <w:rFonts w:ascii="Arial" w:eastAsia="ITC Avant Garde" w:hAnsi="Arial" w:cs="Arial"/>
          <w:sz w:val="18"/>
          <w:szCs w:val="18"/>
        </w:rPr>
      </w:pPr>
    </w:p>
    <w:p w14:paraId="60A124F1" w14:textId="3DFF08A0" w:rsidR="00995046" w:rsidRPr="00C57285" w:rsidRDefault="00995046" w:rsidP="00302699">
      <w:pPr>
        <w:spacing w:after="0"/>
        <w:jc w:val="both"/>
        <w:rPr>
          <w:rFonts w:ascii="Arial" w:eastAsia="ITC Avant Garde" w:hAnsi="Arial" w:cs="Arial"/>
          <w:sz w:val="18"/>
          <w:szCs w:val="18"/>
        </w:rPr>
      </w:pPr>
      <w:proofErr w:type="gramStart"/>
      <w:r w:rsidRPr="00C57285">
        <w:rPr>
          <w:rFonts w:ascii="Arial" w:eastAsia="ITC Avant Garde" w:hAnsi="Arial" w:cs="Arial"/>
          <w:b/>
          <w:bCs/>
          <w:sz w:val="18"/>
          <w:szCs w:val="18"/>
        </w:rPr>
        <w:t>Séptimo.-</w:t>
      </w:r>
      <w:proofErr w:type="gramEnd"/>
      <w:r w:rsidRPr="00C57285">
        <w:rPr>
          <w:rFonts w:ascii="Arial" w:eastAsia="ITC Avant Garde" w:hAnsi="Arial" w:cs="Arial"/>
          <w:b/>
          <w:bCs/>
          <w:sz w:val="18"/>
          <w:szCs w:val="18"/>
        </w:rPr>
        <w:t xml:space="preserve"> </w:t>
      </w:r>
      <w:r w:rsidRPr="00C57285">
        <w:rPr>
          <w:rFonts w:ascii="Arial" w:eastAsia="ITC Avant Garde" w:hAnsi="Arial" w:cs="Arial"/>
          <w:sz w:val="18"/>
          <w:szCs w:val="18"/>
        </w:rPr>
        <w:t xml:space="preserve">El desbloqueo de los Equipos Terminales Móviles comercializados a Usuarios en el esquema de Pospago </w:t>
      </w:r>
      <w:r w:rsidR="003838ED">
        <w:rPr>
          <w:rFonts w:ascii="Arial" w:eastAsia="ITC Avant Garde" w:hAnsi="Arial" w:cs="Arial"/>
          <w:sz w:val="18"/>
          <w:szCs w:val="18"/>
        </w:rPr>
        <w:t xml:space="preserve">podrá </w:t>
      </w:r>
      <w:r w:rsidR="0048374A">
        <w:rPr>
          <w:rFonts w:ascii="Arial" w:eastAsia="ITC Avant Garde" w:hAnsi="Arial" w:cs="Arial"/>
          <w:sz w:val="18"/>
          <w:szCs w:val="18"/>
        </w:rPr>
        <w:t>solicitarse</w:t>
      </w:r>
      <w:r w:rsidRPr="00C57285">
        <w:rPr>
          <w:rFonts w:ascii="Arial" w:eastAsia="ITC Avant Garde" w:hAnsi="Arial" w:cs="Arial"/>
          <w:sz w:val="18"/>
          <w:szCs w:val="18"/>
        </w:rPr>
        <w:t>:</w:t>
      </w:r>
    </w:p>
    <w:p w14:paraId="21132817" w14:textId="77777777" w:rsidR="00995046" w:rsidRPr="00C57285" w:rsidRDefault="00995046" w:rsidP="00302699">
      <w:pPr>
        <w:spacing w:after="0"/>
        <w:jc w:val="both"/>
        <w:rPr>
          <w:rFonts w:ascii="Arial" w:eastAsia="ITC Avant Garde" w:hAnsi="Arial" w:cs="Arial"/>
          <w:sz w:val="18"/>
          <w:szCs w:val="18"/>
        </w:rPr>
      </w:pPr>
    </w:p>
    <w:p w14:paraId="76F5BB77" w14:textId="77777777" w:rsidR="00995046" w:rsidRPr="00C57285" w:rsidRDefault="00995046" w:rsidP="00302699">
      <w:pPr>
        <w:pStyle w:val="Prrafodelista"/>
        <w:numPr>
          <w:ilvl w:val="0"/>
          <w:numId w:val="16"/>
        </w:numPr>
        <w:spacing w:line="276" w:lineRule="auto"/>
        <w:jc w:val="both"/>
        <w:rPr>
          <w:rFonts w:eastAsia="ITC Avant Garde" w:cs="Arial"/>
          <w:sz w:val="18"/>
          <w:szCs w:val="18"/>
        </w:rPr>
      </w:pPr>
      <w:r w:rsidRPr="00C57285">
        <w:rPr>
          <w:rFonts w:eastAsia="ITC Avant Garde" w:cs="Arial"/>
          <w:sz w:val="18"/>
          <w:szCs w:val="18"/>
        </w:rPr>
        <w:t>Cuando el Usuario haya liquidado anticipadamente el Equipo Terminal Móvil.</w:t>
      </w:r>
    </w:p>
    <w:p w14:paraId="4C25BE83" w14:textId="18428273" w:rsidR="00995046" w:rsidRPr="00C57285" w:rsidRDefault="00995046" w:rsidP="00302699">
      <w:pPr>
        <w:pStyle w:val="Prrafodelista"/>
        <w:numPr>
          <w:ilvl w:val="0"/>
          <w:numId w:val="16"/>
        </w:numPr>
        <w:spacing w:line="276" w:lineRule="auto"/>
        <w:jc w:val="both"/>
        <w:rPr>
          <w:rFonts w:eastAsia="ITC Avant Garde" w:cs="Arial"/>
          <w:sz w:val="18"/>
          <w:szCs w:val="18"/>
        </w:rPr>
      </w:pPr>
      <w:r w:rsidRPr="00C57285">
        <w:rPr>
          <w:rFonts w:eastAsia="ITC Avant Garde" w:cs="Arial"/>
          <w:sz w:val="18"/>
          <w:szCs w:val="18"/>
        </w:rPr>
        <w:t>Una vez concluido el plazo inicial contratado y no existan adeudos</w:t>
      </w:r>
      <w:r w:rsidR="004873A5">
        <w:rPr>
          <w:rFonts w:eastAsia="ITC Avant Garde" w:cs="Arial"/>
          <w:sz w:val="18"/>
          <w:szCs w:val="18"/>
        </w:rPr>
        <w:t xml:space="preserve"> </w:t>
      </w:r>
      <w:r w:rsidR="00450C62">
        <w:rPr>
          <w:rFonts w:eastAsia="ITC Avant Garde" w:cs="Arial"/>
          <w:sz w:val="18"/>
          <w:szCs w:val="18"/>
        </w:rPr>
        <w:t>por</w:t>
      </w:r>
      <w:r w:rsidR="004873A5">
        <w:rPr>
          <w:rFonts w:eastAsia="ITC Avant Garde" w:cs="Arial"/>
          <w:sz w:val="18"/>
          <w:szCs w:val="18"/>
        </w:rPr>
        <w:t xml:space="preserve"> la compra del Equipo Terminal Móvil</w:t>
      </w:r>
      <w:r w:rsidRPr="00C57285">
        <w:rPr>
          <w:rFonts w:eastAsia="ITC Avant Garde" w:cs="Arial"/>
          <w:sz w:val="18"/>
          <w:szCs w:val="18"/>
        </w:rPr>
        <w:t>.</w:t>
      </w:r>
    </w:p>
    <w:p w14:paraId="5F0A9236" w14:textId="77777777" w:rsidR="00995046" w:rsidRPr="00C57285" w:rsidRDefault="00995046" w:rsidP="00302699">
      <w:pPr>
        <w:spacing w:after="0"/>
        <w:contextualSpacing/>
        <w:mirrorIndents/>
        <w:jc w:val="both"/>
        <w:rPr>
          <w:rFonts w:ascii="Arial" w:eastAsia="ITC Avant Garde" w:hAnsi="Arial" w:cs="Arial"/>
          <w:sz w:val="18"/>
          <w:szCs w:val="18"/>
        </w:rPr>
      </w:pPr>
    </w:p>
    <w:p w14:paraId="68C6ECC2" w14:textId="7AF05EC9" w:rsidR="00FF428F" w:rsidRPr="00C57285" w:rsidRDefault="0059654C" w:rsidP="00632479">
      <w:pPr>
        <w:spacing w:after="0"/>
        <w:contextualSpacing/>
        <w:mirrorIndents/>
        <w:jc w:val="both"/>
        <w:rPr>
          <w:rFonts w:ascii="Arial" w:eastAsia="ITC Avant Garde" w:hAnsi="Arial" w:cs="Arial"/>
          <w:sz w:val="18"/>
          <w:szCs w:val="18"/>
        </w:rPr>
      </w:pPr>
      <w:r w:rsidRPr="00C57285">
        <w:rPr>
          <w:rFonts w:ascii="Arial" w:hAnsi="Arial" w:cs="Arial"/>
          <w:bCs/>
          <w:sz w:val="18"/>
          <w:szCs w:val="18"/>
        </w:rPr>
        <w:t>Una vez actualizado</w:t>
      </w:r>
      <w:r w:rsidR="00B14D87">
        <w:rPr>
          <w:rFonts w:ascii="Arial" w:hAnsi="Arial" w:cs="Arial"/>
          <w:bCs/>
          <w:sz w:val="18"/>
          <w:szCs w:val="18"/>
        </w:rPr>
        <w:t xml:space="preserve"> cualquiera de</w:t>
      </w:r>
      <w:r w:rsidR="000D5C7F">
        <w:rPr>
          <w:rFonts w:ascii="Arial" w:hAnsi="Arial" w:cs="Arial"/>
          <w:bCs/>
          <w:sz w:val="18"/>
          <w:szCs w:val="18"/>
        </w:rPr>
        <w:t xml:space="preserve"> </w:t>
      </w:r>
      <w:r w:rsidRPr="00C57285">
        <w:rPr>
          <w:rFonts w:ascii="Arial" w:hAnsi="Arial" w:cs="Arial"/>
          <w:bCs/>
          <w:sz w:val="18"/>
          <w:szCs w:val="18"/>
        </w:rPr>
        <w:t xml:space="preserve">los supuestos anteriores, dentro de las </w:t>
      </w:r>
      <w:r w:rsidR="008719EC">
        <w:rPr>
          <w:rFonts w:ascii="Arial" w:hAnsi="Arial" w:cs="Arial"/>
          <w:bCs/>
          <w:sz w:val="18"/>
          <w:szCs w:val="18"/>
        </w:rPr>
        <w:t>24</w:t>
      </w:r>
      <w:r w:rsidR="008719EC" w:rsidRPr="00C57285">
        <w:rPr>
          <w:rFonts w:ascii="Arial" w:hAnsi="Arial" w:cs="Arial"/>
          <w:bCs/>
          <w:sz w:val="18"/>
          <w:szCs w:val="18"/>
        </w:rPr>
        <w:t xml:space="preserve"> </w:t>
      </w:r>
      <w:r w:rsidRPr="00C57285">
        <w:rPr>
          <w:rFonts w:ascii="Arial" w:hAnsi="Arial" w:cs="Arial"/>
          <w:bCs/>
          <w:sz w:val="18"/>
          <w:szCs w:val="18"/>
        </w:rPr>
        <w:t>horas siguientes</w:t>
      </w:r>
      <w:r w:rsidR="00A73B46">
        <w:rPr>
          <w:rFonts w:ascii="Arial" w:hAnsi="Arial" w:cs="Arial"/>
          <w:bCs/>
          <w:sz w:val="18"/>
          <w:szCs w:val="18"/>
        </w:rPr>
        <w:t xml:space="preserve"> contadas a partir de la solicitud del </w:t>
      </w:r>
      <w:r w:rsidR="005A770C">
        <w:rPr>
          <w:rFonts w:ascii="Arial" w:hAnsi="Arial" w:cs="Arial"/>
          <w:bCs/>
          <w:sz w:val="18"/>
          <w:szCs w:val="18"/>
        </w:rPr>
        <w:t>U</w:t>
      </w:r>
      <w:r w:rsidR="00A73B46">
        <w:rPr>
          <w:rFonts w:ascii="Arial" w:hAnsi="Arial" w:cs="Arial"/>
          <w:bCs/>
          <w:sz w:val="18"/>
          <w:szCs w:val="18"/>
        </w:rPr>
        <w:t>suario</w:t>
      </w:r>
      <w:r w:rsidRPr="00C57285">
        <w:rPr>
          <w:rFonts w:ascii="Arial" w:hAnsi="Arial" w:cs="Arial"/>
          <w:bCs/>
          <w:sz w:val="18"/>
          <w:szCs w:val="18"/>
        </w:rPr>
        <w:t xml:space="preserve">, </w:t>
      </w:r>
      <w:r w:rsidR="00632479">
        <w:rPr>
          <w:rFonts w:ascii="Arial" w:hAnsi="Arial" w:cs="Arial"/>
          <w:bCs/>
          <w:sz w:val="18"/>
          <w:szCs w:val="18"/>
        </w:rPr>
        <w:t>l</w:t>
      </w:r>
      <w:r w:rsidR="00995046" w:rsidRPr="00C57285">
        <w:rPr>
          <w:rFonts w:ascii="Arial" w:hAnsi="Arial" w:cs="Arial"/>
          <w:bCs/>
          <w:sz w:val="18"/>
          <w:szCs w:val="18"/>
        </w:rPr>
        <w:t xml:space="preserve">os Prestadores del Servicio Móvil deberán </w:t>
      </w:r>
      <w:r w:rsidR="00632479" w:rsidRPr="00C57285">
        <w:rPr>
          <w:rFonts w:ascii="Arial" w:hAnsi="Arial" w:cs="Arial"/>
          <w:bCs/>
          <w:sz w:val="18"/>
          <w:szCs w:val="18"/>
        </w:rPr>
        <w:t xml:space="preserve">desbloquear </w:t>
      </w:r>
      <w:r w:rsidR="005C6B67">
        <w:rPr>
          <w:rFonts w:ascii="Arial" w:hAnsi="Arial" w:cs="Arial"/>
          <w:bCs/>
          <w:sz w:val="18"/>
          <w:szCs w:val="18"/>
        </w:rPr>
        <w:t xml:space="preserve">o entregar el Código de Desbloqueo de </w:t>
      </w:r>
      <w:r w:rsidR="00811AF1" w:rsidRPr="00C57285">
        <w:rPr>
          <w:rFonts w:ascii="Arial" w:hAnsi="Arial" w:cs="Arial"/>
          <w:bCs/>
          <w:sz w:val="18"/>
          <w:szCs w:val="18"/>
        </w:rPr>
        <w:t>los Equipos Terminales Móviles</w:t>
      </w:r>
      <w:r w:rsidR="00A73B46">
        <w:rPr>
          <w:rFonts w:ascii="Arial" w:hAnsi="Arial" w:cs="Arial"/>
          <w:bCs/>
          <w:sz w:val="18"/>
          <w:szCs w:val="18"/>
        </w:rPr>
        <w:t>,</w:t>
      </w:r>
      <w:r w:rsidR="00632479" w:rsidRPr="00C57285">
        <w:rPr>
          <w:rFonts w:ascii="Arial" w:hAnsi="Arial" w:cs="Arial"/>
          <w:bCs/>
          <w:sz w:val="18"/>
          <w:szCs w:val="18"/>
        </w:rPr>
        <w:t xml:space="preserve"> </w:t>
      </w:r>
      <w:r w:rsidR="00A73B46" w:rsidRPr="00ED550B">
        <w:rPr>
          <w:rFonts w:ascii="Arial" w:hAnsi="Arial" w:cs="Arial"/>
          <w:bCs/>
          <w:sz w:val="18"/>
          <w:szCs w:val="18"/>
        </w:rPr>
        <w:t>siempre y cuando la solicitud se haya realizado en un día y horario hábil. En caso contrario</w:t>
      </w:r>
      <w:r w:rsidR="00A73B46">
        <w:rPr>
          <w:rFonts w:ascii="Arial" w:hAnsi="Arial" w:cs="Arial"/>
          <w:bCs/>
          <w:sz w:val="18"/>
          <w:szCs w:val="18"/>
        </w:rPr>
        <w:t xml:space="preserve">, </w:t>
      </w:r>
      <w:r w:rsidR="00A73B46" w:rsidRPr="00ED550B">
        <w:rPr>
          <w:rFonts w:ascii="Arial" w:hAnsi="Arial" w:cs="Arial"/>
          <w:bCs/>
          <w:sz w:val="18"/>
          <w:szCs w:val="18"/>
        </w:rPr>
        <w:t>dicho plazo</w:t>
      </w:r>
      <w:r w:rsidR="00A73B46">
        <w:rPr>
          <w:rFonts w:ascii="Arial" w:hAnsi="Arial" w:cs="Arial"/>
          <w:bCs/>
          <w:sz w:val="18"/>
          <w:szCs w:val="18"/>
        </w:rPr>
        <w:t xml:space="preserve"> comenzará</w:t>
      </w:r>
      <w:r w:rsidR="00A73B46" w:rsidRPr="00ED550B">
        <w:rPr>
          <w:rFonts w:ascii="Arial" w:hAnsi="Arial" w:cs="Arial"/>
          <w:bCs/>
          <w:sz w:val="18"/>
          <w:szCs w:val="18"/>
        </w:rPr>
        <w:t xml:space="preserve"> a partir del siguiente día y horario hábil</w:t>
      </w:r>
      <w:r w:rsidR="00632479" w:rsidRPr="00E17A02">
        <w:rPr>
          <w:rFonts w:ascii="Arial" w:hAnsi="Arial" w:cs="Arial"/>
          <w:bCs/>
          <w:sz w:val="18"/>
          <w:szCs w:val="18"/>
        </w:rPr>
        <w:t>.</w:t>
      </w:r>
    </w:p>
    <w:p w14:paraId="70EB0504" w14:textId="1F0CD5CA" w:rsidR="00B97F66" w:rsidRPr="00ED550B" w:rsidRDefault="00B97F66" w:rsidP="00ED550B">
      <w:pPr>
        <w:spacing w:after="0"/>
        <w:contextualSpacing/>
        <w:mirrorIndents/>
        <w:jc w:val="both"/>
        <w:rPr>
          <w:rFonts w:ascii="Arial" w:hAnsi="Arial" w:cs="Arial"/>
          <w:bCs/>
          <w:sz w:val="18"/>
          <w:szCs w:val="18"/>
        </w:rPr>
      </w:pPr>
    </w:p>
    <w:p w14:paraId="51611AE2" w14:textId="15120639" w:rsidR="00995046" w:rsidRPr="00C57285" w:rsidRDefault="007D4CAE" w:rsidP="00302699">
      <w:pPr>
        <w:spacing w:after="0"/>
        <w:contextualSpacing/>
        <w:mirrorIndents/>
        <w:jc w:val="both"/>
        <w:rPr>
          <w:rFonts w:ascii="Arial" w:eastAsia="ITC Avant Garde" w:hAnsi="Arial" w:cs="Arial"/>
          <w:sz w:val="18"/>
          <w:szCs w:val="18"/>
        </w:rPr>
      </w:pPr>
      <w:proofErr w:type="gramStart"/>
      <w:r w:rsidRPr="00343009">
        <w:rPr>
          <w:rFonts w:ascii="Arial" w:eastAsia="ITC Avant Garde" w:hAnsi="Arial" w:cs="Arial"/>
          <w:b/>
          <w:bCs/>
          <w:sz w:val="18"/>
          <w:szCs w:val="18"/>
        </w:rPr>
        <w:t>Octavo</w:t>
      </w:r>
      <w:r w:rsidR="00995046" w:rsidRPr="00343009">
        <w:rPr>
          <w:rFonts w:ascii="Arial" w:eastAsia="ITC Avant Garde" w:hAnsi="Arial" w:cs="Arial"/>
          <w:b/>
          <w:bCs/>
          <w:sz w:val="18"/>
          <w:szCs w:val="18"/>
        </w:rPr>
        <w:t>.-</w:t>
      </w:r>
      <w:proofErr w:type="gramEnd"/>
      <w:r w:rsidR="00995046" w:rsidRPr="00343009">
        <w:rPr>
          <w:rFonts w:ascii="Arial" w:eastAsia="ITC Avant Garde" w:hAnsi="Arial" w:cs="Arial"/>
          <w:sz w:val="18"/>
          <w:szCs w:val="18"/>
        </w:rPr>
        <w:t xml:space="preserve"> Los </w:t>
      </w:r>
      <w:r w:rsidR="00995046" w:rsidRPr="00343009">
        <w:rPr>
          <w:rFonts w:ascii="Arial" w:hAnsi="Arial" w:cs="Arial"/>
          <w:bCs/>
          <w:sz w:val="18"/>
          <w:szCs w:val="18"/>
        </w:rPr>
        <w:t>Prestadores del Servicio Móvil</w:t>
      </w:r>
      <w:r w:rsidR="00995046" w:rsidRPr="00343009">
        <w:rPr>
          <w:rFonts w:ascii="Arial" w:eastAsia="ITC Avant Garde" w:hAnsi="Arial" w:cs="Arial"/>
          <w:sz w:val="18"/>
          <w:szCs w:val="18"/>
        </w:rPr>
        <w:t xml:space="preserve"> deberán publicar en sus sitios de Internet los requisitos, procedimiento y manual de instrucciones para realizar el desbloqueo de los Equipos Terminales Móviles. Además, deberán contar con una sección para solicitar el envío del Código de desbloqueo</w:t>
      </w:r>
      <w:r w:rsidR="00751968" w:rsidRPr="00343009">
        <w:rPr>
          <w:rFonts w:ascii="Arial" w:eastAsia="ITC Avant Garde" w:hAnsi="Arial" w:cs="Arial"/>
          <w:sz w:val="18"/>
          <w:szCs w:val="18"/>
        </w:rPr>
        <w:t>, o en su caso, el desbloqueo remoto</w:t>
      </w:r>
      <w:r w:rsidR="00995046" w:rsidRPr="00343009">
        <w:rPr>
          <w:rFonts w:ascii="Arial" w:eastAsia="ITC Avant Garde" w:hAnsi="Arial" w:cs="Arial"/>
          <w:sz w:val="18"/>
          <w:szCs w:val="18"/>
        </w:rPr>
        <w:t>.</w:t>
      </w:r>
      <w:r w:rsidR="00995046" w:rsidRPr="00C57285">
        <w:rPr>
          <w:rFonts w:ascii="Arial" w:eastAsia="ITC Avant Garde" w:hAnsi="Arial" w:cs="Arial"/>
          <w:sz w:val="18"/>
          <w:szCs w:val="18"/>
        </w:rPr>
        <w:t xml:space="preserve"> </w:t>
      </w:r>
    </w:p>
    <w:p w14:paraId="15512EBD" w14:textId="77777777" w:rsidR="00995046" w:rsidRPr="00C57285" w:rsidRDefault="00995046" w:rsidP="00302699">
      <w:pPr>
        <w:spacing w:after="0"/>
        <w:jc w:val="both"/>
        <w:rPr>
          <w:rFonts w:ascii="Arial" w:eastAsia="ITC Avant Garde" w:hAnsi="Arial" w:cs="Arial"/>
          <w:sz w:val="18"/>
          <w:szCs w:val="18"/>
        </w:rPr>
      </w:pPr>
    </w:p>
    <w:p w14:paraId="667ACBF2" w14:textId="6F857120" w:rsidR="00995046" w:rsidRPr="00C57285" w:rsidRDefault="007D4CAE" w:rsidP="00302699">
      <w:pPr>
        <w:spacing w:after="0"/>
        <w:contextualSpacing/>
        <w:mirrorIndents/>
        <w:jc w:val="both"/>
        <w:rPr>
          <w:rFonts w:ascii="Arial" w:eastAsia="ITC Avant Garde" w:hAnsi="Arial" w:cs="Arial"/>
          <w:sz w:val="18"/>
          <w:szCs w:val="18"/>
        </w:rPr>
      </w:pPr>
      <w:proofErr w:type="gramStart"/>
      <w:r>
        <w:rPr>
          <w:rFonts w:ascii="Arial" w:eastAsia="ITC Avant Garde" w:hAnsi="Arial" w:cs="Arial"/>
          <w:b/>
          <w:bCs/>
          <w:sz w:val="18"/>
          <w:szCs w:val="18"/>
        </w:rPr>
        <w:lastRenderedPageBreak/>
        <w:t>Noveno</w:t>
      </w:r>
      <w:r w:rsidR="00995046" w:rsidRPr="00C57285">
        <w:rPr>
          <w:rFonts w:ascii="Arial" w:eastAsia="ITC Avant Garde" w:hAnsi="Arial" w:cs="Arial"/>
          <w:b/>
          <w:bCs/>
          <w:sz w:val="18"/>
          <w:szCs w:val="18"/>
        </w:rPr>
        <w:t>.-</w:t>
      </w:r>
      <w:proofErr w:type="gramEnd"/>
      <w:r w:rsidR="00995046" w:rsidRPr="00C57285">
        <w:rPr>
          <w:rFonts w:ascii="Arial" w:eastAsia="ITC Avant Garde" w:hAnsi="Arial" w:cs="Arial"/>
          <w:sz w:val="18"/>
          <w:szCs w:val="18"/>
        </w:rPr>
        <w:t xml:space="preserve"> El desbloqueo </w:t>
      </w:r>
      <w:r w:rsidR="00A870A4" w:rsidRPr="00C57285">
        <w:rPr>
          <w:rFonts w:ascii="Arial" w:eastAsia="ITC Avant Garde" w:hAnsi="Arial" w:cs="Arial"/>
          <w:sz w:val="18"/>
          <w:szCs w:val="18"/>
        </w:rPr>
        <w:t xml:space="preserve">o la entrega del Código de desbloqueo </w:t>
      </w:r>
      <w:r w:rsidR="00995046" w:rsidRPr="00C57285">
        <w:rPr>
          <w:rFonts w:ascii="Arial" w:eastAsia="ITC Avant Garde" w:hAnsi="Arial" w:cs="Arial"/>
          <w:sz w:val="18"/>
          <w:szCs w:val="18"/>
        </w:rPr>
        <w:t xml:space="preserve">de los Equipos Terminales Móviles podrá solicitarse en el centro de atención a clientes, en el número telefónico de atención a clientes o a través de los medios electrónicos disponibles en el sitio de Internet del </w:t>
      </w:r>
      <w:r w:rsidR="00995046" w:rsidRPr="00C57285">
        <w:rPr>
          <w:rFonts w:ascii="Arial" w:hAnsi="Arial" w:cs="Arial"/>
          <w:bCs/>
          <w:sz w:val="18"/>
          <w:szCs w:val="18"/>
        </w:rPr>
        <w:t>Prestador del Servicio Móvil.</w:t>
      </w:r>
    </w:p>
    <w:p w14:paraId="0FEEE11A" w14:textId="77777777" w:rsidR="00995046" w:rsidRPr="00C57285" w:rsidRDefault="00995046" w:rsidP="00302699">
      <w:pPr>
        <w:spacing w:after="0"/>
        <w:contextualSpacing/>
        <w:mirrorIndents/>
        <w:jc w:val="both"/>
        <w:rPr>
          <w:rFonts w:ascii="Arial" w:eastAsia="ITC Avant Garde" w:hAnsi="Arial" w:cs="Arial"/>
          <w:sz w:val="18"/>
          <w:szCs w:val="18"/>
        </w:rPr>
      </w:pPr>
    </w:p>
    <w:p w14:paraId="5A3E6248" w14:textId="5C5BAEE6" w:rsidR="00995046" w:rsidRPr="00C57285" w:rsidRDefault="00F43960" w:rsidP="00302699">
      <w:pPr>
        <w:spacing w:after="0"/>
        <w:contextualSpacing/>
        <w:mirrorIndents/>
        <w:jc w:val="both"/>
        <w:rPr>
          <w:rFonts w:ascii="Arial" w:eastAsia="ITC Avant Garde" w:hAnsi="Arial" w:cs="Arial"/>
          <w:sz w:val="18"/>
          <w:szCs w:val="18"/>
        </w:rPr>
      </w:pPr>
      <w:r>
        <w:rPr>
          <w:rFonts w:ascii="Arial" w:eastAsia="ITC Avant Garde" w:hAnsi="Arial" w:cs="Arial"/>
          <w:sz w:val="18"/>
          <w:szCs w:val="18"/>
        </w:rPr>
        <w:t>En todos los casos, e</w:t>
      </w:r>
      <w:r w:rsidR="00944DBB" w:rsidRPr="00C57285">
        <w:rPr>
          <w:rFonts w:ascii="Arial" w:eastAsia="ITC Avant Garde" w:hAnsi="Arial" w:cs="Arial"/>
          <w:sz w:val="18"/>
          <w:szCs w:val="18"/>
        </w:rPr>
        <w:t>l</w:t>
      </w:r>
      <w:r w:rsidR="00995046" w:rsidRPr="00C57285">
        <w:rPr>
          <w:rFonts w:ascii="Arial" w:eastAsia="ITC Avant Garde" w:hAnsi="Arial" w:cs="Arial"/>
          <w:sz w:val="18"/>
          <w:szCs w:val="18"/>
        </w:rPr>
        <w:t xml:space="preserve"> desbloqueo o la entrega del Código de desbloqueo</w:t>
      </w:r>
      <w:r w:rsidR="00995046" w:rsidRPr="00C57285" w:rsidDel="00AD28A4">
        <w:rPr>
          <w:rFonts w:ascii="Arial" w:eastAsia="ITC Avant Garde" w:hAnsi="Arial" w:cs="Arial"/>
          <w:sz w:val="18"/>
          <w:szCs w:val="18"/>
        </w:rPr>
        <w:t xml:space="preserve"> </w:t>
      </w:r>
      <w:r w:rsidR="00995046" w:rsidRPr="00C57285">
        <w:rPr>
          <w:rFonts w:ascii="Arial" w:eastAsia="ITC Avant Garde" w:hAnsi="Arial" w:cs="Arial"/>
          <w:sz w:val="18"/>
          <w:szCs w:val="18"/>
        </w:rPr>
        <w:t>no podrá exceder de 24 horas</w:t>
      </w:r>
      <w:r w:rsidR="00FB4963">
        <w:rPr>
          <w:rFonts w:ascii="Arial" w:hAnsi="Arial" w:cs="Arial"/>
          <w:bCs/>
          <w:sz w:val="18"/>
          <w:szCs w:val="18"/>
        </w:rPr>
        <w:t xml:space="preserve"> </w:t>
      </w:r>
      <w:r w:rsidR="00FB7B8A">
        <w:rPr>
          <w:rFonts w:ascii="Arial" w:eastAsia="ITC Avant Garde" w:hAnsi="Arial" w:cs="Arial"/>
          <w:sz w:val="18"/>
          <w:szCs w:val="18"/>
        </w:rPr>
        <w:t xml:space="preserve">conforme a las condiciones establecidas en los </w:t>
      </w:r>
      <w:r w:rsidR="004E4A49">
        <w:rPr>
          <w:rFonts w:ascii="Arial" w:eastAsia="ITC Avant Garde" w:hAnsi="Arial" w:cs="Arial"/>
          <w:sz w:val="18"/>
          <w:szCs w:val="18"/>
        </w:rPr>
        <w:t>L</w:t>
      </w:r>
      <w:r w:rsidR="00FB7B8A">
        <w:rPr>
          <w:rFonts w:ascii="Arial" w:eastAsia="ITC Avant Garde" w:hAnsi="Arial" w:cs="Arial"/>
          <w:sz w:val="18"/>
          <w:szCs w:val="18"/>
        </w:rPr>
        <w:t>ineamientos Sexto y Séptimo.</w:t>
      </w:r>
    </w:p>
    <w:p w14:paraId="264D5B12" w14:textId="77777777" w:rsidR="00995046" w:rsidRDefault="00995046" w:rsidP="00302699">
      <w:pPr>
        <w:spacing w:after="0"/>
        <w:contextualSpacing/>
        <w:mirrorIndents/>
        <w:jc w:val="both"/>
        <w:rPr>
          <w:rFonts w:ascii="Arial" w:eastAsia="ITC Avant Garde" w:hAnsi="Arial" w:cs="Arial"/>
          <w:sz w:val="18"/>
          <w:szCs w:val="18"/>
          <w:highlight w:val="yellow"/>
        </w:rPr>
      </w:pPr>
    </w:p>
    <w:p w14:paraId="2CA7CBD6" w14:textId="5E6BB9B8" w:rsidR="006D5F89" w:rsidRPr="006D5F89" w:rsidRDefault="009373CC" w:rsidP="006D5F89">
      <w:pPr>
        <w:spacing w:after="0"/>
        <w:contextualSpacing/>
        <w:mirrorIndents/>
        <w:jc w:val="both"/>
        <w:rPr>
          <w:rFonts w:ascii="Arial" w:eastAsia="ITC Avant Garde" w:hAnsi="Arial" w:cs="Arial"/>
          <w:sz w:val="18"/>
          <w:szCs w:val="18"/>
        </w:rPr>
      </w:pPr>
      <w:r>
        <w:rPr>
          <w:rFonts w:ascii="Arial" w:hAnsi="Arial" w:cs="Arial"/>
          <w:bCs/>
          <w:sz w:val="18"/>
          <w:szCs w:val="18"/>
        </w:rPr>
        <w:t>Para la</w:t>
      </w:r>
      <w:r w:rsidR="00582D75">
        <w:rPr>
          <w:rFonts w:ascii="Arial" w:hAnsi="Arial" w:cs="Arial"/>
          <w:bCs/>
          <w:sz w:val="18"/>
          <w:szCs w:val="18"/>
        </w:rPr>
        <w:t xml:space="preserve"> atención de</w:t>
      </w:r>
      <w:r>
        <w:rPr>
          <w:rFonts w:ascii="Arial" w:hAnsi="Arial" w:cs="Arial"/>
          <w:bCs/>
          <w:sz w:val="18"/>
          <w:szCs w:val="18"/>
        </w:rPr>
        <w:t xml:space="preserve"> solicitudes </w:t>
      </w:r>
      <w:r w:rsidR="00582D75">
        <w:rPr>
          <w:rFonts w:ascii="Arial" w:hAnsi="Arial" w:cs="Arial"/>
          <w:bCs/>
          <w:sz w:val="18"/>
          <w:szCs w:val="18"/>
        </w:rPr>
        <w:t xml:space="preserve">en las que </w:t>
      </w:r>
      <w:r w:rsidR="00D31F2B" w:rsidRPr="000306A4">
        <w:rPr>
          <w:rFonts w:ascii="Arial" w:hAnsi="Arial" w:cs="Arial"/>
          <w:bCs/>
          <w:sz w:val="18"/>
          <w:szCs w:val="18"/>
        </w:rPr>
        <w:t>r</w:t>
      </w:r>
      <w:r w:rsidR="00582D75">
        <w:rPr>
          <w:rFonts w:ascii="Arial" w:hAnsi="Arial" w:cs="Arial"/>
          <w:bCs/>
          <w:sz w:val="18"/>
          <w:szCs w:val="18"/>
        </w:rPr>
        <w:t>esulte</w:t>
      </w:r>
      <w:r w:rsidR="00D31F2B" w:rsidRPr="000306A4">
        <w:rPr>
          <w:rFonts w:ascii="Arial" w:hAnsi="Arial" w:cs="Arial"/>
          <w:bCs/>
          <w:sz w:val="18"/>
          <w:szCs w:val="18"/>
        </w:rPr>
        <w:t xml:space="preserve"> indispensable</w:t>
      </w:r>
      <w:r w:rsidR="00DB21BA">
        <w:rPr>
          <w:rFonts w:ascii="Arial" w:eastAsia="ITC Avant Garde" w:hAnsi="Arial" w:cs="Arial"/>
          <w:sz w:val="18"/>
          <w:szCs w:val="18"/>
        </w:rPr>
        <w:t xml:space="preserve"> la entrega del Código </w:t>
      </w:r>
      <w:r w:rsidR="0051534E">
        <w:rPr>
          <w:rFonts w:ascii="Arial" w:eastAsia="ITC Avant Garde" w:hAnsi="Arial" w:cs="Arial"/>
          <w:sz w:val="18"/>
          <w:szCs w:val="18"/>
        </w:rPr>
        <w:t>de desbloqueo,</w:t>
      </w:r>
      <w:r w:rsidR="006D5F89" w:rsidRPr="006D5F89">
        <w:rPr>
          <w:rFonts w:ascii="Arial" w:eastAsia="ITC Avant Garde" w:hAnsi="Arial" w:cs="Arial"/>
          <w:sz w:val="18"/>
          <w:szCs w:val="18"/>
        </w:rPr>
        <w:t xml:space="preserve"> </w:t>
      </w:r>
      <w:r w:rsidR="001F6B01">
        <w:rPr>
          <w:rFonts w:ascii="Arial" w:eastAsia="ITC Avant Garde" w:hAnsi="Arial" w:cs="Arial"/>
          <w:sz w:val="18"/>
          <w:szCs w:val="18"/>
        </w:rPr>
        <w:t>los Prestad</w:t>
      </w:r>
      <w:r w:rsidR="009844D7">
        <w:rPr>
          <w:rFonts w:ascii="Arial" w:eastAsia="ITC Avant Garde" w:hAnsi="Arial" w:cs="Arial"/>
          <w:sz w:val="18"/>
          <w:szCs w:val="18"/>
        </w:rPr>
        <w:t>ores del servicio móvil</w:t>
      </w:r>
      <w:r w:rsidR="006D5F89" w:rsidRPr="006D5F89">
        <w:rPr>
          <w:rFonts w:ascii="Arial" w:eastAsia="ITC Avant Garde" w:hAnsi="Arial" w:cs="Arial"/>
          <w:sz w:val="18"/>
          <w:szCs w:val="18"/>
        </w:rPr>
        <w:t xml:space="preserve"> deberá</w:t>
      </w:r>
      <w:r w:rsidR="009844D7">
        <w:rPr>
          <w:rFonts w:ascii="Arial" w:eastAsia="ITC Avant Garde" w:hAnsi="Arial" w:cs="Arial"/>
          <w:sz w:val="18"/>
          <w:szCs w:val="18"/>
        </w:rPr>
        <w:t>n</w:t>
      </w:r>
      <w:r w:rsidR="006D5F89" w:rsidRPr="006D5F89">
        <w:rPr>
          <w:rFonts w:ascii="Arial" w:eastAsia="ITC Avant Garde" w:hAnsi="Arial" w:cs="Arial"/>
          <w:sz w:val="18"/>
          <w:szCs w:val="18"/>
        </w:rPr>
        <w:t xml:space="preserve"> asegurar su entrega a través de medios electrónicos dentro del tiempo establecido.</w:t>
      </w:r>
    </w:p>
    <w:p w14:paraId="07D257EA" w14:textId="77777777" w:rsidR="006D5F89" w:rsidRPr="006D5F89" w:rsidRDefault="006D5F89" w:rsidP="00302699">
      <w:pPr>
        <w:spacing w:after="0"/>
        <w:contextualSpacing/>
        <w:mirrorIndents/>
        <w:jc w:val="both"/>
        <w:rPr>
          <w:rFonts w:ascii="Arial" w:eastAsia="ITC Avant Garde" w:hAnsi="Arial" w:cs="Arial"/>
          <w:sz w:val="18"/>
          <w:szCs w:val="18"/>
          <w:highlight w:val="yellow"/>
          <w:lang w:val="es-MX"/>
        </w:rPr>
      </w:pPr>
    </w:p>
    <w:p w14:paraId="00AB7F22" w14:textId="6D51D035" w:rsidR="00995046" w:rsidRPr="00C57285" w:rsidRDefault="00995046" w:rsidP="00302699">
      <w:pPr>
        <w:spacing w:after="0"/>
        <w:jc w:val="both"/>
        <w:rPr>
          <w:rFonts w:ascii="Arial" w:eastAsia="ITC Avant Garde" w:hAnsi="Arial" w:cs="Arial"/>
          <w:sz w:val="18"/>
          <w:szCs w:val="18"/>
        </w:rPr>
      </w:pPr>
      <w:proofErr w:type="gramStart"/>
      <w:r w:rsidRPr="00C57285">
        <w:rPr>
          <w:rFonts w:ascii="Arial" w:eastAsia="ITC Avant Garde" w:hAnsi="Arial" w:cs="Arial"/>
          <w:b/>
          <w:bCs/>
          <w:sz w:val="18"/>
          <w:szCs w:val="18"/>
        </w:rPr>
        <w:t>Décimo.-</w:t>
      </w:r>
      <w:proofErr w:type="gramEnd"/>
      <w:r w:rsidRPr="00C57285">
        <w:rPr>
          <w:rFonts w:ascii="Arial" w:hAnsi="Arial" w:cs="Arial"/>
          <w:sz w:val="18"/>
          <w:szCs w:val="18"/>
        </w:rPr>
        <w:t xml:space="preserve"> </w:t>
      </w:r>
      <w:r w:rsidRPr="00C57285">
        <w:rPr>
          <w:rFonts w:ascii="Arial" w:eastAsia="ITC Avant Garde" w:hAnsi="Arial" w:cs="Arial"/>
          <w:sz w:val="18"/>
          <w:szCs w:val="18"/>
        </w:rPr>
        <w:t xml:space="preserve">Para solicitar el desbloqueo </w:t>
      </w:r>
      <w:r w:rsidR="00DE0CB4" w:rsidRPr="00C57285">
        <w:rPr>
          <w:rFonts w:ascii="Arial" w:eastAsia="ITC Avant Garde" w:hAnsi="Arial" w:cs="Arial"/>
          <w:sz w:val="18"/>
          <w:szCs w:val="18"/>
        </w:rPr>
        <w:t xml:space="preserve">o la entrega del Código de desbloqueo </w:t>
      </w:r>
      <w:r w:rsidRPr="00C57285">
        <w:rPr>
          <w:rFonts w:ascii="Arial" w:eastAsia="ITC Avant Garde" w:hAnsi="Arial" w:cs="Arial"/>
          <w:sz w:val="18"/>
          <w:szCs w:val="18"/>
        </w:rPr>
        <w:t xml:space="preserve">en los centros de atención a clientes únicamente será necesaria la presentación del Equipo Terminal Móvil. </w:t>
      </w:r>
    </w:p>
    <w:p w14:paraId="4E38FAAA" w14:textId="77777777" w:rsidR="00995046" w:rsidRPr="00C57285" w:rsidRDefault="00995046" w:rsidP="00302699">
      <w:pPr>
        <w:spacing w:after="0"/>
        <w:jc w:val="both"/>
        <w:rPr>
          <w:rFonts w:ascii="Arial" w:eastAsia="ITC Avant Garde" w:hAnsi="Arial" w:cs="Arial"/>
          <w:b/>
          <w:bCs/>
          <w:sz w:val="18"/>
          <w:szCs w:val="18"/>
        </w:rPr>
      </w:pPr>
    </w:p>
    <w:p w14:paraId="7AF53840" w14:textId="5EC5187F" w:rsidR="00995046" w:rsidRPr="00C57285" w:rsidRDefault="00995046" w:rsidP="00302699">
      <w:pPr>
        <w:spacing w:after="0"/>
        <w:contextualSpacing/>
        <w:mirrorIndents/>
        <w:jc w:val="both"/>
        <w:rPr>
          <w:rFonts w:ascii="Arial" w:hAnsi="Arial" w:cs="Arial"/>
          <w:b/>
          <w:bCs/>
          <w:sz w:val="18"/>
          <w:szCs w:val="18"/>
        </w:rPr>
      </w:pPr>
      <w:r w:rsidRPr="00C57285">
        <w:rPr>
          <w:rFonts w:ascii="Arial" w:eastAsia="ITC Avant Garde" w:hAnsi="Arial" w:cs="Arial"/>
          <w:sz w:val="18"/>
          <w:szCs w:val="18"/>
        </w:rPr>
        <w:t>Para solicitar el desbloqueo o el envío del Código de desbloqueo a través del número telefónico de atención a clientes o a través de medios electrónicos,</w:t>
      </w:r>
      <w:r w:rsidRPr="00C57285" w:rsidDel="002151C0">
        <w:rPr>
          <w:rFonts w:ascii="Arial" w:eastAsia="ITC Avant Garde" w:hAnsi="Arial" w:cs="Arial"/>
          <w:sz w:val="18"/>
          <w:szCs w:val="18"/>
        </w:rPr>
        <w:t xml:space="preserve"> </w:t>
      </w:r>
      <w:r w:rsidRPr="00C57285">
        <w:rPr>
          <w:rFonts w:ascii="Arial" w:eastAsia="ITC Avant Garde" w:hAnsi="Arial" w:cs="Arial"/>
          <w:sz w:val="18"/>
          <w:szCs w:val="18"/>
        </w:rPr>
        <w:t>únicamente será necesario proporcionar el IMEI del Equipo Terminal Móvil.</w:t>
      </w:r>
    </w:p>
    <w:p w14:paraId="2C7BFB84" w14:textId="3BC61D1B" w:rsidR="00995046" w:rsidRDefault="00995046" w:rsidP="00302699">
      <w:pPr>
        <w:spacing w:after="0"/>
        <w:contextualSpacing/>
        <w:mirrorIndents/>
        <w:jc w:val="both"/>
        <w:rPr>
          <w:rFonts w:ascii="Arial" w:eastAsia="ITC Avant Garde" w:hAnsi="Arial" w:cs="Arial"/>
          <w:sz w:val="18"/>
          <w:szCs w:val="18"/>
        </w:rPr>
      </w:pPr>
    </w:p>
    <w:p w14:paraId="2B530A49" w14:textId="3A4926C7" w:rsidR="009B50AB" w:rsidRPr="00C57285" w:rsidRDefault="009B50AB" w:rsidP="009B50AB">
      <w:pPr>
        <w:spacing w:after="0"/>
        <w:contextualSpacing/>
        <w:mirrorIndents/>
        <w:jc w:val="both"/>
        <w:rPr>
          <w:rFonts w:ascii="Arial" w:eastAsia="ITC Avant Garde" w:hAnsi="Arial" w:cs="Arial"/>
          <w:sz w:val="18"/>
          <w:szCs w:val="18"/>
        </w:rPr>
      </w:pPr>
      <w:r>
        <w:rPr>
          <w:rFonts w:ascii="Arial" w:eastAsia="ITC Avant Garde" w:hAnsi="Arial" w:cs="Arial"/>
          <w:sz w:val="18"/>
          <w:szCs w:val="18"/>
        </w:rPr>
        <w:t>Para cada solicitud, los Prestadores del Servicio Móvil deberán generar un</w:t>
      </w:r>
      <w:r w:rsidR="00557056">
        <w:rPr>
          <w:rFonts w:ascii="Arial" w:eastAsia="ITC Avant Garde" w:hAnsi="Arial" w:cs="Arial"/>
          <w:sz w:val="18"/>
          <w:szCs w:val="18"/>
        </w:rPr>
        <w:t xml:space="preserve"> comprobante</w:t>
      </w:r>
      <w:r w:rsidR="003066CD">
        <w:rPr>
          <w:rFonts w:ascii="Arial" w:eastAsia="ITC Avant Garde" w:hAnsi="Arial" w:cs="Arial"/>
          <w:sz w:val="18"/>
          <w:szCs w:val="18"/>
        </w:rPr>
        <w:t>,</w:t>
      </w:r>
      <w:r w:rsidR="00557056">
        <w:rPr>
          <w:rFonts w:ascii="Arial" w:eastAsia="ITC Avant Garde" w:hAnsi="Arial" w:cs="Arial"/>
          <w:sz w:val="18"/>
          <w:szCs w:val="18"/>
        </w:rPr>
        <w:t xml:space="preserve"> físico o electrónico</w:t>
      </w:r>
      <w:r w:rsidR="003066CD">
        <w:rPr>
          <w:rFonts w:ascii="Arial" w:eastAsia="ITC Avant Garde" w:hAnsi="Arial" w:cs="Arial"/>
          <w:sz w:val="18"/>
          <w:szCs w:val="18"/>
        </w:rPr>
        <w:t>,</w:t>
      </w:r>
      <w:r w:rsidR="00557056">
        <w:rPr>
          <w:rFonts w:ascii="Arial" w:eastAsia="ITC Avant Garde" w:hAnsi="Arial" w:cs="Arial"/>
          <w:sz w:val="18"/>
          <w:szCs w:val="18"/>
        </w:rPr>
        <w:t xml:space="preserve"> indicando fecha</w:t>
      </w:r>
      <w:r>
        <w:rPr>
          <w:rFonts w:ascii="Arial" w:eastAsia="ITC Avant Garde" w:hAnsi="Arial" w:cs="Arial"/>
          <w:sz w:val="18"/>
          <w:szCs w:val="18"/>
        </w:rPr>
        <w:t xml:space="preserve"> y hora </w:t>
      </w:r>
      <w:r w:rsidR="00557056">
        <w:rPr>
          <w:rFonts w:ascii="Arial" w:eastAsia="ITC Avant Garde" w:hAnsi="Arial" w:cs="Arial"/>
          <w:sz w:val="18"/>
          <w:szCs w:val="18"/>
        </w:rPr>
        <w:t>de la solicitud de desbloqueo.</w:t>
      </w:r>
    </w:p>
    <w:p w14:paraId="3A575938" w14:textId="77777777" w:rsidR="009B50AB" w:rsidRPr="00C57285" w:rsidRDefault="009B50AB" w:rsidP="00302699">
      <w:pPr>
        <w:spacing w:after="0"/>
        <w:contextualSpacing/>
        <w:mirrorIndents/>
        <w:jc w:val="both"/>
        <w:rPr>
          <w:rFonts w:ascii="Arial" w:eastAsia="ITC Avant Garde" w:hAnsi="Arial" w:cs="Arial"/>
          <w:sz w:val="18"/>
          <w:szCs w:val="18"/>
        </w:rPr>
      </w:pPr>
    </w:p>
    <w:p w14:paraId="2B6CD1FE" w14:textId="76AD7D8F" w:rsidR="00995046" w:rsidRPr="00C57285" w:rsidRDefault="00995046" w:rsidP="00302699">
      <w:pPr>
        <w:spacing w:after="0"/>
        <w:contextualSpacing/>
        <w:mirrorIndents/>
        <w:jc w:val="both"/>
        <w:rPr>
          <w:rFonts w:ascii="Arial" w:eastAsia="ITC Avant Garde" w:hAnsi="Arial" w:cs="Arial"/>
          <w:sz w:val="18"/>
          <w:szCs w:val="18"/>
        </w:rPr>
      </w:pPr>
      <w:r w:rsidRPr="00C57285">
        <w:rPr>
          <w:rFonts w:ascii="Arial" w:hAnsi="Arial" w:cs="Arial"/>
          <w:b/>
          <w:sz w:val="18"/>
          <w:szCs w:val="18"/>
        </w:rPr>
        <w:t xml:space="preserve">Décimo </w:t>
      </w:r>
      <w:r w:rsidR="007D4CAE">
        <w:rPr>
          <w:rFonts w:ascii="Arial" w:hAnsi="Arial" w:cs="Arial"/>
          <w:b/>
          <w:sz w:val="18"/>
          <w:szCs w:val="18"/>
        </w:rPr>
        <w:t>Primero</w:t>
      </w:r>
      <w:r w:rsidRPr="00C57285">
        <w:rPr>
          <w:rFonts w:ascii="Arial" w:hAnsi="Arial" w:cs="Arial"/>
          <w:b/>
          <w:sz w:val="18"/>
          <w:szCs w:val="18"/>
        </w:rPr>
        <w:t>.-</w:t>
      </w:r>
      <w:r w:rsidRPr="00C57285">
        <w:rPr>
          <w:rFonts w:ascii="Arial" w:eastAsia="ITC Avant Garde" w:hAnsi="Arial" w:cs="Arial"/>
          <w:sz w:val="18"/>
          <w:szCs w:val="18"/>
        </w:rPr>
        <w:t xml:space="preserve"> Los </w:t>
      </w:r>
      <w:r w:rsidRPr="00C57285">
        <w:rPr>
          <w:rFonts w:ascii="Arial" w:hAnsi="Arial" w:cs="Arial"/>
          <w:bCs/>
          <w:sz w:val="18"/>
          <w:szCs w:val="18"/>
        </w:rPr>
        <w:t xml:space="preserve">Prestadores del Servicio Móvil </w:t>
      </w:r>
      <w:r w:rsidRPr="00C57285">
        <w:rPr>
          <w:rFonts w:ascii="Arial" w:eastAsia="ITC Avant Garde" w:hAnsi="Arial" w:cs="Arial"/>
          <w:sz w:val="18"/>
          <w:szCs w:val="18"/>
        </w:rPr>
        <w:t>no podrán establecer condiciones contractuales o prácticas comerciales que limiten directa o indirectamente el derecho al desbloqueo del Equipo Terminal Móvil o establecer barreras de cualquier naturaleza que impidan la conexión del equipo terminal del usuario con otros concesionarios que operen redes de telecomunicaciones en términos de lo dispuesto en los artículos 191 fracciones XI y XII y 298 inciso C) fracción IV de la Ley Federal de Telecomunicaciones y Radiodifusión.</w:t>
      </w:r>
    </w:p>
    <w:p w14:paraId="08C0CB5A" w14:textId="77777777" w:rsidR="00995046" w:rsidRPr="00C57285" w:rsidRDefault="00995046" w:rsidP="00302699">
      <w:pPr>
        <w:spacing w:after="0"/>
        <w:contextualSpacing/>
        <w:mirrorIndents/>
        <w:jc w:val="both"/>
        <w:rPr>
          <w:rFonts w:ascii="Arial" w:eastAsia="ITC Avant Garde" w:hAnsi="Arial" w:cs="Arial"/>
          <w:sz w:val="18"/>
          <w:szCs w:val="18"/>
        </w:rPr>
      </w:pPr>
    </w:p>
    <w:p w14:paraId="6745F982" w14:textId="78B6BDF9" w:rsidR="00995046" w:rsidRPr="00C57285" w:rsidRDefault="00995046" w:rsidP="00302699">
      <w:pPr>
        <w:spacing w:after="0"/>
        <w:contextualSpacing/>
        <w:mirrorIndents/>
        <w:jc w:val="both"/>
        <w:rPr>
          <w:rFonts w:ascii="Arial" w:eastAsia="ITC Avant Garde" w:hAnsi="Arial" w:cs="Arial"/>
          <w:sz w:val="18"/>
          <w:szCs w:val="18"/>
        </w:rPr>
      </w:pPr>
      <w:r w:rsidRPr="00C57285">
        <w:rPr>
          <w:rFonts w:ascii="Arial" w:eastAsia="ITC Avant Garde" w:hAnsi="Arial" w:cs="Arial"/>
          <w:b/>
          <w:bCs/>
          <w:sz w:val="18"/>
          <w:szCs w:val="18"/>
        </w:rPr>
        <w:t xml:space="preserve">Décimo </w:t>
      </w:r>
      <w:proofErr w:type="gramStart"/>
      <w:r w:rsidR="007D4CAE">
        <w:rPr>
          <w:rFonts w:ascii="Arial" w:eastAsia="ITC Avant Garde" w:hAnsi="Arial" w:cs="Arial"/>
          <w:b/>
          <w:bCs/>
          <w:sz w:val="18"/>
          <w:szCs w:val="18"/>
        </w:rPr>
        <w:t>Segundo</w:t>
      </w:r>
      <w:r w:rsidRPr="00C57285">
        <w:rPr>
          <w:rFonts w:ascii="Arial" w:eastAsia="ITC Avant Garde" w:hAnsi="Arial" w:cs="Arial"/>
          <w:b/>
          <w:bCs/>
          <w:sz w:val="18"/>
          <w:szCs w:val="18"/>
        </w:rPr>
        <w:t>.-</w:t>
      </w:r>
      <w:proofErr w:type="gramEnd"/>
      <w:r w:rsidRPr="00C57285">
        <w:rPr>
          <w:rFonts w:ascii="Arial" w:eastAsia="ITC Avant Garde" w:hAnsi="Arial" w:cs="Arial"/>
          <w:b/>
          <w:bCs/>
          <w:sz w:val="18"/>
          <w:szCs w:val="18"/>
        </w:rPr>
        <w:t xml:space="preserve"> </w:t>
      </w:r>
      <w:r w:rsidRPr="00C57285">
        <w:rPr>
          <w:rFonts w:ascii="Arial" w:eastAsia="ITC Avant Garde" w:hAnsi="Arial" w:cs="Arial"/>
          <w:sz w:val="18"/>
          <w:szCs w:val="18"/>
        </w:rPr>
        <w:t>El AEPT estará sujeto a lo establecido en los presentes Lineamientos en lo que no se contraponga con las medidas</w:t>
      </w:r>
      <w:r w:rsidRPr="00C57285">
        <w:rPr>
          <w:rFonts w:ascii="Arial" w:hAnsi="Arial" w:cs="Arial"/>
          <w:sz w:val="18"/>
          <w:szCs w:val="18"/>
        </w:rPr>
        <w:t xml:space="preserve"> </w:t>
      </w:r>
      <w:r w:rsidRPr="00C57285">
        <w:rPr>
          <w:rFonts w:ascii="Arial" w:eastAsia="ITC Avant Garde" w:hAnsi="Arial" w:cs="Arial"/>
          <w:sz w:val="18"/>
          <w:szCs w:val="18"/>
        </w:rPr>
        <w:t>que al efecto el Instituto le ha impuesto a través del régimen de preponderancia.</w:t>
      </w:r>
    </w:p>
    <w:p w14:paraId="0281EAD0" w14:textId="77777777" w:rsidR="00995046" w:rsidRPr="00C57285" w:rsidRDefault="00995046" w:rsidP="00302699">
      <w:pPr>
        <w:spacing w:after="0"/>
        <w:contextualSpacing/>
        <w:mirrorIndents/>
        <w:jc w:val="both"/>
        <w:rPr>
          <w:rFonts w:ascii="Arial" w:hAnsi="Arial" w:cs="Arial"/>
          <w:b/>
          <w:bCs/>
          <w:sz w:val="18"/>
          <w:szCs w:val="18"/>
        </w:rPr>
      </w:pPr>
    </w:p>
    <w:p w14:paraId="4D19E755" w14:textId="26EC2A2E" w:rsidR="00995046" w:rsidRPr="00C57285" w:rsidRDefault="00995046" w:rsidP="00302699">
      <w:pPr>
        <w:spacing w:after="0"/>
        <w:contextualSpacing/>
        <w:mirrorIndents/>
        <w:jc w:val="both"/>
        <w:rPr>
          <w:rFonts w:ascii="Arial" w:hAnsi="Arial" w:cs="Arial"/>
          <w:sz w:val="18"/>
          <w:szCs w:val="18"/>
        </w:rPr>
      </w:pPr>
      <w:r w:rsidRPr="00C57285">
        <w:rPr>
          <w:rFonts w:ascii="Arial" w:hAnsi="Arial" w:cs="Arial"/>
          <w:b/>
          <w:bCs/>
          <w:sz w:val="18"/>
          <w:szCs w:val="18"/>
        </w:rPr>
        <w:t xml:space="preserve">Décimo </w:t>
      </w:r>
      <w:proofErr w:type="gramStart"/>
      <w:r w:rsidR="007D4CAE">
        <w:rPr>
          <w:rFonts w:ascii="Arial" w:hAnsi="Arial" w:cs="Arial"/>
          <w:b/>
          <w:bCs/>
          <w:sz w:val="18"/>
          <w:szCs w:val="18"/>
        </w:rPr>
        <w:t>Tercero</w:t>
      </w:r>
      <w:r w:rsidRPr="00C57285">
        <w:rPr>
          <w:rFonts w:ascii="Arial" w:hAnsi="Arial" w:cs="Arial"/>
          <w:b/>
          <w:bCs/>
          <w:sz w:val="18"/>
          <w:szCs w:val="18"/>
        </w:rPr>
        <w:t>.-</w:t>
      </w:r>
      <w:proofErr w:type="gramEnd"/>
      <w:r w:rsidRPr="00C57285">
        <w:rPr>
          <w:rFonts w:ascii="Arial" w:hAnsi="Arial" w:cs="Arial"/>
          <w:b/>
          <w:bCs/>
          <w:sz w:val="18"/>
          <w:szCs w:val="18"/>
        </w:rPr>
        <w:t xml:space="preserve"> </w:t>
      </w:r>
      <w:r w:rsidRPr="00C57285">
        <w:rPr>
          <w:rFonts w:ascii="Arial" w:hAnsi="Arial" w:cs="Arial"/>
          <w:bCs/>
          <w:sz w:val="18"/>
          <w:szCs w:val="18"/>
        </w:rPr>
        <w:t xml:space="preserve">Los Prestadores del Servicio Móvil </w:t>
      </w:r>
      <w:r w:rsidRPr="00C57285">
        <w:rPr>
          <w:rFonts w:ascii="Arial" w:hAnsi="Arial" w:cs="Arial"/>
          <w:sz w:val="18"/>
          <w:szCs w:val="18"/>
        </w:rPr>
        <w:t xml:space="preserve">no deberán desbloquear o entregar el Código de desbloqueo de los Equipos Terminales Móviles </w:t>
      </w:r>
      <w:r w:rsidR="00503054">
        <w:rPr>
          <w:rFonts w:ascii="Arial" w:hAnsi="Arial" w:cs="Arial"/>
          <w:sz w:val="18"/>
          <w:szCs w:val="18"/>
        </w:rPr>
        <w:t xml:space="preserve">cuyo IMEI haya sido </w:t>
      </w:r>
      <w:r w:rsidRPr="00C57285">
        <w:rPr>
          <w:rFonts w:ascii="Arial" w:hAnsi="Arial" w:cs="Arial"/>
          <w:sz w:val="18"/>
          <w:szCs w:val="18"/>
        </w:rPr>
        <w:t>reportado como robado</w:t>
      </w:r>
      <w:r w:rsidR="002215FC">
        <w:rPr>
          <w:rFonts w:ascii="Arial" w:hAnsi="Arial" w:cs="Arial"/>
          <w:sz w:val="18"/>
          <w:szCs w:val="18"/>
        </w:rPr>
        <w:t>,</w:t>
      </w:r>
      <w:r w:rsidRPr="00C57285">
        <w:rPr>
          <w:rFonts w:ascii="Arial" w:hAnsi="Arial" w:cs="Arial"/>
          <w:sz w:val="18"/>
          <w:szCs w:val="18"/>
        </w:rPr>
        <w:t xml:space="preserve"> extraviado</w:t>
      </w:r>
      <w:r w:rsidR="002215FC">
        <w:rPr>
          <w:rFonts w:ascii="Arial" w:hAnsi="Arial" w:cs="Arial"/>
          <w:sz w:val="18"/>
          <w:szCs w:val="18"/>
        </w:rPr>
        <w:t xml:space="preserve"> o duplicado</w:t>
      </w:r>
      <w:r w:rsidRPr="00C57285">
        <w:rPr>
          <w:rFonts w:ascii="Arial" w:hAnsi="Arial" w:cs="Arial"/>
          <w:sz w:val="18"/>
          <w:szCs w:val="18"/>
        </w:rPr>
        <w:t>.</w:t>
      </w:r>
    </w:p>
    <w:p w14:paraId="75CC8371" w14:textId="77777777" w:rsidR="00995046" w:rsidRPr="00C57285" w:rsidRDefault="00995046" w:rsidP="00302699">
      <w:pPr>
        <w:spacing w:after="0"/>
        <w:contextualSpacing/>
        <w:mirrorIndents/>
        <w:jc w:val="both"/>
        <w:rPr>
          <w:rFonts w:ascii="Arial" w:hAnsi="Arial" w:cs="Arial"/>
          <w:b/>
          <w:sz w:val="18"/>
          <w:szCs w:val="18"/>
        </w:rPr>
      </w:pPr>
    </w:p>
    <w:p w14:paraId="41DB758B" w14:textId="25C8BA50" w:rsidR="00995046" w:rsidRPr="00C57285" w:rsidRDefault="00995046" w:rsidP="00302699">
      <w:pPr>
        <w:spacing w:after="0"/>
        <w:contextualSpacing/>
        <w:mirrorIndents/>
        <w:jc w:val="both"/>
        <w:rPr>
          <w:rFonts w:ascii="Arial" w:hAnsi="Arial" w:cs="Arial"/>
          <w:b/>
          <w:sz w:val="18"/>
          <w:szCs w:val="18"/>
        </w:rPr>
      </w:pPr>
      <w:r w:rsidRPr="00C57285">
        <w:rPr>
          <w:rFonts w:ascii="Arial" w:hAnsi="Arial" w:cs="Arial"/>
          <w:b/>
          <w:sz w:val="18"/>
          <w:szCs w:val="18"/>
        </w:rPr>
        <w:t xml:space="preserve">Décimo </w:t>
      </w:r>
      <w:proofErr w:type="gramStart"/>
      <w:r w:rsidR="007D4CAE">
        <w:rPr>
          <w:rFonts w:ascii="Arial" w:hAnsi="Arial" w:cs="Arial"/>
          <w:b/>
          <w:sz w:val="18"/>
          <w:szCs w:val="18"/>
        </w:rPr>
        <w:t>Cuarto</w:t>
      </w:r>
      <w:r w:rsidRPr="00C57285">
        <w:rPr>
          <w:rFonts w:ascii="Arial" w:hAnsi="Arial" w:cs="Arial"/>
          <w:b/>
          <w:sz w:val="18"/>
          <w:szCs w:val="18"/>
        </w:rPr>
        <w:t>.-</w:t>
      </w:r>
      <w:proofErr w:type="gramEnd"/>
      <w:r w:rsidRPr="00C57285">
        <w:rPr>
          <w:rFonts w:ascii="Arial" w:hAnsi="Arial" w:cs="Arial"/>
          <w:b/>
          <w:sz w:val="18"/>
          <w:szCs w:val="18"/>
        </w:rPr>
        <w:t xml:space="preserve"> </w:t>
      </w:r>
      <w:r w:rsidRPr="00C57285">
        <w:rPr>
          <w:rFonts w:ascii="Arial" w:hAnsi="Arial" w:cs="Arial"/>
          <w:bCs/>
          <w:sz w:val="18"/>
          <w:szCs w:val="18"/>
        </w:rPr>
        <w:t>Los Prestadores del Servicio Móvil deberán brindar atención oportuna, eficiente y respetuosa a los usuarios con discapacidad que requieran efectuar el desbloqueo de los Equipos Terminales Móviles, de conformidad con los Lineamientos Generales de Accesibilidad a Servicios de Telecomunicaciones para los Usuarios con Discapacidad, publicados en el D</w:t>
      </w:r>
      <w:r w:rsidR="007869E4">
        <w:rPr>
          <w:rFonts w:ascii="Arial" w:hAnsi="Arial" w:cs="Arial"/>
          <w:bCs/>
          <w:sz w:val="18"/>
          <w:szCs w:val="18"/>
        </w:rPr>
        <w:t xml:space="preserve">iario </w:t>
      </w:r>
      <w:r w:rsidRPr="00C57285">
        <w:rPr>
          <w:rFonts w:ascii="Arial" w:hAnsi="Arial" w:cs="Arial"/>
          <w:bCs/>
          <w:sz w:val="18"/>
          <w:szCs w:val="18"/>
        </w:rPr>
        <w:t>O</w:t>
      </w:r>
      <w:r w:rsidR="007869E4">
        <w:rPr>
          <w:rFonts w:ascii="Arial" w:hAnsi="Arial" w:cs="Arial"/>
          <w:bCs/>
          <w:sz w:val="18"/>
          <w:szCs w:val="18"/>
        </w:rPr>
        <w:t xml:space="preserve">ficial de la </w:t>
      </w:r>
      <w:r w:rsidRPr="00C57285">
        <w:rPr>
          <w:rFonts w:ascii="Arial" w:hAnsi="Arial" w:cs="Arial"/>
          <w:bCs/>
          <w:sz w:val="18"/>
          <w:szCs w:val="18"/>
        </w:rPr>
        <w:t>F</w:t>
      </w:r>
      <w:r w:rsidR="007869E4">
        <w:rPr>
          <w:rFonts w:ascii="Arial" w:hAnsi="Arial" w:cs="Arial"/>
          <w:bCs/>
          <w:sz w:val="18"/>
          <w:szCs w:val="18"/>
        </w:rPr>
        <w:t>ederación</w:t>
      </w:r>
      <w:r w:rsidRPr="00C57285">
        <w:rPr>
          <w:rFonts w:ascii="Arial" w:hAnsi="Arial" w:cs="Arial"/>
          <w:bCs/>
          <w:sz w:val="18"/>
          <w:szCs w:val="18"/>
        </w:rPr>
        <w:t xml:space="preserve"> el 23 de diciembre de 2016.</w:t>
      </w:r>
    </w:p>
    <w:p w14:paraId="7D77B54A" w14:textId="77777777" w:rsidR="00995046" w:rsidRPr="00C57285" w:rsidRDefault="00995046" w:rsidP="00302699">
      <w:pPr>
        <w:tabs>
          <w:tab w:val="left" w:pos="7317"/>
        </w:tabs>
        <w:spacing w:after="0"/>
        <w:contextualSpacing/>
        <w:mirrorIndents/>
        <w:rPr>
          <w:rFonts w:ascii="Arial" w:hAnsi="Arial" w:cs="Arial"/>
          <w:b/>
          <w:bCs/>
          <w:sz w:val="18"/>
          <w:szCs w:val="18"/>
        </w:rPr>
      </w:pPr>
      <w:r w:rsidRPr="00C57285">
        <w:rPr>
          <w:rFonts w:ascii="Arial" w:hAnsi="Arial" w:cs="Arial"/>
          <w:b/>
          <w:bCs/>
          <w:sz w:val="18"/>
          <w:szCs w:val="18"/>
        </w:rPr>
        <w:tab/>
      </w:r>
    </w:p>
    <w:p w14:paraId="7472C5A6" w14:textId="77777777" w:rsidR="00995046" w:rsidRDefault="00995046" w:rsidP="00302699">
      <w:pPr>
        <w:spacing w:after="0"/>
        <w:contextualSpacing/>
        <w:mirrorIndents/>
        <w:jc w:val="center"/>
        <w:rPr>
          <w:rFonts w:ascii="Arial" w:hAnsi="Arial" w:cs="Arial"/>
          <w:b/>
          <w:bCs/>
          <w:color w:val="000000"/>
          <w:sz w:val="18"/>
          <w:szCs w:val="18"/>
          <w:lang w:eastAsia="es-MX"/>
        </w:rPr>
      </w:pPr>
      <w:r w:rsidRPr="00C57285">
        <w:rPr>
          <w:rFonts w:ascii="Arial" w:hAnsi="Arial" w:cs="Arial"/>
          <w:b/>
          <w:bCs/>
          <w:color w:val="000000"/>
          <w:sz w:val="18"/>
          <w:szCs w:val="18"/>
          <w:lang w:eastAsia="es-MX"/>
        </w:rPr>
        <w:t>Capítulo III</w:t>
      </w:r>
    </w:p>
    <w:p w14:paraId="47E20F4B" w14:textId="77777777" w:rsidR="0022244B" w:rsidRPr="00C57285" w:rsidRDefault="0022244B" w:rsidP="00302699">
      <w:pPr>
        <w:spacing w:after="0"/>
        <w:contextualSpacing/>
        <w:mirrorIndents/>
        <w:jc w:val="center"/>
        <w:rPr>
          <w:rFonts w:ascii="Arial" w:hAnsi="Arial" w:cs="Arial"/>
          <w:b/>
          <w:bCs/>
          <w:color w:val="000000"/>
          <w:sz w:val="18"/>
          <w:szCs w:val="18"/>
          <w:lang w:eastAsia="es-MX"/>
        </w:rPr>
      </w:pPr>
    </w:p>
    <w:p w14:paraId="7215758D" w14:textId="77777777" w:rsidR="00995046" w:rsidRPr="00C57285" w:rsidRDefault="00995046" w:rsidP="00302699">
      <w:pPr>
        <w:spacing w:after="0"/>
        <w:contextualSpacing/>
        <w:mirrorIndents/>
        <w:jc w:val="center"/>
        <w:rPr>
          <w:rFonts w:ascii="Arial" w:hAnsi="Arial" w:cs="Arial"/>
          <w:b/>
          <w:bCs/>
          <w:color w:val="000000"/>
          <w:sz w:val="18"/>
          <w:szCs w:val="18"/>
          <w:lang w:eastAsia="es-MX"/>
        </w:rPr>
      </w:pPr>
      <w:r w:rsidRPr="00C57285">
        <w:rPr>
          <w:rFonts w:ascii="Arial" w:hAnsi="Arial" w:cs="Arial"/>
          <w:b/>
          <w:bCs/>
          <w:color w:val="000000"/>
          <w:sz w:val="18"/>
          <w:szCs w:val="18"/>
          <w:lang w:eastAsia="es-MX"/>
        </w:rPr>
        <w:t>Del Cumplimiento</w:t>
      </w:r>
    </w:p>
    <w:p w14:paraId="3C4B92FE" w14:textId="77777777" w:rsidR="00995046" w:rsidRPr="00C57285" w:rsidRDefault="00995046" w:rsidP="00302699">
      <w:pPr>
        <w:spacing w:after="0"/>
        <w:contextualSpacing/>
        <w:mirrorIndents/>
        <w:jc w:val="center"/>
        <w:rPr>
          <w:rFonts w:ascii="Arial" w:hAnsi="Arial" w:cs="Arial"/>
          <w:b/>
          <w:bCs/>
          <w:sz w:val="18"/>
          <w:szCs w:val="18"/>
        </w:rPr>
      </w:pPr>
    </w:p>
    <w:p w14:paraId="3A52DBFC" w14:textId="5BA465A6" w:rsidR="00995046" w:rsidRPr="00C57285" w:rsidRDefault="00995046" w:rsidP="00302699">
      <w:pPr>
        <w:spacing w:after="0"/>
        <w:contextualSpacing/>
        <w:mirrorIndents/>
        <w:jc w:val="both"/>
        <w:rPr>
          <w:rFonts w:ascii="Arial" w:eastAsia="ITC Avant Garde" w:hAnsi="Arial" w:cs="Arial"/>
          <w:sz w:val="18"/>
          <w:szCs w:val="18"/>
        </w:rPr>
      </w:pPr>
      <w:r w:rsidRPr="00C57285">
        <w:rPr>
          <w:rFonts w:ascii="Arial" w:eastAsia="ITC Avant Garde" w:hAnsi="Arial" w:cs="Arial"/>
          <w:b/>
          <w:bCs/>
          <w:sz w:val="18"/>
          <w:szCs w:val="18"/>
        </w:rPr>
        <w:t xml:space="preserve">Décimo </w:t>
      </w:r>
      <w:proofErr w:type="gramStart"/>
      <w:r w:rsidR="007D4CAE">
        <w:rPr>
          <w:rFonts w:ascii="Arial" w:eastAsia="ITC Avant Garde" w:hAnsi="Arial" w:cs="Arial"/>
          <w:b/>
          <w:bCs/>
          <w:sz w:val="18"/>
          <w:szCs w:val="18"/>
        </w:rPr>
        <w:t>Quinto</w:t>
      </w:r>
      <w:r w:rsidRPr="00C57285">
        <w:rPr>
          <w:rFonts w:ascii="Arial" w:eastAsia="ITC Avant Garde" w:hAnsi="Arial" w:cs="Arial"/>
          <w:b/>
          <w:bCs/>
          <w:sz w:val="18"/>
          <w:szCs w:val="18"/>
        </w:rPr>
        <w:t>.-</w:t>
      </w:r>
      <w:proofErr w:type="gramEnd"/>
      <w:r w:rsidRPr="00C57285">
        <w:rPr>
          <w:rFonts w:ascii="Arial" w:eastAsia="ITC Avant Garde" w:hAnsi="Arial" w:cs="Arial"/>
          <w:sz w:val="18"/>
          <w:szCs w:val="18"/>
        </w:rPr>
        <w:t xml:space="preserve"> Los Prestadores del Servicio Móvil deberán entregar </w:t>
      </w:r>
      <w:r w:rsidR="00F71478">
        <w:rPr>
          <w:rFonts w:ascii="Arial" w:eastAsia="ITC Avant Garde" w:hAnsi="Arial" w:cs="Arial"/>
          <w:sz w:val="18"/>
          <w:szCs w:val="18"/>
        </w:rPr>
        <w:t>a</w:t>
      </w:r>
      <w:r w:rsidR="005978E5">
        <w:rPr>
          <w:rFonts w:ascii="Arial" w:eastAsia="ITC Avant Garde" w:hAnsi="Arial" w:cs="Arial"/>
          <w:sz w:val="18"/>
          <w:szCs w:val="18"/>
        </w:rPr>
        <w:t xml:space="preserve"> través de la Ventanilla Electrónica </w:t>
      </w:r>
      <w:r w:rsidR="00F71478">
        <w:rPr>
          <w:rFonts w:ascii="Arial" w:eastAsia="ITC Avant Garde" w:hAnsi="Arial" w:cs="Arial"/>
          <w:sz w:val="18"/>
          <w:szCs w:val="18"/>
        </w:rPr>
        <w:t>del</w:t>
      </w:r>
      <w:r w:rsidR="00A10660">
        <w:rPr>
          <w:rFonts w:ascii="Arial" w:eastAsia="ITC Avant Garde" w:hAnsi="Arial" w:cs="Arial"/>
          <w:sz w:val="18"/>
          <w:szCs w:val="18"/>
        </w:rPr>
        <w:t xml:space="preserve"> </w:t>
      </w:r>
      <w:r w:rsidR="00A6235C" w:rsidRPr="006349BB">
        <w:rPr>
          <w:rFonts w:ascii="Arial" w:eastAsia="ITC Avant Garde" w:hAnsi="Arial" w:cs="Arial"/>
          <w:sz w:val="18"/>
          <w:szCs w:val="18"/>
        </w:rPr>
        <w:t>Instituto</w:t>
      </w:r>
      <w:r w:rsidRPr="00C57285">
        <w:rPr>
          <w:rFonts w:ascii="Arial" w:eastAsia="ITC Avant Garde" w:hAnsi="Arial" w:cs="Arial"/>
          <w:sz w:val="18"/>
          <w:szCs w:val="18"/>
        </w:rPr>
        <w:t xml:space="preserve">, dentro de los primeros </w:t>
      </w:r>
      <w:r w:rsidR="00A46803">
        <w:rPr>
          <w:rFonts w:ascii="Arial" w:eastAsia="ITC Avant Garde" w:hAnsi="Arial" w:cs="Arial"/>
          <w:sz w:val="18"/>
          <w:szCs w:val="18"/>
        </w:rPr>
        <w:t>20</w:t>
      </w:r>
      <w:r w:rsidR="00A46803" w:rsidRPr="00C57285">
        <w:rPr>
          <w:rFonts w:ascii="Arial" w:eastAsia="ITC Avant Garde" w:hAnsi="Arial" w:cs="Arial"/>
          <w:sz w:val="18"/>
          <w:szCs w:val="18"/>
        </w:rPr>
        <w:t xml:space="preserve"> </w:t>
      </w:r>
      <w:r w:rsidRPr="00C57285">
        <w:rPr>
          <w:rFonts w:ascii="Arial" w:eastAsia="ITC Avant Garde" w:hAnsi="Arial" w:cs="Arial"/>
          <w:sz w:val="18"/>
          <w:szCs w:val="18"/>
        </w:rPr>
        <w:t>(</w:t>
      </w:r>
      <w:r w:rsidR="00A46803">
        <w:rPr>
          <w:rFonts w:ascii="Arial" w:eastAsia="ITC Avant Garde" w:hAnsi="Arial" w:cs="Arial"/>
          <w:sz w:val="18"/>
          <w:szCs w:val="18"/>
        </w:rPr>
        <w:t>veinte</w:t>
      </w:r>
      <w:r w:rsidRPr="00C57285">
        <w:rPr>
          <w:rFonts w:ascii="Arial" w:eastAsia="ITC Avant Garde" w:hAnsi="Arial" w:cs="Arial"/>
          <w:sz w:val="18"/>
          <w:szCs w:val="18"/>
        </w:rPr>
        <w:t xml:space="preserve">) días hábiles de cada trimestre calendario, un reporte de la información </w:t>
      </w:r>
      <w:r w:rsidR="006349BB" w:rsidRPr="006349BB">
        <w:rPr>
          <w:rFonts w:ascii="Arial" w:eastAsia="ITC Avant Garde" w:hAnsi="Arial" w:cs="Arial"/>
          <w:sz w:val="18"/>
          <w:szCs w:val="18"/>
        </w:rPr>
        <w:t>generada en el trimestre inmediato anterior</w:t>
      </w:r>
      <w:r w:rsidR="006349BB" w:rsidRPr="00C57285">
        <w:rPr>
          <w:rFonts w:ascii="Arial" w:eastAsia="ITC Avant Garde" w:hAnsi="Arial" w:cs="Arial"/>
          <w:sz w:val="18"/>
          <w:szCs w:val="18"/>
        </w:rPr>
        <w:t xml:space="preserve"> </w:t>
      </w:r>
      <w:r w:rsidRPr="00C57285">
        <w:rPr>
          <w:rFonts w:ascii="Arial" w:eastAsia="ITC Avant Garde" w:hAnsi="Arial" w:cs="Arial"/>
          <w:sz w:val="18"/>
          <w:szCs w:val="18"/>
        </w:rPr>
        <w:t xml:space="preserve">a la que se refiere el Lineamiento </w:t>
      </w:r>
      <w:r w:rsidRPr="007A631E">
        <w:rPr>
          <w:rFonts w:ascii="Arial" w:eastAsia="ITC Avant Garde" w:hAnsi="Arial" w:cs="Arial"/>
          <w:sz w:val="18"/>
          <w:szCs w:val="18"/>
        </w:rPr>
        <w:t xml:space="preserve">Décimo </w:t>
      </w:r>
      <w:r w:rsidR="00B24316">
        <w:rPr>
          <w:rFonts w:ascii="Arial" w:eastAsia="ITC Avant Garde" w:hAnsi="Arial" w:cs="Arial"/>
          <w:sz w:val="18"/>
          <w:szCs w:val="18"/>
        </w:rPr>
        <w:t>Sexto</w:t>
      </w:r>
      <w:r w:rsidR="00B24316" w:rsidRPr="00C57285">
        <w:rPr>
          <w:rFonts w:ascii="Arial" w:eastAsia="ITC Avant Garde" w:hAnsi="Arial" w:cs="Arial"/>
          <w:sz w:val="18"/>
          <w:szCs w:val="18"/>
        </w:rPr>
        <w:t xml:space="preserve"> </w:t>
      </w:r>
      <w:r w:rsidRPr="00C57285">
        <w:rPr>
          <w:rFonts w:ascii="Arial" w:eastAsia="ITC Avant Garde" w:hAnsi="Arial" w:cs="Arial"/>
          <w:sz w:val="18"/>
          <w:szCs w:val="18"/>
        </w:rPr>
        <w:t>de conformidad con lo establecido en el Anexo I</w:t>
      </w:r>
      <w:r w:rsidR="00216F33">
        <w:rPr>
          <w:rFonts w:ascii="Arial" w:eastAsia="ITC Avant Garde" w:hAnsi="Arial" w:cs="Arial"/>
          <w:sz w:val="18"/>
          <w:szCs w:val="18"/>
        </w:rPr>
        <w:t>I</w:t>
      </w:r>
      <w:r w:rsidRPr="00C57285">
        <w:rPr>
          <w:rFonts w:ascii="Arial" w:eastAsia="ITC Avant Garde" w:hAnsi="Arial" w:cs="Arial"/>
          <w:sz w:val="18"/>
          <w:szCs w:val="18"/>
        </w:rPr>
        <w:t xml:space="preserve"> de los presentes Lineamientos. </w:t>
      </w:r>
    </w:p>
    <w:p w14:paraId="17CE37DA" w14:textId="109D7612" w:rsidR="00995046" w:rsidRPr="00C57285" w:rsidRDefault="00995046" w:rsidP="00302699">
      <w:pPr>
        <w:spacing w:after="0"/>
        <w:contextualSpacing/>
        <w:mirrorIndents/>
        <w:jc w:val="both"/>
        <w:rPr>
          <w:rFonts w:ascii="Arial" w:eastAsia="ITC Avant Garde" w:hAnsi="Arial" w:cs="Arial"/>
          <w:sz w:val="18"/>
          <w:szCs w:val="18"/>
        </w:rPr>
      </w:pPr>
    </w:p>
    <w:p w14:paraId="3CEDA39A" w14:textId="1BEB108A" w:rsidR="004B711B" w:rsidRPr="00C57285" w:rsidRDefault="00995046" w:rsidP="009A28FE">
      <w:pPr>
        <w:pStyle w:val="NormalWeb"/>
        <w:spacing w:before="0" w:beforeAutospacing="0" w:after="0" w:afterAutospacing="0" w:line="276" w:lineRule="auto"/>
        <w:jc w:val="both"/>
        <w:rPr>
          <w:rFonts w:ascii="Arial" w:hAnsi="Arial" w:cs="Arial"/>
          <w:bCs/>
          <w:sz w:val="18"/>
          <w:szCs w:val="18"/>
        </w:rPr>
      </w:pPr>
      <w:r w:rsidRPr="00C57285">
        <w:rPr>
          <w:rFonts w:ascii="Arial" w:hAnsi="Arial" w:cs="Arial"/>
          <w:b/>
          <w:bCs/>
          <w:sz w:val="18"/>
          <w:szCs w:val="18"/>
        </w:rPr>
        <w:t xml:space="preserve">Décimo </w:t>
      </w:r>
      <w:proofErr w:type="gramStart"/>
      <w:r w:rsidR="007D4CAE">
        <w:rPr>
          <w:rFonts w:ascii="Arial" w:hAnsi="Arial" w:cs="Arial"/>
          <w:b/>
          <w:bCs/>
          <w:sz w:val="18"/>
          <w:szCs w:val="18"/>
        </w:rPr>
        <w:t>Sexto</w:t>
      </w:r>
      <w:r w:rsidRPr="00C57285">
        <w:rPr>
          <w:rFonts w:ascii="Arial" w:hAnsi="Arial" w:cs="Arial"/>
          <w:b/>
          <w:bCs/>
          <w:sz w:val="18"/>
          <w:szCs w:val="18"/>
        </w:rPr>
        <w:t>.-</w:t>
      </w:r>
      <w:proofErr w:type="gramEnd"/>
      <w:r w:rsidRPr="00C57285">
        <w:rPr>
          <w:rFonts w:ascii="Arial" w:hAnsi="Arial" w:cs="Arial"/>
          <w:b/>
          <w:bCs/>
          <w:sz w:val="18"/>
          <w:szCs w:val="18"/>
        </w:rPr>
        <w:t xml:space="preserve"> </w:t>
      </w:r>
      <w:r w:rsidRPr="009A28FE">
        <w:rPr>
          <w:rFonts w:ascii="Arial" w:eastAsia="ITC Avant Garde" w:hAnsi="Arial" w:cs="Arial"/>
          <w:sz w:val="18"/>
          <w:szCs w:val="18"/>
          <w:lang w:val="es-ES" w:eastAsia="en-US"/>
        </w:rPr>
        <w:t>Los Prestadores del Servicio Móvil deberán reportar el total de solicitudes de desbloqueo recibidas</w:t>
      </w:r>
      <w:r w:rsidR="00A3568C" w:rsidRPr="009A28FE">
        <w:rPr>
          <w:rFonts w:ascii="Arial" w:eastAsia="ITC Avant Garde" w:hAnsi="Arial" w:cs="Arial"/>
          <w:sz w:val="18"/>
          <w:szCs w:val="18"/>
          <w:lang w:val="es-ES" w:eastAsia="en-US"/>
        </w:rPr>
        <w:t xml:space="preserve"> indicando</w:t>
      </w:r>
      <w:r w:rsidRPr="009A28FE">
        <w:rPr>
          <w:rFonts w:ascii="Arial" w:eastAsia="ITC Avant Garde" w:hAnsi="Arial" w:cs="Arial"/>
          <w:sz w:val="18"/>
          <w:szCs w:val="18"/>
          <w:lang w:val="es-ES" w:eastAsia="en-US"/>
        </w:rPr>
        <w:t xml:space="preserve"> la fecha </w:t>
      </w:r>
      <w:r w:rsidR="0020516A" w:rsidRPr="009A28FE">
        <w:rPr>
          <w:rFonts w:ascii="Arial" w:eastAsia="ITC Avant Garde" w:hAnsi="Arial" w:cs="Arial"/>
          <w:sz w:val="18"/>
          <w:szCs w:val="18"/>
          <w:lang w:val="es-ES" w:eastAsia="en-US"/>
        </w:rPr>
        <w:t xml:space="preserve">y hora </w:t>
      </w:r>
      <w:r w:rsidRPr="009A28FE">
        <w:rPr>
          <w:rFonts w:ascii="Arial" w:eastAsia="ITC Avant Garde" w:hAnsi="Arial" w:cs="Arial"/>
          <w:sz w:val="18"/>
          <w:szCs w:val="18"/>
          <w:lang w:val="es-ES" w:eastAsia="en-US"/>
        </w:rPr>
        <w:t xml:space="preserve">de la solicitud, fecha </w:t>
      </w:r>
      <w:r w:rsidR="0020516A" w:rsidRPr="009A28FE">
        <w:rPr>
          <w:rFonts w:ascii="Arial" w:eastAsia="ITC Avant Garde" w:hAnsi="Arial" w:cs="Arial"/>
          <w:sz w:val="18"/>
          <w:szCs w:val="18"/>
          <w:lang w:val="es-ES" w:eastAsia="en-US"/>
        </w:rPr>
        <w:t xml:space="preserve">y hora </w:t>
      </w:r>
      <w:r w:rsidRPr="009A28FE">
        <w:rPr>
          <w:rFonts w:ascii="Arial" w:eastAsia="ITC Avant Garde" w:hAnsi="Arial" w:cs="Arial"/>
          <w:sz w:val="18"/>
          <w:szCs w:val="18"/>
          <w:lang w:val="es-ES" w:eastAsia="en-US"/>
        </w:rPr>
        <w:t xml:space="preserve">del desbloqueo o de </w:t>
      </w:r>
      <w:r w:rsidR="00DC591B" w:rsidRPr="009A28FE">
        <w:rPr>
          <w:rFonts w:ascii="Arial" w:eastAsia="ITC Avant Garde" w:hAnsi="Arial" w:cs="Arial"/>
          <w:sz w:val="18"/>
          <w:szCs w:val="18"/>
          <w:lang w:val="es-ES" w:eastAsia="en-US"/>
        </w:rPr>
        <w:t xml:space="preserve">la </w:t>
      </w:r>
      <w:r w:rsidRPr="009A28FE">
        <w:rPr>
          <w:rFonts w:ascii="Arial" w:eastAsia="ITC Avant Garde" w:hAnsi="Arial" w:cs="Arial"/>
          <w:sz w:val="18"/>
          <w:szCs w:val="18"/>
          <w:lang w:val="es-ES" w:eastAsia="en-US"/>
        </w:rPr>
        <w:t>entrega del Código de desbloqueo</w:t>
      </w:r>
      <w:r w:rsidR="00DC591B" w:rsidRPr="009A28FE">
        <w:rPr>
          <w:rFonts w:ascii="Arial" w:eastAsia="ITC Avant Garde" w:hAnsi="Arial" w:cs="Arial"/>
          <w:sz w:val="18"/>
          <w:szCs w:val="18"/>
          <w:lang w:val="es-ES" w:eastAsia="en-US"/>
        </w:rPr>
        <w:t xml:space="preserve"> </w:t>
      </w:r>
      <w:r w:rsidRPr="009A28FE">
        <w:rPr>
          <w:rFonts w:ascii="Arial" w:eastAsia="ITC Avant Garde" w:hAnsi="Arial" w:cs="Arial"/>
          <w:sz w:val="18"/>
          <w:szCs w:val="18"/>
          <w:lang w:val="es-ES" w:eastAsia="en-US"/>
        </w:rPr>
        <w:t>y</w:t>
      </w:r>
      <w:r w:rsidR="00E40094" w:rsidRPr="009A28FE">
        <w:rPr>
          <w:rFonts w:ascii="Arial" w:eastAsia="ITC Avant Garde" w:hAnsi="Arial" w:cs="Arial"/>
          <w:sz w:val="18"/>
          <w:szCs w:val="18"/>
          <w:lang w:val="es-ES" w:eastAsia="en-US"/>
        </w:rPr>
        <w:t>,</w:t>
      </w:r>
      <w:r w:rsidRPr="009A28FE">
        <w:rPr>
          <w:rFonts w:ascii="Arial" w:eastAsia="ITC Avant Garde" w:hAnsi="Arial" w:cs="Arial"/>
          <w:sz w:val="18"/>
          <w:szCs w:val="18"/>
          <w:lang w:val="es-ES" w:eastAsia="en-US"/>
        </w:rPr>
        <w:t xml:space="preserve"> en su caso, la </w:t>
      </w:r>
      <w:r w:rsidR="00A07BB1" w:rsidRPr="009A28FE">
        <w:rPr>
          <w:rFonts w:ascii="Arial" w:eastAsia="ITC Avant Garde" w:hAnsi="Arial" w:cs="Arial"/>
          <w:sz w:val="18"/>
          <w:szCs w:val="18"/>
          <w:lang w:val="es-ES" w:eastAsia="en-US"/>
        </w:rPr>
        <w:t xml:space="preserve">causa por </w:t>
      </w:r>
      <w:r w:rsidR="008E4D49" w:rsidRPr="009A28FE">
        <w:rPr>
          <w:rFonts w:ascii="Arial" w:eastAsia="ITC Avant Garde" w:hAnsi="Arial" w:cs="Arial"/>
          <w:sz w:val="18"/>
          <w:szCs w:val="18"/>
          <w:lang w:val="es-ES" w:eastAsia="en-US"/>
        </w:rPr>
        <w:t>la cual</w:t>
      </w:r>
      <w:r w:rsidR="00A07BB1" w:rsidRPr="009A28FE">
        <w:rPr>
          <w:rFonts w:ascii="Arial" w:eastAsia="ITC Avant Garde" w:hAnsi="Arial" w:cs="Arial"/>
          <w:sz w:val="18"/>
          <w:szCs w:val="18"/>
          <w:lang w:val="es-ES" w:eastAsia="en-US"/>
        </w:rPr>
        <w:t xml:space="preserve"> no se realizó el</w:t>
      </w:r>
      <w:r w:rsidRPr="009A28FE">
        <w:rPr>
          <w:rFonts w:ascii="Arial" w:eastAsia="ITC Avant Garde" w:hAnsi="Arial" w:cs="Arial"/>
          <w:sz w:val="18"/>
          <w:szCs w:val="18"/>
          <w:lang w:val="es-ES" w:eastAsia="en-US"/>
        </w:rPr>
        <w:t xml:space="preserve"> desbloqueo del Equipo Terminal Móvil</w:t>
      </w:r>
      <w:r w:rsidR="000067AE" w:rsidRPr="009A28FE">
        <w:rPr>
          <w:rFonts w:ascii="Arial" w:eastAsia="ITC Avant Garde" w:hAnsi="Arial" w:cs="Arial"/>
          <w:sz w:val="18"/>
          <w:szCs w:val="18"/>
          <w:lang w:val="es-ES" w:eastAsia="en-US"/>
        </w:rPr>
        <w:t xml:space="preserve"> o se realizó fuera del plazo establecido en los presentes Lineamientos, sin que esto último se constituya como una excepción al cumplimiento de su obligación</w:t>
      </w:r>
      <w:r w:rsidRPr="00C57285">
        <w:rPr>
          <w:rFonts w:ascii="Arial" w:hAnsi="Arial" w:cs="Arial"/>
          <w:bCs/>
          <w:sz w:val="18"/>
          <w:szCs w:val="18"/>
        </w:rPr>
        <w:t xml:space="preserve">. </w:t>
      </w:r>
    </w:p>
    <w:p w14:paraId="05DBA5A0" w14:textId="77777777" w:rsidR="00995046" w:rsidRPr="00C57285" w:rsidRDefault="00995046" w:rsidP="009A28FE">
      <w:pPr>
        <w:pStyle w:val="NormalWeb"/>
        <w:spacing w:before="0" w:beforeAutospacing="0" w:after="0" w:afterAutospacing="0" w:line="276" w:lineRule="auto"/>
        <w:rPr>
          <w:rFonts w:ascii="Arial" w:hAnsi="Arial" w:cs="Arial"/>
          <w:b/>
          <w:bCs/>
          <w:sz w:val="18"/>
          <w:szCs w:val="18"/>
        </w:rPr>
      </w:pPr>
    </w:p>
    <w:p w14:paraId="566D97A2" w14:textId="7056CCF5" w:rsidR="00995046" w:rsidRDefault="00995046" w:rsidP="001A0D10">
      <w:pPr>
        <w:spacing w:after="0"/>
        <w:contextualSpacing/>
        <w:mirrorIndents/>
        <w:jc w:val="both"/>
        <w:rPr>
          <w:rFonts w:ascii="Arial" w:eastAsia="Times New Roman" w:hAnsi="Arial" w:cs="Arial"/>
          <w:sz w:val="18"/>
          <w:szCs w:val="18"/>
          <w:lang w:eastAsia="es-ES"/>
        </w:rPr>
      </w:pPr>
      <w:r w:rsidRPr="00C57285">
        <w:rPr>
          <w:rFonts w:ascii="Arial" w:hAnsi="Arial" w:cs="Arial"/>
          <w:b/>
          <w:bCs/>
          <w:sz w:val="18"/>
          <w:szCs w:val="18"/>
        </w:rPr>
        <w:t xml:space="preserve">Décimo </w:t>
      </w:r>
      <w:proofErr w:type="gramStart"/>
      <w:r w:rsidR="007D4CAE">
        <w:rPr>
          <w:rFonts w:ascii="Arial" w:hAnsi="Arial" w:cs="Arial"/>
          <w:b/>
          <w:bCs/>
          <w:sz w:val="18"/>
          <w:szCs w:val="18"/>
        </w:rPr>
        <w:t>Séptimo</w:t>
      </w:r>
      <w:r w:rsidRPr="00C57285">
        <w:rPr>
          <w:rFonts w:ascii="Arial" w:hAnsi="Arial" w:cs="Arial"/>
          <w:b/>
          <w:bCs/>
          <w:sz w:val="18"/>
          <w:szCs w:val="18"/>
        </w:rPr>
        <w:t>.-</w:t>
      </w:r>
      <w:proofErr w:type="gramEnd"/>
      <w:r w:rsidRPr="00C57285">
        <w:rPr>
          <w:rFonts w:ascii="Arial" w:hAnsi="Arial" w:cs="Arial"/>
          <w:b/>
          <w:bCs/>
          <w:sz w:val="18"/>
          <w:szCs w:val="18"/>
        </w:rPr>
        <w:t xml:space="preserve"> </w:t>
      </w:r>
      <w:r w:rsidRPr="00C57285">
        <w:rPr>
          <w:rFonts w:ascii="Arial" w:hAnsi="Arial" w:cs="Arial"/>
          <w:sz w:val="18"/>
          <w:szCs w:val="18"/>
        </w:rPr>
        <w:t xml:space="preserve">El Instituto </w:t>
      </w:r>
      <w:r w:rsidR="00DA784E">
        <w:rPr>
          <w:rFonts w:ascii="Arial" w:hAnsi="Arial" w:cs="Arial"/>
          <w:sz w:val="18"/>
          <w:szCs w:val="18"/>
        </w:rPr>
        <w:t>supervisará</w:t>
      </w:r>
      <w:r w:rsidR="00DA784E" w:rsidRPr="00C57285">
        <w:rPr>
          <w:rFonts w:ascii="Arial" w:hAnsi="Arial" w:cs="Arial"/>
          <w:sz w:val="18"/>
          <w:szCs w:val="18"/>
        </w:rPr>
        <w:t xml:space="preserve"> </w:t>
      </w:r>
      <w:r w:rsidRPr="00C57285">
        <w:rPr>
          <w:rFonts w:ascii="Arial" w:hAnsi="Arial" w:cs="Arial"/>
          <w:sz w:val="18"/>
          <w:szCs w:val="18"/>
        </w:rPr>
        <w:t xml:space="preserve">el cumplimiento de las obligaciones contenidas en </w:t>
      </w:r>
      <w:r w:rsidR="00C606F8">
        <w:rPr>
          <w:rFonts w:ascii="Arial" w:hAnsi="Arial" w:cs="Arial"/>
          <w:sz w:val="18"/>
          <w:szCs w:val="18"/>
        </w:rPr>
        <w:t xml:space="preserve">los presentes Lineamientos </w:t>
      </w:r>
      <w:r w:rsidR="008D5B00">
        <w:rPr>
          <w:rFonts w:ascii="Arial" w:hAnsi="Arial" w:cs="Arial"/>
          <w:sz w:val="18"/>
          <w:szCs w:val="18"/>
        </w:rPr>
        <w:t>para cada uno de los meses reportados</w:t>
      </w:r>
      <w:r w:rsidR="008D5B00" w:rsidRPr="00C57285">
        <w:rPr>
          <w:rFonts w:ascii="Arial" w:hAnsi="Arial" w:cs="Arial"/>
          <w:sz w:val="18"/>
          <w:szCs w:val="18"/>
        </w:rPr>
        <w:t xml:space="preserve"> </w:t>
      </w:r>
      <w:r w:rsidRPr="00C57285">
        <w:rPr>
          <w:rFonts w:ascii="Arial" w:hAnsi="Arial" w:cs="Arial"/>
          <w:sz w:val="18"/>
          <w:szCs w:val="18"/>
        </w:rPr>
        <w:t xml:space="preserve">de acuerdo con </w:t>
      </w:r>
      <w:r w:rsidR="00FC3111">
        <w:rPr>
          <w:rFonts w:ascii="Arial" w:hAnsi="Arial" w:cs="Arial"/>
          <w:sz w:val="18"/>
          <w:szCs w:val="18"/>
        </w:rPr>
        <w:t>el siguiente parámetro</w:t>
      </w:r>
      <w:r w:rsidRPr="00C57285">
        <w:rPr>
          <w:rFonts w:ascii="Arial" w:hAnsi="Arial" w:cs="Arial"/>
          <w:sz w:val="18"/>
          <w:szCs w:val="18"/>
        </w:rPr>
        <w:t>:</w:t>
      </w:r>
    </w:p>
    <w:p w14:paraId="455EF7A5" w14:textId="6BEC25C7" w:rsidR="00995046" w:rsidRPr="00C57285" w:rsidRDefault="00995046">
      <w:pPr>
        <w:spacing w:after="0"/>
        <w:contextualSpacing/>
        <w:mirrorIndents/>
        <w:jc w:val="both"/>
        <w:rPr>
          <w:rFonts w:ascii="Arial" w:hAnsi="Arial" w:cs="Arial"/>
          <w:sz w:val="18"/>
          <w:szCs w:val="18"/>
        </w:rPr>
      </w:pPr>
    </w:p>
    <w:p w14:paraId="0FB54E15" w14:textId="4ADCA112" w:rsidR="00CA6C00" w:rsidRPr="00CA6C00" w:rsidRDefault="00CA6C00" w:rsidP="00E17A02">
      <w:pPr>
        <w:numPr>
          <w:ilvl w:val="0"/>
          <w:numId w:val="20"/>
        </w:numPr>
        <w:spacing w:after="0"/>
        <w:ind w:left="709" w:hanging="142"/>
        <w:mirrorIndents/>
        <w:jc w:val="both"/>
        <w:rPr>
          <w:rFonts w:ascii="Arial" w:eastAsia="Times New Roman" w:hAnsi="Arial" w:cs="Arial"/>
          <w:sz w:val="18"/>
          <w:szCs w:val="18"/>
          <w:lang w:eastAsia="es-ES"/>
        </w:rPr>
      </w:pPr>
      <w:r w:rsidRPr="00CA6C00">
        <w:rPr>
          <w:rFonts w:ascii="Arial" w:eastAsia="Times New Roman" w:hAnsi="Arial" w:cs="Arial"/>
          <w:sz w:val="18"/>
          <w:szCs w:val="18"/>
          <w:lang w:eastAsia="es-ES"/>
        </w:rPr>
        <w:t xml:space="preserve">Proporción de Equipos Terminales Móviles desbloqueados </w:t>
      </w:r>
      <w:r w:rsidR="00AD1B47">
        <w:rPr>
          <w:rFonts w:ascii="Arial" w:eastAsia="Times New Roman" w:hAnsi="Arial" w:cs="Arial"/>
          <w:sz w:val="18"/>
          <w:szCs w:val="18"/>
          <w:lang w:eastAsia="es-ES"/>
        </w:rPr>
        <w:t xml:space="preserve">en un </w:t>
      </w:r>
      <w:r w:rsidR="003402EF">
        <w:rPr>
          <w:rFonts w:ascii="Arial" w:eastAsia="Times New Roman" w:hAnsi="Arial" w:cs="Arial"/>
          <w:sz w:val="18"/>
          <w:szCs w:val="18"/>
          <w:lang w:eastAsia="es-ES"/>
        </w:rPr>
        <w:t xml:space="preserve">plazo </w:t>
      </w:r>
      <w:r w:rsidR="00AD1B47">
        <w:rPr>
          <w:rFonts w:ascii="Arial" w:eastAsia="Times New Roman" w:hAnsi="Arial" w:cs="Arial"/>
          <w:sz w:val="18"/>
          <w:szCs w:val="18"/>
          <w:lang w:eastAsia="es-ES"/>
        </w:rPr>
        <w:t>máximo de 24 horas</w:t>
      </w:r>
      <w:r w:rsidRPr="00CA6C00">
        <w:rPr>
          <w:rFonts w:ascii="Arial" w:eastAsia="Times New Roman" w:hAnsi="Arial" w:cs="Arial"/>
          <w:sz w:val="18"/>
          <w:szCs w:val="18"/>
          <w:lang w:eastAsia="es-ES"/>
        </w:rPr>
        <w:t xml:space="preserve">: mayor o igual al </w:t>
      </w:r>
      <w:r w:rsidR="008F3DC4">
        <w:rPr>
          <w:rFonts w:ascii="Arial" w:eastAsia="Times New Roman" w:hAnsi="Arial" w:cs="Arial"/>
          <w:sz w:val="18"/>
          <w:szCs w:val="18"/>
          <w:lang w:eastAsia="es-ES"/>
        </w:rPr>
        <w:t>99</w:t>
      </w:r>
      <w:r w:rsidRPr="00CA6C00">
        <w:rPr>
          <w:rFonts w:ascii="Arial" w:eastAsia="Times New Roman" w:hAnsi="Arial" w:cs="Arial"/>
          <w:sz w:val="18"/>
          <w:szCs w:val="18"/>
          <w:lang w:eastAsia="es-ES"/>
        </w:rPr>
        <w:t>%.</w:t>
      </w:r>
    </w:p>
    <w:p w14:paraId="39813FD0" w14:textId="77777777" w:rsidR="00CA6C00" w:rsidRPr="00CA6C00" w:rsidRDefault="00CA6C00" w:rsidP="00E17A02">
      <w:pPr>
        <w:spacing w:after="0"/>
        <w:ind w:left="709"/>
        <w:mirrorIndents/>
        <w:jc w:val="both"/>
        <w:rPr>
          <w:rFonts w:ascii="Arial" w:eastAsia="Times New Roman" w:hAnsi="Arial" w:cs="Arial"/>
          <w:sz w:val="18"/>
          <w:szCs w:val="18"/>
          <w:lang w:eastAsia="es-ES"/>
        </w:rPr>
      </w:pPr>
    </w:p>
    <w:p w14:paraId="2E79F3A4" w14:textId="655E3F7A" w:rsidR="00CA6C00" w:rsidRPr="00CA6C00" w:rsidRDefault="0022244B" w:rsidP="00E17A02">
      <w:pPr>
        <w:spacing w:after="0"/>
        <w:ind w:left="709"/>
        <w:mirrorIndents/>
        <w:jc w:val="both"/>
        <w:rPr>
          <w:rFonts w:ascii="Arial" w:eastAsia="Times New Roman" w:hAnsi="Arial" w:cs="Arial"/>
          <w:sz w:val="18"/>
          <w:szCs w:val="18"/>
          <w:lang w:eastAsia="es-ES"/>
        </w:rPr>
      </w:pPr>
      <w:r>
        <w:rPr>
          <w:noProof/>
        </w:rPr>
        <w:drawing>
          <wp:anchor distT="0" distB="0" distL="114300" distR="114300" simplePos="0" relativeHeight="251658240" behindDoc="0" locked="0" layoutInCell="1" allowOverlap="1" wp14:anchorId="1F6608AD" wp14:editId="0E26A012">
            <wp:simplePos x="0" y="0"/>
            <wp:positionH relativeFrom="margin">
              <wp:align>center</wp:align>
            </wp:positionH>
            <wp:positionV relativeFrom="paragraph">
              <wp:posOffset>302895</wp:posOffset>
            </wp:positionV>
            <wp:extent cx="2647950" cy="323850"/>
            <wp:effectExtent l="0" t="0" r="0" b="0"/>
            <wp:wrapTopAndBottom/>
            <wp:docPr id="190770639" name="Imagen 190770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770639" name=""/>
                    <pic:cNvPicPr/>
                  </pic:nvPicPr>
                  <pic:blipFill>
                    <a:blip r:embed="rId8">
                      <a:extLst>
                        <a:ext uri="{28A0092B-C50C-407E-A947-70E740481C1C}">
                          <a14:useLocalDpi xmlns:a14="http://schemas.microsoft.com/office/drawing/2010/main" val="0"/>
                        </a:ext>
                      </a:extLst>
                    </a:blip>
                    <a:stretch>
                      <a:fillRect/>
                    </a:stretch>
                  </pic:blipFill>
                  <pic:spPr>
                    <a:xfrm>
                      <a:off x="0" y="0"/>
                      <a:ext cx="2647950" cy="323850"/>
                    </a:xfrm>
                    <a:prstGeom prst="rect">
                      <a:avLst/>
                    </a:prstGeom>
                  </pic:spPr>
                </pic:pic>
              </a:graphicData>
            </a:graphic>
          </wp:anchor>
        </w:drawing>
      </w:r>
      <w:r w:rsidR="00CA6C00" w:rsidRPr="00CA6C00">
        <w:rPr>
          <w:rFonts w:ascii="Arial" w:eastAsia="Times New Roman" w:hAnsi="Arial" w:cs="Arial"/>
          <w:sz w:val="18"/>
          <w:szCs w:val="18"/>
          <w:lang w:eastAsia="es-ES"/>
        </w:rPr>
        <w:t>Para determinar el cumplimiento de este índice se utilizará la siguiente fórmula:</w:t>
      </w:r>
    </w:p>
    <w:p w14:paraId="1784B5B2" w14:textId="5E974DF8" w:rsidR="00CA6C00" w:rsidRPr="00CA6C00" w:rsidRDefault="00CA6C00" w:rsidP="00E17A02">
      <w:pPr>
        <w:spacing w:after="0"/>
        <w:ind w:left="709"/>
        <w:mirrorIndents/>
        <w:rPr>
          <w:rFonts w:ascii="Arial" w:eastAsia="Times New Roman" w:hAnsi="Arial" w:cs="Arial"/>
          <w:sz w:val="18"/>
          <w:szCs w:val="18"/>
        </w:rPr>
      </w:pPr>
    </w:p>
    <w:p w14:paraId="4BBB3C07" w14:textId="43426660" w:rsidR="00CA6C00" w:rsidRPr="00CA6C00" w:rsidRDefault="00CA6C00" w:rsidP="0022244B">
      <w:pPr>
        <w:spacing w:after="0"/>
        <w:ind w:left="709"/>
        <w:contextualSpacing/>
        <w:mirrorIndents/>
        <w:rPr>
          <w:rFonts w:ascii="Arial" w:eastAsia="Times New Roman" w:hAnsi="Arial" w:cs="Arial"/>
          <w:sz w:val="18"/>
          <w:szCs w:val="18"/>
          <w:lang w:eastAsia="es-ES"/>
        </w:rPr>
      </w:pPr>
    </w:p>
    <w:p w14:paraId="68FAAD23" w14:textId="38BE4A34" w:rsidR="00CA6C00" w:rsidRDefault="00CA6C00" w:rsidP="00B65A26">
      <w:pPr>
        <w:spacing w:after="0"/>
        <w:ind w:left="709"/>
        <w:mirrorIndents/>
        <w:jc w:val="both"/>
        <w:rPr>
          <w:rFonts w:ascii="Arial" w:eastAsia="Times New Roman" w:hAnsi="Arial" w:cs="Arial"/>
          <w:sz w:val="18"/>
          <w:szCs w:val="18"/>
          <w:lang w:eastAsia="es-ES"/>
        </w:rPr>
      </w:pPr>
      <w:r w:rsidRPr="00CA6C00">
        <w:rPr>
          <w:rFonts w:ascii="Arial" w:eastAsia="Times New Roman" w:hAnsi="Arial" w:cs="Arial"/>
          <w:sz w:val="18"/>
          <w:szCs w:val="18"/>
          <w:lang w:eastAsia="es-ES"/>
        </w:rPr>
        <w:t>Donde,</w:t>
      </w:r>
    </w:p>
    <w:p w14:paraId="73D0F453" w14:textId="570E5980" w:rsidR="00CA6C00" w:rsidRDefault="00CA6C00" w:rsidP="00B65A26">
      <w:pPr>
        <w:spacing w:after="0"/>
        <w:ind w:left="709"/>
        <w:mirrorIndents/>
        <w:jc w:val="both"/>
        <w:rPr>
          <w:rFonts w:ascii="Arial" w:eastAsia="Times New Roman" w:hAnsi="Arial" w:cs="Arial"/>
          <w:sz w:val="18"/>
          <w:szCs w:val="18"/>
          <w:lang w:eastAsia="es-ES"/>
        </w:rPr>
      </w:pPr>
      <w:r w:rsidRPr="00CA6C00">
        <w:rPr>
          <w:rFonts w:ascii="Arial" w:eastAsia="Times New Roman" w:hAnsi="Arial" w:cs="Arial"/>
          <w:i/>
          <w:iCs/>
          <w:sz w:val="18"/>
          <w:szCs w:val="18"/>
          <w:lang w:eastAsia="es-ES"/>
        </w:rPr>
        <w:t>ETM D</w:t>
      </w:r>
      <w:r w:rsidRPr="00CA6C00">
        <w:rPr>
          <w:rFonts w:ascii="Arial" w:eastAsia="Times New Roman" w:hAnsi="Arial" w:cs="Arial"/>
          <w:sz w:val="18"/>
          <w:szCs w:val="18"/>
          <w:lang w:eastAsia="es-ES"/>
        </w:rPr>
        <w:t>, es el total de Equipos Terminales Móviles desbloqueados o cuyo Código de desbloqueo fue entregado en los centros de atención a clientes</w:t>
      </w:r>
      <w:r w:rsidR="00B35817">
        <w:rPr>
          <w:rFonts w:ascii="Arial" w:eastAsia="Times New Roman" w:hAnsi="Arial" w:cs="Arial"/>
          <w:sz w:val="18"/>
          <w:szCs w:val="18"/>
          <w:lang w:eastAsia="es-ES"/>
        </w:rPr>
        <w:t>,</w:t>
      </w:r>
      <w:r w:rsidR="00B35817" w:rsidRPr="00CA6C00">
        <w:rPr>
          <w:rFonts w:ascii="Arial" w:eastAsia="Times New Roman" w:hAnsi="Arial" w:cs="Arial"/>
          <w:sz w:val="18"/>
          <w:szCs w:val="18"/>
          <w:lang w:eastAsia="es-ES"/>
        </w:rPr>
        <w:t xml:space="preserve"> a través del número telefónico de atención a clientes o a través de </w:t>
      </w:r>
      <w:r w:rsidR="00B65A26">
        <w:rPr>
          <w:rFonts w:ascii="Arial" w:eastAsia="Times New Roman" w:hAnsi="Arial" w:cs="Arial"/>
          <w:sz w:val="18"/>
          <w:szCs w:val="18"/>
          <w:lang w:eastAsia="es-ES"/>
        </w:rPr>
        <w:t xml:space="preserve">los </w:t>
      </w:r>
      <w:r w:rsidR="00B35817" w:rsidRPr="00CA6C00">
        <w:rPr>
          <w:rFonts w:ascii="Arial" w:eastAsia="Times New Roman" w:hAnsi="Arial" w:cs="Arial"/>
          <w:sz w:val="18"/>
          <w:szCs w:val="18"/>
          <w:lang w:eastAsia="es-ES"/>
        </w:rPr>
        <w:t>medios electrónicos</w:t>
      </w:r>
      <w:r w:rsidRPr="00CA6C00">
        <w:rPr>
          <w:rFonts w:ascii="Arial" w:eastAsia="Times New Roman" w:hAnsi="Arial" w:cs="Arial"/>
          <w:sz w:val="18"/>
          <w:szCs w:val="18"/>
          <w:lang w:eastAsia="es-ES"/>
        </w:rPr>
        <w:t xml:space="preserve"> del Prestador de Servicio Móvil </w:t>
      </w:r>
      <w:r w:rsidR="00CC1373">
        <w:rPr>
          <w:rFonts w:ascii="Arial" w:eastAsia="Times New Roman" w:hAnsi="Arial" w:cs="Arial"/>
          <w:sz w:val="18"/>
          <w:szCs w:val="18"/>
          <w:lang w:eastAsia="es-ES"/>
        </w:rPr>
        <w:t>en un máximo de 24 horas contadas a partir de la solicitud del Usuario</w:t>
      </w:r>
      <w:r w:rsidRPr="00CA6C00">
        <w:rPr>
          <w:rFonts w:ascii="Arial" w:eastAsia="Times New Roman" w:hAnsi="Arial" w:cs="Arial"/>
          <w:sz w:val="18"/>
          <w:szCs w:val="18"/>
          <w:lang w:eastAsia="es-ES"/>
        </w:rPr>
        <w:t xml:space="preserve"> y,</w:t>
      </w:r>
    </w:p>
    <w:p w14:paraId="4ED980A1" w14:textId="40997D77" w:rsidR="00C64F96" w:rsidRPr="00CA6C00" w:rsidRDefault="00CA6C00" w:rsidP="00E17A02">
      <w:pPr>
        <w:spacing w:after="0"/>
        <w:ind w:left="709"/>
        <w:mirrorIndents/>
        <w:jc w:val="both"/>
        <w:rPr>
          <w:rFonts w:ascii="Arial" w:eastAsia="Times New Roman" w:hAnsi="Arial" w:cs="Arial"/>
          <w:sz w:val="18"/>
          <w:szCs w:val="18"/>
          <w:lang w:eastAsia="es-ES"/>
        </w:rPr>
      </w:pPr>
      <w:r w:rsidRPr="00CA6C00">
        <w:rPr>
          <w:rFonts w:ascii="Arial" w:eastAsia="Times New Roman" w:hAnsi="Arial" w:cs="Arial"/>
          <w:i/>
          <w:iCs/>
          <w:sz w:val="18"/>
          <w:szCs w:val="18"/>
          <w:lang w:eastAsia="es-ES"/>
        </w:rPr>
        <w:t>SD</w:t>
      </w:r>
      <w:r w:rsidR="00B35817">
        <w:rPr>
          <w:rFonts w:ascii="Arial" w:eastAsia="Times New Roman" w:hAnsi="Arial" w:cs="Arial"/>
          <w:i/>
          <w:iCs/>
          <w:sz w:val="18"/>
          <w:szCs w:val="18"/>
          <w:lang w:eastAsia="es-ES"/>
        </w:rPr>
        <w:t>,</w:t>
      </w:r>
      <w:r w:rsidRPr="00CA6C00">
        <w:rPr>
          <w:rFonts w:ascii="Arial" w:eastAsia="Times New Roman" w:hAnsi="Arial" w:cs="Arial"/>
          <w:i/>
          <w:iCs/>
          <w:sz w:val="18"/>
          <w:szCs w:val="18"/>
          <w:lang w:eastAsia="es-ES"/>
        </w:rPr>
        <w:t xml:space="preserve"> </w:t>
      </w:r>
      <w:bookmarkStart w:id="3" w:name="_Hlk115094793"/>
      <w:r w:rsidR="00C64F96" w:rsidRPr="00CA6C00">
        <w:rPr>
          <w:rFonts w:ascii="Arial" w:eastAsia="Times New Roman" w:hAnsi="Arial" w:cs="Arial"/>
          <w:sz w:val="18"/>
          <w:szCs w:val="18"/>
          <w:lang w:eastAsia="es-ES"/>
        </w:rPr>
        <w:t>es el total de solicitudes de desbloqueo recibidas</w:t>
      </w:r>
      <w:r w:rsidR="00A21764">
        <w:rPr>
          <w:rFonts w:ascii="Arial" w:eastAsia="Times New Roman" w:hAnsi="Arial" w:cs="Arial"/>
          <w:sz w:val="18"/>
          <w:szCs w:val="18"/>
          <w:lang w:eastAsia="es-ES"/>
        </w:rPr>
        <w:t xml:space="preserve"> conforme a </w:t>
      </w:r>
      <w:r w:rsidR="00EB4489">
        <w:rPr>
          <w:rFonts w:ascii="Arial" w:eastAsia="Times New Roman" w:hAnsi="Arial" w:cs="Arial"/>
          <w:sz w:val="18"/>
          <w:szCs w:val="18"/>
          <w:lang w:eastAsia="es-ES"/>
        </w:rPr>
        <w:t>lo</w:t>
      </w:r>
      <w:r w:rsidR="000D3E89">
        <w:rPr>
          <w:rFonts w:ascii="Arial" w:eastAsia="Times New Roman" w:hAnsi="Arial" w:cs="Arial"/>
          <w:sz w:val="18"/>
          <w:szCs w:val="18"/>
          <w:lang w:eastAsia="es-ES"/>
        </w:rPr>
        <w:t>s requerimientos</w:t>
      </w:r>
      <w:r w:rsidR="00EB4489">
        <w:rPr>
          <w:rFonts w:ascii="Arial" w:eastAsia="Times New Roman" w:hAnsi="Arial" w:cs="Arial"/>
          <w:sz w:val="18"/>
          <w:szCs w:val="18"/>
          <w:lang w:eastAsia="es-ES"/>
        </w:rPr>
        <w:t xml:space="preserve"> establecido</w:t>
      </w:r>
      <w:r w:rsidR="00360CA1">
        <w:rPr>
          <w:rFonts w:ascii="Arial" w:eastAsia="Times New Roman" w:hAnsi="Arial" w:cs="Arial"/>
          <w:sz w:val="18"/>
          <w:szCs w:val="18"/>
          <w:lang w:eastAsia="es-ES"/>
        </w:rPr>
        <w:t>s</w:t>
      </w:r>
      <w:r w:rsidR="00A21764">
        <w:rPr>
          <w:rFonts w:ascii="Arial" w:eastAsia="Times New Roman" w:hAnsi="Arial" w:cs="Arial"/>
          <w:sz w:val="18"/>
          <w:szCs w:val="18"/>
          <w:lang w:eastAsia="es-ES"/>
        </w:rPr>
        <w:t xml:space="preserve"> en los presentes Lineamientos</w:t>
      </w:r>
      <w:r w:rsidR="00C64F96" w:rsidRPr="00CA6C00">
        <w:rPr>
          <w:rFonts w:ascii="Arial" w:eastAsia="Times New Roman" w:hAnsi="Arial" w:cs="Arial"/>
          <w:sz w:val="18"/>
          <w:szCs w:val="18"/>
          <w:lang w:eastAsia="es-ES"/>
        </w:rPr>
        <w:t>.</w:t>
      </w:r>
    </w:p>
    <w:bookmarkEnd w:id="3"/>
    <w:p w14:paraId="76575964" w14:textId="77777777" w:rsidR="00CA6C00" w:rsidRPr="00A21764" w:rsidRDefault="00CA6C00" w:rsidP="00FF3766">
      <w:pPr>
        <w:spacing w:after="0"/>
        <w:mirrorIndents/>
        <w:jc w:val="both"/>
        <w:rPr>
          <w:rFonts w:ascii="Arial" w:eastAsia="Times New Roman" w:hAnsi="Arial" w:cs="Arial"/>
          <w:sz w:val="18"/>
          <w:szCs w:val="18"/>
        </w:rPr>
      </w:pPr>
    </w:p>
    <w:p w14:paraId="37A4F1E6" w14:textId="4D01BDB4" w:rsidR="00995046" w:rsidRPr="00C57285" w:rsidRDefault="00995046" w:rsidP="00302699">
      <w:pPr>
        <w:spacing w:after="0"/>
        <w:contextualSpacing/>
        <w:mirrorIndents/>
        <w:jc w:val="both"/>
        <w:rPr>
          <w:rFonts w:ascii="Arial" w:eastAsia="ITC Avant Garde" w:hAnsi="Arial" w:cs="Arial"/>
          <w:sz w:val="18"/>
          <w:szCs w:val="18"/>
        </w:rPr>
      </w:pPr>
      <w:r w:rsidRPr="00C57285">
        <w:rPr>
          <w:rFonts w:ascii="Arial" w:hAnsi="Arial" w:cs="Arial"/>
          <w:b/>
          <w:bCs/>
          <w:sz w:val="18"/>
          <w:szCs w:val="18"/>
        </w:rPr>
        <w:t xml:space="preserve">Décimo </w:t>
      </w:r>
      <w:proofErr w:type="gramStart"/>
      <w:r w:rsidR="007D4CAE">
        <w:rPr>
          <w:rFonts w:ascii="Arial" w:hAnsi="Arial" w:cs="Arial"/>
          <w:b/>
          <w:bCs/>
          <w:sz w:val="18"/>
          <w:szCs w:val="18"/>
        </w:rPr>
        <w:t>Octavo</w:t>
      </w:r>
      <w:r w:rsidRPr="00C57285">
        <w:rPr>
          <w:rFonts w:ascii="Arial" w:hAnsi="Arial" w:cs="Arial"/>
          <w:b/>
          <w:bCs/>
          <w:sz w:val="18"/>
          <w:szCs w:val="18"/>
        </w:rPr>
        <w:t>.-</w:t>
      </w:r>
      <w:proofErr w:type="gramEnd"/>
      <w:r w:rsidRPr="00C57285">
        <w:rPr>
          <w:rFonts w:ascii="Arial" w:hAnsi="Arial" w:cs="Arial"/>
          <w:b/>
          <w:bCs/>
          <w:sz w:val="18"/>
          <w:szCs w:val="18"/>
        </w:rPr>
        <w:t xml:space="preserve"> </w:t>
      </w:r>
      <w:r w:rsidRPr="00C57285">
        <w:rPr>
          <w:rFonts w:ascii="Arial" w:eastAsia="ITC Avant Garde" w:hAnsi="Arial" w:cs="Arial"/>
          <w:sz w:val="18"/>
          <w:szCs w:val="18"/>
        </w:rPr>
        <w:t>El Instituto verificará y supervisará el cumplimiento de las obligaciones establecidas en los Lineamientos de conformidad con lo dispuesto en el Título Décimo Cuarto de la Ley.</w:t>
      </w:r>
    </w:p>
    <w:p w14:paraId="4DE0CFEF" w14:textId="77777777" w:rsidR="00995046" w:rsidRPr="00C57285" w:rsidRDefault="00995046" w:rsidP="00302699">
      <w:pPr>
        <w:spacing w:after="0"/>
        <w:contextualSpacing/>
        <w:mirrorIndents/>
        <w:jc w:val="both"/>
        <w:rPr>
          <w:rFonts w:ascii="Arial" w:eastAsia="ITC Avant Garde" w:hAnsi="Arial" w:cs="Arial"/>
          <w:sz w:val="18"/>
          <w:szCs w:val="18"/>
        </w:rPr>
      </w:pPr>
    </w:p>
    <w:p w14:paraId="20BBEB13" w14:textId="56D76F0B" w:rsidR="00857325" w:rsidRDefault="007D4CAE" w:rsidP="00A1241C">
      <w:pPr>
        <w:spacing w:after="0"/>
        <w:contextualSpacing/>
        <w:mirrorIndents/>
        <w:jc w:val="both"/>
        <w:rPr>
          <w:rFonts w:ascii="Arial" w:eastAsia="ITC Avant Garde" w:hAnsi="Arial" w:cs="Arial"/>
          <w:sz w:val="18"/>
          <w:szCs w:val="18"/>
        </w:rPr>
      </w:pPr>
      <w:r>
        <w:rPr>
          <w:rFonts w:ascii="Arial" w:eastAsia="ITC Avant Garde" w:hAnsi="Arial" w:cs="Arial"/>
          <w:b/>
          <w:bCs/>
          <w:sz w:val="18"/>
          <w:szCs w:val="18"/>
        </w:rPr>
        <w:t xml:space="preserve">Décimo </w:t>
      </w:r>
      <w:proofErr w:type="gramStart"/>
      <w:r>
        <w:rPr>
          <w:rFonts w:ascii="Arial" w:eastAsia="ITC Avant Garde" w:hAnsi="Arial" w:cs="Arial"/>
          <w:b/>
          <w:bCs/>
          <w:sz w:val="18"/>
          <w:szCs w:val="18"/>
        </w:rPr>
        <w:t>Noveno</w:t>
      </w:r>
      <w:r w:rsidR="00995046" w:rsidRPr="00C57285">
        <w:rPr>
          <w:rFonts w:ascii="Arial" w:eastAsia="ITC Avant Garde" w:hAnsi="Arial" w:cs="Arial"/>
          <w:sz w:val="18"/>
          <w:szCs w:val="18"/>
        </w:rPr>
        <w:t>.-</w:t>
      </w:r>
      <w:proofErr w:type="gramEnd"/>
      <w:r w:rsidR="00995046" w:rsidRPr="00C57285">
        <w:rPr>
          <w:rFonts w:ascii="Arial" w:eastAsia="ITC Avant Garde" w:hAnsi="Arial" w:cs="Arial"/>
          <w:b/>
          <w:bCs/>
          <w:sz w:val="18"/>
          <w:szCs w:val="18"/>
        </w:rPr>
        <w:t xml:space="preserve"> </w:t>
      </w:r>
      <w:r w:rsidR="00995046" w:rsidRPr="00C57285">
        <w:rPr>
          <w:rFonts w:ascii="Arial" w:eastAsia="ITC Avant Garde" w:hAnsi="Arial" w:cs="Arial"/>
          <w:sz w:val="18"/>
          <w:szCs w:val="18"/>
        </w:rPr>
        <w:t xml:space="preserve">El incumplimiento a lo dispuesto en los presentes Lineamientos será sancionado por el Instituto en términos de lo establecido en la Ley, sin perjuicio de la competencia que </w:t>
      </w:r>
      <w:r w:rsidR="002278D4">
        <w:rPr>
          <w:rFonts w:ascii="Arial" w:eastAsia="ITC Avant Garde" w:hAnsi="Arial" w:cs="Arial"/>
          <w:sz w:val="18"/>
          <w:szCs w:val="18"/>
        </w:rPr>
        <w:t>la Procuraduría Federal del Consumidor</w:t>
      </w:r>
      <w:r w:rsidR="00DE232D">
        <w:rPr>
          <w:rFonts w:ascii="Arial" w:eastAsia="ITC Avant Garde" w:hAnsi="Arial" w:cs="Arial"/>
          <w:sz w:val="18"/>
          <w:szCs w:val="18"/>
        </w:rPr>
        <w:t xml:space="preserve"> u </w:t>
      </w:r>
      <w:r w:rsidR="00995046" w:rsidRPr="00C57285">
        <w:rPr>
          <w:rFonts w:ascii="Arial" w:eastAsia="ITC Avant Garde" w:hAnsi="Arial" w:cs="Arial"/>
          <w:sz w:val="18"/>
          <w:szCs w:val="18"/>
        </w:rPr>
        <w:t>otras autoridades</w:t>
      </w:r>
      <w:r w:rsidR="00DE232D">
        <w:rPr>
          <w:rFonts w:ascii="Arial" w:eastAsia="ITC Avant Garde" w:hAnsi="Arial" w:cs="Arial"/>
          <w:sz w:val="18"/>
          <w:szCs w:val="18"/>
        </w:rPr>
        <w:t xml:space="preserve"> tengan en materia de protección de consumidores</w:t>
      </w:r>
      <w:r w:rsidR="00995046" w:rsidRPr="00C57285">
        <w:rPr>
          <w:rFonts w:ascii="Arial" w:eastAsia="ITC Avant Garde" w:hAnsi="Arial" w:cs="Arial"/>
          <w:sz w:val="18"/>
          <w:szCs w:val="18"/>
        </w:rPr>
        <w:t xml:space="preserve">.  </w:t>
      </w:r>
    </w:p>
    <w:p w14:paraId="0D211239" w14:textId="77777777" w:rsidR="00A66A3D" w:rsidRDefault="00A66A3D" w:rsidP="0022244B">
      <w:pPr>
        <w:spacing w:after="0"/>
        <w:contextualSpacing/>
        <w:mirrorIndents/>
        <w:rPr>
          <w:rFonts w:ascii="Arial" w:hAnsi="Arial" w:cs="Arial"/>
          <w:b/>
          <w:bCs/>
          <w:color w:val="000000"/>
          <w:sz w:val="18"/>
          <w:szCs w:val="18"/>
          <w:lang w:eastAsia="es-MX"/>
        </w:rPr>
      </w:pPr>
    </w:p>
    <w:p w14:paraId="102E18E2" w14:textId="6C06C453" w:rsidR="00A66A3D" w:rsidRPr="00E616A4" w:rsidRDefault="00A66A3D" w:rsidP="00B96CAF">
      <w:pPr>
        <w:pStyle w:val="Default"/>
        <w:spacing w:line="276" w:lineRule="auto"/>
        <w:contextualSpacing/>
        <w:mirrorIndents/>
        <w:jc w:val="center"/>
        <w:rPr>
          <w:rFonts w:ascii="Arial" w:eastAsia="Times New Roman" w:hAnsi="Arial" w:cs="Arial"/>
          <w:b/>
          <w:color w:val="auto"/>
          <w:kern w:val="1"/>
          <w:sz w:val="18"/>
          <w:szCs w:val="18"/>
          <w:lang w:val="es-ES" w:eastAsia="ar-SA"/>
        </w:rPr>
      </w:pPr>
      <w:r w:rsidRPr="00C57285">
        <w:rPr>
          <w:rFonts w:ascii="Arial" w:hAnsi="Arial" w:cs="Arial"/>
          <w:b/>
          <w:bCs/>
          <w:sz w:val="18"/>
          <w:szCs w:val="18"/>
          <w:lang w:eastAsia="es-MX"/>
        </w:rPr>
        <w:t>Transitorios</w:t>
      </w:r>
    </w:p>
    <w:p w14:paraId="2FB69C82" w14:textId="5AB2657B" w:rsidR="00A66A3D" w:rsidRPr="00C57285" w:rsidRDefault="00A66A3D" w:rsidP="0022244B">
      <w:pPr>
        <w:spacing w:after="0"/>
        <w:contextualSpacing/>
        <w:mirrorIndents/>
        <w:rPr>
          <w:rFonts w:ascii="Arial" w:hAnsi="Arial" w:cs="Arial"/>
          <w:color w:val="2F2F2F"/>
          <w:sz w:val="18"/>
          <w:szCs w:val="18"/>
          <w:shd w:val="clear" w:color="auto" w:fill="FFFFFF"/>
        </w:rPr>
      </w:pPr>
    </w:p>
    <w:p w14:paraId="0B9EFA7A" w14:textId="77777777" w:rsidR="00A66A3D" w:rsidRDefault="00A66A3D" w:rsidP="00A66A3D">
      <w:pPr>
        <w:spacing w:after="0"/>
        <w:contextualSpacing/>
        <w:mirrorIndents/>
        <w:jc w:val="both"/>
        <w:rPr>
          <w:rFonts w:ascii="Arial" w:eastAsia="ITC Avant Garde" w:hAnsi="Arial" w:cs="Arial"/>
          <w:sz w:val="18"/>
          <w:szCs w:val="18"/>
        </w:rPr>
      </w:pPr>
      <w:proofErr w:type="gramStart"/>
      <w:r w:rsidRPr="000811BE">
        <w:rPr>
          <w:rFonts w:ascii="Arial" w:eastAsia="ITC Avant Garde" w:hAnsi="Arial" w:cs="Arial"/>
          <w:b/>
          <w:bCs/>
          <w:sz w:val="18"/>
          <w:szCs w:val="18"/>
        </w:rPr>
        <w:t>Primero</w:t>
      </w:r>
      <w:r w:rsidRPr="000811BE">
        <w:rPr>
          <w:rFonts w:ascii="Arial" w:eastAsia="ITC Avant Garde" w:hAnsi="Arial" w:cs="Arial"/>
          <w:sz w:val="18"/>
          <w:szCs w:val="18"/>
        </w:rPr>
        <w:t>.-</w:t>
      </w:r>
      <w:proofErr w:type="gramEnd"/>
      <w:r w:rsidRPr="000811BE">
        <w:rPr>
          <w:rFonts w:ascii="Arial" w:eastAsia="ITC Avant Garde" w:hAnsi="Arial" w:cs="Arial"/>
          <w:sz w:val="18"/>
          <w:szCs w:val="18"/>
        </w:rPr>
        <w:t xml:space="preserve"> El presente Acuerdo entrará en vigor a los 180 (ciento ochenta) días naturales siguientes al de su publicación en el Diario Oficial de la Federación.</w:t>
      </w:r>
    </w:p>
    <w:p w14:paraId="52843702" w14:textId="77777777" w:rsidR="00D50CB2" w:rsidRDefault="00D50CB2" w:rsidP="00A66A3D">
      <w:pPr>
        <w:spacing w:after="0"/>
        <w:contextualSpacing/>
        <w:mirrorIndents/>
        <w:jc w:val="both"/>
        <w:rPr>
          <w:rFonts w:ascii="Arial" w:eastAsia="ITC Avant Garde" w:hAnsi="Arial" w:cs="Arial"/>
          <w:sz w:val="18"/>
          <w:szCs w:val="18"/>
        </w:rPr>
      </w:pPr>
    </w:p>
    <w:p w14:paraId="73395301" w14:textId="463FABB4" w:rsidR="00D50CB2" w:rsidRDefault="00D50CB2" w:rsidP="00A66A3D">
      <w:pPr>
        <w:spacing w:after="0"/>
        <w:contextualSpacing/>
        <w:mirrorIndents/>
        <w:jc w:val="both"/>
        <w:rPr>
          <w:rFonts w:ascii="Arial" w:eastAsia="ITC Avant Garde" w:hAnsi="Arial" w:cs="Arial"/>
          <w:sz w:val="18"/>
          <w:szCs w:val="18"/>
        </w:rPr>
      </w:pPr>
      <w:proofErr w:type="gramStart"/>
      <w:r>
        <w:rPr>
          <w:rFonts w:ascii="Arial" w:eastAsia="ITC Avant Garde" w:hAnsi="Arial" w:cs="Arial"/>
          <w:b/>
          <w:bCs/>
          <w:sz w:val="18"/>
          <w:szCs w:val="18"/>
        </w:rPr>
        <w:t>Segundo</w:t>
      </w:r>
      <w:r w:rsidRPr="000811BE">
        <w:rPr>
          <w:rFonts w:ascii="Arial" w:eastAsia="ITC Avant Garde" w:hAnsi="Arial" w:cs="Arial"/>
          <w:sz w:val="18"/>
          <w:szCs w:val="18"/>
        </w:rPr>
        <w:t>.-</w:t>
      </w:r>
      <w:proofErr w:type="gramEnd"/>
      <w:r w:rsidRPr="000811BE">
        <w:rPr>
          <w:rFonts w:ascii="Arial" w:eastAsia="ITC Avant Garde" w:hAnsi="Arial" w:cs="Arial"/>
          <w:sz w:val="18"/>
          <w:szCs w:val="18"/>
        </w:rPr>
        <w:t xml:space="preserve"> </w:t>
      </w:r>
      <w:r w:rsidR="00A10660">
        <w:rPr>
          <w:rFonts w:ascii="Arial" w:eastAsia="ITC Avant Garde" w:hAnsi="Arial" w:cs="Arial"/>
          <w:sz w:val="18"/>
          <w:szCs w:val="18"/>
        </w:rPr>
        <w:t xml:space="preserve">Los </w:t>
      </w:r>
      <w:r w:rsidR="00A10660" w:rsidRPr="00C57285">
        <w:rPr>
          <w:rFonts w:ascii="Arial" w:eastAsia="ITC Avant Garde" w:hAnsi="Arial" w:cs="Arial"/>
          <w:sz w:val="18"/>
          <w:szCs w:val="18"/>
        </w:rPr>
        <w:t>Prestadores del Servicio Móvil deberán entregar</w:t>
      </w:r>
      <w:r w:rsidR="00A10660">
        <w:rPr>
          <w:rFonts w:ascii="Arial" w:eastAsia="ITC Avant Garde" w:hAnsi="Arial" w:cs="Arial"/>
          <w:sz w:val="18"/>
          <w:szCs w:val="18"/>
        </w:rPr>
        <w:t xml:space="preserve"> al Instituto el reporte al que se refieren los Lineamientos </w:t>
      </w:r>
      <w:r w:rsidR="00F92571">
        <w:rPr>
          <w:rFonts w:ascii="Arial" w:eastAsia="ITC Avant Garde" w:hAnsi="Arial" w:cs="Arial"/>
          <w:sz w:val="18"/>
          <w:szCs w:val="18"/>
        </w:rPr>
        <w:t>Décimo</w:t>
      </w:r>
      <w:r w:rsidR="00A10660">
        <w:rPr>
          <w:rFonts w:ascii="Arial" w:eastAsia="ITC Avant Garde" w:hAnsi="Arial" w:cs="Arial"/>
          <w:sz w:val="18"/>
          <w:szCs w:val="18"/>
        </w:rPr>
        <w:t xml:space="preserve"> Quinto y Décimo Sexto a través de la Oficialía de Partes del Instituto, en tanto no se haya implementado y establecido su entrega a través de la Ventanilla Electrónica del Instituto.</w:t>
      </w:r>
    </w:p>
    <w:p w14:paraId="72075C56" w14:textId="77777777" w:rsidR="001F716D" w:rsidRDefault="001F716D" w:rsidP="00A66A3D">
      <w:pPr>
        <w:spacing w:after="0"/>
        <w:contextualSpacing/>
        <w:mirrorIndents/>
        <w:jc w:val="both"/>
        <w:rPr>
          <w:rFonts w:ascii="Arial" w:eastAsia="ITC Avant Garde" w:hAnsi="Arial" w:cs="Arial"/>
          <w:sz w:val="18"/>
          <w:szCs w:val="18"/>
        </w:rPr>
      </w:pPr>
    </w:p>
    <w:p w14:paraId="4F725A0A" w14:textId="598EAD0E" w:rsidR="001F716D" w:rsidRDefault="001F716D" w:rsidP="00A66A3D">
      <w:pPr>
        <w:spacing w:after="0"/>
        <w:contextualSpacing/>
        <w:mirrorIndents/>
        <w:jc w:val="both"/>
        <w:rPr>
          <w:rFonts w:ascii="Arial" w:eastAsia="ITC Avant Garde" w:hAnsi="Arial" w:cs="Arial"/>
          <w:sz w:val="18"/>
          <w:szCs w:val="18"/>
        </w:rPr>
      </w:pPr>
      <w:r>
        <w:rPr>
          <w:rFonts w:ascii="Arial" w:eastAsia="ITC Avant Garde" w:hAnsi="Arial" w:cs="Arial"/>
          <w:sz w:val="18"/>
          <w:szCs w:val="18"/>
        </w:rPr>
        <w:t>Para la entrega del reporte ante la Oficialía de Partes Común del Instituto, la información deberá presentarse de acuerdo con lo señalado en el Anexo II a través de algún medio magnético (CD, memoria USB, etc.), acompañado del Formato de Solicitud descrito en el Anexo I de los presentes Lineamientos.</w:t>
      </w:r>
    </w:p>
    <w:p w14:paraId="11EADBFB" w14:textId="77777777" w:rsidR="00A66A3D" w:rsidRPr="00C57285" w:rsidRDefault="00A66A3D" w:rsidP="00A66A3D">
      <w:pPr>
        <w:spacing w:after="0"/>
        <w:contextualSpacing/>
        <w:mirrorIndents/>
        <w:jc w:val="both"/>
        <w:rPr>
          <w:rFonts w:ascii="Arial" w:eastAsia="ITC Avant Garde" w:hAnsi="Arial" w:cs="Arial"/>
          <w:sz w:val="18"/>
          <w:szCs w:val="18"/>
        </w:rPr>
      </w:pPr>
    </w:p>
    <w:p w14:paraId="672C4CA7" w14:textId="23E635CE" w:rsidR="00F65B8A" w:rsidRDefault="00857325" w:rsidP="002C7961">
      <w:pPr>
        <w:spacing w:after="0"/>
        <w:jc w:val="center"/>
        <w:rPr>
          <w:rFonts w:ascii="Arial" w:hAnsi="Arial" w:cs="Arial"/>
          <w:b/>
          <w:sz w:val="18"/>
          <w:szCs w:val="18"/>
        </w:rPr>
      </w:pPr>
      <w:r w:rsidRPr="00C57285">
        <w:rPr>
          <w:rFonts w:ascii="Arial" w:eastAsia="ITC Avant Garde" w:hAnsi="Arial" w:cs="Arial"/>
          <w:sz w:val="18"/>
          <w:szCs w:val="18"/>
        </w:rPr>
        <w:br w:type="page"/>
      </w:r>
      <w:r w:rsidR="00D31EC4" w:rsidRPr="00852E26">
        <w:rPr>
          <w:rFonts w:ascii="Arial" w:hAnsi="Arial" w:cs="Arial"/>
          <w:b/>
          <w:sz w:val="18"/>
          <w:szCs w:val="18"/>
        </w:rPr>
        <w:lastRenderedPageBreak/>
        <w:t>Anexo I</w:t>
      </w:r>
    </w:p>
    <w:p w14:paraId="45BCA13A" w14:textId="2809D8F3" w:rsidR="00F65B8A" w:rsidRDefault="00A10660" w:rsidP="00A10660">
      <w:pPr>
        <w:spacing w:after="0"/>
        <w:jc w:val="center"/>
        <w:rPr>
          <w:rFonts w:ascii="Arial" w:eastAsia="Times New Roman" w:hAnsi="Arial" w:cs="Arial"/>
          <w:b/>
          <w:bCs/>
          <w:color w:val="2F2F2F"/>
          <w:sz w:val="18"/>
          <w:szCs w:val="18"/>
          <w:lang w:val="es-MX" w:eastAsia="es-MX"/>
        </w:rPr>
      </w:pPr>
      <w:r>
        <w:rPr>
          <w:rFonts w:ascii="Arial" w:hAnsi="Arial" w:cs="Arial"/>
          <w:b/>
          <w:sz w:val="18"/>
          <w:szCs w:val="18"/>
        </w:rPr>
        <w:t>Formato de Entrega de</w:t>
      </w:r>
      <w:r w:rsidR="00110B8E">
        <w:rPr>
          <w:rFonts w:ascii="Arial" w:hAnsi="Arial" w:cs="Arial"/>
          <w:b/>
          <w:sz w:val="18"/>
          <w:szCs w:val="18"/>
        </w:rPr>
        <w:t>l</w:t>
      </w:r>
      <w:r>
        <w:rPr>
          <w:rFonts w:ascii="Arial" w:hAnsi="Arial" w:cs="Arial"/>
          <w:b/>
          <w:sz w:val="18"/>
          <w:szCs w:val="18"/>
        </w:rPr>
        <w:t xml:space="preserve"> </w:t>
      </w:r>
      <w:r w:rsidRPr="00C57285">
        <w:rPr>
          <w:rFonts w:ascii="Arial" w:eastAsia="Times New Roman" w:hAnsi="Arial" w:cs="Arial"/>
          <w:b/>
          <w:bCs/>
          <w:color w:val="2F2F2F"/>
          <w:sz w:val="18"/>
          <w:szCs w:val="18"/>
          <w:lang w:val="es-MX" w:eastAsia="es-MX"/>
        </w:rPr>
        <w:t>Reporte estadístico de desbloqueo de Equipos Terminales Móviles</w:t>
      </w:r>
    </w:p>
    <w:p w14:paraId="5B941704" w14:textId="77777777" w:rsidR="00A10660" w:rsidRDefault="00A10660" w:rsidP="00A10660">
      <w:pPr>
        <w:spacing w:after="0"/>
        <w:jc w:val="both"/>
        <w:rPr>
          <w:rFonts w:ascii="Arial" w:eastAsia="Times New Roman" w:hAnsi="Arial" w:cs="Arial"/>
          <w:color w:val="2F2F2F"/>
          <w:sz w:val="18"/>
          <w:szCs w:val="18"/>
          <w:lang w:val="es-MX" w:eastAsia="es-MX"/>
        </w:rPr>
      </w:pPr>
    </w:p>
    <w:tbl>
      <w:tblPr>
        <w:tblW w:w="5000" w:type="pct"/>
        <w:tblCellMar>
          <w:left w:w="72" w:type="dxa"/>
          <w:right w:w="72" w:type="dxa"/>
        </w:tblCellMar>
        <w:tblLook w:val="0000" w:firstRow="0" w:lastRow="0" w:firstColumn="0" w:lastColumn="0" w:noHBand="0" w:noVBand="0"/>
      </w:tblPr>
      <w:tblGrid>
        <w:gridCol w:w="9388"/>
      </w:tblGrid>
      <w:tr w:rsidR="00DA134D" w:rsidRPr="00852E26" w14:paraId="6D576761" w14:textId="77777777" w:rsidTr="00AB402E">
        <w:trPr>
          <w:trHeight w:val="20"/>
        </w:trPr>
        <w:tc>
          <w:tcPr>
            <w:tcW w:w="5000" w:type="pct"/>
            <w:tcBorders>
              <w:top w:val="single" w:sz="6" w:space="0" w:color="auto"/>
              <w:left w:val="single" w:sz="6" w:space="0" w:color="auto"/>
              <w:bottom w:val="single" w:sz="6" w:space="0" w:color="auto"/>
              <w:right w:val="single" w:sz="6" w:space="0" w:color="auto"/>
            </w:tcBorders>
          </w:tcPr>
          <w:p w14:paraId="1C51EAFE" w14:textId="77777777" w:rsidR="00DA134D" w:rsidRPr="00852E26" w:rsidRDefault="00DA134D" w:rsidP="00AB402E">
            <w:pPr>
              <w:pStyle w:val="Texto"/>
              <w:spacing w:after="0" w:line="276" w:lineRule="auto"/>
              <w:ind w:firstLine="0"/>
              <w:rPr>
                <w:noProof/>
                <w:szCs w:val="18"/>
              </w:rPr>
            </w:pPr>
            <w:r w:rsidRPr="00852E26">
              <w:rPr>
                <w:noProof/>
                <w:szCs w:val="18"/>
              </w:rPr>
              <w:t>Consideraciones Generales para el llenado del presente formato.</w:t>
            </w:r>
          </w:p>
          <w:p w14:paraId="0DB0DF87" w14:textId="77777777" w:rsidR="00DA134D" w:rsidRPr="00852E26" w:rsidRDefault="00DA134D" w:rsidP="00AB402E">
            <w:pPr>
              <w:pStyle w:val="Texto"/>
              <w:spacing w:after="0" w:line="276" w:lineRule="auto"/>
              <w:ind w:left="720" w:hanging="432"/>
              <w:rPr>
                <w:noProof/>
                <w:szCs w:val="18"/>
              </w:rPr>
            </w:pPr>
            <w:r w:rsidRPr="00852E26">
              <w:rPr>
                <w:noProof/>
                <w:szCs w:val="18"/>
              </w:rPr>
              <w:t>1.</w:t>
            </w:r>
            <w:r w:rsidRPr="00852E26">
              <w:rPr>
                <w:noProof/>
                <w:szCs w:val="18"/>
              </w:rPr>
              <w:tab/>
              <w:t>Completar la información requerida en cada uno de los rubros, conforme al tipo de procedimiento que corresponda.</w:t>
            </w:r>
          </w:p>
          <w:p w14:paraId="557BFBEF" w14:textId="77777777" w:rsidR="00DA134D" w:rsidRPr="00852E26" w:rsidRDefault="00DA134D" w:rsidP="00AB402E">
            <w:pPr>
              <w:pStyle w:val="Texto"/>
              <w:spacing w:after="0" w:line="276" w:lineRule="auto"/>
              <w:ind w:left="720" w:hanging="432"/>
              <w:rPr>
                <w:noProof/>
                <w:szCs w:val="18"/>
              </w:rPr>
            </w:pPr>
            <w:r w:rsidRPr="00852E26">
              <w:rPr>
                <w:noProof/>
                <w:szCs w:val="18"/>
              </w:rPr>
              <w:t>2.</w:t>
            </w:r>
            <w:r w:rsidRPr="00852E26">
              <w:rPr>
                <w:noProof/>
                <w:szCs w:val="18"/>
              </w:rPr>
              <w:tab/>
              <w:t>Los campos de información y documentos que contengan un asterisco (*) como identificador son de llenado obligatorio. No obstante lo anterior, se recomienda el llenado de todos los campos contenidos en este formato para una mejor evaluación de su solicitud.</w:t>
            </w:r>
          </w:p>
          <w:p w14:paraId="107CDB04" w14:textId="77777777" w:rsidR="00DA134D" w:rsidRPr="00852E26" w:rsidRDefault="00DA134D" w:rsidP="00AB402E">
            <w:pPr>
              <w:pStyle w:val="Texto"/>
              <w:spacing w:after="0" w:line="276" w:lineRule="auto"/>
              <w:ind w:left="720" w:hanging="432"/>
              <w:rPr>
                <w:noProof/>
                <w:szCs w:val="18"/>
              </w:rPr>
            </w:pPr>
            <w:r w:rsidRPr="00852E26">
              <w:rPr>
                <w:noProof/>
                <w:szCs w:val="18"/>
              </w:rPr>
              <w:t>3.</w:t>
            </w:r>
            <w:r w:rsidRPr="00852E26">
              <w:rPr>
                <w:noProof/>
                <w:szCs w:val="18"/>
              </w:rPr>
              <w:tab/>
              <w:t>Podrá llenar el presente con letra molde legible, preferentemente en tinta azul, máquina de escribir o a computadora. Una vez completado el formato, y de ser el caso, deberá imprimirlo para su suscripción y posterior presentación ante la Oficialía de Partes Común del Instituto Federal de Telecomunicaciones.</w:t>
            </w:r>
          </w:p>
          <w:p w14:paraId="20EADE1B" w14:textId="77777777" w:rsidR="00DA134D" w:rsidRPr="00852E26" w:rsidRDefault="00DA134D" w:rsidP="00AB402E">
            <w:pPr>
              <w:pStyle w:val="Texto"/>
              <w:spacing w:after="0" w:line="276" w:lineRule="auto"/>
              <w:ind w:left="720" w:hanging="432"/>
              <w:rPr>
                <w:noProof/>
                <w:szCs w:val="18"/>
              </w:rPr>
            </w:pPr>
            <w:r w:rsidRPr="00852E26">
              <w:rPr>
                <w:noProof/>
                <w:szCs w:val="18"/>
              </w:rPr>
              <w:t>4.</w:t>
            </w:r>
            <w:r w:rsidRPr="00852E26">
              <w:rPr>
                <w:noProof/>
                <w:szCs w:val="18"/>
              </w:rPr>
              <w:tab/>
              <w:t>El formato no será válido si presenta tachaduras o enmendaduras en su información.</w:t>
            </w:r>
          </w:p>
        </w:tc>
      </w:tr>
    </w:tbl>
    <w:p w14:paraId="2F74969A" w14:textId="77777777" w:rsidR="00DA134D" w:rsidRDefault="00DA134D" w:rsidP="00A10660">
      <w:pPr>
        <w:spacing w:after="0"/>
        <w:jc w:val="both"/>
        <w:rPr>
          <w:rFonts w:ascii="Arial" w:eastAsia="Times New Roman" w:hAnsi="Arial" w:cs="Arial"/>
          <w:color w:val="2F2F2F"/>
          <w:sz w:val="18"/>
          <w:szCs w:val="18"/>
          <w:lang w:val="es-MX" w:eastAsia="es-MX"/>
        </w:rPr>
      </w:pPr>
    </w:p>
    <w:tbl>
      <w:tblPr>
        <w:tblW w:w="5000" w:type="pct"/>
        <w:tblCellMar>
          <w:left w:w="72" w:type="dxa"/>
          <w:right w:w="72" w:type="dxa"/>
        </w:tblCellMar>
        <w:tblLook w:val="0000" w:firstRow="0" w:lastRow="0" w:firstColumn="0" w:lastColumn="0" w:noHBand="0" w:noVBand="0"/>
      </w:tblPr>
      <w:tblGrid>
        <w:gridCol w:w="1835"/>
        <w:gridCol w:w="142"/>
        <w:gridCol w:w="131"/>
        <w:gridCol w:w="15"/>
        <w:gridCol w:w="92"/>
        <w:gridCol w:w="192"/>
        <w:gridCol w:w="315"/>
        <w:gridCol w:w="253"/>
        <w:gridCol w:w="195"/>
        <w:gridCol w:w="152"/>
        <w:gridCol w:w="253"/>
        <w:gridCol w:w="253"/>
        <w:gridCol w:w="255"/>
        <w:gridCol w:w="197"/>
        <w:gridCol w:w="58"/>
        <w:gridCol w:w="41"/>
        <w:gridCol w:w="45"/>
        <w:gridCol w:w="152"/>
        <w:gridCol w:w="11"/>
        <w:gridCol w:w="30"/>
        <w:gridCol w:w="674"/>
        <w:gridCol w:w="69"/>
        <w:gridCol w:w="744"/>
        <w:gridCol w:w="289"/>
        <w:gridCol w:w="299"/>
        <w:gridCol w:w="8"/>
        <w:gridCol w:w="250"/>
        <w:gridCol w:w="47"/>
        <w:gridCol w:w="223"/>
        <w:gridCol w:w="75"/>
        <w:gridCol w:w="214"/>
        <w:gridCol w:w="84"/>
        <w:gridCol w:w="299"/>
        <w:gridCol w:w="297"/>
        <w:gridCol w:w="297"/>
        <w:gridCol w:w="297"/>
        <w:gridCol w:w="276"/>
        <w:gridCol w:w="21"/>
        <w:gridCol w:w="308"/>
      </w:tblGrid>
      <w:tr w:rsidR="00A25BF3" w:rsidRPr="00852E26" w14:paraId="14BB3911" w14:textId="77777777" w:rsidTr="00AB402E">
        <w:trPr>
          <w:trHeight w:val="20"/>
        </w:trPr>
        <w:tc>
          <w:tcPr>
            <w:tcW w:w="5000" w:type="pct"/>
            <w:gridSpan w:val="39"/>
            <w:tcBorders>
              <w:top w:val="single" w:sz="6" w:space="0" w:color="auto"/>
              <w:left w:val="single" w:sz="6" w:space="0" w:color="auto"/>
              <w:right w:val="single" w:sz="6" w:space="0" w:color="auto"/>
            </w:tcBorders>
          </w:tcPr>
          <w:p w14:paraId="313C7144" w14:textId="77777777" w:rsidR="00A25BF3" w:rsidRPr="00852E26" w:rsidRDefault="00A25BF3" w:rsidP="00AB402E">
            <w:pPr>
              <w:pStyle w:val="Texto"/>
              <w:spacing w:after="0" w:line="276" w:lineRule="auto"/>
              <w:ind w:firstLine="0"/>
              <w:rPr>
                <w:szCs w:val="18"/>
              </w:rPr>
            </w:pPr>
            <w:r w:rsidRPr="00852E26">
              <w:rPr>
                <w:b/>
                <w:szCs w:val="18"/>
              </w:rPr>
              <w:t>INSTITUTO FEDERAL DE TELECOMUNICACIONES (IFT)</w:t>
            </w:r>
          </w:p>
          <w:p w14:paraId="76D210A5" w14:textId="77777777" w:rsidR="00A25BF3" w:rsidRPr="00852E26" w:rsidRDefault="00A25BF3" w:rsidP="00AB402E">
            <w:pPr>
              <w:pStyle w:val="Texto"/>
              <w:spacing w:after="0" w:line="276" w:lineRule="auto"/>
              <w:ind w:firstLine="0"/>
              <w:rPr>
                <w:b/>
                <w:i/>
                <w:szCs w:val="18"/>
              </w:rPr>
            </w:pPr>
            <w:r w:rsidRPr="00852E26">
              <w:rPr>
                <w:b/>
                <w:szCs w:val="18"/>
              </w:rPr>
              <w:t>Unidad de Cumplimiento</w:t>
            </w:r>
          </w:p>
          <w:p w14:paraId="73D58D10" w14:textId="77777777" w:rsidR="00A25BF3" w:rsidRPr="00852E26" w:rsidRDefault="00A25BF3" w:rsidP="00AB402E">
            <w:pPr>
              <w:pStyle w:val="Texto"/>
              <w:spacing w:after="0" w:line="276" w:lineRule="auto"/>
              <w:ind w:firstLine="0"/>
              <w:rPr>
                <w:szCs w:val="18"/>
              </w:rPr>
            </w:pPr>
            <w:r w:rsidRPr="00852E26">
              <w:rPr>
                <w:szCs w:val="18"/>
              </w:rPr>
              <w:t>Av. Insurgentes Sur No. 1143, Col. Nochebuena,</w:t>
            </w:r>
          </w:p>
          <w:p w14:paraId="62919A38" w14:textId="77777777" w:rsidR="00A25BF3" w:rsidRPr="00852E26" w:rsidRDefault="00A25BF3" w:rsidP="00AB402E">
            <w:pPr>
              <w:pStyle w:val="Texto"/>
              <w:spacing w:after="0" w:line="276" w:lineRule="auto"/>
              <w:ind w:firstLine="0"/>
              <w:rPr>
                <w:szCs w:val="18"/>
              </w:rPr>
            </w:pPr>
            <w:r w:rsidRPr="00852E26">
              <w:rPr>
                <w:szCs w:val="18"/>
              </w:rPr>
              <w:t>Demarcación territorial Benito Juárez,</w:t>
            </w:r>
          </w:p>
          <w:p w14:paraId="06D6367B" w14:textId="77777777" w:rsidR="00A25BF3" w:rsidRPr="00852E26" w:rsidRDefault="00A25BF3" w:rsidP="00AB402E">
            <w:pPr>
              <w:pStyle w:val="Texto"/>
              <w:spacing w:after="0" w:line="276" w:lineRule="auto"/>
              <w:ind w:firstLine="0"/>
              <w:rPr>
                <w:szCs w:val="18"/>
              </w:rPr>
            </w:pPr>
            <w:r w:rsidRPr="00852E26">
              <w:rPr>
                <w:szCs w:val="18"/>
              </w:rPr>
              <w:t>C.P. 03720, Ciudad de México, México</w:t>
            </w:r>
          </w:p>
          <w:p w14:paraId="62F4C1E2" w14:textId="77777777" w:rsidR="00A25BF3" w:rsidRPr="00852E26" w:rsidRDefault="00A25BF3" w:rsidP="00AB402E">
            <w:pPr>
              <w:pStyle w:val="Texto"/>
              <w:spacing w:after="0" w:line="276" w:lineRule="auto"/>
              <w:ind w:firstLine="0"/>
              <w:rPr>
                <w:szCs w:val="18"/>
              </w:rPr>
            </w:pPr>
            <w:r w:rsidRPr="00852E26">
              <w:rPr>
                <w:szCs w:val="18"/>
              </w:rPr>
              <w:t>Tel. 55-5015-4000</w:t>
            </w:r>
          </w:p>
          <w:p w14:paraId="4DC8358D" w14:textId="4A7E1236" w:rsidR="00A25BF3" w:rsidRPr="00D439F7" w:rsidRDefault="00A25BF3" w:rsidP="00AB402E">
            <w:pPr>
              <w:pStyle w:val="Texto"/>
              <w:spacing w:after="0" w:line="276" w:lineRule="auto"/>
              <w:ind w:firstLine="0"/>
              <w:rPr>
                <w:rFonts w:eastAsiaTheme="minorEastAsia"/>
                <w:color w:val="0563C1" w:themeColor="hyperlink"/>
                <w:szCs w:val="18"/>
                <w:u w:val="single"/>
                <w:lang w:val="es-MX" w:eastAsia="en-US"/>
              </w:rPr>
            </w:pPr>
            <w:r w:rsidRPr="00852E26">
              <w:rPr>
                <w:rFonts w:eastAsiaTheme="minorEastAsia"/>
                <w:color w:val="0563C1" w:themeColor="hyperlink"/>
                <w:szCs w:val="18"/>
                <w:u w:val="single"/>
                <w:lang w:val="es-MX" w:eastAsia="en-US"/>
              </w:rPr>
              <w:t>www.ift.org.mx</w:t>
            </w:r>
          </w:p>
        </w:tc>
      </w:tr>
      <w:tr w:rsidR="00A25BF3" w:rsidRPr="00852E26" w14:paraId="633C00DF" w14:textId="77777777" w:rsidTr="0022244B">
        <w:trPr>
          <w:trHeight w:val="20"/>
        </w:trPr>
        <w:tc>
          <w:tcPr>
            <w:tcW w:w="2280" w:type="pct"/>
            <w:gridSpan w:val="14"/>
            <w:tcBorders>
              <w:left w:val="single" w:sz="6" w:space="0" w:color="auto"/>
            </w:tcBorders>
          </w:tcPr>
          <w:p w14:paraId="6D8908A8" w14:textId="77777777" w:rsidR="00A25BF3" w:rsidRPr="00852E26" w:rsidRDefault="00A25BF3" w:rsidP="00AB402E">
            <w:pPr>
              <w:pStyle w:val="Texto"/>
              <w:spacing w:after="0" w:line="276" w:lineRule="auto"/>
              <w:ind w:firstLine="0"/>
              <w:rPr>
                <w:b/>
                <w:szCs w:val="18"/>
              </w:rPr>
            </w:pPr>
          </w:p>
        </w:tc>
        <w:tc>
          <w:tcPr>
            <w:tcW w:w="972" w:type="pct"/>
            <w:gridSpan w:val="9"/>
            <w:tcBorders>
              <w:right w:val="single" w:sz="6" w:space="0" w:color="auto"/>
            </w:tcBorders>
            <w:shd w:val="clear" w:color="auto" w:fill="BFBFBF" w:themeFill="background1" w:themeFillShade="BF"/>
          </w:tcPr>
          <w:p w14:paraId="3D1DF9CF" w14:textId="77777777" w:rsidR="00A25BF3" w:rsidRPr="00852E26" w:rsidRDefault="00A25BF3" w:rsidP="00AB402E">
            <w:pPr>
              <w:pStyle w:val="Texto"/>
              <w:spacing w:after="0" w:line="276" w:lineRule="auto"/>
              <w:ind w:firstLine="0"/>
              <w:rPr>
                <w:b/>
                <w:szCs w:val="18"/>
              </w:rPr>
            </w:pPr>
            <w:r w:rsidRPr="00852E26">
              <w:rPr>
                <w:b/>
                <w:szCs w:val="18"/>
              </w:rPr>
              <w:t>Lugar y Fecha:</w:t>
            </w:r>
          </w:p>
        </w:tc>
        <w:tc>
          <w:tcPr>
            <w:tcW w:w="1748" w:type="pct"/>
            <w:gridSpan w:val="16"/>
            <w:tcBorders>
              <w:top w:val="single" w:sz="6" w:space="0" w:color="auto"/>
              <w:left w:val="single" w:sz="6" w:space="0" w:color="auto"/>
              <w:bottom w:val="single" w:sz="6" w:space="0" w:color="auto"/>
              <w:right w:val="single" w:sz="6" w:space="0" w:color="auto"/>
            </w:tcBorders>
          </w:tcPr>
          <w:p w14:paraId="42055FE1" w14:textId="77777777" w:rsidR="00A25BF3" w:rsidRPr="00852E26" w:rsidRDefault="00A25BF3" w:rsidP="00AB402E">
            <w:pPr>
              <w:pStyle w:val="Texto"/>
              <w:spacing w:after="0" w:line="276" w:lineRule="auto"/>
              <w:ind w:firstLine="0"/>
              <w:rPr>
                <w:b/>
                <w:szCs w:val="18"/>
              </w:rPr>
            </w:pPr>
          </w:p>
        </w:tc>
      </w:tr>
      <w:tr w:rsidR="00A25BF3" w:rsidRPr="00852E26" w14:paraId="0F472FD6" w14:textId="77777777" w:rsidTr="00AB402E">
        <w:trPr>
          <w:trHeight w:val="20"/>
        </w:trPr>
        <w:tc>
          <w:tcPr>
            <w:tcW w:w="5000" w:type="pct"/>
            <w:gridSpan w:val="39"/>
            <w:tcBorders>
              <w:left w:val="single" w:sz="6" w:space="0" w:color="auto"/>
              <w:bottom w:val="single" w:sz="6" w:space="0" w:color="auto"/>
              <w:right w:val="single" w:sz="6" w:space="0" w:color="auto"/>
            </w:tcBorders>
          </w:tcPr>
          <w:p w14:paraId="0FFA4574" w14:textId="77777777" w:rsidR="00A25BF3" w:rsidRPr="00852E26" w:rsidRDefault="00A25BF3" w:rsidP="00AB402E">
            <w:pPr>
              <w:pStyle w:val="Texto"/>
              <w:spacing w:after="0" w:line="276" w:lineRule="auto"/>
              <w:ind w:firstLine="0"/>
              <w:rPr>
                <w:b/>
                <w:szCs w:val="18"/>
              </w:rPr>
            </w:pPr>
          </w:p>
        </w:tc>
      </w:tr>
      <w:tr w:rsidR="00A25BF3" w:rsidRPr="00852E26" w14:paraId="3DEB657B" w14:textId="77777777" w:rsidTr="0022244B">
        <w:trPr>
          <w:trHeight w:val="20"/>
        </w:trPr>
        <w:tc>
          <w:tcPr>
            <w:tcW w:w="5000" w:type="pct"/>
            <w:gridSpan w:val="39"/>
            <w:tcBorders>
              <w:top w:val="single" w:sz="6" w:space="0" w:color="auto"/>
              <w:left w:val="single" w:sz="6" w:space="0" w:color="auto"/>
              <w:bottom w:val="single" w:sz="6" w:space="0" w:color="auto"/>
              <w:right w:val="single" w:sz="6" w:space="0" w:color="auto"/>
            </w:tcBorders>
            <w:shd w:val="clear" w:color="auto" w:fill="A6A6A6" w:themeFill="background1" w:themeFillShade="A6"/>
          </w:tcPr>
          <w:p w14:paraId="3902DD2A" w14:textId="77777777" w:rsidR="00A25BF3" w:rsidRPr="00852E26" w:rsidRDefault="00A25BF3" w:rsidP="00AB402E">
            <w:pPr>
              <w:pStyle w:val="Texto"/>
              <w:tabs>
                <w:tab w:val="left" w:pos="3366"/>
              </w:tabs>
              <w:spacing w:after="0" w:line="276" w:lineRule="auto"/>
              <w:ind w:firstLine="0"/>
              <w:rPr>
                <w:b/>
                <w:szCs w:val="18"/>
              </w:rPr>
            </w:pPr>
            <w:r w:rsidRPr="00852E26">
              <w:rPr>
                <w:b/>
                <w:szCs w:val="18"/>
              </w:rPr>
              <w:t xml:space="preserve">SECCIÓN 1. </w:t>
            </w:r>
            <w:r w:rsidRPr="00852E26">
              <w:rPr>
                <w:b/>
                <w:szCs w:val="18"/>
              </w:rPr>
              <w:tab/>
              <w:t>TIPO DE PROCEDIMIENTO</w:t>
            </w:r>
          </w:p>
        </w:tc>
      </w:tr>
      <w:tr w:rsidR="00A25BF3" w:rsidRPr="00852E26" w14:paraId="5BFBE213" w14:textId="77777777" w:rsidTr="0022244B">
        <w:trPr>
          <w:trHeight w:val="20"/>
        </w:trPr>
        <w:tc>
          <w:tcPr>
            <w:tcW w:w="5000" w:type="pct"/>
            <w:gridSpan w:val="39"/>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0AA0F5A1" w14:textId="77777777" w:rsidR="00A25BF3" w:rsidRPr="00852E26" w:rsidRDefault="00A25BF3" w:rsidP="00AB402E">
            <w:pPr>
              <w:pStyle w:val="Texto"/>
              <w:spacing w:after="0" w:line="276" w:lineRule="auto"/>
              <w:ind w:firstLine="0"/>
              <w:rPr>
                <w:b/>
                <w:szCs w:val="18"/>
              </w:rPr>
            </w:pPr>
            <w:r w:rsidRPr="00852E26">
              <w:rPr>
                <w:b/>
                <w:szCs w:val="18"/>
              </w:rPr>
              <w:t xml:space="preserve">Procedimiento* </w:t>
            </w:r>
            <w:r w:rsidRPr="00852E26">
              <w:rPr>
                <w:i/>
                <w:noProof/>
                <w:szCs w:val="18"/>
              </w:rPr>
              <w:t>(Sólo debe seleccionar una opción)</w:t>
            </w:r>
          </w:p>
        </w:tc>
      </w:tr>
      <w:tr w:rsidR="00A25BF3" w:rsidRPr="00852E26" w14:paraId="21BFE1DA" w14:textId="77777777" w:rsidTr="00D439F7">
        <w:trPr>
          <w:trHeight w:val="2143"/>
        </w:trPr>
        <w:tc>
          <w:tcPr>
            <w:tcW w:w="1122"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14:paraId="691CE2C5" w14:textId="77777777" w:rsidR="00A25BF3" w:rsidRPr="00852E26" w:rsidRDefault="00A25BF3" w:rsidP="00AB402E">
            <w:pPr>
              <w:pStyle w:val="Texto"/>
              <w:spacing w:after="0" w:line="276" w:lineRule="auto"/>
              <w:ind w:firstLine="0"/>
              <w:jc w:val="center"/>
              <w:rPr>
                <w:b/>
                <w:szCs w:val="18"/>
              </w:rPr>
            </w:pPr>
            <w:r w:rsidRPr="00D439F7">
              <w:rPr>
                <w:noProof/>
                <w:sz w:val="40"/>
                <w:szCs w:val="40"/>
              </w:rPr>
              <w:t>□</w:t>
            </w:r>
            <w:r w:rsidRPr="00852E26">
              <w:rPr>
                <w:noProof/>
                <w:szCs w:val="18"/>
              </w:rPr>
              <w:t xml:space="preserve"> </w:t>
            </w:r>
            <w:r w:rsidRPr="00852E26">
              <w:rPr>
                <w:szCs w:val="18"/>
              </w:rPr>
              <w:t>Inicio de trámite o servicio</w:t>
            </w:r>
          </w:p>
        </w:tc>
        <w:tc>
          <w:tcPr>
            <w:tcW w:w="1734" w:type="pct"/>
            <w:gridSpan w:val="19"/>
            <w:tcBorders>
              <w:top w:val="single" w:sz="6" w:space="0" w:color="auto"/>
              <w:left w:val="single" w:sz="6" w:space="0" w:color="auto"/>
              <w:bottom w:val="single" w:sz="6" w:space="0" w:color="auto"/>
              <w:right w:val="single" w:sz="6" w:space="0" w:color="auto"/>
            </w:tcBorders>
            <w:shd w:val="clear" w:color="auto" w:fill="FFFFFF"/>
          </w:tcPr>
          <w:p w14:paraId="143480AD" w14:textId="77777777" w:rsidR="00A25BF3" w:rsidRPr="00852E26" w:rsidRDefault="00A25BF3" w:rsidP="00AB402E">
            <w:pPr>
              <w:pStyle w:val="Texto"/>
              <w:spacing w:after="0" w:line="276" w:lineRule="auto"/>
              <w:ind w:firstLine="0"/>
              <w:jc w:val="center"/>
              <w:rPr>
                <w:szCs w:val="18"/>
              </w:rPr>
            </w:pPr>
            <w:r w:rsidRPr="00D439F7">
              <w:rPr>
                <w:noProof/>
                <w:sz w:val="40"/>
                <w:szCs w:val="40"/>
              </w:rPr>
              <w:t>□</w:t>
            </w:r>
            <w:r w:rsidRPr="00D439F7">
              <w:rPr>
                <w:sz w:val="40"/>
                <w:szCs w:val="40"/>
              </w:rPr>
              <w:t xml:space="preserve"> </w:t>
            </w:r>
            <w:r w:rsidRPr="00852E26">
              <w:rPr>
                <w:szCs w:val="18"/>
              </w:rPr>
              <w:t>Desahogo de prevención</w:t>
            </w:r>
          </w:p>
          <w:p w14:paraId="3D392FE9" w14:textId="77777777" w:rsidR="00A25BF3" w:rsidRPr="00852E26" w:rsidRDefault="00A25BF3" w:rsidP="00AB402E">
            <w:pPr>
              <w:pStyle w:val="Texto"/>
              <w:spacing w:after="0" w:line="276" w:lineRule="auto"/>
              <w:ind w:firstLine="0"/>
              <w:jc w:val="left"/>
              <w:rPr>
                <w:noProof/>
                <w:szCs w:val="18"/>
              </w:rPr>
            </w:pPr>
            <w:r w:rsidRPr="00852E26">
              <w:rPr>
                <w:noProof/>
                <w:szCs w:val="18"/>
              </w:rPr>
              <w:t>Oficio IFT: _________________________</w:t>
            </w:r>
          </w:p>
          <w:p w14:paraId="55EFC6EC" w14:textId="77777777" w:rsidR="00A25BF3" w:rsidRPr="00852E26" w:rsidRDefault="00A25BF3" w:rsidP="00AB402E">
            <w:pPr>
              <w:pStyle w:val="Texto"/>
              <w:spacing w:after="0" w:line="276" w:lineRule="auto"/>
              <w:ind w:firstLine="0"/>
              <w:jc w:val="left"/>
              <w:rPr>
                <w:noProof/>
                <w:szCs w:val="18"/>
              </w:rPr>
            </w:pPr>
          </w:p>
          <w:p w14:paraId="6AAF3E4C" w14:textId="77777777" w:rsidR="00A25BF3" w:rsidRPr="00852E26" w:rsidRDefault="00A25BF3" w:rsidP="00AB402E">
            <w:pPr>
              <w:pStyle w:val="Texto"/>
              <w:spacing w:after="0" w:line="276" w:lineRule="auto"/>
              <w:ind w:firstLine="0"/>
              <w:jc w:val="left"/>
              <w:rPr>
                <w:noProof/>
                <w:szCs w:val="18"/>
              </w:rPr>
            </w:pPr>
            <w:r w:rsidRPr="00852E26">
              <w:rPr>
                <w:noProof/>
                <w:szCs w:val="18"/>
              </w:rPr>
              <w:t>Fecha de oficio IFT: _________________________</w:t>
            </w:r>
          </w:p>
          <w:p w14:paraId="5FF5DF65" w14:textId="77777777" w:rsidR="00A25BF3" w:rsidRPr="00852E26" w:rsidRDefault="00A25BF3" w:rsidP="00AB402E">
            <w:pPr>
              <w:pStyle w:val="Texto"/>
              <w:spacing w:after="0" w:line="276" w:lineRule="auto"/>
              <w:ind w:firstLine="0"/>
              <w:jc w:val="center"/>
              <w:rPr>
                <w:noProof/>
                <w:szCs w:val="18"/>
              </w:rPr>
            </w:pPr>
            <w:r w:rsidRPr="00852E26">
              <w:rPr>
                <w:noProof/>
                <w:szCs w:val="18"/>
              </w:rPr>
              <w:t>DD/MM/AAAA</w:t>
            </w:r>
          </w:p>
        </w:tc>
        <w:tc>
          <w:tcPr>
            <w:tcW w:w="2145" w:type="pct"/>
            <w:gridSpan w:val="17"/>
            <w:tcBorders>
              <w:top w:val="single" w:sz="6" w:space="0" w:color="auto"/>
              <w:left w:val="single" w:sz="6" w:space="0" w:color="auto"/>
              <w:bottom w:val="single" w:sz="6" w:space="0" w:color="auto"/>
              <w:right w:val="single" w:sz="6" w:space="0" w:color="auto"/>
            </w:tcBorders>
            <w:shd w:val="clear" w:color="auto" w:fill="FFFFFF"/>
          </w:tcPr>
          <w:p w14:paraId="76881435" w14:textId="77777777" w:rsidR="00A25BF3" w:rsidRPr="00852E26" w:rsidRDefault="00A25BF3" w:rsidP="00AB402E">
            <w:pPr>
              <w:pStyle w:val="Texto"/>
              <w:spacing w:after="0" w:line="276" w:lineRule="auto"/>
              <w:ind w:firstLine="0"/>
              <w:jc w:val="center"/>
              <w:rPr>
                <w:szCs w:val="18"/>
              </w:rPr>
            </w:pPr>
            <w:r w:rsidRPr="00D439F7">
              <w:rPr>
                <w:noProof/>
                <w:sz w:val="40"/>
                <w:szCs w:val="40"/>
              </w:rPr>
              <w:t>□</w:t>
            </w:r>
            <w:r w:rsidRPr="00D439F7">
              <w:rPr>
                <w:sz w:val="40"/>
                <w:szCs w:val="40"/>
              </w:rPr>
              <w:t xml:space="preserve"> </w:t>
            </w:r>
            <w:r w:rsidRPr="00852E26">
              <w:rPr>
                <w:szCs w:val="18"/>
              </w:rPr>
              <w:t>Alcance</w:t>
            </w:r>
          </w:p>
          <w:p w14:paraId="5D7C3262" w14:textId="77777777" w:rsidR="00A25BF3" w:rsidRPr="00852E26" w:rsidRDefault="00A25BF3" w:rsidP="00AB402E">
            <w:pPr>
              <w:pStyle w:val="Texto"/>
              <w:spacing w:after="0" w:line="276" w:lineRule="auto"/>
              <w:ind w:firstLine="0"/>
              <w:jc w:val="left"/>
              <w:rPr>
                <w:noProof/>
                <w:szCs w:val="18"/>
              </w:rPr>
            </w:pPr>
            <w:r w:rsidRPr="00852E26">
              <w:rPr>
                <w:noProof/>
                <w:szCs w:val="18"/>
              </w:rPr>
              <w:t>Folio de Acuse: ______________________________</w:t>
            </w:r>
          </w:p>
          <w:p w14:paraId="00A5C0A2" w14:textId="77777777" w:rsidR="00A25BF3" w:rsidRPr="00852E26" w:rsidRDefault="00A25BF3" w:rsidP="00AB402E">
            <w:pPr>
              <w:pStyle w:val="Texto"/>
              <w:spacing w:after="0" w:line="276" w:lineRule="auto"/>
              <w:ind w:firstLine="0"/>
              <w:jc w:val="left"/>
              <w:rPr>
                <w:noProof/>
                <w:szCs w:val="18"/>
              </w:rPr>
            </w:pPr>
          </w:p>
          <w:p w14:paraId="71DBB0F5" w14:textId="77777777" w:rsidR="00A25BF3" w:rsidRPr="00852E26" w:rsidRDefault="00A25BF3" w:rsidP="00AB402E">
            <w:pPr>
              <w:pStyle w:val="Texto"/>
              <w:spacing w:after="0" w:line="276" w:lineRule="auto"/>
              <w:ind w:firstLine="0"/>
              <w:jc w:val="left"/>
              <w:rPr>
                <w:noProof/>
                <w:szCs w:val="18"/>
              </w:rPr>
            </w:pPr>
            <w:r w:rsidRPr="00852E26">
              <w:rPr>
                <w:noProof/>
                <w:szCs w:val="18"/>
              </w:rPr>
              <w:t xml:space="preserve">Fecha de Acuse: </w:t>
            </w:r>
          </w:p>
          <w:p w14:paraId="1420AA5B" w14:textId="77777777" w:rsidR="00A25BF3" w:rsidRPr="00852E26" w:rsidRDefault="00A25BF3" w:rsidP="00AB402E">
            <w:pPr>
              <w:pStyle w:val="Texto"/>
              <w:spacing w:after="0" w:line="276" w:lineRule="auto"/>
              <w:ind w:firstLine="0"/>
              <w:jc w:val="left"/>
              <w:rPr>
                <w:noProof/>
                <w:szCs w:val="18"/>
              </w:rPr>
            </w:pPr>
            <w:r w:rsidRPr="00852E26">
              <w:rPr>
                <w:noProof/>
                <w:szCs w:val="18"/>
              </w:rPr>
              <w:t>______________________________</w:t>
            </w:r>
          </w:p>
          <w:p w14:paraId="4434341C" w14:textId="77777777" w:rsidR="00A25BF3" w:rsidRPr="00852E26" w:rsidRDefault="00A25BF3" w:rsidP="00AB402E">
            <w:pPr>
              <w:pStyle w:val="Texto"/>
              <w:spacing w:after="0" w:line="276" w:lineRule="auto"/>
              <w:ind w:firstLine="0"/>
              <w:jc w:val="center"/>
              <w:rPr>
                <w:noProof/>
                <w:szCs w:val="18"/>
              </w:rPr>
            </w:pPr>
            <w:r w:rsidRPr="00852E26">
              <w:rPr>
                <w:noProof/>
                <w:szCs w:val="18"/>
              </w:rPr>
              <w:t>DD/MM/AAAA</w:t>
            </w:r>
          </w:p>
        </w:tc>
      </w:tr>
      <w:tr w:rsidR="00A25BF3" w:rsidRPr="00852E26" w14:paraId="40FB08E5" w14:textId="77777777" w:rsidTr="00AB402E">
        <w:trPr>
          <w:trHeight w:val="20"/>
        </w:trPr>
        <w:tc>
          <w:tcPr>
            <w:tcW w:w="5000" w:type="pct"/>
            <w:gridSpan w:val="39"/>
            <w:tcBorders>
              <w:top w:val="single" w:sz="6" w:space="0" w:color="auto"/>
              <w:left w:val="single" w:sz="6" w:space="0" w:color="auto"/>
              <w:bottom w:val="single" w:sz="6" w:space="0" w:color="auto"/>
              <w:right w:val="single" w:sz="6" w:space="0" w:color="auto"/>
            </w:tcBorders>
            <w:shd w:val="clear" w:color="auto" w:fill="FFFFFF"/>
          </w:tcPr>
          <w:p w14:paraId="59482D34" w14:textId="77777777" w:rsidR="00A25BF3" w:rsidRPr="00852E26" w:rsidRDefault="00A25BF3" w:rsidP="00AB402E">
            <w:pPr>
              <w:pStyle w:val="Texto"/>
              <w:spacing w:after="0" w:line="276" w:lineRule="auto"/>
              <w:ind w:firstLine="0"/>
              <w:rPr>
                <w:noProof/>
                <w:szCs w:val="18"/>
              </w:rPr>
            </w:pPr>
          </w:p>
        </w:tc>
      </w:tr>
      <w:tr w:rsidR="00A25BF3" w:rsidRPr="00852E26" w14:paraId="4CB97568" w14:textId="77777777" w:rsidTr="0022244B">
        <w:trPr>
          <w:trHeight w:val="20"/>
        </w:trPr>
        <w:tc>
          <w:tcPr>
            <w:tcW w:w="5000" w:type="pct"/>
            <w:gridSpan w:val="39"/>
            <w:tcBorders>
              <w:top w:val="single" w:sz="6" w:space="0" w:color="auto"/>
              <w:left w:val="single" w:sz="6" w:space="0" w:color="auto"/>
              <w:bottom w:val="single" w:sz="6" w:space="0" w:color="auto"/>
              <w:right w:val="single" w:sz="6" w:space="0" w:color="auto"/>
            </w:tcBorders>
            <w:shd w:val="clear" w:color="auto" w:fill="A6A6A6" w:themeFill="background1" w:themeFillShade="A6"/>
          </w:tcPr>
          <w:p w14:paraId="79910D55" w14:textId="77777777" w:rsidR="00A25BF3" w:rsidRPr="00852E26" w:rsidRDefault="00A25BF3" w:rsidP="00AB402E">
            <w:pPr>
              <w:pStyle w:val="Texto"/>
              <w:tabs>
                <w:tab w:val="left" w:pos="2619"/>
              </w:tabs>
              <w:spacing w:after="0" w:line="276" w:lineRule="auto"/>
              <w:ind w:firstLine="0"/>
              <w:rPr>
                <w:noProof/>
                <w:szCs w:val="18"/>
              </w:rPr>
            </w:pPr>
            <w:r w:rsidRPr="00852E26">
              <w:rPr>
                <w:b/>
                <w:szCs w:val="18"/>
              </w:rPr>
              <w:t xml:space="preserve">SECCIÓN 2. </w:t>
            </w:r>
            <w:r w:rsidRPr="00852E26">
              <w:rPr>
                <w:b/>
                <w:szCs w:val="18"/>
              </w:rPr>
              <w:tab/>
              <w:t>DATOS GENERALES DEL SOLICITANTE</w:t>
            </w:r>
          </w:p>
        </w:tc>
      </w:tr>
      <w:tr w:rsidR="00A25BF3" w:rsidRPr="00852E26" w14:paraId="21D6CB17" w14:textId="77777777" w:rsidTr="0022244B">
        <w:trPr>
          <w:trHeight w:val="20"/>
        </w:trPr>
        <w:tc>
          <w:tcPr>
            <w:tcW w:w="5000" w:type="pct"/>
            <w:gridSpan w:val="39"/>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01D9F69E" w14:textId="77777777" w:rsidR="00A25BF3" w:rsidRPr="00852E26" w:rsidRDefault="00A25BF3" w:rsidP="00AB402E">
            <w:pPr>
              <w:pStyle w:val="Texto"/>
              <w:spacing w:after="0" w:line="276" w:lineRule="auto"/>
              <w:ind w:firstLine="0"/>
              <w:rPr>
                <w:b/>
                <w:szCs w:val="18"/>
              </w:rPr>
            </w:pPr>
            <w:r w:rsidRPr="00852E26">
              <w:rPr>
                <w:b/>
                <w:szCs w:val="18"/>
              </w:rPr>
              <w:t>Datos generales del prestador del servicio móvil obligado</w:t>
            </w:r>
          </w:p>
        </w:tc>
      </w:tr>
      <w:tr w:rsidR="00A25BF3" w:rsidRPr="00852E26" w14:paraId="34277F53" w14:textId="77777777" w:rsidTr="0010713E">
        <w:trPr>
          <w:trHeight w:val="20"/>
        </w:trPr>
        <w:tc>
          <w:tcPr>
            <w:tcW w:w="1688" w:type="pct"/>
            <w:gridSpan w:val="9"/>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839F3F8" w14:textId="77777777" w:rsidR="00A25BF3" w:rsidRPr="00852E26" w:rsidRDefault="00A25BF3" w:rsidP="00AB402E">
            <w:pPr>
              <w:pStyle w:val="Texto"/>
              <w:spacing w:after="0" w:line="276" w:lineRule="auto"/>
              <w:ind w:firstLine="0"/>
              <w:rPr>
                <w:b/>
                <w:szCs w:val="18"/>
              </w:rPr>
            </w:pPr>
            <w:r w:rsidRPr="00852E26">
              <w:rPr>
                <w:szCs w:val="18"/>
              </w:rPr>
              <w:t>Nombre, denominación o razón social *:</w:t>
            </w:r>
          </w:p>
        </w:tc>
        <w:tc>
          <w:tcPr>
            <w:tcW w:w="3312" w:type="pct"/>
            <w:gridSpan w:val="30"/>
            <w:tcBorders>
              <w:top w:val="single" w:sz="6" w:space="0" w:color="auto"/>
              <w:left w:val="single" w:sz="6" w:space="0" w:color="auto"/>
              <w:bottom w:val="single" w:sz="6" w:space="0" w:color="auto"/>
              <w:right w:val="single" w:sz="6" w:space="0" w:color="auto"/>
            </w:tcBorders>
          </w:tcPr>
          <w:p w14:paraId="72514DED" w14:textId="77777777" w:rsidR="00A25BF3" w:rsidRPr="00852E26" w:rsidRDefault="00A25BF3" w:rsidP="00AB402E">
            <w:pPr>
              <w:pStyle w:val="Texto"/>
              <w:spacing w:after="0" w:line="276" w:lineRule="auto"/>
              <w:ind w:firstLine="0"/>
              <w:rPr>
                <w:b/>
                <w:szCs w:val="18"/>
              </w:rPr>
            </w:pPr>
          </w:p>
        </w:tc>
      </w:tr>
      <w:tr w:rsidR="00A25BF3" w:rsidRPr="00852E26" w14:paraId="0F3DB220" w14:textId="77777777" w:rsidTr="0022244B">
        <w:trPr>
          <w:trHeight w:val="20"/>
        </w:trPr>
        <w:tc>
          <w:tcPr>
            <w:tcW w:w="5000" w:type="pct"/>
            <w:gridSpan w:val="39"/>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6A4C614D" w14:textId="77777777" w:rsidR="00A25BF3" w:rsidRPr="00852E26" w:rsidRDefault="00A25BF3" w:rsidP="00AB402E">
            <w:pPr>
              <w:pStyle w:val="Texto"/>
              <w:spacing w:after="0" w:line="276" w:lineRule="auto"/>
              <w:ind w:firstLine="0"/>
              <w:rPr>
                <w:b/>
                <w:szCs w:val="18"/>
              </w:rPr>
            </w:pPr>
            <w:r w:rsidRPr="00852E26">
              <w:rPr>
                <w:b/>
                <w:szCs w:val="18"/>
              </w:rPr>
              <w:t>Representante legal</w:t>
            </w:r>
          </w:p>
        </w:tc>
      </w:tr>
      <w:tr w:rsidR="00A25BF3" w:rsidRPr="00852E26" w14:paraId="11C397B5" w14:textId="77777777" w:rsidTr="0010713E">
        <w:trPr>
          <w:trHeight w:val="20"/>
        </w:trPr>
        <w:tc>
          <w:tcPr>
            <w:tcW w:w="1130" w:type="pct"/>
            <w:gridSpan w:val="4"/>
            <w:vMerge w:val="restart"/>
            <w:tcBorders>
              <w:top w:val="single" w:sz="6" w:space="0" w:color="auto"/>
              <w:left w:val="single" w:sz="6" w:space="0" w:color="auto"/>
              <w:right w:val="single" w:sz="6" w:space="0" w:color="auto"/>
            </w:tcBorders>
            <w:shd w:val="clear" w:color="auto" w:fill="F2F2F2" w:themeFill="background1" w:themeFillShade="F2"/>
            <w:vAlign w:val="center"/>
          </w:tcPr>
          <w:p w14:paraId="4CE71F5C" w14:textId="77777777" w:rsidR="00A25BF3" w:rsidRPr="00852E26" w:rsidRDefault="00A25BF3" w:rsidP="00AB402E">
            <w:pPr>
              <w:pStyle w:val="Texto"/>
              <w:spacing w:after="0" w:line="276" w:lineRule="auto"/>
              <w:ind w:firstLine="0"/>
              <w:rPr>
                <w:b/>
                <w:szCs w:val="18"/>
              </w:rPr>
            </w:pPr>
            <w:r w:rsidRPr="00852E26">
              <w:rPr>
                <w:szCs w:val="18"/>
              </w:rPr>
              <w:t>Nombre del Representante Legal*:</w:t>
            </w:r>
          </w:p>
        </w:tc>
        <w:tc>
          <w:tcPr>
            <w:tcW w:w="1227" w:type="pct"/>
            <w:gridSpan w:val="13"/>
            <w:tcBorders>
              <w:top w:val="single" w:sz="6" w:space="0" w:color="auto"/>
              <w:left w:val="single" w:sz="6" w:space="0" w:color="auto"/>
              <w:bottom w:val="single" w:sz="6" w:space="0" w:color="auto"/>
            </w:tcBorders>
            <w:shd w:val="clear" w:color="auto" w:fill="FFFFFF"/>
          </w:tcPr>
          <w:p w14:paraId="59AAECEE" w14:textId="77777777" w:rsidR="00A25BF3" w:rsidRPr="00852E26" w:rsidRDefault="00A25BF3" w:rsidP="00AB402E">
            <w:pPr>
              <w:pStyle w:val="Texto"/>
              <w:spacing w:after="0" w:line="276" w:lineRule="auto"/>
              <w:ind w:firstLine="0"/>
              <w:jc w:val="center"/>
              <w:rPr>
                <w:b/>
                <w:szCs w:val="18"/>
              </w:rPr>
            </w:pPr>
          </w:p>
        </w:tc>
        <w:tc>
          <w:tcPr>
            <w:tcW w:w="87" w:type="pct"/>
            <w:gridSpan w:val="2"/>
            <w:tcBorders>
              <w:top w:val="single" w:sz="6" w:space="0" w:color="auto"/>
            </w:tcBorders>
            <w:shd w:val="clear" w:color="auto" w:fill="FFFFFF"/>
          </w:tcPr>
          <w:p w14:paraId="0D503E81" w14:textId="77777777" w:rsidR="00A25BF3" w:rsidRPr="00852E26" w:rsidRDefault="00A25BF3" w:rsidP="00AB402E">
            <w:pPr>
              <w:pStyle w:val="Texto"/>
              <w:spacing w:after="0" w:line="276" w:lineRule="auto"/>
              <w:ind w:firstLine="0"/>
              <w:jc w:val="center"/>
              <w:rPr>
                <w:b/>
                <w:szCs w:val="18"/>
              </w:rPr>
            </w:pPr>
          </w:p>
        </w:tc>
        <w:tc>
          <w:tcPr>
            <w:tcW w:w="1402" w:type="pct"/>
            <w:gridSpan w:val="10"/>
            <w:tcBorders>
              <w:top w:val="single" w:sz="6" w:space="0" w:color="auto"/>
              <w:bottom w:val="single" w:sz="6" w:space="0" w:color="auto"/>
            </w:tcBorders>
            <w:shd w:val="clear" w:color="auto" w:fill="FFFFFF"/>
          </w:tcPr>
          <w:p w14:paraId="5A7A9EBF" w14:textId="77777777" w:rsidR="00A25BF3" w:rsidRPr="00852E26" w:rsidRDefault="00A25BF3" w:rsidP="00AB402E">
            <w:pPr>
              <w:pStyle w:val="Texto"/>
              <w:spacing w:after="0" w:line="276" w:lineRule="auto"/>
              <w:ind w:firstLine="0"/>
              <w:jc w:val="center"/>
              <w:rPr>
                <w:b/>
                <w:szCs w:val="18"/>
              </w:rPr>
            </w:pPr>
          </w:p>
        </w:tc>
        <w:tc>
          <w:tcPr>
            <w:tcW w:w="154" w:type="pct"/>
            <w:gridSpan w:val="2"/>
            <w:tcBorders>
              <w:top w:val="single" w:sz="6" w:space="0" w:color="auto"/>
            </w:tcBorders>
            <w:shd w:val="clear" w:color="auto" w:fill="FFFFFF"/>
          </w:tcPr>
          <w:p w14:paraId="2D28F4F5" w14:textId="77777777" w:rsidR="00A25BF3" w:rsidRPr="00852E26" w:rsidRDefault="00A25BF3" w:rsidP="00AB402E">
            <w:pPr>
              <w:pStyle w:val="Texto"/>
              <w:spacing w:after="0" w:line="276" w:lineRule="auto"/>
              <w:ind w:firstLine="0"/>
              <w:jc w:val="center"/>
              <w:rPr>
                <w:b/>
                <w:szCs w:val="18"/>
              </w:rPr>
            </w:pPr>
          </w:p>
        </w:tc>
        <w:tc>
          <w:tcPr>
            <w:tcW w:w="1000" w:type="pct"/>
            <w:gridSpan w:val="8"/>
            <w:tcBorders>
              <w:top w:val="single" w:sz="6" w:space="0" w:color="auto"/>
              <w:bottom w:val="single" w:sz="6" w:space="0" w:color="auto"/>
              <w:right w:val="single" w:sz="6" w:space="0" w:color="auto"/>
            </w:tcBorders>
            <w:shd w:val="clear" w:color="auto" w:fill="FFFFFF"/>
          </w:tcPr>
          <w:p w14:paraId="174A203E" w14:textId="77777777" w:rsidR="00A25BF3" w:rsidRPr="00852E26" w:rsidRDefault="00A25BF3" w:rsidP="00AB402E">
            <w:pPr>
              <w:pStyle w:val="Texto"/>
              <w:spacing w:after="0" w:line="276" w:lineRule="auto"/>
              <w:ind w:firstLine="0"/>
              <w:jc w:val="center"/>
              <w:rPr>
                <w:b/>
                <w:szCs w:val="18"/>
              </w:rPr>
            </w:pPr>
          </w:p>
        </w:tc>
      </w:tr>
      <w:tr w:rsidR="00A25BF3" w:rsidRPr="00852E26" w14:paraId="0B9965DE" w14:textId="77777777" w:rsidTr="0010713E">
        <w:trPr>
          <w:trHeight w:val="20"/>
        </w:trPr>
        <w:tc>
          <w:tcPr>
            <w:tcW w:w="1130" w:type="pct"/>
            <w:gridSpan w:val="4"/>
            <w:vMerge/>
            <w:tcBorders>
              <w:left w:val="single" w:sz="6" w:space="0" w:color="auto"/>
              <w:bottom w:val="single" w:sz="6" w:space="0" w:color="auto"/>
              <w:right w:val="single" w:sz="6" w:space="0" w:color="auto"/>
            </w:tcBorders>
            <w:shd w:val="clear" w:color="auto" w:fill="F2F2F2" w:themeFill="background1" w:themeFillShade="F2"/>
          </w:tcPr>
          <w:p w14:paraId="179FC28A" w14:textId="77777777" w:rsidR="00A25BF3" w:rsidRPr="00852E26" w:rsidRDefault="00A25BF3" w:rsidP="00AB402E">
            <w:pPr>
              <w:pStyle w:val="Texto"/>
              <w:spacing w:after="0" w:line="276" w:lineRule="auto"/>
              <w:ind w:firstLine="0"/>
              <w:rPr>
                <w:b/>
                <w:szCs w:val="18"/>
              </w:rPr>
            </w:pPr>
          </w:p>
        </w:tc>
        <w:tc>
          <w:tcPr>
            <w:tcW w:w="1227" w:type="pct"/>
            <w:gridSpan w:val="13"/>
            <w:tcBorders>
              <w:top w:val="single" w:sz="6" w:space="0" w:color="auto"/>
              <w:left w:val="single" w:sz="6" w:space="0" w:color="auto"/>
              <w:bottom w:val="single" w:sz="6" w:space="0" w:color="auto"/>
            </w:tcBorders>
            <w:shd w:val="clear" w:color="auto" w:fill="FFFFFF"/>
          </w:tcPr>
          <w:p w14:paraId="66F6DC0E" w14:textId="77777777" w:rsidR="00A25BF3" w:rsidRPr="00852E26" w:rsidRDefault="00A25BF3" w:rsidP="00AB402E">
            <w:pPr>
              <w:pStyle w:val="Texto"/>
              <w:spacing w:after="0" w:line="276" w:lineRule="auto"/>
              <w:ind w:firstLine="0"/>
              <w:jc w:val="center"/>
              <w:rPr>
                <w:b/>
                <w:szCs w:val="18"/>
              </w:rPr>
            </w:pPr>
            <w:r w:rsidRPr="00852E26">
              <w:rPr>
                <w:szCs w:val="18"/>
              </w:rPr>
              <w:t>Nombre (s)</w:t>
            </w:r>
          </w:p>
        </w:tc>
        <w:tc>
          <w:tcPr>
            <w:tcW w:w="87" w:type="pct"/>
            <w:gridSpan w:val="2"/>
            <w:tcBorders>
              <w:bottom w:val="single" w:sz="6" w:space="0" w:color="auto"/>
            </w:tcBorders>
            <w:shd w:val="clear" w:color="auto" w:fill="FFFFFF"/>
          </w:tcPr>
          <w:p w14:paraId="27650092" w14:textId="77777777" w:rsidR="00A25BF3" w:rsidRPr="00852E26" w:rsidRDefault="00A25BF3" w:rsidP="00AB402E">
            <w:pPr>
              <w:pStyle w:val="Texto"/>
              <w:spacing w:after="0" w:line="276" w:lineRule="auto"/>
              <w:ind w:firstLine="0"/>
              <w:jc w:val="center"/>
              <w:rPr>
                <w:b/>
                <w:szCs w:val="18"/>
              </w:rPr>
            </w:pPr>
          </w:p>
        </w:tc>
        <w:tc>
          <w:tcPr>
            <w:tcW w:w="1402" w:type="pct"/>
            <w:gridSpan w:val="10"/>
            <w:tcBorders>
              <w:top w:val="single" w:sz="6" w:space="0" w:color="auto"/>
              <w:bottom w:val="single" w:sz="6" w:space="0" w:color="auto"/>
            </w:tcBorders>
            <w:shd w:val="clear" w:color="auto" w:fill="FFFFFF"/>
          </w:tcPr>
          <w:p w14:paraId="68D3A1B3" w14:textId="77777777" w:rsidR="00A25BF3" w:rsidRPr="00852E26" w:rsidRDefault="00A25BF3" w:rsidP="00AB402E">
            <w:pPr>
              <w:pStyle w:val="Texto"/>
              <w:spacing w:after="0" w:line="276" w:lineRule="auto"/>
              <w:ind w:firstLine="0"/>
              <w:jc w:val="center"/>
              <w:rPr>
                <w:b/>
                <w:szCs w:val="18"/>
              </w:rPr>
            </w:pPr>
            <w:r w:rsidRPr="00852E26">
              <w:rPr>
                <w:szCs w:val="18"/>
              </w:rPr>
              <w:t>Primer apellido</w:t>
            </w:r>
          </w:p>
        </w:tc>
        <w:tc>
          <w:tcPr>
            <w:tcW w:w="154" w:type="pct"/>
            <w:gridSpan w:val="2"/>
            <w:tcBorders>
              <w:bottom w:val="single" w:sz="6" w:space="0" w:color="auto"/>
            </w:tcBorders>
            <w:shd w:val="clear" w:color="auto" w:fill="FFFFFF"/>
          </w:tcPr>
          <w:p w14:paraId="19EF46DE" w14:textId="77777777" w:rsidR="00A25BF3" w:rsidRPr="00852E26" w:rsidRDefault="00A25BF3" w:rsidP="00AB402E">
            <w:pPr>
              <w:pStyle w:val="Texto"/>
              <w:spacing w:after="0" w:line="276" w:lineRule="auto"/>
              <w:ind w:firstLine="0"/>
              <w:jc w:val="center"/>
              <w:rPr>
                <w:b/>
                <w:szCs w:val="18"/>
              </w:rPr>
            </w:pPr>
          </w:p>
        </w:tc>
        <w:tc>
          <w:tcPr>
            <w:tcW w:w="1000" w:type="pct"/>
            <w:gridSpan w:val="8"/>
            <w:tcBorders>
              <w:top w:val="single" w:sz="6" w:space="0" w:color="auto"/>
              <w:bottom w:val="single" w:sz="6" w:space="0" w:color="auto"/>
              <w:right w:val="single" w:sz="4" w:space="0" w:color="auto"/>
            </w:tcBorders>
            <w:shd w:val="clear" w:color="auto" w:fill="FFFFFF"/>
          </w:tcPr>
          <w:p w14:paraId="0B7E6946" w14:textId="77777777" w:rsidR="00A25BF3" w:rsidRPr="00852E26" w:rsidRDefault="00A25BF3" w:rsidP="00AB402E">
            <w:pPr>
              <w:pStyle w:val="Texto"/>
              <w:spacing w:after="0" w:line="276" w:lineRule="auto"/>
              <w:ind w:firstLine="0"/>
              <w:jc w:val="center"/>
              <w:rPr>
                <w:b/>
                <w:szCs w:val="18"/>
              </w:rPr>
            </w:pPr>
            <w:r w:rsidRPr="00852E26">
              <w:rPr>
                <w:szCs w:val="18"/>
              </w:rPr>
              <w:t>Segundo apellido</w:t>
            </w:r>
          </w:p>
        </w:tc>
      </w:tr>
      <w:tr w:rsidR="00A25BF3" w:rsidRPr="00852E26" w14:paraId="065362BF" w14:textId="77777777" w:rsidTr="0022244B">
        <w:trPr>
          <w:trHeight w:val="20"/>
        </w:trPr>
        <w:tc>
          <w:tcPr>
            <w:tcW w:w="5000" w:type="pct"/>
            <w:gridSpan w:val="39"/>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16E5BB69" w14:textId="77777777" w:rsidR="00A25BF3" w:rsidRPr="00852E26" w:rsidRDefault="00A25BF3" w:rsidP="00AB402E">
            <w:pPr>
              <w:pStyle w:val="Texto"/>
              <w:spacing w:after="0" w:line="276" w:lineRule="auto"/>
              <w:ind w:firstLine="0"/>
              <w:rPr>
                <w:b/>
                <w:szCs w:val="18"/>
              </w:rPr>
            </w:pPr>
            <w:r w:rsidRPr="00852E26">
              <w:rPr>
                <w:b/>
                <w:szCs w:val="18"/>
              </w:rPr>
              <w:t>Domicilio para oír y recibir notificaciones</w:t>
            </w:r>
          </w:p>
        </w:tc>
      </w:tr>
      <w:tr w:rsidR="00A25BF3" w:rsidRPr="00852E26" w14:paraId="2F11B20F" w14:textId="77777777" w:rsidTr="0010713E">
        <w:trPr>
          <w:trHeight w:val="20"/>
        </w:trPr>
        <w:tc>
          <w:tcPr>
            <w:tcW w:w="1122" w:type="pct"/>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7FFE452" w14:textId="77777777" w:rsidR="00A25BF3" w:rsidRPr="00852E26" w:rsidRDefault="00A25BF3" w:rsidP="00AB402E">
            <w:pPr>
              <w:pStyle w:val="Texto"/>
              <w:spacing w:after="0" w:line="276" w:lineRule="auto"/>
              <w:ind w:firstLine="0"/>
              <w:rPr>
                <w:b/>
                <w:szCs w:val="18"/>
              </w:rPr>
            </w:pPr>
            <w:r w:rsidRPr="00852E26">
              <w:rPr>
                <w:szCs w:val="18"/>
              </w:rPr>
              <w:t>Calle y No. exterior e interior*:</w:t>
            </w:r>
          </w:p>
        </w:tc>
        <w:tc>
          <w:tcPr>
            <w:tcW w:w="1697" w:type="pct"/>
            <w:gridSpan w:val="18"/>
            <w:tcBorders>
              <w:top w:val="single" w:sz="6" w:space="0" w:color="auto"/>
              <w:left w:val="single" w:sz="6" w:space="0" w:color="auto"/>
              <w:bottom w:val="single" w:sz="6" w:space="0" w:color="auto"/>
              <w:right w:val="single" w:sz="6" w:space="0" w:color="auto"/>
            </w:tcBorders>
            <w:shd w:val="clear" w:color="auto" w:fill="FFFFFF"/>
          </w:tcPr>
          <w:p w14:paraId="3EE6FAB3" w14:textId="77777777" w:rsidR="00A25BF3" w:rsidRPr="00852E26" w:rsidRDefault="00A25BF3" w:rsidP="00AB402E">
            <w:pPr>
              <w:pStyle w:val="Texto"/>
              <w:spacing w:after="0" w:line="276" w:lineRule="auto"/>
              <w:ind w:firstLine="0"/>
              <w:rPr>
                <w:b/>
                <w:szCs w:val="18"/>
              </w:rPr>
            </w:pPr>
          </w:p>
        </w:tc>
        <w:tc>
          <w:tcPr>
            <w:tcW w:w="586" w:type="pct"/>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E2C87DC" w14:textId="77777777" w:rsidR="00A25BF3" w:rsidRPr="00852E26" w:rsidRDefault="00A25BF3" w:rsidP="00AB402E">
            <w:pPr>
              <w:pStyle w:val="Texto"/>
              <w:spacing w:after="0" w:line="276" w:lineRule="auto"/>
              <w:ind w:firstLine="0"/>
              <w:rPr>
                <w:b/>
                <w:szCs w:val="18"/>
              </w:rPr>
            </w:pPr>
            <w:r w:rsidRPr="00852E26">
              <w:rPr>
                <w:szCs w:val="18"/>
              </w:rPr>
              <w:t>Colonia*:</w:t>
            </w:r>
          </w:p>
        </w:tc>
        <w:tc>
          <w:tcPr>
            <w:tcW w:w="1595" w:type="pct"/>
            <w:gridSpan w:val="15"/>
            <w:tcBorders>
              <w:top w:val="single" w:sz="6" w:space="0" w:color="auto"/>
              <w:left w:val="single" w:sz="6" w:space="0" w:color="auto"/>
              <w:bottom w:val="single" w:sz="6" w:space="0" w:color="auto"/>
              <w:right w:val="single" w:sz="6" w:space="0" w:color="auto"/>
            </w:tcBorders>
            <w:shd w:val="clear" w:color="auto" w:fill="FFFFFF"/>
          </w:tcPr>
          <w:p w14:paraId="4D64CCCD" w14:textId="77777777" w:rsidR="00A25BF3" w:rsidRPr="00852E26" w:rsidRDefault="00A25BF3" w:rsidP="00AB402E">
            <w:pPr>
              <w:pStyle w:val="Texto"/>
              <w:spacing w:after="0" w:line="276" w:lineRule="auto"/>
              <w:ind w:firstLine="0"/>
              <w:rPr>
                <w:b/>
                <w:szCs w:val="18"/>
              </w:rPr>
            </w:pPr>
          </w:p>
        </w:tc>
      </w:tr>
      <w:tr w:rsidR="00A25BF3" w:rsidRPr="00852E26" w14:paraId="5B1BE621" w14:textId="77777777" w:rsidTr="0010713E">
        <w:trPr>
          <w:trHeight w:val="20"/>
        </w:trPr>
        <w:tc>
          <w:tcPr>
            <w:tcW w:w="1122" w:type="pct"/>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4E8BE44" w14:textId="77777777" w:rsidR="00A25BF3" w:rsidRPr="00852E26" w:rsidRDefault="00A25BF3" w:rsidP="00AB402E">
            <w:pPr>
              <w:pStyle w:val="Texto"/>
              <w:spacing w:after="0" w:line="276" w:lineRule="auto"/>
              <w:ind w:firstLine="0"/>
              <w:rPr>
                <w:b/>
                <w:szCs w:val="18"/>
              </w:rPr>
            </w:pPr>
            <w:r w:rsidRPr="00852E26">
              <w:rPr>
                <w:szCs w:val="18"/>
              </w:rPr>
              <w:t>Municipio o Demarcación Territorial*:</w:t>
            </w:r>
          </w:p>
        </w:tc>
        <w:tc>
          <w:tcPr>
            <w:tcW w:w="1315" w:type="pct"/>
            <w:gridSpan w:val="15"/>
            <w:tcBorders>
              <w:top w:val="single" w:sz="6" w:space="0" w:color="auto"/>
              <w:left w:val="single" w:sz="6" w:space="0" w:color="auto"/>
              <w:bottom w:val="single" w:sz="6" w:space="0" w:color="auto"/>
              <w:right w:val="single" w:sz="6" w:space="0" w:color="auto"/>
            </w:tcBorders>
            <w:shd w:val="clear" w:color="auto" w:fill="FFFFFF"/>
          </w:tcPr>
          <w:p w14:paraId="7FD82837" w14:textId="77777777" w:rsidR="00A25BF3" w:rsidRPr="00852E26" w:rsidRDefault="00A25BF3" w:rsidP="00AB402E">
            <w:pPr>
              <w:pStyle w:val="Texto"/>
              <w:spacing w:after="0" w:line="276" w:lineRule="auto"/>
              <w:ind w:firstLine="0"/>
              <w:rPr>
                <w:b/>
                <w:szCs w:val="18"/>
              </w:rPr>
            </w:pPr>
          </w:p>
        </w:tc>
        <w:tc>
          <w:tcPr>
            <w:tcW w:w="968" w:type="pct"/>
            <w:gridSpan w:val="6"/>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228BCD4E" w14:textId="77777777" w:rsidR="00A25BF3" w:rsidRPr="00852E26" w:rsidRDefault="00A25BF3" w:rsidP="00AB402E">
            <w:pPr>
              <w:pStyle w:val="Texto"/>
              <w:spacing w:after="0" w:line="276" w:lineRule="auto"/>
              <w:ind w:firstLine="0"/>
              <w:rPr>
                <w:b/>
                <w:szCs w:val="18"/>
              </w:rPr>
            </w:pPr>
            <w:r w:rsidRPr="00852E26">
              <w:rPr>
                <w:szCs w:val="18"/>
              </w:rPr>
              <w:t>Entidad Federativa*:</w:t>
            </w:r>
          </w:p>
        </w:tc>
        <w:tc>
          <w:tcPr>
            <w:tcW w:w="1595" w:type="pct"/>
            <w:gridSpan w:val="15"/>
            <w:tcBorders>
              <w:top w:val="single" w:sz="6" w:space="0" w:color="auto"/>
              <w:left w:val="single" w:sz="6" w:space="0" w:color="auto"/>
              <w:bottom w:val="single" w:sz="6" w:space="0" w:color="auto"/>
              <w:right w:val="single" w:sz="6" w:space="0" w:color="auto"/>
            </w:tcBorders>
            <w:shd w:val="clear" w:color="auto" w:fill="FFFFFF"/>
          </w:tcPr>
          <w:p w14:paraId="684FDE9C" w14:textId="77777777" w:rsidR="00A25BF3" w:rsidRPr="00852E26" w:rsidRDefault="00A25BF3" w:rsidP="00AB402E">
            <w:pPr>
              <w:pStyle w:val="Texto"/>
              <w:spacing w:after="0" w:line="276" w:lineRule="auto"/>
              <w:ind w:firstLine="0"/>
              <w:rPr>
                <w:b/>
                <w:szCs w:val="18"/>
              </w:rPr>
            </w:pPr>
          </w:p>
        </w:tc>
      </w:tr>
      <w:tr w:rsidR="00A25BF3" w:rsidRPr="00852E26" w14:paraId="410A9C44" w14:textId="77777777" w:rsidTr="0010713E">
        <w:trPr>
          <w:trHeight w:val="20"/>
        </w:trPr>
        <w:tc>
          <w:tcPr>
            <w:tcW w:w="1122" w:type="pct"/>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8586990" w14:textId="77777777" w:rsidR="00A25BF3" w:rsidRPr="00852E26" w:rsidRDefault="00A25BF3" w:rsidP="00AB402E">
            <w:pPr>
              <w:pStyle w:val="Texto"/>
              <w:spacing w:after="0" w:line="276" w:lineRule="auto"/>
              <w:ind w:firstLine="0"/>
              <w:rPr>
                <w:b/>
                <w:szCs w:val="18"/>
              </w:rPr>
            </w:pPr>
            <w:r w:rsidRPr="00852E26">
              <w:rPr>
                <w:szCs w:val="18"/>
              </w:rPr>
              <w:t>Código Postal*:</w:t>
            </w:r>
          </w:p>
        </w:tc>
        <w:tc>
          <w:tcPr>
            <w:tcW w:w="1315" w:type="pct"/>
            <w:gridSpan w:val="15"/>
            <w:tcBorders>
              <w:top w:val="single" w:sz="6" w:space="0" w:color="auto"/>
              <w:left w:val="single" w:sz="6" w:space="0" w:color="auto"/>
              <w:bottom w:val="single" w:sz="6" w:space="0" w:color="auto"/>
              <w:right w:val="single" w:sz="6" w:space="0" w:color="auto"/>
            </w:tcBorders>
            <w:shd w:val="clear" w:color="auto" w:fill="FFFFFF"/>
          </w:tcPr>
          <w:p w14:paraId="52D69087" w14:textId="77777777" w:rsidR="00A25BF3" w:rsidRPr="00852E26" w:rsidRDefault="00A25BF3" w:rsidP="00AB402E">
            <w:pPr>
              <w:pStyle w:val="Texto"/>
              <w:spacing w:after="0" w:line="276" w:lineRule="auto"/>
              <w:ind w:firstLine="0"/>
              <w:rPr>
                <w:b/>
                <w:szCs w:val="18"/>
              </w:rPr>
            </w:pPr>
          </w:p>
        </w:tc>
        <w:tc>
          <w:tcPr>
            <w:tcW w:w="968" w:type="pct"/>
            <w:gridSpan w:val="6"/>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C73755F" w14:textId="77777777" w:rsidR="00A25BF3" w:rsidRPr="00852E26" w:rsidRDefault="00A25BF3" w:rsidP="00AB402E">
            <w:pPr>
              <w:pStyle w:val="Texto"/>
              <w:spacing w:after="0" w:line="276" w:lineRule="auto"/>
              <w:ind w:firstLine="0"/>
              <w:rPr>
                <w:b/>
                <w:szCs w:val="18"/>
              </w:rPr>
            </w:pPr>
            <w:r w:rsidRPr="00852E26">
              <w:rPr>
                <w:szCs w:val="18"/>
              </w:rPr>
              <w:t>Correo electrónico*:</w:t>
            </w:r>
          </w:p>
        </w:tc>
        <w:tc>
          <w:tcPr>
            <w:tcW w:w="1595" w:type="pct"/>
            <w:gridSpan w:val="15"/>
            <w:tcBorders>
              <w:top w:val="single" w:sz="6" w:space="0" w:color="auto"/>
              <w:left w:val="single" w:sz="6" w:space="0" w:color="auto"/>
              <w:bottom w:val="single" w:sz="6" w:space="0" w:color="auto"/>
              <w:right w:val="single" w:sz="6" w:space="0" w:color="auto"/>
            </w:tcBorders>
            <w:shd w:val="clear" w:color="auto" w:fill="FFFFFF"/>
          </w:tcPr>
          <w:p w14:paraId="446A6752" w14:textId="77777777" w:rsidR="00A25BF3" w:rsidRPr="00852E26" w:rsidRDefault="00A25BF3" w:rsidP="00AB402E">
            <w:pPr>
              <w:pStyle w:val="Texto"/>
              <w:spacing w:after="0" w:line="276" w:lineRule="auto"/>
              <w:ind w:firstLine="0"/>
              <w:rPr>
                <w:b/>
                <w:szCs w:val="18"/>
              </w:rPr>
            </w:pPr>
          </w:p>
        </w:tc>
      </w:tr>
      <w:tr w:rsidR="001F716D" w:rsidRPr="00852E26" w14:paraId="4276EE9C" w14:textId="77777777" w:rsidTr="007F2FD2">
        <w:trPr>
          <w:trHeight w:val="20"/>
        </w:trPr>
        <w:tc>
          <w:tcPr>
            <w:tcW w:w="977" w:type="pct"/>
            <w:vMerge w:val="restart"/>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4F19B09F" w14:textId="77777777" w:rsidR="00A25BF3" w:rsidRPr="00852E26" w:rsidRDefault="00A25BF3" w:rsidP="00AB402E">
            <w:pPr>
              <w:pStyle w:val="Texto"/>
              <w:spacing w:after="0" w:line="276" w:lineRule="auto"/>
              <w:ind w:firstLine="0"/>
              <w:rPr>
                <w:szCs w:val="18"/>
              </w:rPr>
            </w:pPr>
            <w:r w:rsidRPr="00852E26">
              <w:rPr>
                <w:szCs w:val="18"/>
              </w:rPr>
              <w:t>Teléfono fijo*:</w:t>
            </w:r>
          </w:p>
        </w:tc>
        <w:tc>
          <w:tcPr>
            <w:tcW w:w="153" w:type="pct"/>
            <w:gridSpan w:val="3"/>
            <w:tcBorders>
              <w:top w:val="single" w:sz="6" w:space="0" w:color="auto"/>
              <w:left w:val="single" w:sz="6" w:space="0" w:color="auto"/>
            </w:tcBorders>
            <w:shd w:val="clear" w:color="auto" w:fill="FFFFFF"/>
          </w:tcPr>
          <w:p w14:paraId="2799AE63" w14:textId="77777777" w:rsidR="00A25BF3" w:rsidRPr="00852E26" w:rsidRDefault="00A25BF3" w:rsidP="00AB402E">
            <w:pPr>
              <w:pStyle w:val="Texto"/>
              <w:spacing w:after="0" w:line="276" w:lineRule="auto"/>
              <w:ind w:firstLine="0"/>
              <w:rPr>
                <w:b/>
                <w:szCs w:val="18"/>
              </w:rPr>
            </w:pPr>
          </w:p>
        </w:tc>
        <w:tc>
          <w:tcPr>
            <w:tcW w:w="151" w:type="pct"/>
            <w:gridSpan w:val="2"/>
            <w:tcBorders>
              <w:top w:val="single" w:sz="6" w:space="0" w:color="auto"/>
            </w:tcBorders>
            <w:shd w:val="clear" w:color="auto" w:fill="FFFFFF"/>
          </w:tcPr>
          <w:p w14:paraId="4DC3D1A6" w14:textId="77777777" w:rsidR="00A25BF3" w:rsidRPr="00852E26" w:rsidRDefault="00A25BF3" w:rsidP="00AB402E">
            <w:pPr>
              <w:pStyle w:val="Texto"/>
              <w:spacing w:after="0" w:line="276" w:lineRule="auto"/>
              <w:ind w:firstLine="0"/>
              <w:rPr>
                <w:b/>
                <w:szCs w:val="18"/>
              </w:rPr>
            </w:pPr>
          </w:p>
        </w:tc>
        <w:tc>
          <w:tcPr>
            <w:tcW w:w="168" w:type="pct"/>
            <w:tcBorders>
              <w:top w:val="single" w:sz="6" w:space="0" w:color="auto"/>
            </w:tcBorders>
            <w:shd w:val="clear" w:color="auto" w:fill="FFFFFF"/>
          </w:tcPr>
          <w:p w14:paraId="6C4EA44B" w14:textId="77777777" w:rsidR="00A25BF3" w:rsidRPr="00852E26" w:rsidRDefault="00A25BF3" w:rsidP="00AB402E">
            <w:pPr>
              <w:pStyle w:val="Texto"/>
              <w:spacing w:after="0" w:line="276" w:lineRule="auto"/>
              <w:ind w:firstLine="0"/>
              <w:rPr>
                <w:b/>
                <w:szCs w:val="18"/>
              </w:rPr>
            </w:pPr>
          </w:p>
        </w:tc>
        <w:tc>
          <w:tcPr>
            <w:tcW w:w="135" w:type="pct"/>
            <w:tcBorders>
              <w:top w:val="single" w:sz="6" w:space="0" w:color="auto"/>
            </w:tcBorders>
            <w:shd w:val="clear" w:color="auto" w:fill="FFFFFF"/>
          </w:tcPr>
          <w:p w14:paraId="2001CD08" w14:textId="77777777" w:rsidR="00A25BF3" w:rsidRPr="00852E26" w:rsidRDefault="00A25BF3" w:rsidP="00AB402E">
            <w:pPr>
              <w:pStyle w:val="Texto"/>
              <w:spacing w:after="0" w:line="276" w:lineRule="auto"/>
              <w:ind w:firstLine="0"/>
              <w:rPr>
                <w:b/>
                <w:szCs w:val="18"/>
              </w:rPr>
            </w:pPr>
          </w:p>
        </w:tc>
        <w:tc>
          <w:tcPr>
            <w:tcW w:w="185" w:type="pct"/>
            <w:gridSpan w:val="2"/>
            <w:tcBorders>
              <w:top w:val="single" w:sz="6" w:space="0" w:color="auto"/>
            </w:tcBorders>
            <w:shd w:val="clear" w:color="auto" w:fill="FFFFFF"/>
          </w:tcPr>
          <w:p w14:paraId="00236215" w14:textId="77777777" w:rsidR="00A25BF3" w:rsidRPr="00852E26" w:rsidRDefault="00A25BF3" w:rsidP="00AB402E">
            <w:pPr>
              <w:pStyle w:val="Texto"/>
              <w:spacing w:after="0" w:line="276" w:lineRule="auto"/>
              <w:ind w:firstLine="0"/>
              <w:rPr>
                <w:b/>
                <w:szCs w:val="18"/>
              </w:rPr>
            </w:pPr>
          </w:p>
        </w:tc>
        <w:tc>
          <w:tcPr>
            <w:tcW w:w="135" w:type="pct"/>
            <w:tcBorders>
              <w:top w:val="single" w:sz="6" w:space="0" w:color="auto"/>
            </w:tcBorders>
            <w:shd w:val="clear" w:color="auto" w:fill="FFFFFF"/>
          </w:tcPr>
          <w:p w14:paraId="68767F9E" w14:textId="77777777" w:rsidR="00A25BF3" w:rsidRPr="00852E26" w:rsidRDefault="00A25BF3" w:rsidP="00AB402E">
            <w:pPr>
              <w:pStyle w:val="Texto"/>
              <w:spacing w:after="0" w:line="276" w:lineRule="auto"/>
              <w:ind w:firstLine="0"/>
              <w:rPr>
                <w:b/>
                <w:szCs w:val="18"/>
              </w:rPr>
            </w:pPr>
          </w:p>
        </w:tc>
        <w:tc>
          <w:tcPr>
            <w:tcW w:w="135" w:type="pct"/>
            <w:tcBorders>
              <w:top w:val="single" w:sz="6" w:space="0" w:color="auto"/>
            </w:tcBorders>
            <w:shd w:val="clear" w:color="auto" w:fill="FFFFFF"/>
          </w:tcPr>
          <w:p w14:paraId="250AAEE3" w14:textId="77777777" w:rsidR="00A25BF3" w:rsidRPr="00852E26" w:rsidRDefault="00A25BF3" w:rsidP="00AB402E">
            <w:pPr>
              <w:pStyle w:val="Texto"/>
              <w:spacing w:after="0" w:line="276" w:lineRule="auto"/>
              <w:ind w:firstLine="0"/>
              <w:rPr>
                <w:b/>
                <w:szCs w:val="18"/>
              </w:rPr>
            </w:pPr>
          </w:p>
        </w:tc>
        <w:tc>
          <w:tcPr>
            <w:tcW w:w="136" w:type="pct"/>
            <w:tcBorders>
              <w:top w:val="single" w:sz="6" w:space="0" w:color="auto"/>
            </w:tcBorders>
            <w:shd w:val="clear" w:color="auto" w:fill="FFFFFF"/>
          </w:tcPr>
          <w:p w14:paraId="25E3FE34" w14:textId="77777777" w:rsidR="00A25BF3" w:rsidRPr="00852E26" w:rsidRDefault="00A25BF3" w:rsidP="00AB402E">
            <w:pPr>
              <w:pStyle w:val="Texto"/>
              <w:spacing w:after="0" w:line="276" w:lineRule="auto"/>
              <w:ind w:firstLine="0"/>
              <w:rPr>
                <w:b/>
                <w:szCs w:val="18"/>
              </w:rPr>
            </w:pPr>
          </w:p>
        </w:tc>
        <w:tc>
          <w:tcPr>
            <w:tcW w:w="136" w:type="pct"/>
            <w:gridSpan w:val="2"/>
            <w:tcBorders>
              <w:top w:val="single" w:sz="6" w:space="0" w:color="auto"/>
            </w:tcBorders>
            <w:shd w:val="clear" w:color="auto" w:fill="FFFFFF"/>
          </w:tcPr>
          <w:p w14:paraId="369BCC29" w14:textId="77777777" w:rsidR="00A25BF3" w:rsidRPr="00852E26" w:rsidRDefault="00A25BF3" w:rsidP="00AB402E">
            <w:pPr>
              <w:pStyle w:val="Texto"/>
              <w:spacing w:after="0" w:line="276" w:lineRule="auto"/>
              <w:ind w:firstLine="0"/>
              <w:rPr>
                <w:b/>
                <w:szCs w:val="18"/>
              </w:rPr>
            </w:pPr>
          </w:p>
        </w:tc>
        <w:tc>
          <w:tcPr>
            <w:tcW w:w="127" w:type="pct"/>
            <w:gridSpan w:val="3"/>
            <w:tcBorders>
              <w:top w:val="single" w:sz="6" w:space="0" w:color="auto"/>
              <w:right w:val="single" w:sz="6" w:space="0" w:color="auto"/>
            </w:tcBorders>
            <w:shd w:val="clear" w:color="auto" w:fill="FFFFFF"/>
          </w:tcPr>
          <w:p w14:paraId="11F40E60" w14:textId="77777777" w:rsidR="00A25BF3" w:rsidRPr="00852E26" w:rsidRDefault="00A25BF3" w:rsidP="00AB402E">
            <w:pPr>
              <w:pStyle w:val="Texto"/>
              <w:spacing w:after="0" w:line="276" w:lineRule="auto"/>
              <w:ind w:firstLine="0"/>
              <w:rPr>
                <w:b/>
                <w:szCs w:val="18"/>
              </w:rPr>
            </w:pPr>
          </w:p>
        </w:tc>
        <w:tc>
          <w:tcPr>
            <w:tcW w:w="968" w:type="pct"/>
            <w:gridSpan w:val="6"/>
            <w:vMerge w:val="restart"/>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5AD8254E" w14:textId="77777777" w:rsidR="00A25BF3" w:rsidRPr="00852E26" w:rsidRDefault="00A25BF3" w:rsidP="00AB402E">
            <w:pPr>
              <w:pStyle w:val="Texto"/>
              <w:spacing w:after="0" w:line="276" w:lineRule="auto"/>
              <w:ind w:firstLine="0"/>
              <w:rPr>
                <w:szCs w:val="18"/>
              </w:rPr>
            </w:pPr>
            <w:r w:rsidRPr="00852E26">
              <w:rPr>
                <w:szCs w:val="18"/>
              </w:rPr>
              <w:t>Teléfono móvil:</w:t>
            </w:r>
          </w:p>
        </w:tc>
        <w:tc>
          <w:tcPr>
            <w:tcW w:w="159" w:type="pct"/>
            <w:tcBorders>
              <w:top w:val="single" w:sz="6" w:space="0" w:color="auto"/>
              <w:left w:val="single" w:sz="6" w:space="0" w:color="auto"/>
            </w:tcBorders>
            <w:shd w:val="clear" w:color="auto" w:fill="FFFFFF"/>
          </w:tcPr>
          <w:p w14:paraId="311C1686" w14:textId="77777777" w:rsidR="00A25BF3" w:rsidRPr="00852E26" w:rsidRDefault="00A25BF3" w:rsidP="00AB402E">
            <w:pPr>
              <w:pStyle w:val="Texto"/>
              <w:spacing w:after="0" w:line="276" w:lineRule="auto"/>
              <w:ind w:firstLine="0"/>
              <w:rPr>
                <w:b/>
                <w:szCs w:val="18"/>
              </w:rPr>
            </w:pPr>
          </w:p>
        </w:tc>
        <w:tc>
          <w:tcPr>
            <w:tcW w:w="162" w:type="pct"/>
            <w:gridSpan w:val="3"/>
            <w:tcBorders>
              <w:top w:val="single" w:sz="6" w:space="0" w:color="auto"/>
            </w:tcBorders>
            <w:shd w:val="clear" w:color="auto" w:fill="FFFFFF"/>
          </w:tcPr>
          <w:p w14:paraId="1D98EFD1" w14:textId="77777777" w:rsidR="00A25BF3" w:rsidRPr="00852E26" w:rsidRDefault="00A25BF3" w:rsidP="00AB402E">
            <w:pPr>
              <w:pStyle w:val="Texto"/>
              <w:spacing w:after="0" w:line="276" w:lineRule="auto"/>
              <w:ind w:firstLine="0"/>
              <w:rPr>
                <w:b/>
                <w:szCs w:val="18"/>
              </w:rPr>
            </w:pPr>
          </w:p>
        </w:tc>
        <w:tc>
          <w:tcPr>
            <w:tcW w:w="159" w:type="pct"/>
            <w:gridSpan w:val="2"/>
            <w:tcBorders>
              <w:top w:val="single" w:sz="6" w:space="0" w:color="auto"/>
            </w:tcBorders>
            <w:shd w:val="clear" w:color="auto" w:fill="FFFFFF"/>
          </w:tcPr>
          <w:p w14:paraId="0F34F64D" w14:textId="77777777" w:rsidR="00A25BF3" w:rsidRPr="00852E26" w:rsidRDefault="00A25BF3" w:rsidP="00AB402E">
            <w:pPr>
              <w:pStyle w:val="Texto"/>
              <w:spacing w:after="0" w:line="276" w:lineRule="auto"/>
              <w:ind w:firstLine="0"/>
              <w:rPr>
                <w:b/>
                <w:szCs w:val="18"/>
              </w:rPr>
            </w:pPr>
          </w:p>
        </w:tc>
        <w:tc>
          <w:tcPr>
            <w:tcW w:w="159" w:type="pct"/>
            <w:gridSpan w:val="2"/>
            <w:tcBorders>
              <w:top w:val="single" w:sz="6" w:space="0" w:color="auto"/>
            </w:tcBorders>
            <w:shd w:val="clear" w:color="auto" w:fill="FFFFFF"/>
          </w:tcPr>
          <w:p w14:paraId="7DD9A57C" w14:textId="77777777" w:rsidR="00A25BF3" w:rsidRPr="00852E26" w:rsidRDefault="00A25BF3" w:rsidP="00AB402E">
            <w:pPr>
              <w:pStyle w:val="Texto"/>
              <w:spacing w:after="0" w:line="276" w:lineRule="auto"/>
              <w:ind w:firstLine="0"/>
              <w:rPr>
                <w:b/>
                <w:szCs w:val="18"/>
              </w:rPr>
            </w:pPr>
          </w:p>
        </w:tc>
        <w:tc>
          <w:tcPr>
            <w:tcW w:w="159" w:type="pct"/>
            <w:tcBorders>
              <w:top w:val="single" w:sz="6" w:space="0" w:color="auto"/>
            </w:tcBorders>
            <w:shd w:val="clear" w:color="auto" w:fill="FFFFFF"/>
          </w:tcPr>
          <w:p w14:paraId="21AE8B1F" w14:textId="77777777" w:rsidR="00A25BF3" w:rsidRPr="00852E26" w:rsidRDefault="00A25BF3" w:rsidP="00AB402E">
            <w:pPr>
              <w:pStyle w:val="Texto"/>
              <w:spacing w:after="0" w:line="276" w:lineRule="auto"/>
              <w:ind w:firstLine="0"/>
              <w:rPr>
                <w:b/>
                <w:szCs w:val="18"/>
              </w:rPr>
            </w:pPr>
          </w:p>
        </w:tc>
        <w:tc>
          <w:tcPr>
            <w:tcW w:w="158" w:type="pct"/>
            <w:tcBorders>
              <w:top w:val="single" w:sz="6" w:space="0" w:color="auto"/>
            </w:tcBorders>
            <w:shd w:val="clear" w:color="auto" w:fill="FFFFFF"/>
          </w:tcPr>
          <w:p w14:paraId="401BEE84" w14:textId="77777777" w:rsidR="00A25BF3" w:rsidRPr="00852E26" w:rsidRDefault="00A25BF3" w:rsidP="00AB402E">
            <w:pPr>
              <w:pStyle w:val="Texto"/>
              <w:spacing w:after="0" w:line="276" w:lineRule="auto"/>
              <w:ind w:firstLine="0"/>
              <w:rPr>
                <w:b/>
                <w:szCs w:val="18"/>
              </w:rPr>
            </w:pPr>
          </w:p>
        </w:tc>
        <w:tc>
          <w:tcPr>
            <w:tcW w:w="158" w:type="pct"/>
            <w:tcBorders>
              <w:top w:val="single" w:sz="6" w:space="0" w:color="auto"/>
            </w:tcBorders>
            <w:shd w:val="clear" w:color="auto" w:fill="FFFFFF"/>
          </w:tcPr>
          <w:p w14:paraId="0A9A1805" w14:textId="77777777" w:rsidR="00A25BF3" w:rsidRPr="00852E26" w:rsidRDefault="00A25BF3" w:rsidP="00AB402E">
            <w:pPr>
              <w:pStyle w:val="Texto"/>
              <w:spacing w:after="0" w:line="276" w:lineRule="auto"/>
              <w:ind w:firstLine="0"/>
              <w:rPr>
                <w:b/>
                <w:szCs w:val="18"/>
              </w:rPr>
            </w:pPr>
          </w:p>
        </w:tc>
        <w:tc>
          <w:tcPr>
            <w:tcW w:w="158" w:type="pct"/>
            <w:tcBorders>
              <w:top w:val="single" w:sz="6" w:space="0" w:color="auto"/>
            </w:tcBorders>
            <w:shd w:val="clear" w:color="auto" w:fill="FFFFFF"/>
          </w:tcPr>
          <w:p w14:paraId="54983807" w14:textId="77777777" w:rsidR="00A25BF3" w:rsidRPr="00852E26" w:rsidRDefault="00A25BF3" w:rsidP="00AB402E">
            <w:pPr>
              <w:pStyle w:val="Texto"/>
              <w:spacing w:after="0" w:line="276" w:lineRule="auto"/>
              <w:ind w:firstLine="0"/>
              <w:rPr>
                <w:b/>
                <w:szCs w:val="18"/>
              </w:rPr>
            </w:pPr>
          </w:p>
        </w:tc>
        <w:tc>
          <w:tcPr>
            <w:tcW w:w="158" w:type="pct"/>
            <w:gridSpan w:val="2"/>
            <w:tcBorders>
              <w:top w:val="single" w:sz="6" w:space="0" w:color="auto"/>
            </w:tcBorders>
            <w:shd w:val="clear" w:color="auto" w:fill="FFFFFF"/>
          </w:tcPr>
          <w:p w14:paraId="6EAA57EE" w14:textId="77777777" w:rsidR="00A25BF3" w:rsidRPr="00852E26" w:rsidRDefault="00A25BF3" w:rsidP="00AB402E">
            <w:pPr>
              <w:pStyle w:val="Texto"/>
              <w:spacing w:after="0" w:line="276" w:lineRule="auto"/>
              <w:ind w:firstLine="0"/>
              <w:rPr>
                <w:b/>
                <w:szCs w:val="18"/>
              </w:rPr>
            </w:pPr>
          </w:p>
        </w:tc>
        <w:tc>
          <w:tcPr>
            <w:tcW w:w="164" w:type="pct"/>
            <w:tcBorders>
              <w:top w:val="single" w:sz="6" w:space="0" w:color="auto"/>
              <w:right w:val="single" w:sz="6" w:space="0" w:color="auto"/>
            </w:tcBorders>
            <w:shd w:val="clear" w:color="auto" w:fill="FFFFFF"/>
          </w:tcPr>
          <w:p w14:paraId="17FC3B2D" w14:textId="77777777" w:rsidR="00A25BF3" w:rsidRPr="00852E26" w:rsidRDefault="00A25BF3" w:rsidP="00AB402E">
            <w:pPr>
              <w:pStyle w:val="Texto"/>
              <w:spacing w:after="0" w:line="276" w:lineRule="auto"/>
              <w:ind w:firstLine="0"/>
              <w:rPr>
                <w:b/>
                <w:szCs w:val="18"/>
              </w:rPr>
            </w:pPr>
          </w:p>
        </w:tc>
      </w:tr>
      <w:tr w:rsidR="001F716D" w:rsidRPr="00852E26" w14:paraId="1035E616" w14:textId="77777777" w:rsidTr="007F2FD2">
        <w:trPr>
          <w:trHeight w:val="20"/>
        </w:trPr>
        <w:tc>
          <w:tcPr>
            <w:tcW w:w="977" w:type="pct"/>
            <w:vMerge/>
            <w:tcBorders>
              <w:left w:val="single" w:sz="6" w:space="0" w:color="auto"/>
              <w:bottom w:val="single" w:sz="6" w:space="0" w:color="auto"/>
              <w:right w:val="single" w:sz="6" w:space="0" w:color="auto"/>
            </w:tcBorders>
            <w:shd w:val="clear" w:color="auto" w:fill="F2F2F2" w:themeFill="background1" w:themeFillShade="F2"/>
          </w:tcPr>
          <w:p w14:paraId="67ACB887" w14:textId="77777777" w:rsidR="00A25BF3" w:rsidRPr="00852E26" w:rsidRDefault="00A25BF3" w:rsidP="00AB402E">
            <w:pPr>
              <w:pStyle w:val="Texto"/>
              <w:spacing w:after="0" w:line="276" w:lineRule="auto"/>
              <w:ind w:firstLine="0"/>
              <w:rPr>
                <w:szCs w:val="18"/>
              </w:rPr>
            </w:pPr>
          </w:p>
        </w:tc>
        <w:tc>
          <w:tcPr>
            <w:tcW w:w="153" w:type="pct"/>
            <w:gridSpan w:val="3"/>
            <w:tcBorders>
              <w:left w:val="single" w:sz="6" w:space="0" w:color="auto"/>
              <w:bottom w:val="single" w:sz="6" w:space="0" w:color="auto"/>
              <w:right w:val="single" w:sz="6" w:space="0" w:color="auto"/>
            </w:tcBorders>
            <w:shd w:val="clear" w:color="auto" w:fill="FFFFFF"/>
          </w:tcPr>
          <w:p w14:paraId="682FF56C" w14:textId="77777777" w:rsidR="00A25BF3" w:rsidRPr="00852E26" w:rsidRDefault="00A25BF3" w:rsidP="00AB402E">
            <w:pPr>
              <w:pStyle w:val="Texto"/>
              <w:spacing w:after="0" w:line="276" w:lineRule="auto"/>
              <w:ind w:firstLine="0"/>
              <w:rPr>
                <w:b/>
                <w:szCs w:val="18"/>
              </w:rPr>
            </w:pPr>
          </w:p>
        </w:tc>
        <w:tc>
          <w:tcPr>
            <w:tcW w:w="151" w:type="pct"/>
            <w:gridSpan w:val="2"/>
            <w:tcBorders>
              <w:left w:val="single" w:sz="6" w:space="0" w:color="auto"/>
              <w:bottom w:val="single" w:sz="6" w:space="0" w:color="auto"/>
              <w:right w:val="single" w:sz="6" w:space="0" w:color="auto"/>
            </w:tcBorders>
            <w:shd w:val="clear" w:color="auto" w:fill="FFFFFF"/>
          </w:tcPr>
          <w:p w14:paraId="12E71D09" w14:textId="77777777" w:rsidR="00A25BF3" w:rsidRPr="00852E26" w:rsidRDefault="00A25BF3" w:rsidP="00AB402E">
            <w:pPr>
              <w:pStyle w:val="Texto"/>
              <w:spacing w:after="0" w:line="276" w:lineRule="auto"/>
              <w:ind w:firstLine="0"/>
              <w:rPr>
                <w:b/>
                <w:szCs w:val="18"/>
              </w:rPr>
            </w:pPr>
          </w:p>
        </w:tc>
        <w:tc>
          <w:tcPr>
            <w:tcW w:w="168" w:type="pct"/>
            <w:tcBorders>
              <w:left w:val="single" w:sz="6" w:space="0" w:color="auto"/>
              <w:bottom w:val="single" w:sz="6" w:space="0" w:color="auto"/>
              <w:right w:val="single" w:sz="6" w:space="0" w:color="auto"/>
            </w:tcBorders>
            <w:shd w:val="clear" w:color="auto" w:fill="FFFFFF"/>
          </w:tcPr>
          <w:p w14:paraId="47518BDB" w14:textId="77777777" w:rsidR="00A25BF3" w:rsidRPr="00852E26" w:rsidRDefault="00A25BF3" w:rsidP="00AB402E">
            <w:pPr>
              <w:pStyle w:val="Texto"/>
              <w:spacing w:after="0" w:line="276" w:lineRule="auto"/>
              <w:ind w:firstLine="0"/>
              <w:rPr>
                <w:b/>
                <w:szCs w:val="18"/>
              </w:rPr>
            </w:pPr>
          </w:p>
        </w:tc>
        <w:tc>
          <w:tcPr>
            <w:tcW w:w="135" w:type="pct"/>
            <w:tcBorders>
              <w:left w:val="single" w:sz="6" w:space="0" w:color="auto"/>
              <w:bottom w:val="single" w:sz="6" w:space="0" w:color="auto"/>
              <w:right w:val="single" w:sz="6" w:space="0" w:color="auto"/>
            </w:tcBorders>
            <w:shd w:val="clear" w:color="auto" w:fill="FFFFFF"/>
          </w:tcPr>
          <w:p w14:paraId="1E6F2322" w14:textId="77777777" w:rsidR="00A25BF3" w:rsidRPr="00852E26" w:rsidRDefault="00A25BF3" w:rsidP="00AB402E">
            <w:pPr>
              <w:pStyle w:val="Texto"/>
              <w:spacing w:after="0" w:line="276" w:lineRule="auto"/>
              <w:ind w:firstLine="0"/>
              <w:rPr>
                <w:b/>
                <w:szCs w:val="18"/>
              </w:rPr>
            </w:pPr>
          </w:p>
        </w:tc>
        <w:tc>
          <w:tcPr>
            <w:tcW w:w="185" w:type="pct"/>
            <w:gridSpan w:val="2"/>
            <w:tcBorders>
              <w:left w:val="single" w:sz="6" w:space="0" w:color="auto"/>
              <w:bottom w:val="single" w:sz="6" w:space="0" w:color="auto"/>
              <w:right w:val="single" w:sz="6" w:space="0" w:color="auto"/>
            </w:tcBorders>
            <w:shd w:val="clear" w:color="auto" w:fill="FFFFFF"/>
          </w:tcPr>
          <w:p w14:paraId="28A38946" w14:textId="77777777" w:rsidR="00A25BF3" w:rsidRPr="00852E26" w:rsidRDefault="00A25BF3" w:rsidP="00AB402E">
            <w:pPr>
              <w:pStyle w:val="Texto"/>
              <w:spacing w:after="0" w:line="276" w:lineRule="auto"/>
              <w:ind w:firstLine="0"/>
              <w:rPr>
                <w:b/>
                <w:szCs w:val="18"/>
              </w:rPr>
            </w:pPr>
          </w:p>
        </w:tc>
        <w:tc>
          <w:tcPr>
            <w:tcW w:w="135" w:type="pct"/>
            <w:tcBorders>
              <w:left w:val="single" w:sz="6" w:space="0" w:color="auto"/>
              <w:bottom w:val="single" w:sz="6" w:space="0" w:color="auto"/>
              <w:right w:val="single" w:sz="6" w:space="0" w:color="auto"/>
            </w:tcBorders>
            <w:shd w:val="clear" w:color="auto" w:fill="FFFFFF"/>
          </w:tcPr>
          <w:p w14:paraId="24D60591" w14:textId="77777777" w:rsidR="00A25BF3" w:rsidRPr="00852E26" w:rsidRDefault="00A25BF3" w:rsidP="00AB402E">
            <w:pPr>
              <w:pStyle w:val="Texto"/>
              <w:spacing w:after="0" w:line="276" w:lineRule="auto"/>
              <w:ind w:firstLine="0"/>
              <w:rPr>
                <w:b/>
                <w:szCs w:val="18"/>
              </w:rPr>
            </w:pPr>
          </w:p>
        </w:tc>
        <w:tc>
          <w:tcPr>
            <w:tcW w:w="135" w:type="pct"/>
            <w:tcBorders>
              <w:left w:val="single" w:sz="6" w:space="0" w:color="auto"/>
              <w:bottom w:val="single" w:sz="6" w:space="0" w:color="auto"/>
              <w:right w:val="single" w:sz="6" w:space="0" w:color="auto"/>
            </w:tcBorders>
            <w:shd w:val="clear" w:color="auto" w:fill="FFFFFF"/>
          </w:tcPr>
          <w:p w14:paraId="41A05BED" w14:textId="77777777" w:rsidR="00A25BF3" w:rsidRPr="00852E26" w:rsidRDefault="00A25BF3" w:rsidP="00AB402E">
            <w:pPr>
              <w:pStyle w:val="Texto"/>
              <w:spacing w:after="0" w:line="276" w:lineRule="auto"/>
              <w:ind w:firstLine="0"/>
              <w:rPr>
                <w:b/>
                <w:szCs w:val="18"/>
              </w:rPr>
            </w:pPr>
          </w:p>
        </w:tc>
        <w:tc>
          <w:tcPr>
            <w:tcW w:w="136" w:type="pct"/>
            <w:tcBorders>
              <w:left w:val="single" w:sz="6" w:space="0" w:color="auto"/>
              <w:bottom w:val="single" w:sz="6" w:space="0" w:color="auto"/>
              <w:right w:val="single" w:sz="6" w:space="0" w:color="auto"/>
            </w:tcBorders>
            <w:shd w:val="clear" w:color="auto" w:fill="FFFFFF"/>
          </w:tcPr>
          <w:p w14:paraId="3FF35B2E" w14:textId="77777777" w:rsidR="00A25BF3" w:rsidRPr="00852E26" w:rsidRDefault="00A25BF3" w:rsidP="00AB402E">
            <w:pPr>
              <w:pStyle w:val="Texto"/>
              <w:spacing w:after="0" w:line="276" w:lineRule="auto"/>
              <w:ind w:firstLine="0"/>
              <w:rPr>
                <w:b/>
                <w:szCs w:val="18"/>
              </w:rPr>
            </w:pPr>
          </w:p>
        </w:tc>
        <w:tc>
          <w:tcPr>
            <w:tcW w:w="136" w:type="pct"/>
            <w:gridSpan w:val="2"/>
            <w:tcBorders>
              <w:left w:val="single" w:sz="6" w:space="0" w:color="auto"/>
              <w:bottom w:val="single" w:sz="6" w:space="0" w:color="auto"/>
              <w:right w:val="single" w:sz="6" w:space="0" w:color="auto"/>
            </w:tcBorders>
            <w:shd w:val="clear" w:color="auto" w:fill="FFFFFF"/>
          </w:tcPr>
          <w:p w14:paraId="75FDC382" w14:textId="77777777" w:rsidR="00A25BF3" w:rsidRPr="00852E26" w:rsidRDefault="00A25BF3" w:rsidP="00AB402E">
            <w:pPr>
              <w:pStyle w:val="Texto"/>
              <w:spacing w:after="0" w:line="276" w:lineRule="auto"/>
              <w:ind w:firstLine="0"/>
              <w:rPr>
                <w:b/>
                <w:szCs w:val="18"/>
              </w:rPr>
            </w:pPr>
          </w:p>
        </w:tc>
        <w:tc>
          <w:tcPr>
            <w:tcW w:w="127" w:type="pct"/>
            <w:gridSpan w:val="3"/>
            <w:tcBorders>
              <w:left w:val="single" w:sz="6" w:space="0" w:color="auto"/>
              <w:bottom w:val="single" w:sz="6" w:space="0" w:color="auto"/>
              <w:right w:val="single" w:sz="6" w:space="0" w:color="auto"/>
            </w:tcBorders>
            <w:shd w:val="clear" w:color="auto" w:fill="FFFFFF"/>
          </w:tcPr>
          <w:p w14:paraId="23423D3A" w14:textId="77777777" w:rsidR="00A25BF3" w:rsidRPr="00852E26" w:rsidRDefault="00A25BF3" w:rsidP="00AB402E">
            <w:pPr>
              <w:pStyle w:val="Texto"/>
              <w:spacing w:after="0" w:line="276" w:lineRule="auto"/>
              <w:ind w:firstLine="0"/>
              <w:rPr>
                <w:b/>
                <w:szCs w:val="18"/>
              </w:rPr>
            </w:pPr>
          </w:p>
        </w:tc>
        <w:tc>
          <w:tcPr>
            <w:tcW w:w="968" w:type="pct"/>
            <w:gridSpan w:val="6"/>
            <w:vMerge/>
            <w:tcBorders>
              <w:left w:val="single" w:sz="6" w:space="0" w:color="auto"/>
              <w:bottom w:val="single" w:sz="6" w:space="0" w:color="auto"/>
              <w:right w:val="single" w:sz="6" w:space="0" w:color="auto"/>
            </w:tcBorders>
            <w:shd w:val="clear" w:color="auto" w:fill="F2F2F2" w:themeFill="background1" w:themeFillShade="F2"/>
          </w:tcPr>
          <w:p w14:paraId="3F339C3B" w14:textId="77777777" w:rsidR="00A25BF3" w:rsidRPr="00852E26" w:rsidRDefault="00A25BF3" w:rsidP="00AB402E">
            <w:pPr>
              <w:pStyle w:val="Texto"/>
              <w:spacing w:after="0" w:line="276" w:lineRule="auto"/>
              <w:ind w:firstLine="0"/>
              <w:rPr>
                <w:szCs w:val="18"/>
              </w:rPr>
            </w:pPr>
          </w:p>
        </w:tc>
        <w:tc>
          <w:tcPr>
            <w:tcW w:w="159" w:type="pct"/>
            <w:tcBorders>
              <w:left w:val="single" w:sz="6" w:space="0" w:color="auto"/>
              <w:bottom w:val="single" w:sz="6" w:space="0" w:color="auto"/>
              <w:right w:val="single" w:sz="6" w:space="0" w:color="auto"/>
            </w:tcBorders>
            <w:shd w:val="clear" w:color="auto" w:fill="FFFFFF"/>
          </w:tcPr>
          <w:p w14:paraId="39FD6C2F" w14:textId="77777777" w:rsidR="00A25BF3" w:rsidRPr="00852E26" w:rsidRDefault="00A25BF3" w:rsidP="00AB402E">
            <w:pPr>
              <w:pStyle w:val="Texto"/>
              <w:spacing w:after="0" w:line="276" w:lineRule="auto"/>
              <w:ind w:firstLine="0"/>
              <w:rPr>
                <w:b/>
                <w:szCs w:val="18"/>
              </w:rPr>
            </w:pPr>
          </w:p>
        </w:tc>
        <w:tc>
          <w:tcPr>
            <w:tcW w:w="162" w:type="pct"/>
            <w:gridSpan w:val="3"/>
            <w:tcBorders>
              <w:left w:val="single" w:sz="6" w:space="0" w:color="auto"/>
              <w:bottom w:val="single" w:sz="6" w:space="0" w:color="auto"/>
              <w:right w:val="single" w:sz="6" w:space="0" w:color="auto"/>
            </w:tcBorders>
            <w:shd w:val="clear" w:color="auto" w:fill="FFFFFF"/>
          </w:tcPr>
          <w:p w14:paraId="4A2C1E5E" w14:textId="77777777" w:rsidR="00A25BF3" w:rsidRPr="00852E26" w:rsidRDefault="00A25BF3" w:rsidP="00AB402E">
            <w:pPr>
              <w:pStyle w:val="Texto"/>
              <w:spacing w:after="0" w:line="276" w:lineRule="auto"/>
              <w:ind w:firstLine="0"/>
              <w:rPr>
                <w:b/>
                <w:szCs w:val="18"/>
              </w:rPr>
            </w:pPr>
          </w:p>
        </w:tc>
        <w:tc>
          <w:tcPr>
            <w:tcW w:w="159" w:type="pct"/>
            <w:gridSpan w:val="2"/>
            <w:tcBorders>
              <w:left w:val="single" w:sz="6" w:space="0" w:color="auto"/>
              <w:bottom w:val="single" w:sz="6" w:space="0" w:color="auto"/>
              <w:right w:val="single" w:sz="6" w:space="0" w:color="auto"/>
            </w:tcBorders>
            <w:shd w:val="clear" w:color="auto" w:fill="FFFFFF"/>
          </w:tcPr>
          <w:p w14:paraId="1995C714" w14:textId="77777777" w:rsidR="00A25BF3" w:rsidRPr="00852E26" w:rsidRDefault="00A25BF3" w:rsidP="00AB402E">
            <w:pPr>
              <w:pStyle w:val="Texto"/>
              <w:spacing w:after="0" w:line="276" w:lineRule="auto"/>
              <w:ind w:firstLine="0"/>
              <w:rPr>
                <w:b/>
                <w:szCs w:val="18"/>
              </w:rPr>
            </w:pPr>
          </w:p>
        </w:tc>
        <w:tc>
          <w:tcPr>
            <w:tcW w:w="159" w:type="pct"/>
            <w:gridSpan w:val="2"/>
            <w:tcBorders>
              <w:left w:val="single" w:sz="6" w:space="0" w:color="auto"/>
              <w:bottom w:val="single" w:sz="6" w:space="0" w:color="auto"/>
              <w:right w:val="single" w:sz="6" w:space="0" w:color="auto"/>
            </w:tcBorders>
            <w:shd w:val="clear" w:color="auto" w:fill="FFFFFF"/>
          </w:tcPr>
          <w:p w14:paraId="22031652" w14:textId="77777777" w:rsidR="00A25BF3" w:rsidRPr="00852E26" w:rsidRDefault="00A25BF3" w:rsidP="00AB402E">
            <w:pPr>
              <w:pStyle w:val="Texto"/>
              <w:spacing w:after="0" w:line="276" w:lineRule="auto"/>
              <w:ind w:firstLine="0"/>
              <w:rPr>
                <w:b/>
                <w:szCs w:val="18"/>
              </w:rPr>
            </w:pPr>
          </w:p>
        </w:tc>
        <w:tc>
          <w:tcPr>
            <w:tcW w:w="159" w:type="pct"/>
            <w:tcBorders>
              <w:left w:val="single" w:sz="6" w:space="0" w:color="auto"/>
              <w:bottom w:val="single" w:sz="6" w:space="0" w:color="auto"/>
              <w:right w:val="single" w:sz="6" w:space="0" w:color="auto"/>
            </w:tcBorders>
            <w:shd w:val="clear" w:color="auto" w:fill="FFFFFF"/>
          </w:tcPr>
          <w:p w14:paraId="6B7C0946" w14:textId="77777777" w:rsidR="00A25BF3" w:rsidRPr="00852E26" w:rsidRDefault="00A25BF3" w:rsidP="00AB402E">
            <w:pPr>
              <w:pStyle w:val="Texto"/>
              <w:spacing w:after="0" w:line="276" w:lineRule="auto"/>
              <w:ind w:firstLine="0"/>
              <w:rPr>
                <w:b/>
                <w:szCs w:val="18"/>
              </w:rPr>
            </w:pPr>
          </w:p>
        </w:tc>
        <w:tc>
          <w:tcPr>
            <w:tcW w:w="158" w:type="pct"/>
            <w:tcBorders>
              <w:left w:val="single" w:sz="6" w:space="0" w:color="auto"/>
              <w:bottom w:val="single" w:sz="6" w:space="0" w:color="auto"/>
              <w:right w:val="single" w:sz="6" w:space="0" w:color="auto"/>
            </w:tcBorders>
            <w:shd w:val="clear" w:color="auto" w:fill="FFFFFF"/>
          </w:tcPr>
          <w:p w14:paraId="107CB932" w14:textId="77777777" w:rsidR="00A25BF3" w:rsidRPr="00852E26" w:rsidRDefault="00A25BF3" w:rsidP="00AB402E">
            <w:pPr>
              <w:pStyle w:val="Texto"/>
              <w:spacing w:after="0" w:line="276" w:lineRule="auto"/>
              <w:ind w:firstLine="0"/>
              <w:rPr>
                <w:b/>
                <w:szCs w:val="18"/>
              </w:rPr>
            </w:pPr>
          </w:p>
        </w:tc>
        <w:tc>
          <w:tcPr>
            <w:tcW w:w="158" w:type="pct"/>
            <w:tcBorders>
              <w:left w:val="single" w:sz="6" w:space="0" w:color="auto"/>
              <w:bottom w:val="single" w:sz="6" w:space="0" w:color="auto"/>
              <w:right w:val="single" w:sz="6" w:space="0" w:color="auto"/>
            </w:tcBorders>
            <w:shd w:val="clear" w:color="auto" w:fill="FFFFFF"/>
          </w:tcPr>
          <w:p w14:paraId="1BD962E5" w14:textId="77777777" w:rsidR="00A25BF3" w:rsidRPr="00852E26" w:rsidRDefault="00A25BF3" w:rsidP="00AB402E">
            <w:pPr>
              <w:pStyle w:val="Texto"/>
              <w:spacing w:after="0" w:line="276" w:lineRule="auto"/>
              <w:ind w:firstLine="0"/>
              <w:rPr>
                <w:b/>
                <w:szCs w:val="18"/>
              </w:rPr>
            </w:pPr>
          </w:p>
        </w:tc>
        <w:tc>
          <w:tcPr>
            <w:tcW w:w="158" w:type="pct"/>
            <w:tcBorders>
              <w:left w:val="single" w:sz="6" w:space="0" w:color="auto"/>
              <w:bottom w:val="single" w:sz="6" w:space="0" w:color="auto"/>
              <w:right w:val="single" w:sz="6" w:space="0" w:color="auto"/>
            </w:tcBorders>
            <w:shd w:val="clear" w:color="auto" w:fill="FFFFFF"/>
          </w:tcPr>
          <w:p w14:paraId="7DB3B9B6" w14:textId="77777777" w:rsidR="00A25BF3" w:rsidRPr="00852E26" w:rsidRDefault="00A25BF3" w:rsidP="00AB402E">
            <w:pPr>
              <w:pStyle w:val="Texto"/>
              <w:spacing w:after="0" w:line="276" w:lineRule="auto"/>
              <w:ind w:firstLine="0"/>
              <w:rPr>
                <w:b/>
                <w:szCs w:val="18"/>
              </w:rPr>
            </w:pPr>
          </w:p>
        </w:tc>
        <w:tc>
          <w:tcPr>
            <w:tcW w:w="158" w:type="pct"/>
            <w:gridSpan w:val="2"/>
            <w:tcBorders>
              <w:left w:val="single" w:sz="6" w:space="0" w:color="auto"/>
              <w:bottom w:val="single" w:sz="6" w:space="0" w:color="auto"/>
              <w:right w:val="single" w:sz="6" w:space="0" w:color="auto"/>
            </w:tcBorders>
            <w:shd w:val="clear" w:color="auto" w:fill="FFFFFF"/>
          </w:tcPr>
          <w:p w14:paraId="72E8891B" w14:textId="77777777" w:rsidR="00A25BF3" w:rsidRPr="00852E26" w:rsidRDefault="00A25BF3" w:rsidP="00AB402E">
            <w:pPr>
              <w:pStyle w:val="Texto"/>
              <w:spacing w:after="0" w:line="276" w:lineRule="auto"/>
              <w:ind w:firstLine="0"/>
              <w:rPr>
                <w:b/>
                <w:szCs w:val="18"/>
              </w:rPr>
            </w:pPr>
          </w:p>
        </w:tc>
        <w:tc>
          <w:tcPr>
            <w:tcW w:w="164" w:type="pct"/>
            <w:tcBorders>
              <w:left w:val="single" w:sz="6" w:space="0" w:color="auto"/>
              <w:bottom w:val="single" w:sz="6" w:space="0" w:color="auto"/>
              <w:right w:val="single" w:sz="6" w:space="0" w:color="auto"/>
            </w:tcBorders>
            <w:shd w:val="clear" w:color="auto" w:fill="FFFFFF"/>
          </w:tcPr>
          <w:p w14:paraId="5DE0B2BD" w14:textId="77777777" w:rsidR="00A25BF3" w:rsidRPr="00852E26" w:rsidRDefault="00A25BF3" w:rsidP="00AB402E">
            <w:pPr>
              <w:pStyle w:val="Texto"/>
              <w:spacing w:after="0" w:line="276" w:lineRule="auto"/>
              <w:ind w:firstLine="0"/>
              <w:rPr>
                <w:b/>
                <w:szCs w:val="18"/>
              </w:rPr>
            </w:pPr>
          </w:p>
        </w:tc>
      </w:tr>
      <w:tr w:rsidR="00A25BF3" w:rsidRPr="00852E26" w14:paraId="304F965A" w14:textId="77777777" w:rsidTr="002955CF">
        <w:trPr>
          <w:trHeight w:val="20"/>
        </w:trPr>
        <w:tc>
          <w:tcPr>
            <w:tcW w:w="5000" w:type="pct"/>
            <w:gridSpan w:val="39"/>
            <w:tcBorders>
              <w:top w:val="single" w:sz="6" w:space="0" w:color="auto"/>
              <w:left w:val="single" w:sz="6" w:space="0" w:color="auto"/>
              <w:bottom w:val="single" w:sz="4" w:space="0" w:color="auto"/>
              <w:right w:val="single" w:sz="6" w:space="0" w:color="auto"/>
            </w:tcBorders>
            <w:shd w:val="clear" w:color="auto" w:fill="BFBFBF" w:themeFill="background1" w:themeFillShade="BF"/>
          </w:tcPr>
          <w:p w14:paraId="722C80A1" w14:textId="77777777" w:rsidR="00A25BF3" w:rsidRPr="00852E26" w:rsidRDefault="00A25BF3" w:rsidP="00AB402E">
            <w:pPr>
              <w:pStyle w:val="Texto"/>
              <w:spacing w:after="0" w:line="276" w:lineRule="auto"/>
              <w:ind w:firstLine="0"/>
              <w:rPr>
                <w:b/>
                <w:szCs w:val="18"/>
              </w:rPr>
            </w:pPr>
            <w:r w:rsidRPr="00852E26">
              <w:rPr>
                <w:b/>
                <w:szCs w:val="18"/>
              </w:rPr>
              <w:lastRenderedPageBreak/>
              <w:t xml:space="preserve">Autorizados </w:t>
            </w:r>
            <w:r w:rsidRPr="00852E26">
              <w:rPr>
                <w:i/>
                <w:noProof/>
                <w:szCs w:val="18"/>
              </w:rPr>
              <w:t>(Agregar tantos autorizados sean necesarios)</w:t>
            </w:r>
          </w:p>
        </w:tc>
      </w:tr>
      <w:tr w:rsidR="00A25BF3" w:rsidRPr="00852E26" w14:paraId="6E0AD232" w14:textId="77777777" w:rsidTr="0010713E">
        <w:trPr>
          <w:trHeight w:val="20"/>
        </w:trPr>
        <w:tc>
          <w:tcPr>
            <w:tcW w:w="1052" w:type="pct"/>
            <w:gridSpan w:val="2"/>
            <w:vMerge w:val="restart"/>
            <w:tcBorders>
              <w:top w:val="single" w:sz="4" w:space="0" w:color="auto"/>
              <w:left w:val="single" w:sz="4" w:space="0" w:color="auto"/>
              <w:right w:val="single" w:sz="6" w:space="0" w:color="auto"/>
            </w:tcBorders>
            <w:shd w:val="clear" w:color="auto" w:fill="F2F2F2" w:themeFill="background1" w:themeFillShade="F2"/>
            <w:vAlign w:val="center"/>
          </w:tcPr>
          <w:p w14:paraId="7847C9E4" w14:textId="77777777" w:rsidR="00A25BF3" w:rsidRPr="00852E26" w:rsidRDefault="00A25BF3" w:rsidP="00AB402E">
            <w:pPr>
              <w:pStyle w:val="Texto"/>
              <w:spacing w:after="0" w:line="276" w:lineRule="auto"/>
              <w:ind w:firstLine="0"/>
              <w:rPr>
                <w:b/>
                <w:szCs w:val="18"/>
              </w:rPr>
            </w:pPr>
            <w:r w:rsidRPr="00852E26">
              <w:rPr>
                <w:szCs w:val="18"/>
              </w:rPr>
              <w:t>Nombre(s) completo(s) de la(s) persona(s) autorizada(s) para oír y recibir notificaciones:</w:t>
            </w:r>
          </w:p>
        </w:tc>
        <w:tc>
          <w:tcPr>
            <w:tcW w:w="127" w:type="pct"/>
            <w:gridSpan w:val="3"/>
            <w:tcBorders>
              <w:top w:val="single" w:sz="4" w:space="0" w:color="auto"/>
              <w:left w:val="single" w:sz="6" w:space="0" w:color="auto"/>
            </w:tcBorders>
            <w:shd w:val="clear" w:color="auto" w:fill="FFFFFF"/>
          </w:tcPr>
          <w:p w14:paraId="75192FCD" w14:textId="77777777" w:rsidR="00A25BF3" w:rsidRPr="00852E26" w:rsidRDefault="00A25BF3" w:rsidP="00AB402E">
            <w:pPr>
              <w:pStyle w:val="Texto"/>
              <w:spacing w:after="0" w:line="276" w:lineRule="auto"/>
              <w:ind w:firstLine="0"/>
              <w:jc w:val="center"/>
              <w:rPr>
                <w:b/>
                <w:szCs w:val="18"/>
              </w:rPr>
            </w:pPr>
          </w:p>
        </w:tc>
        <w:tc>
          <w:tcPr>
            <w:tcW w:w="1154" w:type="pct"/>
            <w:gridSpan w:val="11"/>
            <w:tcBorders>
              <w:top w:val="single" w:sz="4" w:space="0" w:color="auto"/>
              <w:bottom w:val="single" w:sz="6" w:space="0" w:color="auto"/>
            </w:tcBorders>
            <w:shd w:val="clear" w:color="auto" w:fill="FFFFFF"/>
          </w:tcPr>
          <w:p w14:paraId="624BD4F7" w14:textId="77777777" w:rsidR="00A25BF3" w:rsidRPr="00852E26" w:rsidRDefault="00A25BF3" w:rsidP="00AB402E">
            <w:pPr>
              <w:pStyle w:val="Texto"/>
              <w:spacing w:after="0" w:line="276" w:lineRule="auto"/>
              <w:ind w:firstLine="0"/>
              <w:jc w:val="center"/>
              <w:rPr>
                <w:b/>
                <w:szCs w:val="18"/>
              </w:rPr>
            </w:pPr>
          </w:p>
        </w:tc>
        <w:tc>
          <w:tcPr>
            <w:tcW w:w="127" w:type="pct"/>
            <w:gridSpan w:val="4"/>
            <w:tcBorders>
              <w:top w:val="single" w:sz="4" w:space="0" w:color="auto"/>
            </w:tcBorders>
            <w:shd w:val="clear" w:color="auto" w:fill="FFFFFF"/>
          </w:tcPr>
          <w:p w14:paraId="1235ED90" w14:textId="77777777" w:rsidR="00A25BF3" w:rsidRPr="00852E26" w:rsidRDefault="00A25BF3" w:rsidP="00AB402E">
            <w:pPr>
              <w:pStyle w:val="Texto"/>
              <w:spacing w:after="0" w:line="276" w:lineRule="auto"/>
              <w:ind w:firstLine="0"/>
              <w:jc w:val="center"/>
              <w:rPr>
                <w:b/>
                <w:szCs w:val="18"/>
              </w:rPr>
            </w:pPr>
          </w:p>
        </w:tc>
        <w:tc>
          <w:tcPr>
            <w:tcW w:w="1109" w:type="pct"/>
            <w:gridSpan w:val="6"/>
            <w:tcBorders>
              <w:top w:val="single" w:sz="4" w:space="0" w:color="auto"/>
              <w:bottom w:val="single" w:sz="6" w:space="0" w:color="auto"/>
            </w:tcBorders>
            <w:shd w:val="clear" w:color="auto" w:fill="FFFFFF"/>
          </w:tcPr>
          <w:p w14:paraId="39E75B05" w14:textId="77777777" w:rsidR="00A25BF3" w:rsidRPr="00852E26" w:rsidRDefault="00A25BF3" w:rsidP="00AB402E">
            <w:pPr>
              <w:pStyle w:val="Texto"/>
              <w:spacing w:after="0" w:line="276" w:lineRule="auto"/>
              <w:ind w:firstLine="0"/>
              <w:jc w:val="center"/>
              <w:rPr>
                <w:b/>
                <w:szCs w:val="18"/>
              </w:rPr>
            </w:pPr>
          </w:p>
        </w:tc>
        <w:tc>
          <w:tcPr>
            <w:tcW w:w="133" w:type="pct"/>
            <w:tcBorders>
              <w:top w:val="single" w:sz="4" w:space="0" w:color="auto"/>
            </w:tcBorders>
            <w:shd w:val="clear" w:color="auto" w:fill="FFFFFF"/>
          </w:tcPr>
          <w:p w14:paraId="7B9BA102" w14:textId="77777777" w:rsidR="00A25BF3" w:rsidRPr="00852E26" w:rsidRDefault="00A25BF3" w:rsidP="00AB402E">
            <w:pPr>
              <w:pStyle w:val="Texto"/>
              <w:spacing w:after="0" w:line="276" w:lineRule="auto"/>
              <w:ind w:firstLine="0"/>
              <w:jc w:val="center"/>
              <w:rPr>
                <w:b/>
                <w:szCs w:val="18"/>
              </w:rPr>
            </w:pPr>
          </w:p>
        </w:tc>
        <w:tc>
          <w:tcPr>
            <w:tcW w:w="1123" w:type="pct"/>
            <w:gridSpan w:val="10"/>
            <w:tcBorders>
              <w:top w:val="single" w:sz="4" w:space="0" w:color="auto"/>
              <w:bottom w:val="single" w:sz="6" w:space="0" w:color="auto"/>
            </w:tcBorders>
            <w:shd w:val="clear" w:color="auto" w:fill="FFFFFF"/>
          </w:tcPr>
          <w:p w14:paraId="1C7CD3E6" w14:textId="77777777" w:rsidR="00A25BF3" w:rsidRPr="00852E26" w:rsidRDefault="00A25BF3" w:rsidP="00AB402E">
            <w:pPr>
              <w:pStyle w:val="Texto"/>
              <w:spacing w:after="0" w:line="276" w:lineRule="auto"/>
              <w:ind w:firstLine="0"/>
              <w:jc w:val="center"/>
              <w:rPr>
                <w:b/>
                <w:szCs w:val="18"/>
              </w:rPr>
            </w:pPr>
          </w:p>
        </w:tc>
        <w:tc>
          <w:tcPr>
            <w:tcW w:w="175" w:type="pct"/>
            <w:gridSpan w:val="2"/>
            <w:tcBorders>
              <w:top w:val="single" w:sz="4" w:space="0" w:color="auto"/>
              <w:right w:val="single" w:sz="4" w:space="0" w:color="auto"/>
            </w:tcBorders>
            <w:shd w:val="clear" w:color="auto" w:fill="FFFFFF"/>
          </w:tcPr>
          <w:p w14:paraId="7BD9CFEE" w14:textId="77777777" w:rsidR="00A25BF3" w:rsidRPr="00852E26" w:rsidRDefault="00A25BF3" w:rsidP="00AB402E">
            <w:pPr>
              <w:pStyle w:val="Texto"/>
              <w:spacing w:after="0" w:line="276" w:lineRule="auto"/>
              <w:ind w:firstLine="0"/>
              <w:jc w:val="center"/>
              <w:rPr>
                <w:b/>
                <w:szCs w:val="18"/>
              </w:rPr>
            </w:pPr>
          </w:p>
        </w:tc>
      </w:tr>
      <w:tr w:rsidR="00A25BF3" w:rsidRPr="00852E26" w14:paraId="0A43C478" w14:textId="77777777" w:rsidTr="0010713E">
        <w:trPr>
          <w:trHeight w:val="20"/>
        </w:trPr>
        <w:tc>
          <w:tcPr>
            <w:tcW w:w="1052" w:type="pct"/>
            <w:gridSpan w:val="2"/>
            <w:vMerge/>
            <w:tcBorders>
              <w:left w:val="single" w:sz="4" w:space="0" w:color="auto"/>
              <w:right w:val="single" w:sz="6" w:space="0" w:color="auto"/>
            </w:tcBorders>
            <w:shd w:val="clear" w:color="auto" w:fill="F2F2F2" w:themeFill="background1" w:themeFillShade="F2"/>
          </w:tcPr>
          <w:p w14:paraId="302EC85E" w14:textId="77777777" w:rsidR="00A25BF3" w:rsidRPr="00852E26" w:rsidRDefault="00A25BF3" w:rsidP="00AB402E">
            <w:pPr>
              <w:pStyle w:val="Texto"/>
              <w:spacing w:after="0" w:line="276" w:lineRule="auto"/>
              <w:ind w:firstLine="0"/>
              <w:rPr>
                <w:b/>
                <w:szCs w:val="18"/>
              </w:rPr>
            </w:pPr>
          </w:p>
        </w:tc>
        <w:tc>
          <w:tcPr>
            <w:tcW w:w="127" w:type="pct"/>
            <w:gridSpan w:val="3"/>
            <w:tcBorders>
              <w:left w:val="single" w:sz="6" w:space="0" w:color="auto"/>
            </w:tcBorders>
            <w:shd w:val="clear" w:color="auto" w:fill="FFFFFF"/>
          </w:tcPr>
          <w:p w14:paraId="0DC98FE6" w14:textId="77777777" w:rsidR="00A25BF3" w:rsidRPr="00852E26" w:rsidRDefault="00A25BF3" w:rsidP="00AB402E">
            <w:pPr>
              <w:pStyle w:val="Texto"/>
              <w:spacing w:after="0" w:line="276" w:lineRule="auto"/>
              <w:ind w:firstLine="0"/>
              <w:jc w:val="center"/>
              <w:rPr>
                <w:b/>
                <w:szCs w:val="18"/>
              </w:rPr>
            </w:pPr>
          </w:p>
        </w:tc>
        <w:tc>
          <w:tcPr>
            <w:tcW w:w="1154" w:type="pct"/>
            <w:gridSpan w:val="11"/>
            <w:tcBorders>
              <w:top w:val="single" w:sz="6" w:space="0" w:color="auto"/>
            </w:tcBorders>
            <w:shd w:val="clear" w:color="auto" w:fill="FFFFFF"/>
          </w:tcPr>
          <w:p w14:paraId="08A2248E" w14:textId="77777777" w:rsidR="00A25BF3" w:rsidRPr="00852E26" w:rsidRDefault="00A25BF3" w:rsidP="00AB402E">
            <w:pPr>
              <w:pStyle w:val="Texto"/>
              <w:spacing w:after="0" w:line="276" w:lineRule="auto"/>
              <w:ind w:firstLine="0"/>
              <w:jc w:val="center"/>
              <w:rPr>
                <w:b/>
                <w:szCs w:val="18"/>
              </w:rPr>
            </w:pPr>
            <w:r w:rsidRPr="00852E26">
              <w:rPr>
                <w:szCs w:val="18"/>
              </w:rPr>
              <w:t>Nombre (s)</w:t>
            </w:r>
          </w:p>
        </w:tc>
        <w:tc>
          <w:tcPr>
            <w:tcW w:w="127" w:type="pct"/>
            <w:gridSpan w:val="4"/>
            <w:shd w:val="clear" w:color="auto" w:fill="FFFFFF"/>
          </w:tcPr>
          <w:p w14:paraId="4F60FF53" w14:textId="77777777" w:rsidR="00A25BF3" w:rsidRPr="00852E26" w:rsidRDefault="00A25BF3" w:rsidP="00AB402E">
            <w:pPr>
              <w:pStyle w:val="Texto"/>
              <w:spacing w:after="0" w:line="276" w:lineRule="auto"/>
              <w:ind w:firstLine="0"/>
              <w:jc w:val="center"/>
              <w:rPr>
                <w:b/>
                <w:szCs w:val="18"/>
              </w:rPr>
            </w:pPr>
          </w:p>
        </w:tc>
        <w:tc>
          <w:tcPr>
            <w:tcW w:w="1109" w:type="pct"/>
            <w:gridSpan w:val="6"/>
            <w:tcBorders>
              <w:top w:val="single" w:sz="6" w:space="0" w:color="auto"/>
            </w:tcBorders>
            <w:shd w:val="clear" w:color="auto" w:fill="FFFFFF"/>
          </w:tcPr>
          <w:p w14:paraId="573005A4" w14:textId="77777777" w:rsidR="00A25BF3" w:rsidRPr="00852E26" w:rsidRDefault="00A25BF3" w:rsidP="00AB402E">
            <w:pPr>
              <w:pStyle w:val="Texto"/>
              <w:spacing w:after="0" w:line="276" w:lineRule="auto"/>
              <w:ind w:firstLine="0"/>
              <w:jc w:val="center"/>
              <w:rPr>
                <w:b/>
                <w:szCs w:val="18"/>
              </w:rPr>
            </w:pPr>
            <w:r w:rsidRPr="00852E26">
              <w:rPr>
                <w:szCs w:val="18"/>
              </w:rPr>
              <w:t>Primer apellido</w:t>
            </w:r>
          </w:p>
        </w:tc>
        <w:tc>
          <w:tcPr>
            <w:tcW w:w="133" w:type="pct"/>
            <w:shd w:val="clear" w:color="auto" w:fill="FFFFFF"/>
          </w:tcPr>
          <w:p w14:paraId="68555365" w14:textId="77777777" w:rsidR="00A25BF3" w:rsidRPr="00852E26" w:rsidRDefault="00A25BF3" w:rsidP="00AB402E">
            <w:pPr>
              <w:pStyle w:val="Texto"/>
              <w:spacing w:after="0" w:line="276" w:lineRule="auto"/>
              <w:ind w:firstLine="0"/>
              <w:jc w:val="center"/>
              <w:rPr>
                <w:b/>
                <w:szCs w:val="18"/>
              </w:rPr>
            </w:pPr>
          </w:p>
        </w:tc>
        <w:tc>
          <w:tcPr>
            <w:tcW w:w="1123" w:type="pct"/>
            <w:gridSpan w:val="10"/>
            <w:tcBorders>
              <w:top w:val="single" w:sz="6" w:space="0" w:color="auto"/>
            </w:tcBorders>
            <w:shd w:val="clear" w:color="auto" w:fill="FFFFFF"/>
          </w:tcPr>
          <w:p w14:paraId="2C6D3C55" w14:textId="77777777" w:rsidR="00A25BF3" w:rsidRPr="00852E26" w:rsidRDefault="00A25BF3" w:rsidP="00AB402E">
            <w:pPr>
              <w:pStyle w:val="Texto"/>
              <w:spacing w:after="0" w:line="276" w:lineRule="auto"/>
              <w:ind w:firstLine="0"/>
              <w:jc w:val="center"/>
              <w:rPr>
                <w:b/>
                <w:szCs w:val="18"/>
              </w:rPr>
            </w:pPr>
            <w:r w:rsidRPr="00852E26">
              <w:rPr>
                <w:szCs w:val="18"/>
              </w:rPr>
              <w:t>Segundo apellido</w:t>
            </w:r>
          </w:p>
        </w:tc>
        <w:tc>
          <w:tcPr>
            <w:tcW w:w="175" w:type="pct"/>
            <w:gridSpan w:val="2"/>
            <w:tcBorders>
              <w:right w:val="single" w:sz="4" w:space="0" w:color="auto"/>
            </w:tcBorders>
            <w:shd w:val="clear" w:color="auto" w:fill="FFFFFF"/>
          </w:tcPr>
          <w:p w14:paraId="75B05F45" w14:textId="77777777" w:rsidR="00A25BF3" w:rsidRPr="00852E26" w:rsidRDefault="00A25BF3" w:rsidP="00AB402E">
            <w:pPr>
              <w:pStyle w:val="Texto"/>
              <w:spacing w:after="0" w:line="276" w:lineRule="auto"/>
              <w:ind w:firstLine="0"/>
              <w:jc w:val="center"/>
              <w:rPr>
                <w:b/>
                <w:szCs w:val="18"/>
              </w:rPr>
            </w:pPr>
          </w:p>
        </w:tc>
      </w:tr>
      <w:tr w:rsidR="00A25BF3" w:rsidRPr="00852E26" w14:paraId="29B67206" w14:textId="77777777" w:rsidTr="0010713E">
        <w:trPr>
          <w:trHeight w:val="20"/>
        </w:trPr>
        <w:tc>
          <w:tcPr>
            <w:tcW w:w="1052" w:type="pct"/>
            <w:gridSpan w:val="2"/>
            <w:vMerge/>
            <w:tcBorders>
              <w:left w:val="single" w:sz="4" w:space="0" w:color="auto"/>
              <w:right w:val="single" w:sz="6" w:space="0" w:color="auto"/>
            </w:tcBorders>
            <w:shd w:val="clear" w:color="auto" w:fill="F2F2F2" w:themeFill="background1" w:themeFillShade="F2"/>
          </w:tcPr>
          <w:p w14:paraId="64D4E05F" w14:textId="77777777" w:rsidR="00A25BF3" w:rsidRPr="00852E26" w:rsidRDefault="00A25BF3" w:rsidP="00AB402E">
            <w:pPr>
              <w:pStyle w:val="Texto"/>
              <w:spacing w:after="0" w:line="276" w:lineRule="auto"/>
              <w:ind w:firstLine="0"/>
              <w:rPr>
                <w:b/>
                <w:szCs w:val="18"/>
              </w:rPr>
            </w:pPr>
          </w:p>
        </w:tc>
        <w:tc>
          <w:tcPr>
            <w:tcW w:w="127" w:type="pct"/>
            <w:gridSpan w:val="3"/>
            <w:tcBorders>
              <w:left w:val="single" w:sz="6" w:space="0" w:color="auto"/>
            </w:tcBorders>
            <w:shd w:val="clear" w:color="auto" w:fill="FFFFFF"/>
          </w:tcPr>
          <w:p w14:paraId="55B07FDE" w14:textId="77777777" w:rsidR="00A25BF3" w:rsidRPr="00852E26" w:rsidRDefault="00A25BF3" w:rsidP="00AB402E">
            <w:pPr>
              <w:pStyle w:val="Texto"/>
              <w:spacing w:after="0" w:line="276" w:lineRule="auto"/>
              <w:ind w:firstLine="0"/>
              <w:jc w:val="center"/>
              <w:rPr>
                <w:b/>
                <w:szCs w:val="18"/>
              </w:rPr>
            </w:pPr>
          </w:p>
        </w:tc>
        <w:tc>
          <w:tcPr>
            <w:tcW w:w="1154" w:type="pct"/>
            <w:gridSpan w:val="11"/>
            <w:tcBorders>
              <w:bottom w:val="single" w:sz="6" w:space="0" w:color="auto"/>
            </w:tcBorders>
            <w:shd w:val="clear" w:color="auto" w:fill="FFFFFF"/>
          </w:tcPr>
          <w:p w14:paraId="6F263BF1" w14:textId="77777777" w:rsidR="00A25BF3" w:rsidRPr="00852E26" w:rsidRDefault="00A25BF3" w:rsidP="00AB402E">
            <w:pPr>
              <w:pStyle w:val="Texto"/>
              <w:spacing w:after="0" w:line="276" w:lineRule="auto"/>
              <w:ind w:firstLine="0"/>
              <w:jc w:val="center"/>
              <w:rPr>
                <w:b/>
                <w:szCs w:val="18"/>
              </w:rPr>
            </w:pPr>
          </w:p>
        </w:tc>
        <w:tc>
          <w:tcPr>
            <w:tcW w:w="127" w:type="pct"/>
            <w:gridSpan w:val="4"/>
            <w:shd w:val="clear" w:color="auto" w:fill="FFFFFF"/>
          </w:tcPr>
          <w:p w14:paraId="28D673A7" w14:textId="77777777" w:rsidR="00A25BF3" w:rsidRPr="00852E26" w:rsidRDefault="00A25BF3" w:rsidP="00AB402E">
            <w:pPr>
              <w:pStyle w:val="Texto"/>
              <w:spacing w:after="0" w:line="276" w:lineRule="auto"/>
              <w:ind w:firstLine="0"/>
              <w:jc w:val="center"/>
              <w:rPr>
                <w:b/>
                <w:szCs w:val="18"/>
              </w:rPr>
            </w:pPr>
          </w:p>
        </w:tc>
        <w:tc>
          <w:tcPr>
            <w:tcW w:w="1109" w:type="pct"/>
            <w:gridSpan w:val="6"/>
            <w:tcBorders>
              <w:bottom w:val="single" w:sz="6" w:space="0" w:color="auto"/>
            </w:tcBorders>
            <w:shd w:val="clear" w:color="auto" w:fill="FFFFFF"/>
          </w:tcPr>
          <w:p w14:paraId="461FA51C" w14:textId="77777777" w:rsidR="00A25BF3" w:rsidRPr="00852E26" w:rsidRDefault="00A25BF3" w:rsidP="00AB402E">
            <w:pPr>
              <w:pStyle w:val="Texto"/>
              <w:spacing w:after="0" w:line="276" w:lineRule="auto"/>
              <w:ind w:firstLine="0"/>
              <w:jc w:val="center"/>
              <w:rPr>
                <w:b/>
                <w:szCs w:val="18"/>
              </w:rPr>
            </w:pPr>
          </w:p>
        </w:tc>
        <w:tc>
          <w:tcPr>
            <w:tcW w:w="133" w:type="pct"/>
            <w:shd w:val="clear" w:color="auto" w:fill="FFFFFF"/>
          </w:tcPr>
          <w:p w14:paraId="470DFC09" w14:textId="77777777" w:rsidR="00A25BF3" w:rsidRPr="00852E26" w:rsidRDefault="00A25BF3" w:rsidP="00AB402E">
            <w:pPr>
              <w:pStyle w:val="Texto"/>
              <w:spacing w:after="0" w:line="276" w:lineRule="auto"/>
              <w:ind w:firstLine="0"/>
              <w:jc w:val="center"/>
              <w:rPr>
                <w:b/>
                <w:szCs w:val="18"/>
              </w:rPr>
            </w:pPr>
          </w:p>
        </w:tc>
        <w:tc>
          <w:tcPr>
            <w:tcW w:w="1123" w:type="pct"/>
            <w:gridSpan w:val="10"/>
            <w:tcBorders>
              <w:bottom w:val="single" w:sz="6" w:space="0" w:color="auto"/>
            </w:tcBorders>
            <w:shd w:val="clear" w:color="auto" w:fill="FFFFFF"/>
          </w:tcPr>
          <w:p w14:paraId="7E8ACF70" w14:textId="77777777" w:rsidR="00A25BF3" w:rsidRPr="00852E26" w:rsidRDefault="00A25BF3" w:rsidP="00AB402E">
            <w:pPr>
              <w:pStyle w:val="Texto"/>
              <w:spacing w:after="0" w:line="276" w:lineRule="auto"/>
              <w:ind w:firstLine="0"/>
              <w:jc w:val="center"/>
              <w:rPr>
                <w:b/>
                <w:szCs w:val="18"/>
              </w:rPr>
            </w:pPr>
          </w:p>
        </w:tc>
        <w:tc>
          <w:tcPr>
            <w:tcW w:w="175" w:type="pct"/>
            <w:gridSpan w:val="2"/>
            <w:tcBorders>
              <w:right w:val="single" w:sz="4" w:space="0" w:color="auto"/>
            </w:tcBorders>
            <w:shd w:val="clear" w:color="auto" w:fill="FFFFFF"/>
          </w:tcPr>
          <w:p w14:paraId="2E450AA7" w14:textId="77777777" w:rsidR="00A25BF3" w:rsidRPr="00852E26" w:rsidRDefault="00A25BF3" w:rsidP="00AB402E">
            <w:pPr>
              <w:pStyle w:val="Texto"/>
              <w:spacing w:after="0" w:line="276" w:lineRule="auto"/>
              <w:ind w:firstLine="0"/>
              <w:jc w:val="center"/>
              <w:rPr>
                <w:b/>
                <w:szCs w:val="18"/>
              </w:rPr>
            </w:pPr>
          </w:p>
        </w:tc>
      </w:tr>
      <w:tr w:rsidR="00A25BF3" w:rsidRPr="00852E26" w14:paraId="09A4C1B7" w14:textId="77777777" w:rsidTr="0010713E">
        <w:trPr>
          <w:trHeight w:val="20"/>
        </w:trPr>
        <w:tc>
          <w:tcPr>
            <w:tcW w:w="1052" w:type="pct"/>
            <w:gridSpan w:val="2"/>
            <w:vMerge/>
            <w:tcBorders>
              <w:left w:val="single" w:sz="4" w:space="0" w:color="auto"/>
              <w:bottom w:val="single" w:sz="4" w:space="0" w:color="auto"/>
              <w:right w:val="single" w:sz="6" w:space="0" w:color="auto"/>
            </w:tcBorders>
            <w:shd w:val="clear" w:color="auto" w:fill="F2F2F2" w:themeFill="background1" w:themeFillShade="F2"/>
          </w:tcPr>
          <w:p w14:paraId="57412359" w14:textId="77777777" w:rsidR="00A25BF3" w:rsidRPr="00852E26" w:rsidRDefault="00A25BF3" w:rsidP="00AB402E">
            <w:pPr>
              <w:pStyle w:val="Texto"/>
              <w:spacing w:after="0" w:line="276" w:lineRule="auto"/>
              <w:ind w:firstLine="0"/>
              <w:rPr>
                <w:b/>
                <w:szCs w:val="18"/>
              </w:rPr>
            </w:pPr>
          </w:p>
        </w:tc>
        <w:tc>
          <w:tcPr>
            <w:tcW w:w="127" w:type="pct"/>
            <w:gridSpan w:val="3"/>
            <w:tcBorders>
              <w:left w:val="single" w:sz="6" w:space="0" w:color="auto"/>
              <w:bottom w:val="single" w:sz="4" w:space="0" w:color="auto"/>
            </w:tcBorders>
            <w:shd w:val="clear" w:color="auto" w:fill="FFFFFF"/>
          </w:tcPr>
          <w:p w14:paraId="78F5FEFF" w14:textId="77777777" w:rsidR="00A25BF3" w:rsidRPr="00852E26" w:rsidRDefault="00A25BF3" w:rsidP="00AB402E">
            <w:pPr>
              <w:pStyle w:val="Texto"/>
              <w:spacing w:after="0" w:line="276" w:lineRule="auto"/>
              <w:ind w:firstLine="0"/>
              <w:jc w:val="center"/>
              <w:rPr>
                <w:b/>
                <w:szCs w:val="18"/>
              </w:rPr>
            </w:pPr>
          </w:p>
        </w:tc>
        <w:tc>
          <w:tcPr>
            <w:tcW w:w="1154" w:type="pct"/>
            <w:gridSpan w:val="11"/>
            <w:tcBorders>
              <w:top w:val="single" w:sz="6" w:space="0" w:color="auto"/>
              <w:bottom w:val="single" w:sz="4" w:space="0" w:color="auto"/>
            </w:tcBorders>
            <w:shd w:val="clear" w:color="auto" w:fill="FFFFFF"/>
          </w:tcPr>
          <w:p w14:paraId="10446B89" w14:textId="77777777" w:rsidR="00A25BF3" w:rsidRPr="00852E26" w:rsidRDefault="00A25BF3" w:rsidP="00AB402E">
            <w:pPr>
              <w:pStyle w:val="Texto"/>
              <w:spacing w:after="0" w:line="276" w:lineRule="auto"/>
              <w:ind w:firstLine="0"/>
              <w:jc w:val="center"/>
              <w:rPr>
                <w:b/>
                <w:szCs w:val="18"/>
              </w:rPr>
            </w:pPr>
            <w:r w:rsidRPr="00852E26">
              <w:rPr>
                <w:szCs w:val="18"/>
              </w:rPr>
              <w:t>Nombre (s)</w:t>
            </w:r>
          </w:p>
        </w:tc>
        <w:tc>
          <w:tcPr>
            <w:tcW w:w="127" w:type="pct"/>
            <w:gridSpan w:val="4"/>
            <w:tcBorders>
              <w:bottom w:val="single" w:sz="4" w:space="0" w:color="auto"/>
            </w:tcBorders>
            <w:shd w:val="clear" w:color="auto" w:fill="FFFFFF"/>
          </w:tcPr>
          <w:p w14:paraId="2BDE13A7" w14:textId="77777777" w:rsidR="00A25BF3" w:rsidRPr="00852E26" w:rsidRDefault="00A25BF3" w:rsidP="00AB402E">
            <w:pPr>
              <w:pStyle w:val="Texto"/>
              <w:spacing w:after="0" w:line="276" w:lineRule="auto"/>
              <w:ind w:firstLine="0"/>
              <w:jc w:val="center"/>
              <w:rPr>
                <w:b/>
                <w:szCs w:val="18"/>
              </w:rPr>
            </w:pPr>
          </w:p>
        </w:tc>
        <w:tc>
          <w:tcPr>
            <w:tcW w:w="1109" w:type="pct"/>
            <w:gridSpan w:val="6"/>
            <w:tcBorders>
              <w:top w:val="single" w:sz="6" w:space="0" w:color="auto"/>
              <w:bottom w:val="single" w:sz="4" w:space="0" w:color="auto"/>
            </w:tcBorders>
            <w:shd w:val="clear" w:color="auto" w:fill="FFFFFF"/>
          </w:tcPr>
          <w:p w14:paraId="01A4BFF2" w14:textId="77777777" w:rsidR="00A25BF3" w:rsidRPr="00852E26" w:rsidRDefault="00A25BF3" w:rsidP="00AB402E">
            <w:pPr>
              <w:pStyle w:val="Texto"/>
              <w:spacing w:after="0" w:line="276" w:lineRule="auto"/>
              <w:ind w:firstLine="0"/>
              <w:jc w:val="center"/>
              <w:rPr>
                <w:b/>
                <w:szCs w:val="18"/>
              </w:rPr>
            </w:pPr>
            <w:r w:rsidRPr="00852E26">
              <w:rPr>
                <w:szCs w:val="18"/>
              </w:rPr>
              <w:t>Primer apellido</w:t>
            </w:r>
          </w:p>
        </w:tc>
        <w:tc>
          <w:tcPr>
            <w:tcW w:w="133" w:type="pct"/>
            <w:tcBorders>
              <w:bottom w:val="single" w:sz="4" w:space="0" w:color="auto"/>
            </w:tcBorders>
            <w:shd w:val="clear" w:color="auto" w:fill="FFFFFF"/>
          </w:tcPr>
          <w:p w14:paraId="286444F6" w14:textId="77777777" w:rsidR="00A25BF3" w:rsidRPr="00852E26" w:rsidRDefault="00A25BF3" w:rsidP="00AB402E">
            <w:pPr>
              <w:pStyle w:val="Texto"/>
              <w:spacing w:after="0" w:line="276" w:lineRule="auto"/>
              <w:ind w:firstLine="0"/>
              <w:jc w:val="center"/>
              <w:rPr>
                <w:b/>
                <w:szCs w:val="18"/>
              </w:rPr>
            </w:pPr>
          </w:p>
        </w:tc>
        <w:tc>
          <w:tcPr>
            <w:tcW w:w="1123" w:type="pct"/>
            <w:gridSpan w:val="10"/>
            <w:tcBorders>
              <w:top w:val="single" w:sz="6" w:space="0" w:color="auto"/>
              <w:bottom w:val="single" w:sz="4" w:space="0" w:color="auto"/>
            </w:tcBorders>
            <w:shd w:val="clear" w:color="auto" w:fill="FFFFFF"/>
          </w:tcPr>
          <w:p w14:paraId="71BFE745" w14:textId="429032E0" w:rsidR="00D439F7" w:rsidRPr="00D439F7" w:rsidRDefault="00A25BF3" w:rsidP="00D439F7">
            <w:pPr>
              <w:pStyle w:val="Texto"/>
              <w:spacing w:after="0" w:line="276" w:lineRule="auto"/>
              <w:ind w:firstLine="0"/>
              <w:jc w:val="center"/>
              <w:rPr>
                <w:szCs w:val="18"/>
              </w:rPr>
            </w:pPr>
            <w:r w:rsidRPr="00852E26">
              <w:rPr>
                <w:szCs w:val="18"/>
              </w:rPr>
              <w:t>Segundo apellido</w:t>
            </w:r>
          </w:p>
          <w:p w14:paraId="29B664FD" w14:textId="77777777" w:rsidR="00D439F7" w:rsidRPr="00852E26" w:rsidRDefault="00D439F7" w:rsidP="00AB402E">
            <w:pPr>
              <w:pStyle w:val="Texto"/>
              <w:spacing w:after="0" w:line="276" w:lineRule="auto"/>
              <w:ind w:firstLine="0"/>
              <w:jc w:val="center"/>
              <w:rPr>
                <w:b/>
                <w:szCs w:val="18"/>
              </w:rPr>
            </w:pPr>
          </w:p>
        </w:tc>
        <w:tc>
          <w:tcPr>
            <w:tcW w:w="175" w:type="pct"/>
            <w:gridSpan w:val="2"/>
            <w:tcBorders>
              <w:bottom w:val="single" w:sz="4" w:space="0" w:color="auto"/>
              <w:right w:val="single" w:sz="4" w:space="0" w:color="auto"/>
            </w:tcBorders>
            <w:shd w:val="clear" w:color="auto" w:fill="FFFFFF"/>
          </w:tcPr>
          <w:p w14:paraId="554D1829" w14:textId="77777777" w:rsidR="00A25BF3" w:rsidRPr="00852E26" w:rsidRDefault="00A25BF3" w:rsidP="00AB402E">
            <w:pPr>
              <w:pStyle w:val="Texto"/>
              <w:spacing w:after="0" w:line="276" w:lineRule="auto"/>
              <w:ind w:firstLine="0"/>
              <w:jc w:val="center"/>
              <w:rPr>
                <w:b/>
                <w:szCs w:val="18"/>
              </w:rPr>
            </w:pPr>
          </w:p>
        </w:tc>
      </w:tr>
    </w:tbl>
    <w:p w14:paraId="716858C6" w14:textId="77777777" w:rsidR="00A25BF3" w:rsidRDefault="00A25BF3" w:rsidP="00A10660">
      <w:pPr>
        <w:spacing w:after="0"/>
        <w:jc w:val="both"/>
        <w:rPr>
          <w:rFonts w:ascii="Arial" w:hAnsi="Arial" w:cs="Arial"/>
          <w:sz w:val="18"/>
          <w:szCs w:val="18"/>
        </w:rPr>
      </w:pPr>
    </w:p>
    <w:tbl>
      <w:tblPr>
        <w:tblW w:w="5000" w:type="pct"/>
        <w:tblCellMar>
          <w:left w:w="72" w:type="dxa"/>
          <w:right w:w="72" w:type="dxa"/>
        </w:tblCellMar>
        <w:tblLook w:val="0000" w:firstRow="0" w:lastRow="0" w:firstColumn="0" w:lastColumn="0" w:noHBand="0" w:noVBand="0"/>
      </w:tblPr>
      <w:tblGrid>
        <w:gridCol w:w="3691"/>
        <w:gridCol w:w="5697"/>
      </w:tblGrid>
      <w:tr w:rsidR="00A25BF3" w:rsidRPr="00852E26" w14:paraId="0884C1B7" w14:textId="77777777" w:rsidTr="002955CF">
        <w:trPr>
          <w:trHeight w:val="20"/>
        </w:trPr>
        <w:tc>
          <w:tcPr>
            <w:tcW w:w="5000" w:type="pct"/>
            <w:gridSpan w:val="2"/>
            <w:tcBorders>
              <w:top w:val="single" w:sz="6" w:space="0" w:color="auto"/>
              <w:left w:val="single" w:sz="6" w:space="0" w:color="auto"/>
              <w:bottom w:val="single" w:sz="6" w:space="0" w:color="auto"/>
              <w:right w:val="single" w:sz="6" w:space="0" w:color="auto"/>
            </w:tcBorders>
            <w:shd w:val="clear" w:color="auto" w:fill="A6A6A6" w:themeFill="background1" w:themeFillShade="A6"/>
          </w:tcPr>
          <w:p w14:paraId="221486D1" w14:textId="77777777" w:rsidR="00A25BF3" w:rsidRPr="00852E26" w:rsidRDefault="00A25BF3" w:rsidP="00AB402E">
            <w:pPr>
              <w:pStyle w:val="Texto"/>
              <w:tabs>
                <w:tab w:val="left" w:pos="1201"/>
              </w:tabs>
              <w:spacing w:after="0" w:line="276" w:lineRule="auto"/>
              <w:ind w:firstLine="0"/>
              <w:rPr>
                <w:b/>
                <w:szCs w:val="18"/>
              </w:rPr>
            </w:pPr>
            <w:r w:rsidRPr="00852E26">
              <w:rPr>
                <w:b/>
                <w:szCs w:val="18"/>
              </w:rPr>
              <w:t xml:space="preserve">SECCIÓN 4. </w:t>
            </w:r>
            <w:r w:rsidRPr="00852E26">
              <w:rPr>
                <w:b/>
                <w:szCs w:val="18"/>
              </w:rPr>
              <w:tab/>
              <w:t>DATOS DEL REPORTE ESTADÍSTICO DE DESBLOQUEO DE EQUIPOS TERMINALES MÓVILES</w:t>
            </w:r>
          </w:p>
        </w:tc>
      </w:tr>
      <w:tr w:rsidR="00A25BF3" w:rsidRPr="00852E26" w14:paraId="21DA74DD" w14:textId="77777777" w:rsidTr="002955CF">
        <w:trPr>
          <w:trHeight w:val="20"/>
        </w:trPr>
        <w:tc>
          <w:tcPr>
            <w:tcW w:w="5000" w:type="pct"/>
            <w:gridSpan w:val="2"/>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68084F63" w14:textId="77777777" w:rsidR="00A25BF3" w:rsidRPr="00852E26" w:rsidRDefault="00A25BF3" w:rsidP="00AB402E">
            <w:pPr>
              <w:pStyle w:val="Texto"/>
              <w:spacing w:after="0" w:line="276" w:lineRule="auto"/>
              <w:ind w:firstLine="0"/>
              <w:rPr>
                <w:b/>
                <w:szCs w:val="18"/>
              </w:rPr>
            </w:pPr>
            <w:r w:rsidRPr="00852E26">
              <w:rPr>
                <w:b/>
                <w:szCs w:val="18"/>
              </w:rPr>
              <w:t>Información del año y trimestre a reportar*</w:t>
            </w:r>
          </w:p>
        </w:tc>
      </w:tr>
      <w:tr w:rsidR="00A25BF3" w:rsidRPr="00852E26" w14:paraId="6F8A9ACE" w14:textId="77777777" w:rsidTr="0010713E">
        <w:trPr>
          <w:trHeight w:val="663"/>
        </w:trPr>
        <w:tc>
          <w:tcPr>
            <w:tcW w:w="1966" w:type="pct"/>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54C20B57" w14:textId="77777777" w:rsidR="00A25BF3" w:rsidRPr="00852E26" w:rsidRDefault="00A25BF3" w:rsidP="00AB402E">
            <w:pPr>
              <w:pStyle w:val="Texto"/>
              <w:spacing w:after="0" w:line="276" w:lineRule="auto"/>
              <w:ind w:firstLine="0"/>
              <w:jc w:val="center"/>
              <w:rPr>
                <w:szCs w:val="18"/>
              </w:rPr>
            </w:pPr>
            <w:r w:rsidRPr="00852E26">
              <w:rPr>
                <w:szCs w:val="18"/>
              </w:rPr>
              <w:t>Año por reportar*:</w:t>
            </w:r>
          </w:p>
        </w:tc>
        <w:tc>
          <w:tcPr>
            <w:tcW w:w="3034" w:type="pct"/>
            <w:tcBorders>
              <w:top w:val="single" w:sz="6" w:space="0" w:color="auto"/>
              <w:left w:val="single" w:sz="6" w:space="0" w:color="auto"/>
              <w:bottom w:val="single" w:sz="6" w:space="0" w:color="auto"/>
              <w:right w:val="single" w:sz="6" w:space="0" w:color="auto"/>
            </w:tcBorders>
            <w:shd w:val="clear" w:color="auto" w:fill="FFFFFF"/>
            <w:vAlign w:val="center"/>
          </w:tcPr>
          <w:p w14:paraId="3339E644" w14:textId="77777777" w:rsidR="00A25BF3" w:rsidRPr="00852E26" w:rsidRDefault="00A25BF3" w:rsidP="00AB402E">
            <w:pPr>
              <w:pStyle w:val="Texto"/>
              <w:spacing w:after="0" w:line="276" w:lineRule="auto"/>
              <w:ind w:firstLine="0"/>
              <w:jc w:val="center"/>
              <w:rPr>
                <w:bCs/>
                <w:szCs w:val="18"/>
              </w:rPr>
            </w:pPr>
            <w:r w:rsidRPr="00852E26">
              <w:rPr>
                <w:bCs/>
                <w:szCs w:val="18"/>
              </w:rPr>
              <w:t>_______________________</w:t>
            </w:r>
          </w:p>
          <w:p w14:paraId="4F439A7D" w14:textId="77777777" w:rsidR="00A25BF3" w:rsidRPr="00852E26" w:rsidRDefault="00A25BF3" w:rsidP="00AB402E">
            <w:pPr>
              <w:pStyle w:val="Texto"/>
              <w:spacing w:after="0" w:line="276" w:lineRule="auto"/>
              <w:ind w:firstLine="0"/>
              <w:jc w:val="center"/>
              <w:rPr>
                <w:b/>
                <w:szCs w:val="18"/>
              </w:rPr>
            </w:pPr>
            <w:r w:rsidRPr="00852E26">
              <w:rPr>
                <w:bCs/>
                <w:szCs w:val="18"/>
              </w:rPr>
              <w:t>AAAA</w:t>
            </w:r>
          </w:p>
        </w:tc>
      </w:tr>
      <w:tr w:rsidR="00A25BF3" w:rsidRPr="00852E26" w14:paraId="25197726" w14:textId="77777777" w:rsidTr="0010713E">
        <w:trPr>
          <w:trHeight w:val="674"/>
        </w:trPr>
        <w:tc>
          <w:tcPr>
            <w:tcW w:w="1966" w:type="pct"/>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3361B22B" w14:textId="77777777" w:rsidR="00A25BF3" w:rsidRPr="00852E26" w:rsidRDefault="00A25BF3" w:rsidP="00AB402E">
            <w:pPr>
              <w:pStyle w:val="Texto"/>
              <w:spacing w:after="0" w:line="276" w:lineRule="auto"/>
              <w:ind w:firstLine="0"/>
              <w:jc w:val="center"/>
              <w:rPr>
                <w:szCs w:val="18"/>
              </w:rPr>
            </w:pPr>
            <w:r w:rsidRPr="00852E26">
              <w:rPr>
                <w:szCs w:val="18"/>
              </w:rPr>
              <w:t>Trimestre por reportar*:</w:t>
            </w:r>
          </w:p>
        </w:tc>
        <w:tc>
          <w:tcPr>
            <w:tcW w:w="3034" w:type="pct"/>
            <w:tcBorders>
              <w:top w:val="single" w:sz="6" w:space="0" w:color="auto"/>
              <w:left w:val="single" w:sz="6" w:space="0" w:color="auto"/>
              <w:bottom w:val="single" w:sz="6" w:space="0" w:color="auto"/>
              <w:right w:val="single" w:sz="6" w:space="0" w:color="auto"/>
            </w:tcBorders>
            <w:shd w:val="clear" w:color="auto" w:fill="FFFFFF"/>
            <w:vAlign w:val="center"/>
          </w:tcPr>
          <w:p w14:paraId="45FCF3A9" w14:textId="77777777" w:rsidR="00A25BF3" w:rsidRPr="00852E26" w:rsidRDefault="00A25BF3" w:rsidP="00AB402E">
            <w:pPr>
              <w:pStyle w:val="Texto"/>
              <w:spacing w:after="0" w:line="276" w:lineRule="auto"/>
              <w:ind w:firstLine="0"/>
              <w:jc w:val="center"/>
              <w:rPr>
                <w:bCs/>
                <w:szCs w:val="18"/>
              </w:rPr>
            </w:pPr>
            <w:r w:rsidRPr="00852E26">
              <w:rPr>
                <w:bCs/>
                <w:szCs w:val="18"/>
              </w:rPr>
              <w:t>_______________________</w:t>
            </w:r>
          </w:p>
          <w:p w14:paraId="141C84A5" w14:textId="77777777" w:rsidR="00A25BF3" w:rsidRPr="00852E26" w:rsidRDefault="00A25BF3" w:rsidP="00AB402E">
            <w:pPr>
              <w:pStyle w:val="Texto"/>
              <w:spacing w:after="0" w:line="276" w:lineRule="auto"/>
              <w:ind w:firstLine="0"/>
              <w:jc w:val="center"/>
              <w:rPr>
                <w:szCs w:val="18"/>
              </w:rPr>
            </w:pPr>
            <w:r w:rsidRPr="00852E26">
              <w:rPr>
                <w:bCs/>
                <w:szCs w:val="18"/>
              </w:rPr>
              <w:t>(T1, T2, T3, T4)</w:t>
            </w:r>
          </w:p>
        </w:tc>
      </w:tr>
    </w:tbl>
    <w:p w14:paraId="764B59F1" w14:textId="77777777" w:rsidR="00A25BF3" w:rsidRDefault="00A25BF3" w:rsidP="00D439F7">
      <w:pPr>
        <w:spacing w:after="0"/>
        <w:rPr>
          <w:rFonts w:ascii="Arial" w:hAnsi="Arial" w:cs="Arial"/>
          <w:b/>
          <w:sz w:val="18"/>
          <w:szCs w:val="18"/>
        </w:rPr>
      </w:pPr>
    </w:p>
    <w:p w14:paraId="15B4428B" w14:textId="77777777" w:rsidR="00DA134D" w:rsidRPr="00932AF4" w:rsidRDefault="00DA134D" w:rsidP="00DA134D">
      <w:pPr>
        <w:jc w:val="both"/>
        <w:rPr>
          <w:rFonts w:ascii="Arial" w:hAnsi="Arial" w:cs="Arial"/>
          <w:sz w:val="18"/>
          <w:szCs w:val="18"/>
        </w:rPr>
      </w:pPr>
      <w:r w:rsidRPr="00932AF4">
        <w:rPr>
          <w:rFonts w:ascii="Arial" w:hAnsi="Arial" w:cs="Arial"/>
          <w:sz w:val="18"/>
          <w:szCs w:val="18"/>
        </w:rPr>
        <w:t>Declaro bajo protesta de decir verdad, que la información contenida en el presente formato es correcta y concuerda con los documentos que se anexan al mismo, quedando apercibido de las penas en que incurren las personas que declaran con falsedad ante una autoridad distinta de la judicial, en los términos de lo dispuesto por el artículo 247, fracción I, del Código Penal Federal. Asimismo, quedo enterado de los términos, condiciones y plazos de este procedimiento por lo que no tengo duda alguna y estoy conforme con ello.</w:t>
      </w:r>
    </w:p>
    <w:tbl>
      <w:tblPr>
        <w:tblStyle w:val="Tablaconcuadrcula"/>
        <w:tblW w:w="0" w:type="auto"/>
        <w:tblLook w:val="04A0" w:firstRow="1" w:lastRow="0" w:firstColumn="1" w:lastColumn="0" w:noHBand="0" w:noVBand="1"/>
      </w:tblPr>
      <w:tblGrid>
        <w:gridCol w:w="9394"/>
      </w:tblGrid>
      <w:tr w:rsidR="00DA134D" w:rsidRPr="00932AF4" w14:paraId="4CE2C82E" w14:textId="77777777" w:rsidTr="002955CF">
        <w:trPr>
          <w:trHeight w:val="340"/>
        </w:trPr>
        <w:tc>
          <w:tcPr>
            <w:tcW w:w="9394" w:type="dxa"/>
            <w:shd w:val="clear" w:color="auto" w:fill="A6A6A6" w:themeFill="background1" w:themeFillShade="A6"/>
            <w:vAlign w:val="center"/>
          </w:tcPr>
          <w:p w14:paraId="3F697CBA" w14:textId="3F5BB0A8" w:rsidR="00DA134D" w:rsidRPr="0010713E" w:rsidRDefault="007F2FD2" w:rsidP="00157EE8">
            <w:pPr>
              <w:spacing w:after="0"/>
              <w:jc w:val="center"/>
              <w:rPr>
                <w:rFonts w:ascii="Arial" w:hAnsi="Arial" w:cs="Arial"/>
                <w:color w:val="000000" w:themeColor="text1"/>
                <w:sz w:val="18"/>
                <w:szCs w:val="18"/>
              </w:rPr>
            </w:pPr>
            <w:r w:rsidRPr="00E13F5F">
              <w:rPr>
                <w:rFonts w:ascii="Arial" w:hAnsi="Arial" w:cs="Arial"/>
                <w:b/>
                <w:color w:val="000000" w:themeColor="text1"/>
                <w:sz w:val="18"/>
                <w:szCs w:val="18"/>
              </w:rPr>
              <w:t>AVISO DE PRIVACIDAD SIMPLIFICADO</w:t>
            </w:r>
          </w:p>
        </w:tc>
      </w:tr>
      <w:tr w:rsidR="00DA134D" w:rsidRPr="00932AF4" w14:paraId="5A96E604" w14:textId="77777777" w:rsidTr="0010713E">
        <w:tc>
          <w:tcPr>
            <w:tcW w:w="9394" w:type="dxa"/>
          </w:tcPr>
          <w:p w14:paraId="33267A08" w14:textId="77777777" w:rsidR="00DA134D" w:rsidRPr="001359A6" w:rsidRDefault="00DA134D" w:rsidP="00157EE8">
            <w:pPr>
              <w:tabs>
                <w:tab w:val="left" w:pos="35"/>
              </w:tabs>
              <w:spacing w:after="0"/>
              <w:ind w:left="35" w:hanging="35"/>
              <w:jc w:val="both"/>
              <w:rPr>
                <w:rFonts w:ascii="Arial" w:hAnsi="Arial" w:cs="Arial"/>
                <w:b/>
                <w:bCs w:val="0"/>
                <w:sz w:val="18"/>
                <w:szCs w:val="18"/>
              </w:rPr>
            </w:pPr>
            <w:r w:rsidRPr="001359A6">
              <w:rPr>
                <w:rFonts w:ascii="Arial" w:hAnsi="Arial" w:cs="Arial"/>
                <w:b/>
                <w:sz w:val="18"/>
                <w:szCs w:val="18"/>
              </w:rPr>
              <w:t>Responsable del tratamiento</w:t>
            </w:r>
          </w:p>
          <w:p w14:paraId="66245F45" w14:textId="77777777" w:rsidR="00DA134D" w:rsidRDefault="00DA134D" w:rsidP="00157EE8">
            <w:pPr>
              <w:spacing w:after="0"/>
              <w:contextualSpacing/>
              <w:jc w:val="both"/>
              <w:rPr>
                <w:rFonts w:ascii="Arial" w:hAnsi="Arial" w:cs="Arial"/>
                <w:sz w:val="18"/>
                <w:szCs w:val="18"/>
              </w:rPr>
            </w:pPr>
            <w:r w:rsidRPr="001359A6">
              <w:rPr>
                <w:rFonts w:ascii="Arial" w:hAnsi="Arial" w:cs="Arial"/>
                <w:sz w:val="18"/>
                <w:szCs w:val="18"/>
              </w:rPr>
              <w:t xml:space="preserve">El IFT, a través de la </w:t>
            </w:r>
            <w:r>
              <w:rPr>
                <w:rFonts w:ascii="Arial" w:hAnsi="Arial" w:cs="Arial"/>
                <w:sz w:val="18"/>
                <w:szCs w:val="18"/>
              </w:rPr>
              <w:t xml:space="preserve">Dirección General de Supervisión, </w:t>
            </w:r>
            <w:r w:rsidRPr="00251180">
              <w:rPr>
                <w:rFonts w:ascii="Arial" w:hAnsi="Arial" w:cs="Arial"/>
                <w:sz w:val="18"/>
                <w:szCs w:val="18"/>
              </w:rPr>
              <w:t xml:space="preserve">es </w:t>
            </w:r>
            <w:r>
              <w:rPr>
                <w:rFonts w:ascii="Arial" w:hAnsi="Arial" w:cs="Arial"/>
                <w:sz w:val="18"/>
                <w:szCs w:val="18"/>
              </w:rPr>
              <w:t>e</w:t>
            </w:r>
            <w:r w:rsidRPr="00251180">
              <w:rPr>
                <w:rFonts w:ascii="Arial" w:hAnsi="Arial" w:cs="Arial"/>
                <w:sz w:val="18"/>
                <w:szCs w:val="18"/>
              </w:rPr>
              <w:t xml:space="preserve">l responsable del tratamiento de los datos personales que </w:t>
            </w:r>
            <w:r>
              <w:rPr>
                <w:rFonts w:ascii="Arial" w:hAnsi="Arial" w:cs="Arial"/>
                <w:sz w:val="18"/>
                <w:szCs w:val="18"/>
              </w:rPr>
              <w:t>a continuación se</w:t>
            </w:r>
            <w:r w:rsidRPr="00251180">
              <w:rPr>
                <w:rFonts w:ascii="Arial" w:hAnsi="Arial" w:cs="Arial"/>
                <w:sz w:val="18"/>
                <w:szCs w:val="18"/>
              </w:rPr>
              <w:t xml:space="preserve"> </w:t>
            </w:r>
            <w:r>
              <w:rPr>
                <w:rFonts w:ascii="Arial" w:hAnsi="Arial" w:cs="Arial"/>
                <w:sz w:val="18"/>
                <w:szCs w:val="18"/>
              </w:rPr>
              <w:t xml:space="preserve">recaban y </w:t>
            </w:r>
            <w:r w:rsidRPr="00F92DC4">
              <w:rPr>
                <w:rFonts w:ascii="Arial" w:hAnsi="Arial" w:cs="Arial"/>
                <w:sz w:val="18"/>
                <w:szCs w:val="18"/>
              </w:rPr>
              <w:t>s</w:t>
            </w:r>
            <w:r>
              <w:rPr>
                <w:rFonts w:ascii="Arial" w:hAnsi="Arial" w:cs="Arial"/>
                <w:sz w:val="18"/>
                <w:szCs w:val="18"/>
              </w:rPr>
              <w:t>e</w:t>
            </w:r>
            <w:r w:rsidRPr="00F92DC4">
              <w:rPr>
                <w:rFonts w:ascii="Arial" w:hAnsi="Arial" w:cs="Arial"/>
                <w:sz w:val="18"/>
                <w:szCs w:val="18"/>
              </w:rPr>
              <w:t xml:space="preserve"> proteg</w:t>
            </w:r>
            <w:r>
              <w:rPr>
                <w:rFonts w:ascii="Arial" w:hAnsi="Arial" w:cs="Arial"/>
                <w:sz w:val="18"/>
                <w:szCs w:val="18"/>
              </w:rPr>
              <w:t>erán</w:t>
            </w:r>
            <w:r w:rsidRPr="00F92DC4">
              <w:rPr>
                <w:rFonts w:ascii="Arial" w:hAnsi="Arial" w:cs="Arial"/>
                <w:sz w:val="18"/>
                <w:szCs w:val="18"/>
              </w:rPr>
              <w:t xml:space="preserve"> conforme a lo dispuesto por la Ley General de Protección de Datos Personales en Posesión de Sujetos Obligados</w:t>
            </w:r>
            <w:r>
              <w:rPr>
                <w:rFonts w:ascii="Arial" w:hAnsi="Arial" w:cs="Arial"/>
                <w:sz w:val="18"/>
                <w:szCs w:val="18"/>
              </w:rPr>
              <w:t xml:space="preserve"> (</w:t>
            </w:r>
            <w:r w:rsidRPr="001359A6">
              <w:rPr>
                <w:rFonts w:ascii="Arial" w:hAnsi="Arial" w:cs="Arial"/>
                <w:sz w:val="18"/>
                <w:szCs w:val="18"/>
              </w:rPr>
              <w:t>LGPDPPSO</w:t>
            </w:r>
            <w:r>
              <w:rPr>
                <w:rFonts w:ascii="Arial" w:hAnsi="Arial" w:cs="Arial"/>
                <w:sz w:val="18"/>
                <w:szCs w:val="18"/>
              </w:rPr>
              <w:t>)</w:t>
            </w:r>
            <w:r w:rsidRPr="00F92DC4">
              <w:rPr>
                <w:rFonts w:ascii="Arial" w:hAnsi="Arial" w:cs="Arial"/>
                <w:sz w:val="18"/>
                <w:szCs w:val="18"/>
              </w:rPr>
              <w:t xml:space="preserve">, y demás normatividad que resulte aplicable. </w:t>
            </w:r>
          </w:p>
          <w:p w14:paraId="0E847E03" w14:textId="77777777" w:rsidR="00157EE8" w:rsidRDefault="00157EE8" w:rsidP="00157EE8">
            <w:pPr>
              <w:tabs>
                <w:tab w:val="left" w:pos="35"/>
              </w:tabs>
              <w:spacing w:after="0"/>
              <w:ind w:left="35" w:hanging="35"/>
              <w:jc w:val="both"/>
              <w:rPr>
                <w:rFonts w:ascii="Arial" w:hAnsi="Arial" w:cs="Arial"/>
                <w:b/>
                <w:sz w:val="18"/>
                <w:szCs w:val="18"/>
              </w:rPr>
            </w:pPr>
          </w:p>
          <w:p w14:paraId="51C3D913" w14:textId="5C283BA1" w:rsidR="00DA134D" w:rsidRPr="001359A6" w:rsidRDefault="00DA134D" w:rsidP="00157EE8">
            <w:pPr>
              <w:tabs>
                <w:tab w:val="left" w:pos="35"/>
              </w:tabs>
              <w:spacing w:after="0"/>
              <w:ind w:left="35" w:hanging="35"/>
              <w:jc w:val="both"/>
              <w:rPr>
                <w:rFonts w:ascii="Arial" w:hAnsi="Arial" w:cs="Arial"/>
                <w:b/>
                <w:bCs w:val="0"/>
                <w:sz w:val="18"/>
                <w:szCs w:val="18"/>
              </w:rPr>
            </w:pPr>
            <w:r w:rsidRPr="001359A6">
              <w:rPr>
                <w:rFonts w:ascii="Arial" w:hAnsi="Arial" w:cs="Arial"/>
                <w:b/>
                <w:sz w:val="18"/>
                <w:szCs w:val="18"/>
              </w:rPr>
              <w:t>Las finalidades del tratamiento para las cuales se obtienen los datos personales</w:t>
            </w:r>
          </w:p>
          <w:p w14:paraId="616B7EC0" w14:textId="77777777" w:rsidR="00DA134D" w:rsidRDefault="00DA134D" w:rsidP="00157EE8">
            <w:pPr>
              <w:pStyle w:val="NormalWeb"/>
              <w:numPr>
                <w:ilvl w:val="0"/>
                <w:numId w:val="24"/>
              </w:numPr>
              <w:spacing w:before="0" w:beforeAutospacing="0" w:after="0" w:afterAutospacing="0" w:line="276" w:lineRule="auto"/>
              <w:contextualSpacing/>
              <w:jc w:val="both"/>
              <w:rPr>
                <w:rFonts w:ascii="ITC Avant Garde" w:hAnsi="ITC Avant Garde" w:cs="Arial"/>
                <w:color w:val="444444"/>
                <w:sz w:val="18"/>
                <w:szCs w:val="18"/>
                <w:lang w:val="es-ES"/>
              </w:rPr>
            </w:pPr>
            <w:r>
              <w:rPr>
                <w:rFonts w:ascii="Arial" w:hAnsi="Arial" w:cs="Arial"/>
                <w:sz w:val="18"/>
                <w:szCs w:val="18"/>
              </w:rPr>
              <w:t>D</w:t>
            </w:r>
            <w:r w:rsidRPr="00932AF4">
              <w:rPr>
                <w:rFonts w:ascii="Arial" w:hAnsi="Arial" w:cs="Arial"/>
                <w:sz w:val="18"/>
                <w:szCs w:val="18"/>
              </w:rPr>
              <w:t>ar seguimiento a su solicitud</w:t>
            </w:r>
            <w:r>
              <w:rPr>
                <w:rFonts w:ascii="ITC Avant Garde" w:hAnsi="ITC Avant Garde" w:cs="Arial"/>
                <w:color w:val="444444"/>
                <w:sz w:val="18"/>
                <w:szCs w:val="18"/>
                <w:lang w:val="es-ES"/>
              </w:rPr>
              <w:t>.</w:t>
            </w:r>
          </w:p>
          <w:p w14:paraId="73EA6536" w14:textId="77777777" w:rsidR="00DA134D" w:rsidRDefault="00DA134D" w:rsidP="00157EE8">
            <w:pPr>
              <w:pStyle w:val="NormalWeb"/>
              <w:numPr>
                <w:ilvl w:val="0"/>
                <w:numId w:val="24"/>
              </w:numPr>
              <w:spacing w:before="0" w:beforeAutospacing="0" w:after="0" w:afterAutospacing="0" w:line="276" w:lineRule="auto"/>
              <w:contextualSpacing/>
              <w:jc w:val="both"/>
              <w:rPr>
                <w:rFonts w:ascii="ITC Avant Garde" w:hAnsi="ITC Avant Garde" w:cs="Arial"/>
                <w:color w:val="444444"/>
                <w:sz w:val="18"/>
                <w:szCs w:val="18"/>
                <w:lang w:val="es-ES"/>
              </w:rPr>
            </w:pPr>
            <w:r>
              <w:rPr>
                <w:rFonts w:ascii="Arial" w:hAnsi="Arial" w:cs="Arial"/>
                <w:sz w:val="18"/>
                <w:szCs w:val="18"/>
              </w:rPr>
              <w:t xml:space="preserve">Mantener </w:t>
            </w:r>
            <w:r w:rsidRPr="00932AF4">
              <w:rPr>
                <w:rFonts w:ascii="Arial" w:hAnsi="Arial" w:cs="Arial"/>
                <w:sz w:val="18"/>
                <w:szCs w:val="18"/>
              </w:rPr>
              <w:t>un punto de contacto para comuni</w:t>
            </w:r>
            <w:r>
              <w:rPr>
                <w:rFonts w:ascii="Arial" w:hAnsi="Arial" w:cs="Arial"/>
                <w:sz w:val="18"/>
                <w:szCs w:val="18"/>
              </w:rPr>
              <w:t>carse en caso de ser necesario</w:t>
            </w:r>
            <w:r>
              <w:rPr>
                <w:rFonts w:ascii="ITC Avant Garde" w:hAnsi="ITC Avant Garde" w:cs="Arial"/>
                <w:color w:val="444444"/>
                <w:sz w:val="18"/>
                <w:szCs w:val="18"/>
                <w:lang w:val="es-ES"/>
              </w:rPr>
              <w:t>.</w:t>
            </w:r>
          </w:p>
          <w:p w14:paraId="0239C42E" w14:textId="77777777" w:rsidR="00DA134D" w:rsidRDefault="00DA134D" w:rsidP="00157EE8">
            <w:pPr>
              <w:tabs>
                <w:tab w:val="left" w:pos="35"/>
              </w:tabs>
              <w:spacing w:after="0"/>
              <w:ind w:left="35" w:hanging="35"/>
              <w:jc w:val="both"/>
              <w:rPr>
                <w:rFonts w:ascii="Arial" w:hAnsi="Arial" w:cs="Arial"/>
                <w:b/>
                <w:bCs w:val="0"/>
                <w:sz w:val="18"/>
                <w:szCs w:val="18"/>
              </w:rPr>
            </w:pPr>
          </w:p>
          <w:p w14:paraId="7D27BA0D" w14:textId="77777777" w:rsidR="00DA134D" w:rsidRPr="001359A6" w:rsidRDefault="00DA134D" w:rsidP="00157EE8">
            <w:pPr>
              <w:tabs>
                <w:tab w:val="left" w:pos="35"/>
              </w:tabs>
              <w:spacing w:after="0"/>
              <w:ind w:left="35" w:hanging="35"/>
              <w:jc w:val="both"/>
              <w:rPr>
                <w:rFonts w:ascii="Arial" w:hAnsi="Arial" w:cs="Arial"/>
                <w:b/>
                <w:bCs w:val="0"/>
                <w:sz w:val="18"/>
                <w:szCs w:val="18"/>
              </w:rPr>
            </w:pPr>
            <w:r w:rsidRPr="001359A6">
              <w:rPr>
                <w:rFonts w:ascii="Arial" w:hAnsi="Arial" w:cs="Arial"/>
                <w:b/>
                <w:sz w:val="18"/>
                <w:szCs w:val="18"/>
              </w:rPr>
              <w:t xml:space="preserve">Transferencias de datos personales </w:t>
            </w:r>
          </w:p>
          <w:p w14:paraId="78197E68" w14:textId="77777777" w:rsidR="00DA134D" w:rsidRDefault="00DA134D" w:rsidP="00157EE8">
            <w:pPr>
              <w:pBdr>
                <w:bottom w:val="single" w:sz="4" w:space="1" w:color="auto"/>
              </w:pBdr>
              <w:spacing w:after="0"/>
              <w:contextualSpacing/>
              <w:jc w:val="both"/>
              <w:rPr>
                <w:rFonts w:ascii="Arial" w:hAnsi="Arial" w:cs="Arial"/>
                <w:sz w:val="18"/>
                <w:szCs w:val="18"/>
              </w:rPr>
            </w:pPr>
            <w:r w:rsidRPr="00F92DC4">
              <w:rPr>
                <w:rFonts w:ascii="Arial" w:hAnsi="Arial" w:cs="Arial"/>
                <w:sz w:val="18"/>
                <w:szCs w:val="18"/>
              </w:rPr>
              <w:t xml:space="preserve">El IFT, a través de la </w:t>
            </w:r>
            <w:r>
              <w:rPr>
                <w:rFonts w:ascii="Arial" w:hAnsi="Arial" w:cs="Arial"/>
                <w:sz w:val="18"/>
                <w:szCs w:val="18"/>
              </w:rPr>
              <w:t xml:space="preserve">Dirección General Supervisión, </w:t>
            </w:r>
            <w:r w:rsidRPr="00F92DC4">
              <w:rPr>
                <w:rFonts w:ascii="Arial" w:hAnsi="Arial" w:cs="Arial"/>
                <w:sz w:val="18"/>
                <w:szCs w:val="18"/>
              </w:rPr>
              <w:t>no llevará a cabo tratamiento de datos personales para finalidades distintas a las expresamente señaladas en este aviso de privacidad, ni realizará transferencias de datos personales a otros responsables, de carácter público o privado, salvo aquéllas que sean estrictamente necesarias para atender requerimientos de información de una autoridad competente, que estén debidamente fundados y motivados. Estas transferencias no requerirán el consentimiento del titular, de conformidad con lo dispuesto por el artículo 22, fracciones I, II y III, de la LGPDPPSO.</w:t>
            </w:r>
          </w:p>
          <w:p w14:paraId="05134C1A" w14:textId="77777777" w:rsidR="00DA134D" w:rsidRDefault="00DA134D" w:rsidP="00157EE8">
            <w:pPr>
              <w:pBdr>
                <w:bottom w:val="single" w:sz="4" w:space="1" w:color="auto"/>
              </w:pBdr>
              <w:tabs>
                <w:tab w:val="left" w:pos="35"/>
              </w:tabs>
              <w:spacing w:after="0"/>
              <w:ind w:left="35" w:hanging="35"/>
              <w:jc w:val="both"/>
              <w:rPr>
                <w:rFonts w:ascii="Arial" w:hAnsi="Arial" w:cs="Arial"/>
                <w:b/>
                <w:bCs w:val="0"/>
                <w:sz w:val="18"/>
                <w:szCs w:val="18"/>
              </w:rPr>
            </w:pPr>
          </w:p>
          <w:p w14:paraId="505B3FB6" w14:textId="77777777" w:rsidR="00DA134D" w:rsidRPr="001359A6" w:rsidRDefault="00DA134D" w:rsidP="00157EE8">
            <w:pPr>
              <w:pBdr>
                <w:bottom w:val="single" w:sz="4" w:space="1" w:color="auto"/>
              </w:pBdr>
              <w:tabs>
                <w:tab w:val="left" w:pos="35"/>
              </w:tabs>
              <w:spacing w:after="0"/>
              <w:ind w:left="35" w:hanging="35"/>
              <w:jc w:val="both"/>
              <w:rPr>
                <w:rFonts w:ascii="Arial" w:hAnsi="Arial" w:cs="Arial"/>
                <w:b/>
                <w:bCs w:val="0"/>
                <w:sz w:val="18"/>
                <w:szCs w:val="18"/>
              </w:rPr>
            </w:pPr>
            <w:r w:rsidRPr="001359A6">
              <w:rPr>
                <w:rFonts w:ascii="Arial" w:hAnsi="Arial" w:cs="Arial"/>
                <w:b/>
                <w:sz w:val="18"/>
                <w:szCs w:val="18"/>
              </w:rPr>
              <w:t>Ejercicio de los derechos ARCO</w:t>
            </w:r>
          </w:p>
          <w:p w14:paraId="57A800C8" w14:textId="77777777" w:rsidR="00DA134D" w:rsidRDefault="00DA134D" w:rsidP="00157EE8">
            <w:pPr>
              <w:pBdr>
                <w:bottom w:val="single" w:sz="4" w:space="1" w:color="auto"/>
              </w:pBdr>
              <w:spacing w:after="0"/>
              <w:contextualSpacing/>
              <w:jc w:val="both"/>
              <w:rPr>
                <w:rFonts w:ascii="Arial" w:hAnsi="Arial" w:cs="Arial"/>
                <w:sz w:val="18"/>
                <w:szCs w:val="18"/>
              </w:rPr>
            </w:pPr>
            <w:r w:rsidRPr="001359A6">
              <w:rPr>
                <w:rFonts w:ascii="Arial" w:hAnsi="Arial" w:cs="Arial"/>
                <w:sz w:val="18"/>
                <w:szCs w:val="18"/>
              </w:rPr>
              <w:t xml:space="preserve">Para ejercer sus derechos de Acceso, Rectificación, Cancelación y Oposición (ARCO) al tratamiento de los datos personales que establecidos en la LGPDPPSO; deberá hacerlos a través de la Unidad de Transparencia del </w:t>
            </w:r>
            <w:r>
              <w:rPr>
                <w:rFonts w:ascii="Arial" w:hAnsi="Arial" w:cs="Arial"/>
                <w:sz w:val="18"/>
                <w:szCs w:val="18"/>
              </w:rPr>
              <w:t>IFT</w:t>
            </w:r>
            <w:r w:rsidRPr="001359A6">
              <w:rPr>
                <w:rFonts w:ascii="Arial" w:hAnsi="Arial" w:cs="Arial"/>
                <w:sz w:val="18"/>
                <w:szCs w:val="18"/>
              </w:rPr>
              <w:t xml:space="preserve"> ubicada en la Planta Baja, del Edificio Sede con domicilio en Insurgentes Sur #1143, Col. Nochebuena, Demarcación Territorial Benito Juárez, Ciudad de México, C.P. 03720, a los teléfonos </w:t>
            </w:r>
            <w:r>
              <w:rPr>
                <w:rFonts w:ascii="Arial" w:hAnsi="Arial" w:cs="Arial"/>
                <w:sz w:val="18"/>
                <w:szCs w:val="18"/>
              </w:rPr>
              <w:t>55</w:t>
            </w:r>
            <w:r w:rsidRPr="001359A6">
              <w:rPr>
                <w:rFonts w:ascii="Arial" w:hAnsi="Arial" w:cs="Arial"/>
                <w:sz w:val="18"/>
                <w:szCs w:val="18"/>
              </w:rPr>
              <w:t xml:space="preserve">5015 4598 y </w:t>
            </w:r>
            <w:r>
              <w:rPr>
                <w:rFonts w:ascii="Arial" w:hAnsi="Arial" w:cs="Arial"/>
                <w:sz w:val="18"/>
                <w:szCs w:val="18"/>
              </w:rPr>
              <w:t>55</w:t>
            </w:r>
            <w:r w:rsidRPr="001359A6">
              <w:rPr>
                <w:rFonts w:ascii="Arial" w:hAnsi="Arial" w:cs="Arial"/>
                <w:sz w:val="18"/>
                <w:szCs w:val="18"/>
              </w:rPr>
              <w:t xml:space="preserve">5015 2200, o al correo electrónico </w:t>
            </w:r>
            <w:hyperlink r:id="rId9" w:history="1">
              <w:r w:rsidRPr="0097081B">
                <w:rPr>
                  <w:rStyle w:val="Hipervnculo"/>
                  <w:rFonts w:ascii="Arial" w:hAnsi="Arial" w:cs="Arial"/>
                  <w:sz w:val="18"/>
                  <w:szCs w:val="18"/>
                </w:rPr>
                <w:t>unidad.transparencia@ift.org.mx</w:t>
              </w:r>
            </w:hyperlink>
            <w:r>
              <w:rPr>
                <w:rFonts w:ascii="Arial" w:hAnsi="Arial" w:cs="Arial"/>
                <w:sz w:val="18"/>
                <w:szCs w:val="18"/>
              </w:rPr>
              <w:t>.</w:t>
            </w:r>
          </w:p>
          <w:p w14:paraId="6332E66D" w14:textId="77777777" w:rsidR="00DA134D" w:rsidRDefault="00DA134D" w:rsidP="00157EE8">
            <w:pPr>
              <w:pBdr>
                <w:bottom w:val="single" w:sz="4" w:space="1" w:color="auto"/>
              </w:pBdr>
              <w:spacing w:after="0"/>
              <w:contextualSpacing/>
              <w:jc w:val="both"/>
              <w:rPr>
                <w:rFonts w:ascii="Arial" w:hAnsi="Arial" w:cs="Arial"/>
                <w:sz w:val="18"/>
                <w:szCs w:val="18"/>
              </w:rPr>
            </w:pPr>
          </w:p>
          <w:p w14:paraId="32BEC169" w14:textId="77777777" w:rsidR="00DA134D" w:rsidRPr="001359A6" w:rsidRDefault="00DA134D" w:rsidP="00157EE8">
            <w:pPr>
              <w:pBdr>
                <w:bottom w:val="single" w:sz="4" w:space="1" w:color="auto"/>
              </w:pBdr>
              <w:tabs>
                <w:tab w:val="left" w:pos="35"/>
              </w:tabs>
              <w:spacing w:after="0"/>
              <w:ind w:left="35" w:hanging="35"/>
              <w:jc w:val="both"/>
              <w:rPr>
                <w:rFonts w:ascii="Arial" w:hAnsi="Arial" w:cs="Arial"/>
                <w:b/>
                <w:bCs w:val="0"/>
                <w:sz w:val="18"/>
                <w:szCs w:val="18"/>
              </w:rPr>
            </w:pPr>
            <w:r w:rsidRPr="001359A6">
              <w:rPr>
                <w:rFonts w:ascii="Arial" w:hAnsi="Arial" w:cs="Arial"/>
                <w:b/>
                <w:sz w:val="18"/>
                <w:szCs w:val="18"/>
              </w:rPr>
              <w:t>Aviso de privacidad Integral</w:t>
            </w:r>
          </w:p>
          <w:p w14:paraId="5B0E9C81" w14:textId="77777777" w:rsidR="00DA134D" w:rsidRPr="00932AF4" w:rsidRDefault="00DA134D" w:rsidP="00157EE8">
            <w:pPr>
              <w:pBdr>
                <w:bottom w:val="single" w:sz="4" w:space="1" w:color="auto"/>
              </w:pBdr>
              <w:spacing w:after="0"/>
              <w:contextualSpacing/>
              <w:jc w:val="both"/>
              <w:rPr>
                <w:rFonts w:ascii="Arial" w:hAnsi="Arial" w:cs="Arial"/>
                <w:sz w:val="18"/>
                <w:szCs w:val="18"/>
              </w:rPr>
            </w:pPr>
            <w:r w:rsidRPr="001359A6">
              <w:rPr>
                <w:rFonts w:ascii="Arial" w:hAnsi="Arial" w:cs="Arial"/>
                <w:sz w:val="18"/>
                <w:szCs w:val="18"/>
              </w:rPr>
              <w:t xml:space="preserve">El Aviso de Privacidad integral se encuentra disponible físicamente en las oficinas de la </w:t>
            </w:r>
            <w:r>
              <w:rPr>
                <w:rFonts w:ascii="Arial" w:hAnsi="Arial" w:cs="Arial"/>
                <w:sz w:val="18"/>
                <w:szCs w:val="18"/>
              </w:rPr>
              <w:t xml:space="preserve">Dirección General Supervisión </w:t>
            </w:r>
            <w:r w:rsidRPr="001359A6">
              <w:rPr>
                <w:rFonts w:ascii="Arial" w:hAnsi="Arial" w:cs="Arial"/>
                <w:sz w:val="18"/>
                <w:szCs w:val="18"/>
              </w:rPr>
              <w:t>del IFT y electrónicamente en el micrositio “Avisos de privacidad”:</w:t>
            </w:r>
            <w:r w:rsidRPr="00AE4C45">
              <w:rPr>
                <w:rFonts w:ascii="Arial" w:hAnsi="Arial" w:cs="Arial"/>
                <w:sz w:val="18"/>
                <w:szCs w:val="18"/>
              </w:rPr>
              <w:t xml:space="preserve"> </w:t>
            </w:r>
            <w:hyperlink r:id="rId10" w:history="1">
              <w:r w:rsidRPr="00AE4C45">
                <w:rPr>
                  <w:rStyle w:val="Hipervnculo"/>
                  <w:rFonts w:ascii="Arial" w:hAnsi="Arial" w:cs="Arial"/>
                  <w:sz w:val="18"/>
                  <w:szCs w:val="18"/>
                </w:rPr>
                <w:t>http://www.ift.org.mx/avisos-de-privacidad</w:t>
              </w:r>
            </w:hyperlink>
            <w:r w:rsidRPr="00AE4C45">
              <w:rPr>
                <w:rFonts w:ascii="Arial" w:hAnsi="Arial" w:cs="Arial"/>
                <w:sz w:val="18"/>
                <w:szCs w:val="18"/>
              </w:rPr>
              <w:t xml:space="preserve">, </w:t>
            </w:r>
            <w:r w:rsidRPr="001359A6">
              <w:rPr>
                <w:rFonts w:ascii="Arial" w:hAnsi="Arial" w:cs="Arial"/>
                <w:sz w:val="18"/>
                <w:szCs w:val="18"/>
              </w:rPr>
              <w:t>medios a través de los cuales el IFT comunicará a los titulares de los datos los cambios al aviso de privacidad</w:t>
            </w:r>
            <w:r>
              <w:rPr>
                <w:rFonts w:ascii="Arial" w:hAnsi="Arial" w:cs="Arial"/>
                <w:sz w:val="18"/>
                <w:szCs w:val="18"/>
              </w:rPr>
              <w:t>.</w:t>
            </w:r>
          </w:p>
        </w:tc>
      </w:tr>
    </w:tbl>
    <w:p w14:paraId="676DFCAA" w14:textId="77777777" w:rsidR="00DA134D" w:rsidRDefault="00DA134D" w:rsidP="0010713E">
      <w:pPr>
        <w:spacing w:after="0"/>
        <w:rPr>
          <w:rFonts w:ascii="Arial" w:hAnsi="Arial" w:cs="Arial"/>
          <w:b/>
          <w:sz w:val="18"/>
          <w:szCs w:val="18"/>
        </w:rPr>
        <w:sectPr w:rsidR="00DA134D" w:rsidSect="00497A71">
          <w:headerReference w:type="even" r:id="rId11"/>
          <w:headerReference w:type="default" r:id="rId12"/>
          <w:footerReference w:type="default" r:id="rId13"/>
          <w:headerReference w:type="first" r:id="rId14"/>
          <w:pgSz w:w="12240" w:h="15840"/>
          <w:pgMar w:top="2098" w:right="1418" w:bottom="1134" w:left="1418" w:header="709" w:footer="828" w:gutter="0"/>
          <w:cols w:space="708"/>
          <w:docGrid w:linePitch="360"/>
        </w:sectPr>
      </w:pPr>
    </w:p>
    <w:p w14:paraId="43C053A9" w14:textId="1784D91C" w:rsidR="00D31EC4" w:rsidRDefault="00F65B8A" w:rsidP="00157EE8">
      <w:pPr>
        <w:spacing w:after="0"/>
        <w:jc w:val="center"/>
        <w:rPr>
          <w:rFonts w:ascii="Arial" w:hAnsi="Arial" w:cs="Arial"/>
          <w:b/>
          <w:sz w:val="18"/>
          <w:szCs w:val="18"/>
        </w:rPr>
      </w:pPr>
      <w:r w:rsidRPr="00852E26">
        <w:rPr>
          <w:rFonts w:ascii="Arial" w:hAnsi="Arial" w:cs="Arial"/>
          <w:b/>
          <w:sz w:val="18"/>
          <w:szCs w:val="18"/>
        </w:rPr>
        <w:lastRenderedPageBreak/>
        <w:t>Anexo I</w:t>
      </w:r>
      <w:r>
        <w:rPr>
          <w:rFonts w:ascii="Arial" w:hAnsi="Arial" w:cs="Arial"/>
          <w:b/>
          <w:sz w:val="18"/>
          <w:szCs w:val="18"/>
        </w:rPr>
        <w:t>I</w:t>
      </w:r>
    </w:p>
    <w:p w14:paraId="132F44FA" w14:textId="77777777" w:rsidR="00F65B8A" w:rsidRDefault="00F65B8A" w:rsidP="00D31EC4">
      <w:pPr>
        <w:spacing w:after="0"/>
        <w:jc w:val="center"/>
        <w:rPr>
          <w:rFonts w:ascii="Arial" w:hAnsi="Arial" w:cs="Arial"/>
          <w:b/>
          <w:sz w:val="18"/>
          <w:szCs w:val="18"/>
        </w:rPr>
      </w:pPr>
    </w:p>
    <w:p w14:paraId="0F82A288" w14:textId="77777777" w:rsidR="00F65B8A" w:rsidRPr="00C57285" w:rsidRDefault="00F65B8A" w:rsidP="00F65B8A">
      <w:pPr>
        <w:spacing w:after="0"/>
        <w:contextualSpacing/>
        <w:mirrorIndents/>
        <w:jc w:val="center"/>
        <w:rPr>
          <w:rFonts w:ascii="Arial" w:eastAsia="Times New Roman" w:hAnsi="Arial" w:cs="Arial"/>
          <w:b/>
          <w:bCs/>
          <w:color w:val="2F2F2F"/>
          <w:sz w:val="18"/>
          <w:szCs w:val="18"/>
          <w:lang w:val="es-MX" w:eastAsia="es-MX"/>
        </w:rPr>
      </w:pPr>
      <w:r w:rsidRPr="00C57285">
        <w:rPr>
          <w:rFonts w:ascii="Arial" w:eastAsia="Times New Roman" w:hAnsi="Arial" w:cs="Arial"/>
          <w:b/>
          <w:bCs/>
          <w:color w:val="2F2F2F"/>
          <w:sz w:val="18"/>
          <w:szCs w:val="18"/>
          <w:lang w:val="es-MX" w:eastAsia="es-MX"/>
        </w:rPr>
        <w:t>Reporte estadístico de desbloqueo de Equipos Terminales Móviles</w:t>
      </w:r>
    </w:p>
    <w:p w14:paraId="21A1F2DB" w14:textId="77777777" w:rsidR="00F65B8A" w:rsidRPr="00C57285" w:rsidRDefault="00F65B8A" w:rsidP="00F65B8A">
      <w:pPr>
        <w:spacing w:after="0"/>
        <w:contextualSpacing/>
        <w:mirrorIndents/>
        <w:jc w:val="center"/>
        <w:rPr>
          <w:rFonts w:ascii="Arial" w:eastAsia="Times New Roman" w:hAnsi="Arial" w:cs="Arial"/>
          <w:b/>
          <w:bCs/>
          <w:color w:val="2F2F2F"/>
          <w:sz w:val="18"/>
          <w:szCs w:val="18"/>
          <w:lang w:val="es-MX" w:eastAsia="es-MX"/>
        </w:rPr>
      </w:pPr>
    </w:p>
    <w:p w14:paraId="5CEE7EEB" w14:textId="77777777" w:rsidR="00F65B8A" w:rsidRPr="00C57285" w:rsidRDefault="00F65B8A" w:rsidP="00F65B8A">
      <w:pPr>
        <w:spacing w:after="0"/>
        <w:contextualSpacing/>
        <w:mirrorIndents/>
        <w:jc w:val="both"/>
        <w:rPr>
          <w:rFonts w:ascii="Arial" w:eastAsia="Times New Roman" w:hAnsi="Arial" w:cs="Arial"/>
          <w:b/>
          <w:bCs/>
          <w:color w:val="2F2F2F"/>
          <w:sz w:val="18"/>
          <w:szCs w:val="18"/>
          <w:lang w:val="es-MX" w:eastAsia="es-MX"/>
        </w:rPr>
      </w:pPr>
      <w:r w:rsidRPr="00C57285">
        <w:rPr>
          <w:rFonts w:ascii="Arial" w:eastAsia="Times New Roman" w:hAnsi="Arial" w:cs="Arial"/>
          <w:color w:val="2F2F2F"/>
          <w:sz w:val="18"/>
          <w:szCs w:val="18"/>
          <w:lang w:val="es-MX" w:eastAsia="es-MX"/>
        </w:rPr>
        <w:t>Los datos personales recabados serán protegidos y tratados en términos de la Ley General de Protección de Datos Personales en Posesión de Sujetos Obligados, los artículos 68, 116 y 120 de la Ley General de Transparencia y Acceso a la Información Pública, así como 16, 113, fracción I, y 117 de la Ley Federal de Transparencia y Acceso a la Información Pública y demás disposiciones aplicables en materia de protección de datos personales.</w:t>
      </w:r>
    </w:p>
    <w:p w14:paraId="4487E286" w14:textId="77777777" w:rsidR="00F65B8A" w:rsidRPr="00C57285" w:rsidRDefault="00F65B8A" w:rsidP="00F65B8A">
      <w:pPr>
        <w:spacing w:after="0"/>
        <w:jc w:val="both"/>
        <w:rPr>
          <w:rFonts w:ascii="Arial" w:eastAsia="Times New Roman" w:hAnsi="Arial" w:cs="Arial"/>
          <w:b/>
          <w:bCs/>
          <w:color w:val="2F2F2F"/>
          <w:sz w:val="18"/>
          <w:szCs w:val="18"/>
          <w:lang w:val="es-MX" w:eastAsia="es-MX"/>
        </w:rPr>
      </w:pPr>
    </w:p>
    <w:p w14:paraId="2C0A10C3" w14:textId="77777777" w:rsidR="00F65B8A" w:rsidRPr="00C57285" w:rsidRDefault="00F65B8A" w:rsidP="00F65B8A">
      <w:pPr>
        <w:spacing w:after="0"/>
        <w:jc w:val="both"/>
        <w:rPr>
          <w:rFonts w:ascii="Arial" w:eastAsia="Times New Roman" w:hAnsi="Arial" w:cs="Arial"/>
          <w:b/>
          <w:bCs/>
          <w:color w:val="2F2F2F"/>
          <w:sz w:val="18"/>
          <w:szCs w:val="18"/>
          <w:lang w:val="es-MX" w:eastAsia="es-MX"/>
        </w:rPr>
      </w:pPr>
      <w:r w:rsidRPr="00C57285">
        <w:rPr>
          <w:rFonts w:ascii="Arial" w:eastAsia="Times New Roman" w:hAnsi="Arial" w:cs="Arial"/>
          <w:b/>
          <w:bCs/>
          <w:color w:val="2F2F2F"/>
          <w:sz w:val="18"/>
          <w:szCs w:val="18"/>
          <w:lang w:val="es-MX" w:eastAsia="es-MX"/>
        </w:rPr>
        <w:t>Datos Generales:</w:t>
      </w:r>
    </w:p>
    <w:p w14:paraId="1931D9C4" w14:textId="77777777" w:rsidR="00F65B8A" w:rsidRPr="00C57285" w:rsidRDefault="00F65B8A" w:rsidP="00F65B8A">
      <w:pPr>
        <w:spacing w:after="0"/>
        <w:jc w:val="both"/>
        <w:rPr>
          <w:rFonts w:ascii="Arial" w:eastAsia="Times New Roman" w:hAnsi="Arial" w:cs="Arial"/>
          <w:color w:val="2F2F2F"/>
          <w:sz w:val="18"/>
          <w:szCs w:val="18"/>
          <w:lang w:val="es-MX" w:eastAsia="es-MX"/>
        </w:rPr>
      </w:pPr>
    </w:p>
    <w:p w14:paraId="287BEE46" w14:textId="77777777" w:rsidR="00F65B8A" w:rsidRPr="00C57285" w:rsidRDefault="00F65B8A" w:rsidP="00F65B8A">
      <w:pPr>
        <w:spacing w:after="0"/>
        <w:jc w:val="both"/>
        <w:rPr>
          <w:rFonts w:ascii="Arial" w:eastAsia="Times New Roman" w:hAnsi="Arial" w:cs="Arial"/>
          <w:color w:val="2F2F2F"/>
          <w:sz w:val="18"/>
          <w:szCs w:val="18"/>
          <w:lang w:val="es-MX" w:eastAsia="es-MX"/>
        </w:rPr>
      </w:pPr>
      <w:r w:rsidRPr="00C57285">
        <w:rPr>
          <w:rFonts w:ascii="Arial" w:eastAsia="Times New Roman" w:hAnsi="Arial" w:cs="Arial"/>
          <w:color w:val="2F2F2F"/>
          <w:sz w:val="18"/>
          <w:szCs w:val="18"/>
          <w:lang w:val="es-MX" w:eastAsia="es-MX"/>
        </w:rPr>
        <w:t>Este Instructivo establece y describe los elementos que componen el formato determinado por el Instituto para la entrega de la información indicada en dicho formato.</w:t>
      </w:r>
    </w:p>
    <w:p w14:paraId="3570C481" w14:textId="77777777" w:rsidR="00F65B8A" w:rsidRPr="00C57285" w:rsidRDefault="00F65B8A" w:rsidP="00F65B8A">
      <w:pPr>
        <w:spacing w:after="0"/>
        <w:ind w:hanging="432"/>
        <w:jc w:val="both"/>
        <w:rPr>
          <w:rFonts w:ascii="Arial" w:eastAsia="Times New Roman" w:hAnsi="Arial" w:cs="Arial"/>
          <w:color w:val="2F2F2F"/>
          <w:sz w:val="18"/>
          <w:szCs w:val="18"/>
          <w:lang w:val="es-MX" w:eastAsia="es-MX"/>
        </w:rPr>
      </w:pPr>
      <w:r w:rsidRPr="00C57285">
        <w:rPr>
          <w:rFonts w:ascii="Arial" w:eastAsia="Times New Roman" w:hAnsi="Arial" w:cs="Arial"/>
          <w:color w:val="2F2F2F"/>
          <w:sz w:val="18"/>
          <w:szCs w:val="18"/>
          <w:lang w:val="es-MX" w:eastAsia="es-MX"/>
        </w:rPr>
        <w:t> </w:t>
      </w:r>
    </w:p>
    <w:p w14:paraId="422F50DF" w14:textId="77777777" w:rsidR="00F65B8A" w:rsidRPr="00C57285" w:rsidRDefault="00F65B8A" w:rsidP="00F65B8A">
      <w:pPr>
        <w:pStyle w:val="Prrafodelista"/>
        <w:numPr>
          <w:ilvl w:val="0"/>
          <w:numId w:val="21"/>
        </w:numPr>
        <w:spacing w:line="276" w:lineRule="auto"/>
        <w:jc w:val="both"/>
        <w:rPr>
          <w:rFonts w:cs="Arial"/>
          <w:b/>
          <w:bCs/>
          <w:color w:val="2F2F2F"/>
          <w:sz w:val="18"/>
          <w:szCs w:val="18"/>
          <w:lang w:val="es-MX" w:eastAsia="es-MX"/>
        </w:rPr>
      </w:pPr>
      <w:r w:rsidRPr="00C57285">
        <w:rPr>
          <w:rFonts w:cs="Arial"/>
          <w:b/>
          <w:bCs/>
          <w:color w:val="2F2F2F"/>
          <w:sz w:val="18"/>
          <w:szCs w:val="18"/>
          <w:lang w:val="es-MX" w:eastAsia="es-MX"/>
        </w:rPr>
        <w:t>Disposición aplicable a este Formato de Información y Métricas:</w:t>
      </w:r>
    </w:p>
    <w:p w14:paraId="2C3E43D8" w14:textId="77777777" w:rsidR="00F65B8A" w:rsidRPr="00C57285" w:rsidRDefault="00F65B8A" w:rsidP="00F65B8A">
      <w:pPr>
        <w:spacing w:after="0"/>
        <w:ind w:hanging="432"/>
        <w:jc w:val="both"/>
        <w:rPr>
          <w:rFonts w:ascii="Arial" w:eastAsia="Times New Roman" w:hAnsi="Arial" w:cs="Arial"/>
          <w:color w:val="2F2F2F"/>
          <w:sz w:val="18"/>
          <w:szCs w:val="18"/>
          <w:lang w:val="es-MX" w:eastAsia="es-MX"/>
        </w:rPr>
      </w:pPr>
    </w:p>
    <w:p w14:paraId="6BBD7E39" w14:textId="77777777" w:rsidR="00F65B8A" w:rsidRPr="00C57285" w:rsidRDefault="00F65B8A" w:rsidP="00F65B8A">
      <w:pPr>
        <w:spacing w:after="0"/>
        <w:jc w:val="both"/>
        <w:rPr>
          <w:rFonts w:ascii="Arial" w:eastAsia="Times New Roman" w:hAnsi="Arial" w:cs="Arial"/>
          <w:color w:val="2F2F2F"/>
          <w:sz w:val="18"/>
          <w:szCs w:val="18"/>
          <w:lang w:val="es-MX" w:eastAsia="es-MX"/>
        </w:rPr>
      </w:pPr>
      <w:r w:rsidRPr="00C57285">
        <w:rPr>
          <w:rFonts w:ascii="Arial" w:eastAsia="Times New Roman" w:hAnsi="Arial" w:cs="Arial"/>
          <w:color w:val="2F2F2F"/>
          <w:sz w:val="18"/>
          <w:szCs w:val="18"/>
          <w:lang w:val="es-MX" w:eastAsia="es-MX"/>
        </w:rPr>
        <w:t>Los Prestadores del Servicio Móvil deben entregar la siguiente información de acuerdo con las definiciones, criterios e indicaciones establecidos en los "</w:t>
      </w:r>
      <w:r w:rsidRPr="00C57285">
        <w:rPr>
          <w:rFonts w:ascii="Arial" w:eastAsia="Times New Roman" w:hAnsi="Arial" w:cs="Arial"/>
          <w:b/>
          <w:bCs/>
          <w:sz w:val="18"/>
          <w:szCs w:val="18"/>
          <w:lang w:eastAsia="es-MX"/>
        </w:rPr>
        <w:t>Lineamientos para el desbloqueo de Equipos Terminales Móviles que deben observar los prestadores del Servicio Móvil</w:t>
      </w:r>
      <w:r w:rsidRPr="00C57285">
        <w:rPr>
          <w:rFonts w:ascii="Arial" w:eastAsia="Times New Roman" w:hAnsi="Arial" w:cs="Arial"/>
          <w:color w:val="2F2F2F"/>
          <w:sz w:val="18"/>
          <w:szCs w:val="18"/>
          <w:lang w:val="es-MX" w:eastAsia="es-MX"/>
        </w:rPr>
        <w:t>".</w:t>
      </w:r>
    </w:p>
    <w:p w14:paraId="5FA038DB" w14:textId="77777777" w:rsidR="00F65B8A" w:rsidRPr="00C57285" w:rsidRDefault="00F65B8A" w:rsidP="00F65B8A">
      <w:pPr>
        <w:spacing w:after="0"/>
        <w:ind w:hanging="432"/>
        <w:jc w:val="both"/>
        <w:rPr>
          <w:rFonts w:ascii="Arial" w:eastAsia="Times New Roman" w:hAnsi="Arial" w:cs="Arial"/>
          <w:color w:val="2F2F2F"/>
          <w:sz w:val="18"/>
          <w:szCs w:val="18"/>
          <w:lang w:val="es-MX" w:eastAsia="es-MX"/>
        </w:rPr>
      </w:pPr>
    </w:p>
    <w:p w14:paraId="20B215FB" w14:textId="77777777" w:rsidR="00F65B8A" w:rsidRPr="00C57285" w:rsidRDefault="00F65B8A" w:rsidP="00F65B8A">
      <w:pPr>
        <w:pStyle w:val="Prrafodelista"/>
        <w:numPr>
          <w:ilvl w:val="0"/>
          <w:numId w:val="21"/>
        </w:numPr>
        <w:spacing w:line="276" w:lineRule="auto"/>
        <w:ind w:hanging="432"/>
        <w:contextualSpacing/>
        <w:mirrorIndents/>
        <w:jc w:val="both"/>
        <w:rPr>
          <w:rFonts w:cs="Arial"/>
          <w:color w:val="2F2F2F"/>
          <w:sz w:val="18"/>
          <w:szCs w:val="18"/>
          <w:lang w:val="es-MX" w:eastAsia="es-MX"/>
        </w:rPr>
      </w:pPr>
      <w:r w:rsidRPr="00C57285">
        <w:rPr>
          <w:rFonts w:cs="Arial"/>
          <w:b/>
          <w:bCs/>
          <w:color w:val="2F2F2F"/>
          <w:sz w:val="18"/>
          <w:szCs w:val="18"/>
          <w:lang w:val="es-MX" w:eastAsia="es-MX"/>
        </w:rPr>
        <w:t>Reglas para llenar el formato de las hojas de información de este instructivo:</w:t>
      </w:r>
    </w:p>
    <w:p w14:paraId="6B0211A7" w14:textId="77777777" w:rsidR="00F65B8A" w:rsidRPr="00C57285" w:rsidRDefault="00F65B8A" w:rsidP="00F65B8A">
      <w:pPr>
        <w:pStyle w:val="Prrafodelista"/>
        <w:spacing w:line="276" w:lineRule="auto"/>
        <w:ind w:left="720"/>
        <w:contextualSpacing/>
        <w:mirrorIndents/>
        <w:jc w:val="both"/>
        <w:rPr>
          <w:rFonts w:cs="Arial"/>
          <w:color w:val="2F2F2F"/>
          <w:sz w:val="18"/>
          <w:szCs w:val="18"/>
          <w:lang w:val="es-MX" w:eastAsia="es-MX"/>
        </w:rPr>
      </w:pPr>
      <w:bookmarkStart w:id="4" w:name="_Hlk115094873"/>
      <w:r w:rsidRPr="00105098">
        <w:rPr>
          <w:rFonts w:cs="Arial"/>
          <w:color w:val="2F2F2F"/>
          <w:sz w:val="18"/>
          <w:szCs w:val="18"/>
          <w:lang w:val="es-MX" w:eastAsia="es-MX"/>
        </w:rPr>
        <w:t>El formato se presentará a través de la Ventanilla Electrónica del Instituto.</w:t>
      </w:r>
    </w:p>
    <w:bookmarkEnd w:id="4"/>
    <w:p w14:paraId="496C1AD8" w14:textId="77777777" w:rsidR="00F65B8A" w:rsidRPr="00C57285" w:rsidRDefault="00F65B8A" w:rsidP="00F65B8A">
      <w:pPr>
        <w:pStyle w:val="Prrafodelista"/>
        <w:spacing w:line="276" w:lineRule="auto"/>
        <w:ind w:left="720"/>
        <w:contextualSpacing/>
        <w:mirrorIndents/>
        <w:jc w:val="both"/>
        <w:rPr>
          <w:rFonts w:cs="Arial"/>
          <w:color w:val="2F2F2F"/>
          <w:sz w:val="18"/>
          <w:szCs w:val="18"/>
          <w:lang w:val="es-MX" w:eastAsia="es-MX"/>
        </w:rPr>
      </w:pPr>
    </w:p>
    <w:p w14:paraId="534EAEF4" w14:textId="77777777" w:rsidR="00F65B8A" w:rsidRPr="00C57285" w:rsidRDefault="00F65B8A" w:rsidP="00F65B8A">
      <w:pPr>
        <w:pStyle w:val="Prrafodelista"/>
        <w:spacing w:line="276" w:lineRule="auto"/>
        <w:ind w:left="720"/>
        <w:contextualSpacing/>
        <w:mirrorIndents/>
        <w:jc w:val="both"/>
        <w:rPr>
          <w:rFonts w:cs="Arial"/>
          <w:color w:val="2F2F2F"/>
          <w:sz w:val="18"/>
          <w:szCs w:val="18"/>
          <w:lang w:val="es-MX" w:eastAsia="es-MX"/>
        </w:rPr>
      </w:pPr>
      <w:r w:rsidRPr="00C57285">
        <w:rPr>
          <w:rFonts w:cs="Arial"/>
          <w:color w:val="2F2F2F"/>
          <w:sz w:val="18"/>
          <w:szCs w:val="18"/>
          <w:lang w:val="es-MX" w:eastAsia="es-MX"/>
        </w:rPr>
        <w:t>La información se entregará mediante un archivo CSV por cada hoja de información incluida en el presente reporte. Los archivos CSV son un tipo de documento abierto y sencillo para presentar datos en forma de tabla, con las siguientes características:</w:t>
      </w:r>
    </w:p>
    <w:p w14:paraId="0C9AA25B" w14:textId="77777777" w:rsidR="00F65B8A" w:rsidRPr="00C57285" w:rsidRDefault="00F65B8A" w:rsidP="00F65B8A">
      <w:pPr>
        <w:pStyle w:val="Prrafodelista"/>
        <w:spacing w:line="276" w:lineRule="auto"/>
        <w:ind w:left="720"/>
        <w:contextualSpacing/>
        <w:mirrorIndents/>
        <w:jc w:val="both"/>
        <w:rPr>
          <w:rFonts w:cs="Arial"/>
          <w:color w:val="2F2F2F"/>
          <w:sz w:val="18"/>
          <w:szCs w:val="18"/>
          <w:lang w:val="es-MX" w:eastAsia="es-MX"/>
        </w:rPr>
      </w:pPr>
    </w:p>
    <w:p w14:paraId="23533D20" w14:textId="77777777" w:rsidR="00F65B8A" w:rsidRPr="00C57285" w:rsidRDefault="00F65B8A" w:rsidP="00F65B8A">
      <w:pPr>
        <w:pStyle w:val="Prrafodelista"/>
        <w:numPr>
          <w:ilvl w:val="1"/>
          <w:numId w:val="21"/>
        </w:numPr>
        <w:spacing w:line="276" w:lineRule="auto"/>
        <w:contextualSpacing/>
        <w:mirrorIndents/>
        <w:jc w:val="both"/>
        <w:rPr>
          <w:rFonts w:cs="Arial"/>
          <w:color w:val="2F2F2F"/>
          <w:sz w:val="18"/>
          <w:szCs w:val="18"/>
          <w:lang w:val="es-MX" w:eastAsia="es-MX"/>
        </w:rPr>
      </w:pPr>
      <w:r w:rsidRPr="00C57285">
        <w:rPr>
          <w:rFonts w:cs="Arial"/>
          <w:color w:val="2F2F2F"/>
          <w:sz w:val="18"/>
          <w:szCs w:val="18"/>
          <w:lang w:val="es-MX" w:eastAsia="es-MX"/>
        </w:rPr>
        <w:t>Las columnas se separan por el carácter de coma (,).</w:t>
      </w:r>
    </w:p>
    <w:p w14:paraId="4B5CB3B7" w14:textId="77777777" w:rsidR="00F65B8A" w:rsidRPr="00C57285" w:rsidRDefault="00F65B8A" w:rsidP="00F65B8A">
      <w:pPr>
        <w:pStyle w:val="Prrafodelista"/>
        <w:numPr>
          <w:ilvl w:val="1"/>
          <w:numId w:val="21"/>
        </w:numPr>
        <w:spacing w:line="276" w:lineRule="auto"/>
        <w:contextualSpacing/>
        <w:mirrorIndents/>
        <w:jc w:val="both"/>
        <w:rPr>
          <w:rFonts w:cs="Arial"/>
          <w:color w:val="2F2F2F"/>
          <w:sz w:val="18"/>
          <w:szCs w:val="18"/>
          <w:lang w:val="es-MX" w:eastAsia="es-MX"/>
        </w:rPr>
      </w:pPr>
      <w:r w:rsidRPr="00C57285">
        <w:rPr>
          <w:rFonts w:cs="Arial"/>
          <w:color w:val="2F2F2F"/>
          <w:sz w:val="18"/>
          <w:szCs w:val="18"/>
          <w:lang w:val="es-MX" w:eastAsia="es-MX"/>
        </w:rPr>
        <w:t>Las filas se separan por saltos de línea (Carácter CRLF).</w:t>
      </w:r>
    </w:p>
    <w:p w14:paraId="3E674B12" w14:textId="77777777" w:rsidR="00F65B8A" w:rsidRPr="00C57285" w:rsidRDefault="00F65B8A" w:rsidP="00F65B8A">
      <w:pPr>
        <w:pStyle w:val="Prrafodelista"/>
        <w:numPr>
          <w:ilvl w:val="1"/>
          <w:numId w:val="21"/>
        </w:numPr>
        <w:spacing w:line="276" w:lineRule="auto"/>
        <w:contextualSpacing/>
        <w:mirrorIndents/>
        <w:jc w:val="both"/>
        <w:rPr>
          <w:rFonts w:cs="Arial"/>
          <w:color w:val="2F2F2F"/>
          <w:sz w:val="18"/>
          <w:szCs w:val="18"/>
          <w:lang w:val="es-MX" w:eastAsia="es-MX"/>
        </w:rPr>
      </w:pPr>
      <w:r w:rsidRPr="00C57285">
        <w:rPr>
          <w:rFonts w:cs="Arial"/>
          <w:color w:val="2F2F2F"/>
          <w:sz w:val="18"/>
          <w:szCs w:val="18"/>
          <w:lang w:val="es-MX" w:eastAsia="es-MX"/>
        </w:rPr>
        <w:t>La última fila del archivo puede terminar o no con el carácter de fin de línea.</w:t>
      </w:r>
    </w:p>
    <w:p w14:paraId="1BB7D858" w14:textId="77777777" w:rsidR="00F65B8A" w:rsidRPr="00C57285" w:rsidRDefault="00F65B8A" w:rsidP="00F65B8A">
      <w:pPr>
        <w:pStyle w:val="Prrafodelista"/>
        <w:numPr>
          <w:ilvl w:val="1"/>
          <w:numId w:val="21"/>
        </w:numPr>
        <w:spacing w:line="276" w:lineRule="auto"/>
        <w:contextualSpacing/>
        <w:mirrorIndents/>
        <w:jc w:val="both"/>
        <w:rPr>
          <w:rFonts w:cs="Arial"/>
          <w:color w:val="2F2F2F"/>
          <w:sz w:val="18"/>
          <w:szCs w:val="18"/>
          <w:lang w:val="es-MX" w:eastAsia="es-MX"/>
        </w:rPr>
      </w:pPr>
      <w:r w:rsidRPr="00C57285">
        <w:rPr>
          <w:rFonts w:cs="Arial"/>
          <w:color w:val="2F2F2F"/>
          <w:sz w:val="18"/>
          <w:szCs w:val="18"/>
          <w:lang w:val="es-MX" w:eastAsia="es-MX"/>
        </w:rPr>
        <w:t>Los campos que contengan una coma, un salto de línea, una comilla doble, un espacio o los caracteres de fin de línea (CR, LF o ambos a la vez), deben ser encerrados entre comillas dobles.</w:t>
      </w:r>
    </w:p>
    <w:p w14:paraId="76F36389" w14:textId="77777777" w:rsidR="00F65B8A" w:rsidRPr="00C57285" w:rsidRDefault="00F65B8A" w:rsidP="00F65B8A">
      <w:pPr>
        <w:pStyle w:val="Prrafodelista"/>
        <w:numPr>
          <w:ilvl w:val="1"/>
          <w:numId w:val="21"/>
        </w:numPr>
        <w:spacing w:line="276" w:lineRule="auto"/>
        <w:contextualSpacing/>
        <w:mirrorIndents/>
        <w:jc w:val="both"/>
        <w:rPr>
          <w:rFonts w:cs="Arial"/>
          <w:color w:val="2F2F2F"/>
          <w:sz w:val="18"/>
          <w:szCs w:val="18"/>
          <w:lang w:val="es-MX" w:eastAsia="es-MX"/>
        </w:rPr>
      </w:pPr>
      <w:r w:rsidRPr="00C57285">
        <w:rPr>
          <w:rFonts w:cs="Arial"/>
          <w:color w:val="2F2F2F"/>
          <w:sz w:val="18"/>
          <w:szCs w:val="18"/>
          <w:lang w:val="es-MX" w:eastAsia="es-MX"/>
        </w:rPr>
        <w:t>El archivo CSV puede contener tantas líneas como sean necesarias para la entrega de la información correspondiente. No debe contener líneas vacías.</w:t>
      </w:r>
    </w:p>
    <w:p w14:paraId="723E681E" w14:textId="77777777" w:rsidR="00F65B8A" w:rsidRPr="00C57285" w:rsidRDefault="00F65B8A" w:rsidP="00F65B8A">
      <w:pPr>
        <w:pStyle w:val="Prrafodelista"/>
        <w:numPr>
          <w:ilvl w:val="1"/>
          <w:numId w:val="21"/>
        </w:numPr>
        <w:spacing w:line="276" w:lineRule="auto"/>
        <w:contextualSpacing/>
        <w:mirrorIndents/>
        <w:jc w:val="both"/>
        <w:rPr>
          <w:rFonts w:cs="Arial"/>
          <w:color w:val="2F2F2F"/>
          <w:sz w:val="18"/>
          <w:szCs w:val="18"/>
          <w:lang w:val="es-MX" w:eastAsia="es-MX"/>
        </w:rPr>
      </w:pPr>
      <w:r w:rsidRPr="00C57285">
        <w:rPr>
          <w:rFonts w:cs="Arial"/>
          <w:color w:val="2F2F2F"/>
          <w:sz w:val="18"/>
          <w:szCs w:val="18"/>
          <w:lang w:val="es-MX" w:eastAsia="es-MX"/>
        </w:rPr>
        <w:t>Cada fila debe contener siempre el mismo número de campos.</w:t>
      </w:r>
    </w:p>
    <w:p w14:paraId="5F2D2FB9" w14:textId="77777777" w:rsidR="00F65B8A" w:rsidRPr="00C57285" w:rsidRDefault="00F65B8A" w:rsidP="00F65B8A">
      <w:pPr>
        <w:pStyle w:val="Prrafodelista"/>
        <w:numPr>
          <w:ilvl w:val="1"/>
          <w:numId w:val="21"/>
        </w:numPr>
        <w:spacing w:line="276" w:lineRule="auto"/>
        <w:contextualSpacing/>
        <w:mirrorIndents/>
        <w:jc w:val="both"/>
        <w:rPr>
          <w:rFonts w:cs="Arial"/>
          <w:color w:val="2F2F2F"/>
          <w:sz w:val="18"/>
          <w:szCs w:val="18"/>
          <w:lang w:val="es-MX" w:eastAsia="es-MX"/>
        </w:rPr>
      </w:pPr>
      <w:r w:rsidRPr="00C57285">
        <w:rPr>
          <w:rFonts w:cs="Arial"/>
          <w:color w:val="2F2F2F"/>
          <w:sz w:val="18"/>
          <w:szCs w:val="18"/>
          <w:lang w:val="es-MX" w:eastAsia="es-MX"/>
        </w:rPr>
        <w:t>La primera fila del archivo contendrá los campos correspondientes a los nombres de las columnas.</w:t>
      </w:r>
    </w:p>
    <w:p w14:paraId="638CAA8A" w14:textId="77777777" w:rsidR="00F65B8A" w:rsidRPr="00C57285" w:rsidRDefault="00F65B8A" w:rsidP="00F65B8A">
      <w:pPr>
        <w:pStyle w:val="Prrafodelista"/>
        <w:spacing w:line="276" w:lineRule="auto"/>
        <w:ind w:left="720"/>
        <w:contextualSpacing/>
        <w:mirrorIndents/>
        <w:jc w:val="both"/>
        <w:rPr>
          <w:rFonts w:cs="Arial"/>
          <w:color w:val="2F2F2F"/>
          <w:sz w:val="18"/>
          <w:szCs w:val="18"/>
          <w:lang w:val="es-MX" w:eastAsia="es-MX"/>
        </w:rPr>
      </w:pPr>
    </w:p>
    <w:p w14:paraId="26776446" w14:textId="51AAF81A" w:rsidR="00F65B8A" w:rsidRPr="00C57285" w:rsidRDefault="00F65B8A" w:rsidP="00F65B8A">
      <w:pPr>
        <w:pStyle w:val="Prrafodelista"/>
        <w:spacing w:line="276" w:lineRule="auto"/>
        <w:ind w:left="720"/>
        <w:contextualSpacing/>
        <w:mirrorIndents/>
        <w:jc w:val="both"/>
        <w:rPr>
          <w:rFonts w:cs="Arial"/>
          <w:color w:val="2F2F2F"/>
          <w:sz w:val="18"/>
          <w:szCs w:val="18"/>
          <w:lang w:val="es-MX" w:eastAsia="es-MX"/>
        </w:rPr>
      </w:pPr>
      <w:r w:rsidRPr="00C57285">
        <w:rPr>
          <w:rFonts w:cs="Arial"/>
          <w:color w:val="2F2F2F"/>
          <w:sz w:val="18"/>
          <w:szCs w:val="18"/>
          <w:lang w:val="es-MX" w:eastAsia="es-MX"/>
        </w:rPr>
        <w:t xml:space="preserve">El archivo </w:t>
      </w:r>
      <w:r w:rsidR="00D439F7">
        <w:rPr>
          <w:rFonts w:cs="Arial"/>
          <w:color w:val="2F2F2F"/>
          <w:sz w:val="18"/>
          <w:szCs w:val="18"/>
          <w:lang w:val="es-MX" w:eastAsia="es-MX"/>
        </w:rPr>
        <w:t>CSV</w:t>
      </w:r>
      <w:r w:rsidR="00D439F7" w:rsidRPr="00C57285">
        <w:rPr>
          <w:rFonts w:cs="Arial"/>
          <w:color w:val="2F2F2F"/>
          <w:sz w:val="18"/>
          <w:szCs w:val="18"/>
          <w:lang w:val="es-MX" w:eastAsia="es-MX"/>
        </w:rPr>
        <w:t xml:space="preserve"> </w:t>
      </w:r>
      <w:r w:rsidRPr="00C57285">
        <w:rPr>
          <w:rFonts w:cs="Arial"/>
          <w:color w:val="2F2F2F"/>
          <w:sz w:val="18"/>
          <w:szCs w:val="18"/>
          <w:lang w:val="es-MX" w:eastAsia="es-MX"/>
        </w:rPr>
        <w:t xml:space="preserve">se guiará por lo dispuesto en </w:t>
      </w:r>
      <w:hyperlink r:id="rId15" w:history="1">
        <w:r w:rsidRPr="00C57285">
          <w:rPr>
            <w:rStyle w:val="Hipervnculo"/>
            <w:sz w:val="18"/>
            <w:szCs w:val="18"/>
          </w:rPr>
          <w:t>http://tools.ietf.org/html/rfc4180</w:t>
        </w:r>
      </w:hyperlink>
      <w:r w:rsidR="00375B48" w:rsidRPr="00B97EDF">
        <w:rPr>
          <w:rStyle w:val="Hipervnculo"/>
          <w:sz w:val="18"/>
          <w:szCs w:val="18"/>
          <w:u w:val="none"/>
        </w:rPr>
        <w:t xml:space="preserve">, </w:t>
      </w:r>
      <w:r w:rsidR="00375B48" w:rsidRPr="00B97EDF">
        <w:rPr>
          <w:rFonts w:cs="Arial"/>
          <w:color w:val="2F2F2F"/>
          <w:sz w:val="18"/>
          <w:szCs w:val="14"/>
          <w:lang w:val="es-MX" w:eastAsia="es-MX"/>
        </w:rPr>
        <w:t xml:space="preserve">y deberá entregarse en formato de </w:t>
      </w:r>
      <w:r w:rsidR="00105098" w:rsidRPr="00B97EDF">
        <w:rPr>
          <w:rFonts w:cs="Arial"/>
          <w:color w:val="2F2F2F"/>
          <w:sz w:val="18"/>
          <w:szCs w:val="14"/>
          <w:lang w:val="es-MX" w:eastAsia="es-MX"/>
        </w:rPr>
        <w:t>compresión</w:t>
      </w:r>
      <w:r w:rsidR="00375B48" w:rsidRPr="00B97EDF">
        <w:rPr>
          <w:rFonts w:cs="Arial"/>
          <w:color w:val="2F2F2F"/>
          <w:sz w:val="18"/>
          <w:szCs w:val="14"/>
          <w:lang w:val="es-MX" w:eastAsia="es-MX"/>
        </w:rPr>
        <w:t xml:space="preserve"> sin perdida con extensión “.zip”.</w:t>
      </w:r>
    </w:p>
    <w:p w14:paraId="4D4E99BC" w14:textId="77777777" w:rsidR="00F65B8A" w:rsidRPr="00C57285" w:rsidRDefault="00F65B8A" w:rsidP="00F65B8A">
      <w:pPr>
        <w:pStyle w:val="Prrafodelista"/>
        <w:spacing w:line="276" w:lineRule="auto"/>
        <w:ind w:left="720"/>
        <w:contextualSpacing/>
        <w:mirrorIndents/>
        <w:jc w:val="both"/>
        <w:rPr>
          <w:rFonts w:cs="Arial"/>
          <w:color w:val="2F2F2F"/>
          <w:sz w:val="18"/>
          <w:szCs w:val="18"/>
          <w:lang w:val="es-MX" w:eastAsia="es-MX"/>
        </w:rPr>
      </w:pPr>
    </w:p>
    <w:p w14:paraId="5B6CA600" w14:textId="77777777" w:rsidR="00F65B8A" w:rsidRPr="00C57285" w:rsidRDefault="00F65B8A" w:rsidP="00F65B8A">
      <w:pPr>
        <w:pStyle w:val="Prrafodelista"/>
        <w:numPr>
          <w:ilvl w:val="0"/>
          <w:numId w:val="21"/>
        </w:numPr>
        <w:spacing w:line="276" w:lineRule="auto"/>
        <w:jc w:val="both"/>
        <w:rPr>
          <w:rFonts w:cs="Arial"/>
          <w:color w:val="2F2F2F"/>
          <w:sz w:val="18"/>
          <w:szCs w:val="18"/>
          <w:lang w:val="es-MX" w:eastAsia="es-MX"/>
        </w:rPr>
      </w:pPr>
      <w:r w:rsidRPr="00C57285">
        <w:rPr>
          <w:rFonts w:cs="Arial"/>
          <w:b/>
          <w:bCs/>
          <w:color w:val="2F2F2F"/>
          <w:sz w:val="18"/>
          <w:szCs w:val="18"/>
          <w:lang w:val="es-MX" w:eastAsia="es-MX"/>
        </w:rPr>
        <w:t>Dirección de contacto</w:t>
      </w:r>
      <w:r w:rsidRPr="00C57285">
        <w:rPr>
          <w:rFonts w:cs="Arial"/>
          <w:color w:val="2F2F2F"/>
          <w:sz w:val="18"/>
          <w:szCs w:val="18"/>
          <w:lang w:val="es-MX" w:eastAsia="es-MX"/>
        </w:rPr>
        <w:t>:</w:t>
      </w:r>
    </w:p>
    <w:p w14:paraId="72292CA2" w14:textId="77777777" w:rsidR="00F65B8A" w:rsidRPr="00C57285" w:rsidRDefault="00F65B8A" w:rsidP="00F65B8A">
      <w:pPr>
        <w:spacing w:after="0"/>
        <w:ind w:left="709"/>
        <w:jc w:val="both"/>
        <w:rPr>
          <w:rFonts w:ascii="Arial" w:eastAsia="Times New Roman" w:hAnsi="Arial" w:cs="Arial"/>
          <w:color w:val="2F2F2F"/>
          <w:sz w:val="18"/>
          <w:szCs w:val="18"/>
          <w:lang w:val="es-MX" w:eastAsia="es-MX"/>
        </w:rPr>
      </w:pPr>
      <w:r w:rsidRPr="00C57285">
        <w:rPr>
          <w:rFonts w:ascii="Arial" w:eastAsia="Times New Roman" w:hAnsi="Arial" w:cs="Arial"/>
          <w:color w:val="2F2F2F"/>
          <w:sz w:val="18"/>
          <w:szCs w:val="18"/>
          <w:lang w:val="es-MX" w:eastAsia="es-MX"/>
        </w:rPr>
        <w:t>En caso de dudas sobre cualquiera de los elementos contenidos en este formato, por favor contactar al siguiente correo electrónico:</w:t>
      </w:r>
    </w:p>
    <w:p w14:paraId="30A22C80" w14:textId="77777777" w:rsidR="00F65B8A" w:rsidRPr="00C57285" w:rsidRDefault="00F65B8A" w:rsidP="00F65B8A">
      <w:pPr>
        <w:spacing w:after="0"/>
        <w:ind w:hanging="432"/>
        <w:jc w:val="both"/>
        <w:rPr>
          <w:rFonts w:ascii="Arial" w:eastAsia="Times New Roman" w:hAnsi="Arial" w:cs="Arial"/>
          <w:color w:val="2F2F2F"/>
          <w:sz w:val="18"/>
          <w:szCs w:val="18"/>
          <w:lang w:val="es-MX" w:eastAsia="es-MX"/>
        </w:rPr>
      </w:pPr>
      <w:r w:rsidRPr="00C57285">
        <w:rPr>
          <w:rFonts w:ascii="Arial" w:eastAsia="Times New Roman" w:hAnsi="Arial" w:cs="Arial"/>
          <w:color w:val="2F2F2F"/>
          <w:sz w:val="18"/>
          <w:szCs w:val="18"/>
          <w:lang w:val="es-MX" w:eastAsia="es-MX"/>
        </w:rPr>
        <w:tab/>
      </w:r>
      <w:r w:rsidRPr="00C57285">
        <w:rPr>
          <w:rFonts w:ascii="Arial" w:eastAsia="Times New Roman" w:hAnsi="Arial" w:cs="Arial"/>
          <w:color w:val="2F2F2F"/>
          <w:sz w:val="18"/>
          <w:szCs w:val="18"/>
          <w:lang w:val="es-MX" w:eastAsia="es-MX"/>
        </w:rPr>
        <w:tab/>
        <w:t>reporte.desbloqueo.etm@ift.org.mx</w:t>
      </w:r>
    </w:p>
    <w:p w14:paraId="589208D5" w14:textId="77777777" w:rsidR="00F65B8A" w:rsidRPr="00C57285" w:rsidRDefault="00F65B8A" w:rsidP="00F65B8A">
      <w:pPr>
        <w:pStyle w:val="Prrafodelista"/>
        <w:spacing w:line="276" w:lineRule="auto"/>
        <w:ind w:left="720"/>
        <w:jc w:val="both"/>
        <w:rPr>
          <w:rFonts w:cs="Arial"/>
          <w:color w:val="2F2F2F"/>
          <w:sz w:val="18"/>
          <w:szCs w:val="18"/>
          <w:lang w:val="es-MX" w:eastAsia="es-MX"/>
        </w:rPr>
      </w:pPr>
    </w:p>
    <w:p w14:paraId="7569C784" w14:textId="20A05C2A" w:rsidR="00F65B8A" w:rsidRPr="00C57285" w:rsidRDefault="002C47AE" w:rsidP="00F65B8A">
      <w:pPr>
        <w:pStyle w:val="Prrafodelista"/>
        <w:numPr>
          <w:ilvl w:val="0"/>
          <w:numId w:val="21"/>
        </w:numPr>
        <w:spacing w:line="276" w:lineRule="auto"/>
        <w:jc w:val="both"/>
        <w:rPr>
          <w:rFonts w:cs="Arial"/>
          <w:color w:val="2F2F2F"/>
          <w:sz w:val="18"/>
          <w:szCs w:val="18"/>
          <w:lang w:val="es-MX" w:eastAsia="es-MX"/>
        </w:rPr>
      </w:pPr>
      <w:r>
        <w:rPr>
          <w:rFonts w:cs="Arial"/>
          <w:b/>
          <w:bCs/>
          <w:color w:val="2F2F2F"/>
          <w:sz w:val="18"/>
          <w:szCs w:val="18"/>
          <w:lang w:val="es-MX" w:eastAsia="es-MX"/>
        </w:rPr>
        <w:t>Condiciones aplicables</w:t>
      </w:r>
      <w:r w:rsidR="00F65B8A" w:rsidRPr="00C57285">
        <w:rPr>
          <w:rFonts w:cs="Arial"/>
          <w:b/>
          <w:bCs/>
          <w:color w:val="2F2F2F"/>
          <w:sz w:val="18"/>
          <w:szCs w:val="18"/>
          <w:lang w:val="es-MX" w:eastAsia="es-MX"/>
        </w:rPr>
        <w:t>:</w:t>
      </w:r>
    </w:p>
    <w:p w14:paraId="7618019F" w14:textId="77777777" w:rsidR="00F65B8A" w:rsidRPr="00C57285" w:rsidRDefault="00F65B8A" w:rsidP="00F65B8A">
      <w:pPr>
        <w:spacing w:after="0"/>
        <w:ind w:left="360" w:firstLine="360"/>
        <w:jc w:val="both"/>
        <w:rPr>
          <w:rFonts w:ascii="Arial" w:eastAsia="Times New Roman" w:hAnsi="Arial" w:cs="Arial"/>
          <w:color w:val="2F2F2F"/>
          <w:sz w:val="18"/>
          <w:szCs w:val="18"/>
          <w:lang w:val="es-MX" w:eastAsia="es-MX"/>
        </w:rPr>
      </w:pPr>
      <w:r w:rsidRPr="00C57285">
        <w:rPr>
          <w:rFonts w:ascii="Arial" w:eastAsia="Times New Roman" w:hAnsi="Arial" w:cs="Arial"/>
          <w:color w:val="2F2F2F"/>
          <w:sz w:val="18"/>
          <w:szCs w:val="18"/>
          <w:lang w:val="es-MX" w:eastAsia="es-MX"/>
        </w:rPr>
        <w:t>o    </w:t>
      </w:r>
      <w:r w:rsidRPr="00C57285">
        <w:rPr>
          <w:rFonts w:ascii="Arial" w:eastAsia="Times New Roman" w:hAnsi="Arial" w:cs="Arial"/>
          <w:i/>
          <w:iCs/>
          <w:color w:val="2F2F2F"/>
          <w:sz w:val="18"/>
          <w:szCs w:val="18"/>
          <w:u w:val="single"/>
          <w:lang w:val="es-MX" w:eastAsia="es-MX"/>
        </w:rPr>
        <w:t>Periodo para la entrega de información</w:t>
      </w:r>
      <w:r w:rsidRPr="00C57285">
        <w:rPr>
          <w:rFonts w:ascii="Arial" w:eastAsia="Times New Roman" w:hAnsi="Arial" w:cs="Arial"/>
          <w:i/>
          <w:iCs/>
          <w:color w:val="2F2F2F"/>
          <w:sz w:val="18"/>
          <w:szCs w:val="18"/>
          <w:lang w:val="es-MX" w:eastAsia="es-MX"/>
        </w:rPr>
        <w:t>:</w:t>
      </w:r>
    </w:p>
    <w:p w14:paraId="1203158B" w14:textId="77777777" w:rsidR="00F65B8A" w:rsidRPr="00C57285" w:rsidRDefault="00F65B8A" w:rsidP="00F65B8A">
      <w:pPr>
        <w:spacing w:after="0"/>
        <w:ind w:left="1069"/>
        <w:jc w:val="both"/>
        <w:rPr>
          <w:rFonts w:ascii="Arial" w:eastAsia="Times New Roman" w:hAnsi="Arial" w:cs="Arial"/>
          <w:b/>
          <w:bCs/>
          <w:color w:val="2F2F2F"/>
          <w:sz w:val="18"/>
          <w:szCs w:val="18"/>
          <w:lang w:val="es-MX" w:eastAsia="es-MX"/>
        </w:rPr>
      </w:pPr>
      <w:r w:rsidRPr="00C57285">
        <w:rPr>
          <w:rFonts w:ascii="Arial" w:eastAsia="Times New Roman" w:hAnsi="Arial" w:cs="Arial"/>
          <w:b/>
          <w:bCs/>
          <w:color w:val="2F2F2F"/>
          <w:sz w:val="18"/>
          <w:szCs w:val="18"/>
          <w:lang w:val="es-MX" w:eastAsia="es-MX"/>
        </w:rPr>
        <w:t xml:space="preserve">Dentro de los primeros </w:t>
      </w:r>
      <w:r>
        <w:rPr>
          <w:rFonts w:ascii="Arial" w:eastAsia="Times New Roman" w:hAnsi="Arial" w:cs="Arial"/>
          <w:b/>
          <w:bCs/>
          <w:color w:val="2F2F2F"/>
          <w:sz w:val="18"/>
          <w:szCs w:val="18"/>
          <w:lang w:val="es-MX" w:eastAsia="es-MX"/>
        </w:rPr>
        <w:t>20</w:t>
      </w:r>
      <w:r w:rsidRPr="00C57285">
        <w:rPr>
          <w:rFonts w:ascii="Arial" w:eastAsia="Times New Roman" w:hAnsi="Arial" w:cs="Arial"/>
          <w:b/>
          <w:bCs/>
          <w:color w:val="2F2F2F"/>
          <w:sz w:val="18"/>
          <w:szCs w:val="18"/>
          <w:lang w:val="es-MX" w:eastAsia="es-MX"/>
        </w:rPr>
        <w:t xml:space="preserve"> días hábiles de cada trimestre calendario. </w:t>
      </w:r>
    </w:p>
    <w:p w14:paraId="1B5E34D0" w14:textId="77777777" w:rsidR="00F65B8A" w:rsidRPr="00C57285" w:rsidRDefault="00F65B8A" w:rsidP="00F65B8A">
      <w:pPr>
        <w:spacing w:after="0"/>
        <w:ind w:left="360" w:firstLine="360"/>
        <w:jc w:val="both"/>
        <w:rPr>
          <w:rFonts w:ascii="Arial" w:eastAsia="Times New Roman" w:hAnsi="Arial" w:cs="Arial"/>
          <w:i/>
          <w:iCs/>
          <w:color w:val="2F2F2F"/>
          <w:sz w:val="18"/>
          <w:szCs w:val="18"/>
          <w:u w:val="single"/>
          <w:lang w:val="es-MX" w:eastAsia="es-MX"/>
        </w:rPr>
      </w:pPr>
      <w:r w:rsidRPr="00C57285">
        <w:rPr>
          <w:rFonts w:ascii="Arial" w:eastAsia="Times New Roman" w:hAnsi="Arial" w:cs="Arial"/>
          <w:color w:val="2F2F2F"/>
          <w:sz w:val="18"/>
          <w:szCs w:val="18"/>
          <w:lang w:val="es-MX" w:eastAsia="es-MX"/>
        </w:rPr>
        <w:t>o</w:t>
      </w:r>
      <w:r w:rsidRPr="00C57285">
        <w:rPr>
          <w:rFonts w:ascii="Arial" w:eastAsia="Times New Roman" w:hAnsi="Arial" w:cs="Arial"/>
          <w:i/>
          <w:iCs/>
          <w:color w:val="2F2F2F"/>
          <w:sz w:val="18"/>
          <w:szCs w:val="18"/>
          <w:lang w:val="es-MX" w:eastAsia="es-MX"/>
        </w:rPr>
        <w:t xml:space="preserve">    </w:t>
      </w:r>
      <w:r w:rsidRPr="00C57285">
        <w:rPr>
          <w:rFonts w:ascii="Arial" w:eastAsia="Times New Roman" w:hAnsi="Arial" w:cs="Arial"/>
          <w:i/>
          <w:iCs/>
          <w:color w:val="2F2F2F"/>
          <w:sz w:val="18"/>
          <w:szCs w:val="18"/>
          <w:u w:val="single"/>
          <w:lang w:val="es-MX" w:eastAsia="es-MX"/>
        </w:rPr>
        <w:t>Periodo que debe abarcar la información requerida:</w:t>
      </w:r>
    </w:p>
    <w:p w14:paraId="081CD5B3" w14:textId="77777777" w:rsidR="00F65B8A" w:rsidRPr="00C57285" w:rsidRDefault="00F65B8A" w:rsidP="00F65B8A">
      <w:pPr>
        <w:spacing w:after="0"/>
        <w:ind w:left="1069"/>
        <w:jc w:val="both"/>
        <w:rPr>
          <w:rFonts w:ascii="Arial" w:eastAsia="Times New Roman" w:hAnsi="Arial" w:cs="Arial"/>
          <w:b/>
          <w:bCs/>
          <w:color w:val="2F2F2F"/>
          <w:sz w:val="18"/>
          <w:szCs w:val="18"/>
          <w:lang w:val="es-MX" w:eastAsia="es-MX"/>
        </w:rPr>
      </w:pPr>
      <w:r w:rsidRPr="00C57285">
        <w:rPr>
          <w:rFonts w:ascii="Arial" w:eastAsia="Times New Roman" w:hAnsi="Arial" w:cs="Arial"/>
          <w:b/>
          <w:bCs/>
          <w:color w:val="2F2F2F"/>
          <w:sz w:val="18"/>
          <w:szCs w:val="18"/>
          <w:lang w:val="es-MX" w:eastAsia="es-MX"/>
        </w:rPr>
        <w:t>El trimestre calendario inmediato anterior al inicio del periodo para la entrega de información.</w:t>
      </w:r>
    </w:p>
    <w:p w14:paraId="553EE81A" w14:textId="77777777" w:rsidR="00F65B8A" w:rsidRPr="00C57285" w:rsidRDefault="00F65B8A" w:rsidP="00F65B8A">
      <w:pPr>
        <w:spacing w:after="0"/>
        <w:ind w:left="360" w:firstLine="360"/>
        <w:jc w:val="both"/>
        <w:rPr>
          <w:rFonts w:ascii="Arial" w:eastAsia="Times New Roman" w:hAnsi="Arial" w:cs="Arial"/>
          <w:color w:val="2F2F2F"/>
          <w:sz w:val="18"/>
          <w:szCs w:val="18"/>
          <w:lang w:val="es-MX" w:eastAsia="es-MX"/>
        </w:rPr>
      </w:pPr>
      <w:r w:rsidRPr="00C57285">
        <w:rPr>
          <w:rFonts w:ascii="Arial" w:eastAsia="Times New Roman" w:hAnsi="Arial" w:cs="Arial"/>
          <w:color w:val="2F2F2F"/>
          <w:sz w:val="18"/>
          <w:szCs w:val="18"/>
          <w:lang w:val="es-MX" w:eastAsia="es-MX"/>
        </w:rPr>
        <w:t>o    </w:t>
      </w:r>
      <w:r w:rsidRPr="00C57285">
        <w:rPr>
          <w:rFonts w:ascii="Arial" w:eastAsia="Times New Roman" w:hAnsi="Arial" w:cs="Arial"/>
          <w:i/>
          <w:iCs/>
          <w:color w:val="2F2F2F"/>
          <w:sz w:val="18"/>
          <w:szCs w:val="18"/>
          <w:u w:val="single"/>
          <w:lang w:val="es-MX" w:eastAsia="es-MX"/>
        </w:rPr>
        <w:t>Plazo para formular una aclaración por parte del IFT:</w:t>
      </w:r>
    </w:p>
    <w:p w14:paraId="695B1080" w14:textId="77777777" w:rsidR="00F65B8A" w:rsidRPr="00C57285" w:rsidRDefault="00F65B8A" w:rsidP="00F65B8A">
      <w:pPr>
        <w:spacing w:after="0"/>
        <w:ind w:left="1224" w:hanging="432"/>
        <w:rPr>
          <w:rFonts w:ascii="Arial" w:eastAsia="Times New Roman" w:hAnsi="Arial" w:cs="Arial"/>
          <w:color w:val="2F2F2F"/>
          <w:sz w:val="18"/>
          <w:szCs w:val="18"/>
          <w:lang w:val="es-MX" w:eastAsia="es-MX"/>
        </w:rPr>
      </w:pPr>
      <w:r w:rsidRPr="00C57285">
        <w:rPr>
          <w:rFonts w:ascii="Arial" w:eastAsia="Times New Roman" w:hAnsi="Arial" w:cs="Arial"/>
          <w:color w:val="2F2F2F"/>
          <w:sz w:val="18"/>
          <w:szCs w:val="18"/>
          <w:lang w:val="es-MX" w:eastAsia="es-MX"/>
        </w:rPr>
        <w:t>     </w:t>
      </w:r>
      <w:r w:rsidRPr="00C57285">
        <w:rPr>
          <w:rFonts w:ascii="Arial" w:eastAsia="Times New Roman" w:hAnsi="Arial" w:cs="Arial"/>
          <w:b/>
          <w:bCs/>
          <w:color w:val="2F2F2F"/>
          <w:sz w:val="18"/>
          <w:szCs w:val="18"/>
          <w:lang w:val="es-MX" w:eastAsia="es-MX"/>
        </w:rPr>
        <w:t xml:space="preserve">Dentro de los 5 días hábiles </w:t>
      </w:r>
      <w:r>
        <w:rPr>
          <w:rFonts w:ascii="Arial" w:eastAsia="Times New Roman" w:hAnsi="Arial" w:cs="Arial"/>
          <w:b/>
          <w:bCs/>
          <w:color w:val="2F2F2F"/>
          <w:sz w:val="18"/>
          <w:szCs w:val="18"/>
          <w:lang w:val="es-MX" w:eastAsia="es-MX"/>
        </w:rPr>
        <w:t>posteriores a</w:t>
      </w:r>
      <w:r w:rsidRPr="00C57285">
        <w:rPr>
          <w:rFonts w:ascii="Arial" w:eastAsia="Times New Roman" w:hAnsi="Arial" w:cs="Arial"/>
          <w:b/>
          <w:bCs/>
          <w:color w:val="2F2F2F"/>
          <w:sz w:val="18"/>
          <w:szCs w:val="18"/>
          <w:lang w:val="es-MX" w:eastAsia="es-MX"/>
        </w:rPr>
        <w:t xml:space="preserve"> la presentación de la información.</w:t>
      </w:r>
    </w:p>
    <w:p w14:paraId="6594DD48" w14:textId="77777777" w:rsidR="00F65B8A" w:rsidRPr="00C57285" w:rsidRDefault="00F65B8A" w:rsidP="00F65B8A">
      <w:pPr>
        <w:spacing w:after="0"/>
        <w:ind w:left="360" w:firstLine="360"/>
        <w:jc w:val="both"/>
        <w:rPr>
          <w:rFonts w:ascii="Arial" w:eastAsia="Times New Roman" w:hAnsi="Arial" w:cs="Arial"/>
          <w:i/>
          <w:iCs/>
          <w:color w:val="2F2F2F"/>
          <w:sz w:val="18"/>
          <w:szCs w:val="18"/>
          <w:u w:val="single"/>
          <w:lang w:val="es-MX" w:eastAsia="es-MX"/>
        </w:rPr>
      </w:pPr>
      <w:r w:rsidRPr="00C57285">
        <w:rPr>
          <w:rFonts w:ascii="Arial" w:eastAsia="Times New Roman" w:hAnsi="Arial" w:cs="Arial"/>
          <w:color w:val="2F2F2F"/>
          <w:sz w:val="18"/>
          <w:szCs w:val="18"/>
          <w:lang w:val="es-MX" w:eastAsia="es-MX"/>
        </w:rPr>
        <w:lastRenderedPageBreak/>
        <w:t>o    </w:t>
      </w:r>
      <w:r w:rsidRPr="00C57285">
        <w:rPr>
          <w:rFonts w:ascii="Arial" w:eastAsia="Times New Roman" w:hAnsi="Arial" w:cs="Arial"/>
          <w:i/>
          <w:iCs/>
          <w:color w:val="2F2F2F"/>
          <w:sz w:val="18"/>
          <w:szCs w:val="18"/>
          <w:u w:val="single"/>
          <w:lang w:val="es-MX" w:eastAsia="es-MX"/>
        </w:rPr>
        <w:t>Plazo para desahogar el requerimiento de aclaración por parte del sujeto obligado:</w:t>
      </w:r>
    </w:p>
    <w:p w14:paraId="1AFA0ABF" w14:textId="743EA335" w:rsidR="00F65B8A" w:rsidRPr="00C57285" w:rsidRDefault="00F65B8A" w:rsidP="00F65B8A">
      <w:pPr>
        <w:spacing w:after="0"/>
        <w:ind w:left="1224" w:hanging="432"/>
        <w:jc w:val="both"/>
        <w:rPr>
          <w:rFonts w:ascii="Arial" w:eastAsia="Times New Roman" w:hAnsi="Arial" w:cs="Arial"/>
          <w:color w:val="2F2F2F"/>
          <w:sz w:val="18"/>
          <w:szCs w:val="18"/>
          <w:lang w:val="es-MX" w:eastAsia="es-MX"/>
        </w:rPr>
      </w:pPr>
      <w:r w:rsidRPr="00C57285">
        <w:rPr>
          <w:rFonts w:ascii="Arial" w:eastAsia="Times New Roman" w:hAnsi="Arial" w:cs="Arial"/>
          <w:color w:val="2F2F2F"/>
          <w:sz w:val="18"/>
          <w:szCs w:val="18"/>
          <w:lang w:val="es-MX" w:eastAsia="es-MX"/>
        </w:rPr>
        <w:t>     </w:t>
      </w:r>
      <w:r w:rsidRPr="00C57285">
        <w:rPr>
          <w:rFonts w:ascii="Arial" w:eastAsia="Times New Roman" w:hAnsi="Arial" w:cs="Arial"/>
          <w:b/>
          <w:bCs/>
          <w:color w:val="2F2F2F"/>
          <w:sz w:val="18"/>
          <w:szCs w:val="18"/>
          <w:lang w:val="es-MX" w:eastAsia="es-MX"/>
        </w:rPr>
        <w:t xml:space="preserve">10 días hábiles desde </w:t>
      </w:r>
      <w:r w:rsidR="00EE4B88">
        <w:rPr>
          <w:rFonts w:ascii="Arial" w:eastAsia="Times New Roman" w:hAnsi="Arial" w:cs="Arial"/>
          <w:b/>
          <w:bCs/>
          <w:color w:val="2F2F2F"/>
          <w:sz w:val="18"/>
          <w:szCs w:val="18"/>
          <w:lang w:val="es-MX" w:eastAsia="es-MX"/>
        </w:rPr>
        <w:t>la notificación d</w:t>
      </w:r>
      <w:r w:rsidRPr="00C57285">
        <w:rPr>
          <w:rFonts w:ascii="Arial" w:eastAsia="Times New Roman" w:hAnsi="Arial" w:cs="Arial"/>
          <w:b/>
          <w:bCs/>
          <w:color w:val="2F2F2F"/>
          <w:sz w:val="18"/>
          <w:szCs w:val="18"/>
          <w:lang w:val="es-MX" w:eastAsia="es-MX"/>
        </w:rPr>
        <w:t>el requerimiento de aclaración.</w:t>
      </w:r>
    </w:p>
    <w:p w14:paraId="057AF0F8" w14:textId="77777777" w:rsidR="00F65B8A" w:rsidRPr="00C57285" w:rsidRDefault="00F65B8A" w:rsidP="00F65B8A">
      <w:pPr>
        <w:spacing w:after="0"/>
        <w:ind w:left="360" w:firstLine="360"/>
        <w:jc w:val="both"/>
        <w:rPr>
          <w:rFonts w:ascii="Arial" w:eastAsia="Times New Roman" w:hAnsi="Arial" w:cs="Arial"/>
          <w:i/>
          <w:iCs/>
          <w:color w:val="2F2F2F"/>
          <w:sz w:val="18"/>
          <w:szCs w:val="18"/>
          <w:u w:val="single"/>
          <w:lang w:val="es-MX" w:eastAsia="es-MX"/>
        </w:rPr>
      </w:pPr>
      <w:r w:rsidRPr="00C57285">
        <w:rPr>
          <w:rFonts w:ascii="Arial" w:eastAsia="Times New Roman" w:hAnsi="Arial" w:cs="Arial"/>
          <w:color w:val="2F2F2F"/>
          <w:sz w:val="18"/>
          <w:szCs w:val="18"/>
          <w:lang w:val="es-MX" w:eastAsia="es-MX"/>
        </w:rPr>
        <w:t>o    </w:t>
      </w:r>
      <w:r w:rsidRPr="00C57285">
        <w:rPr>
          <w:rFonts w:ascii="Arial" w:eastAsia="Times New Roman" w:hAnsi="Arial" w:cs="Arial"/>
          <w:i/>
          <w:iCs/>
          <w:color w:val="2F2F2F"/>
          <w:sz w:val="18"/>
          <w:szCs w:val="18"/>
          <w:u w:val="single"/>
          <w:lang w:val="es-MX" w:eastAsia="es-MX"/>
        </w:rPr>
        <w:t>Carácter de la información:</w:t>
      </w:r>
    </w:p>
    <w:p w14:paraId="587B1AAE" w14:textId="77777777" w:rsidR="00F65B8A" w:rsidRPr="00C57285" w:rsidRDefault="00F65B8A" w:rsidP="00F65B8A">
      <w:pPr>
        <w:spacing w:after="0"/>
        <w:ind w:left="709" w:firstLine="11"/>
        <w:rPr>
          <w:rFonts w:ascii="Arial" w:eastAsia="Times New Roman" w:hAnsi="Arial" w:cs="Arial"/>
          <w:color w:val="2F2F2F"/>
          <w:sz w:val="18"/>
          <w:szCs w:val="18"/>
          <w:lang w:val="es-MX" w:eastAsia="es-MX"/>
        </w:rPr>
      </w:pPr>
      <w:r>
        <w:rPr>
          <w:rFonts w:ascii="Arial" w:eastAsia="Times New Roman" w:hAnsi="Arial" w:cs="Arial"/>
          <w:b/>
          <w:bCs/>
          <w:color w:val="2F2F2F"/>
          <w:sz w:val="18"/>
          <w:szCs w:val="18"/>
          <w:lang w:val="es-MX" w:eastAsia="es-MX"/>
        </w:rPr>
        <w:t xml:space="preserve">      </w:t>
      </w:r>
      <w:r w:rsidRPr="00C57285">
        <w:rPr>
          <w:rFonts w:ascii="Arial" w:eastAsia="Times New Roman" w:hAnsi="Arial" w:cs="Arial"/>
          <w:b/>
          <w:bCs/>
          <w:color w:val="2F2F2F"/>
          <w:sz w:val="18"/>
          <w:szCs w:val="18"/>
          <w:lang w:val="es-MX" w:eastAsia="es-MX"/>
        </w:rPr>
        <w:t>Público a nivel desagregado.</w:t>
      </w:r>
    </w:p>
    <w:p w14:paraId="05BB7515" w14:textId="77777777" w:rsidR="00F65B8A" w:rsidRPr="00C57285" w:rsidRDefault="00F65B8A" w:rsidP="00F65B8A">
      <w:pPr>
        <w:spacing w:after="0"/>
        <w:contextualSpacing/>
        <w:mirrorIndents/>
        <w:jc w:val="both"/>
        <w:rPr>
          <w:rFonts w:ascii="Arial" w:eastAsia="Times New Roman" w:hAnsi="Arial" w:cs="Arial"/>
          <w:b/>
          <w:bCs/>
          <w:color w:val="2F2F2F"/>
          <w:sz w:val="18"/>
          <w:szCs w:val="18"/>
          <w:lang w:val="es-MX" w:eastAsia="es-MX"/>
        </w:rPr>
      </w:pPr>
    </w:p>
    <w:p w14:paraId="03876160" w14:textId="77777777" w:rsidR="00F65B8A" w:rsidRPr="00C57285" w:rsidRDefault="00F65B8A" w:rsidP="00F65B8A">
      <w:pPr>
        <w:spacing w:after="0"/>
        <w:contextualSpacing/>
        <w:mirrorIndents/>
        <w:jc w:val="both"/>
        <w:rPr>
          <w:rFonts w:ascii="Arial" w:eastAsia="Times New Roman" w:hAnsi="Arial" w:cs="Arial"/>
          <w:b/>
          <w:bCs/>
          <w:color w:val="2F2F2F"/>
          <w:sz w:val="18"/>
          <w:szCs w:val="18"/>
          <w:lang w:val="es-MX" w:eastAsia="es-MX"/>
        </w:rPr>
      </w:pPr>
      <w:r w:rsidRPr="00C57285">
        <w:rPr>
          <w:rFonts w:ascii="Arial" w:eastAsia="Times New Roman" w:hAnsi="Arial" w:cs="Arial"/>
          <w:b/>
          <w:bCs/>
          <w:color w:val="2F2F2F"/>
          <w:sz w:val="18"/>
          <w:szCs w:val="18"/>
          <w:lang w:val="es-MX" w:eastAsia="es-MX"/>
        </w:rPr>
        <w:t>Descripción de los indicadores:</w:t>
      </w:r>
    </w:p>
    <w:p w14:paraId="7BAF62EF" w14:textId="77777777" w:rsidR="00F65B8A" w:rsidRPr="00C57285" w:rsidRDefault="00F65B8A" w:rsidP="00F65B8A">
      <w:pPr>
        <w:spacing w:after="0"/>
        <w:jc w:val="both"/>
        <w:rPr>
          <w:rFonts w:ascii="Arial" w:eastAsia="Times New Roman" w:hAnsi="Arial" w:cs="Arial"/>
          <w:color w:val="2F2F2F"/>
          <w:sz w:val="18"/>
          <w:szCs w:val="18"/>
          <w:lang w:val="es-MX" w:eastAsia="es-MX"/>
        </w:rPr>
      </w:pPr>
      <w:r w:rsidRPr="00C57285">
        <w:rPr>
          <w:rFonts w:ascii="Arial" w:eastAsia="Times New Roman" w:hAnsi="Arial" w:cs="Arial"/>
          <w:color w:val="2F2F2F"/>
          <w:sz w:val="18"/>
          <w:szCs w:val="18"/>
          <w:lang w:val="es-MX" w:eastAsia="es-MX"/>
        </w:rPr>
        <w:t xml:space="preserve">La siguiente información deberá ser entregada por los Prestadores del Servicio Móvil. </w:t>
      </w:r>
    </w:p>
    <w:p w14:paraId="12735A78" w14:textId="77777777" w:rsidR="00F65B8A" w:rsidRPr="00C57285" w:rsidRDefault="00F65B8A" w:rsidP="00F65B8A">
      <w:pPr>
        <w:spacing w:after="0"/>
        <w:contextualSpacing/>
        <w:mirrorIndents/>
        <w:jc w:val="both"/>
        <w:rPr>
          <w:rFonts w:ascii="Arial" w:eastAsia="Times New Roman" w:hAnsi="Arial" w:cs="Arial"/>
          <w:color w:val="2F2F2F"/>
          <w:sz w:val="18"/>
          <w:szCs w:val="18"/>
          <w:lang w:val="es-MX" w:eastAsia="es-MX"/>
        </w:rPr>
      </w:pPr>
      <w:r>
        <w:rPr>
          <w:rFonts w:ascii="Arial" w:eastAsia="ITC Avant Garde" w:hAnsi="Arial" w:cs="Arial"/>
          <w:sz w:val="18"/>
          <w:szCs w:val="18"/>
        </w:rPr>
        <w:t>Las</w:t>
      </w:r>
      <w:r w:rsidRPr="00C57285">
        <w:rPr>
          <w:rFonts w:ascii="Arial" w:eastAsia="Times New Roman" w:hAnsi="Arial" w:cs="Arial"/>
          <w:color w:val="2F2F2F"/>
          <w:sz w:val="18"/>
          <w:szCs w:val="18"/>
          <w:lang w:val="es-MX" w:eastAsia="es-MX"/>
        </w:rPr>
        <w:t xml:space="preserve"> solicitud</w:t>
      </w:r>
      <w:r>
        <w:rPr>
          <w:rFonts w:ascii="Arial" w:eastAsia="Times New Roman" w:hAnsi="Arial" w:cs="Arial"/>
          <w:color w:val="2F2F2F"/>
          <w:sz w:val="18"/>
          <w:szCs w:val="18"/>
          <w:lang w:val="es-MX" w:eastAsia="es-MX"/>
        </w:rPr>
        <w:t>es</w:t>
      </w:r>
      <w:r w:rsidRPr="00C57285">
        <w:rPr>
          <w:rFonts w:ascii="Arial" w:eastAsia="Times New Roman" w:hAnsi="Arial" w:cs="Arial"/>
          <w:color w:val="2F2F2F"/>
          <w:sz w:val="18"/>
          <w:szCs w:val="18"/>
          <w:lang w:val="es-MX" w:eastAsia="es-MX"/>
        </w:rPr>
        <w:t xml:space="preserve"> de desbloqueo </w:t>
      </w:r>
      <w:r>
        <w:rPr>
          <w:rFonts w:ascii="Arial" w:eastAsia="Times New Roman" w:hAnsi="Arial" w:cs="Arial"/>
          <w:color w:val="2F2F2F"/>
          <w:sz w:val="18"/>
          <w:szCs w:val="18"/>
          <w:lang w:val="es-MX" w:eastAsia="es-MX"/>
        </w:rPr>
        <w:t xml:space="preserve">recibidas </w:t>
      </w:r>
      <w:r w:rsidRPr="00CA6C00">
        <w:rPr>
          <w:rFonts w:ascii="Arial" w:eastAsia="Times New Roman" w:hAnsi="Arial" w:cs="Arial"/>
          <w:sz w:val="18"/>
          <w:szCs w:val="18"/>
          <w:lang w:eastAsia="es-ES"/>
        </w:rPr>
        <w:t xml:space="preserve">en </w:t>
      </w:r>
      <w:r>
        <w:rPr>
          <w:rFonts w:ascii="Arial" w:eastAsia="Times New Roman" w:hAnsi="Arial" w:cs="Arial"/>
          <w:sz w:val="18"/>
          <w:szCs w:val="18"/>
          <w:lang w:eastAsia="es-ES"/>
        </w:rPr>
        <w:t xml:space="preserve">cualquier medio: </w:t>
      </w:r>
      <w:r w:rsidRPr="00CA6C00">
        <w:rPr>
          <w:rFonts w:ascii="Arial" w:eastAsia="Times New Roman" w:hAnsi="Arial" w:cs="Arial"/>
          <w:sz w:val="18"/>
          <w:szCs w:val="18"/>
          <w:lang w:eastAsia="es-ES"/>
        </w:rPr>
        <w:t>los centros de atención a clientes</w:t>
      </w:r>
      <w:r>
        <w:rPr>
          <w:rFonts w:ascii="Arial" w:eastAsia="Times New Roman" w:hAnsi="Arial" w:cs="Arial"/>
          <w:sz w:val="18"/>
          <w:szCs w:val="18"/>
          <w:lang w:eastAsia="es-ES"/>
        </w:rPr>
        <w:t>,</w:t>
      </w:r>
      <w:r w:rsidRPr="00CA6C00">
        <w:rPr>
          <w:rFonts w:ascii="Arial" w:eastAsia="Times New Roman" w:hAnsi="Arial" w:cs="Arial"/>
          <w:sz w:val="18"/>
          <w:szCs w:val="18"/>
          <w:lang w:eastAsia="es-ES"/>
        </w:rPr>
        <w:t xml:space="preserve"> a través del número telefónico de atención a clientes o a través de </w:t>
      </w:r>
      <w:r>
        <w:rPr>
          <w:rFonts w:ascii="Arial" w:eastAsia="Times New Roman" w:hAnsi="Arial" w:cs="Arial"/>
          <w:sz w:val="18"/>
          <w:szCs w:val="18"/>
          <w:lang w:eastAsia="es-ES"/>
        </w:rPr>
        <w:t xml:space="preserve">los </w:t>
      </w:r>
      <w:r w:rsidRPr="00CA6C00">
        <w:rPr>
          <w:rFonts w:ascii="Arial" w:eastAsia="Times New Roman" w:hAnsi="Arial" w:cs="Arial"/>
          <w:sz w:val="18"/>
          <w:szCs w:val="18"/>
          <w:lang w:eastAsia="es-ES"/>
        </w:rPr>
        <w:t>medios electrónicos del Prestador de Servicio Móvil</w:t>
      </w:r>
      <w:r w:rsidRPr="00C57285">
        <w:rPr>
          <w:rFonts w:ascii="Arial" w:eastAsia="Times New Roman" w:hAnsi="Arial" w:cs="Arial"/>
          <w:color w:val="2F2F2F"/>
          <w:sz w:val="18"/>
          <w:szCs w:val="18"/>
          <w:lang w:val="es-MX" w:eastAsia="es-MX"/>
        </w:rPr>
        <w:t xml:space="preserve">. </w:t>
      </w:r>
    </w:p>
    <w:p w14:paraId="6E6279F1" w14:textId="77777777" w:rsidR="00F65B8A" w:rsidRPr="00C57285" w:rsidRDefault="00F65B8A" w:rsidP="00F65B8A">
      <w:pPr>
        <w:spacing w:after="0"/>
        <w:contextualSpacing/>
        <w:mirrorIndents/>
        <w:jc w:val="both"/>
        <w:rPr>
          <w:rFonts w:ascii="Arial" w:eastAsia="ITC Avant Garde" w:hAnsi="Arial" w:cs="Arial"/>
          <w:sz w:val="18"/>
          <w:szCs w:val="18"/>
          <w:lang w:val="es-MX"/>
        </w:rPr>
      </w:pPr>
    </w:p>
    <w:tbl>
      <w:tblPr>
        <w:tblStyle w:val="Tabladecuadrcula4"/>
        <w:tblpPr w:leftFromText="141" w:rightFromText="141" w:vertAnchor="text" w:tblpXSpec="center" w:tblpY="1"/>
        <w:tblOverlap w:val="never"/>
        <w:tblW w:w="9191" w:type="dxa"/>
        <w:jc w:val="center"/>
        <w:tblLook w:val="04A0" w:firstRow="1" w:lastRow="0" w:firstColumn="1" w:lastColumn="0" w:noHBand="0" w:noVBand="1"/>
      </w:tblPr>
      <w:tblGrid>
        <w:gridCol w:w="3823"/>
        <w:gridCol w:w="5368"/>
      </w:tblGrid>
      <w:tr w:rsidR="00F65B8A" w:rsidRPr="00C57285" w14:paraId="7AC2F402" w14:textId="77777777" w:rsidTr="002955CF">
        <w:trPr>
          <w:cnfStyle w:val="100000000000" w:firstRow="1" w:lastRow="0" w:firstColumn="0" w:lastColumn="0" w:oddVBand="0" w:evenVBand="0" w:oddHBand="0" w:evenHBand="0" w:firstRowFirstColumn="0" w:firstRowLastColumn="0" w:lastRowFirstColumn="0" w:lastRowLastColumn="0"/>
          <w:trHeight w:val="444"/>
          <w:jc w:val="center"/>
        </w:trPr>
        <w:tc>
          <w:tcPr>
            <w:cnfStyle w:val="001000000000" w:firstRow="0" w:lastRow="0" w:firstColumn="1" w:lastColumn="0" w:oddVBand="0" w:evenVBand="0" w:oddHBand="0" w:evenHBand="0" w:firstRowFirstColumn="0" w:firstRowLastColumn="0" w:lastRowFirstColumn="0" w:lastRowLastColumn="0"/>
            <w:tcW w:w="3823" w:type="dxa"/>
            <w:tcBorders>
              <w:right w:val="single" w:sz="4" w:space="0" w:color="auto"/>
            </w:tcBorders>
            <w:shd w:val="clear" w:color="auto" w:fill="A6A6A6" w:themeFill="background1" w:themeFillShade="A6"/>
            <w:hideMark/>
          </w:tcPr>
          <w:p w14:paraId="52ED1646" w14:textId="77777777" w:rsidR="00F65B8A" w:rsidRPr="00C57285" w:rsidRDefault="00F65B8A" w:rsidP="002955CF">
            <w:pPr>
              <w:spacing w:after="0"/>
              <w:jc w:val="center"/>
              <w:rPr>
                <w:rFonts w:ascii="Arial" w:eastAsia="Times New Roman" w:hAnsi="Arial" w:cs="Arial"/>
                <w:b w:val="0"/>
                <w:bCs w:val="0"/>
                <w:color w:val="000000"/>
                <w:sz w:val="18"/>
                <w:szCs w:val="18"/>
                <w:lang w:eastAsia="es-MX"/>
              </w:rPr>
            </w:pPr>
            <w:r w:rsidRPr="00C57285">
              <w:rPr>
                <w:rFonts w:ascii="Arial" w:eastAsia="Times New Roman" w:hAnsi="Arial" w:cs="Arial"/>
                <w:color w:val="000000"/>
                <w:sz w:val="18"/>
                <w:szCs w:val="18"/>
                <w:lang w:eastAsia="es-MX"/>
              </w:rPr>
              <w:t>Nombre del</w:t>
            </w:r>
            <w:r w:rsidRPr="00C57285">
              <w:rPr>
                <w:rFonts w:ascii="Arial" w:eastAsia="Times New Roman" w:hAnsi="Arial" w:cs="Arial"/>
                <w:color w:val="000000"/>
                <w:sz w:val="18"/>
                <w:szCs w:val="18"/>
                <w:lang w:eastAsia="es-MX"/>
              </w:rPr>
              <w:br/>
              <w:t>Indicador</w:t>
            </w:r>
          </w:p>
        </w:tc>
        <w:tc>
          <w:tcPr>
            <w:tcW w:w="5368" w:type="dxa"/>
            <w:tcBorders>
              <w:left w:val="single" w:sz="4" w:space="0" w:color="auto"/>
            </w:tcBorders>
            <w:shd w:val="clear" w:color="auto" w:fill="A6A6A6" w:themeFill="background1" w:themeFillShade="A6"/>
            <w:hideMark/>
          </w:tcPr>
          <w:p w14:paraId="6C7C61DB" w14:textId="77777777" w:rsidR="00F65B8A" w:rsidRPr="00C57285" w:rsidRDefault="00F65B8A" w:rsidP="002955CF">
            <w:pPr>
              <w:spacing w:after="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18"/>
                <w:szCs w:val="18"/>
                <w:lang w:eastAsia="es-MX"/>
              </w:rPr>
            </w:pPr>
            <w:r w:rsidRPr="00C57285">
              <w:rPr>
                <w:rFonts w:ascii="Arial" w:eastAsia="Times New Roman" w:hAnsi="Arial" w:cs="Arial"/>
                <w:color w:val="000000"/>
                <w:sz w:val="18"/>
                <w:szCs w:val="18"/>
                <w:lang w:eastAsia="es-MX"/>
              </w:rPr>
              <w:t>Descripción del Indicador</w:t>
            </w:r>
          </w:p>
        </w:tc>
      </w:tr>
      <w:tr w:rsidR="00F65B8A" w:rsidRPr="00C57285" w14:paraId="3161B8AD" w14:textId="77777777" w:rsidTr="002955CF">
        <w:trPr>
          <w:cnfStyle w:val="000000100000" w:firstRow="0" w:lastRow="0" w:firstColumn="0" w:lastColumn="0" w:oddVBand="0" w:evenVBand="0" w:oddHBand="1" w:evenHBand="0" w:firstRowFirstColumn="0" w:firstRowLastColumn="0" w:lastRowFirstColumn="0" w:lastRowLastColumn="0"/>
          <w:trHeight w:val="664"/>
          <w:jc w:val="center"/>
        </w:trPr>
        <w:tc>
          <w:tcPr>
            <w:cnfStyle w:val="001000000000" w:firstRow="0" w:lastRow="0" w:firstColumn="1" w:lastColumn="0" w:oddVBand="0" w:evenVBand="0" w:oddHBand="0" w:evenHBand="0" w:firstRowFirstColumn="0" w:firstRowLastColumn="0" w:lastRowFirstColumn="0" w:lastRowLastColumn="0"/>
            <w:tcW w:w="3823" w:type="dxa"/>
          </w:tcPr>
          <w:p w14:paraId="2417EED5" w14:textId="77777777" w:rsidR="00F65B8A" w:rsidRPr="00CA5D62" w:rsidRDefault="00F65B8A" w:rsidP="002955CF">
            <w:pPr>
              <w:spacing w:after="0"/>
              <w:rPr>
                <w:rFonts w:ascii="Arial" w:eastAsia="Times New Roman" w:hAnsi="Arial" w:cs="Arial"/>
                <w:b w:val="0"/>
                <w:bCs w:val="0"/>
                <w:color w:val="000000"/>
                <w:sz w:val="18"/>
                <w:szCs w:val="18"/>
                <w:lang w:eastAsia="es-MX"/>
              </w:rPr>
            </w:pPr>
            <w:r w:rsidRPr="00CA5D62">
              <w:rPr>
                <w:rFonts w:ascii="Arial" w:eastAsia="Times New Roman" w:hAnsi="Arial" w:cs="Arial"/>
                <w:b w:val="0"/>
                <w:bCs w:val="0"/>
                <w:color w:val="000000"/>
                <w:sz w:val="18"/>
                <w:szCs w:val="18"/>
                <w:lang w:eastAsia="es-MX"/>
              </w:rPr>
              <w:t>IMEI</w:t>
            </w:r>
          </w:p>
        </w:tc>
        <w:tc>
          <w:tcPr>
            <w:tcW w:w="5368" w:type="dxa"/>
          </w:tcPr>
          <w:p w14:paraId="45322FD4" w14:textId="77777777" w:rsidR="00F65B8A" w:rsidRPr="00C57285" w:rsidRDefault="00F65B8A" w:rsidP="002955CF">
            <w:pPr>
              <w:spacing w:after="0"/>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Indicar el IMEI del equipo terminal móvil.</w:t>
            </w:r>
          </w:p>
        </w:tc>
      </w:tr>
      <w:tr w:rsidR="00F65B8A" w:rsidRPr="00C57285" w14:paraId="27AA4F55" w14:textId="77777777" w:rsidTr="002955CF">
        <w:trPr>
          <w:trHeight w:val="664"/>
          <w:jc w:val="center"/>
        </w:trPr>
        <w:tc>
          <w:tcPr>
            <w:cnfStyle w:val="001000000000" w:firstRow="0" w:lastRow="0" w:firstColumn="1" w:lastColumn="0" w:oddVBand="0" w:evenVBand="0" w:oddHBand="0" w:evenHBand="0" w:firstRowFirstColumn="0" w:firstRowLastColumn="0" w:lastRowFirstColumn="0" w:lastRowLastColumn="0"/>
            <w:tcW w:w="3823" w:type="dxa"/>
          </w:tcPr>
          <w:p w14:paraId="0CF68477" w14:textId="77777777" w:rsidR="00F65B8A" w:rsidRPr="00CA5D62" w:rsidRDefault="00F65B8A" w:rsidP="002955CF">
            <w:pPr>
              <w:spacing w:after="0"/>
              <w:jc w:val="both"/>
              <w:rPr>
                <w:rFonts w:ascii="Arial" w:eastAsia="Times New Roman" w:hAnsi="Arial" w:cs="Arial"/>
                <w:b w:val="0"/>
                <w:bCs w:val="0"/>
                <w:color w:val="000000"/>
                <w:sz w:val="18"/>
                <w:szCs w:val="18"/>
                <w:lang w:eastAsia="es-MX"/>
              </w:rPr>
            </w:pPr>
            <w:r w:rsidRPr="00CA5D62">
              <w:rPr>
                <w:rFonts w:ascii="Arial" w:eastAsia="Times New Roman" w:hAnsi="Arial" w:cs="Arial"/>
                <w:b w:val="0"/>
                <w:bCs w:val="0"/>
                <w:color w:val="000000"/>
                <w:sz w:val="18"/>
                <w:szCs w:val="18"/>
                <w:lang w:eastAsia="es-MX"/>
              </w:rPr>
              <w:t>Medio de solicitud del desbloqueo.</w:t>
            </w:r>
          </w:p>
        </w:tc>
        <w:tc>
          <w:tcPr>
            <w:tcW w:w="5368" w:type="dxa"/>
          </w:tcPr>
          <w:p w14:paraId="684484DF" w14:textId="77777777" w:rsidR="00F65B8A" w:rsidRDefault="00F65B8A" w:rsidP="002955CF">
            <w:pPr>
              <w:spacing w:after="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Indicar si la solicitud de desbloqueo se realizó e</w:t>
            </w:r>
            <w:r w:rsidRPr="00E17A02">
              <w:rPr>
                <w:rFonts w:ascii="Arial" w:eastAsia="Times New Roman" w:hAnsi="Arial" w:cs="Arial"/>
                <w:color w:val="000000"/>
                <w:sz w:val="18"/>
                <w:szCs w:val="18"/>
                <w:lang w:eastAsia="es-MX"/>
              </w:rPr>
              <w:t>n el centro de atención a clientes, a través del número telefónico de atención a clientes o a través de medios electrónico</w:t>
            </w:r>
            <w:r>
              <w:rPr>
                <w:rFonts w:ascii="Arial" w:eastAsia="Times New Roman" w:hAnsi="Arial" w:cs="Arial"/>
                <w:color w:val="000000"/>
                <w:sz w:val="18"/>
                <w:szCs w:val="18"/>
                <w:lang w:eastAsia="es-MX"/>
              </w:rPr>
              <w:t xml:space="preserve">s. </w:t>
            </w:r>
          </w:p>
        </w:tc>
      </w:tr>
      <w:tr w:rsidR="00F65B8A" w:rsidRPr="00C57285" w14:paraId="0A06A4B1" w14:textId="77777777" w:rsidTr="002955CF">
        <w:trPr>
          <w:cnfStyle w:val="000000100000" w:firstRow="0" w:lastRow="0" w:firstColumn="0" w:lastColumn="0" w:oddVBand="0" w:evenVBand="0" w:oddHBand="1" w:evenHBand="0" w:firstRowFirstColumn="0" w:firstRowLastColumn="0" w:lastRowFirstColumn="0" w:lastRowLastColumn="0"/>
          <w:trHeight w:val="664"/>
          <w:jc w:val="center"/>
        </w:trPr>
        <w:tc>
          <w:tcPr>
            <w:cnfStyle w:val="001000000000" w:firstRow="0" w:lastRow="0" w:firstColumn="1" w:lastColumn="0" w:oddVBand="0" w:evenVBand="0" w:oddHBand="0" w:evenHBand="0" w:firstRowFirstColumn="0" w:firstRowLastColumn="0" w:lastRowFirstColumn="0" w:lastRowLastColumn="0"/>
            <w:tcW w:w="3823" w:type="dxa"/>
            <w:hideMark/>
          </w:tcPr>
          <w:p w14:paraId="4BB22E12" w14:textId="77777777" w:rsidR="00F65B8A" w:rsidRPr="00CA5D62" w:rsidRDefault="00F65B8A" w:rsidP="002955CF">
            <w:pPr>
              <w:spacing w:after="0"/>
              <w:rPr>
                <w:rFonts w:ascii="Arial" w:eastAsia="Times New Roman" w:hAnsi="Arial" w:cs="Arial"/>
                <w:b w:val="0"/>
                <w:bCs w:val="0"/>
                <w:color w:val="000000"/>
                <w:sz w:val="18"/>
                <w:szCs w:val="18"/>
                <w:lang w:eastAsia="es-MX"/>
              </w:rPr>
            </w:pPr>
            <w:r w:rsidRPr="00CA5D62">
              <w:rPr>
                <w:rFonts w:ascii="Arial" w:eastAsia="Times New Roman" w:hAnsi="Arial" w:cs="Arial"/>
                <w:b w:val="0"/>
                <w:bCs w:val="0"/>
                <w:color w:val="000000"/>
                <w:sz w:val="18"/>
                <w:szCs w:val="18"/>
                <w:lang w:eastAsia="es-MX"/>
              </w:rPr>
              <w:t>Fecha de recepción de la solicitud de desbloqueo</w:t>
            </w:r>
          </w:p>
        </w:tc>
        <w:tc>
          <w:tcPr>
            <w:tcW w:w="5368" w:type="dxa"/>
            <w:hideMark/>
          </w:tcPr>
          <w:p w14:paraId="0D9E393E" w14:textId="77777777" w:rsidR="00F65B8A" w:rsidRPr="00C57285" w:rsidRDefault="00F65B8A" w:rsidP="002955CF">
            <w:pPr>
              <w:spacing w:after="0"/>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s-MX"/>
              </w:rPr>
            </w:pPr>
            <w:r w:rsidRPr="00C57285">
              <w:rPr>
                <w:rFonts w:ascii="Arial" w:eastAsia="Times New Roman" w:hAnsi="Arial" w:cs="Arial"/>
                <w:color w:val="000000"/>
                <w:sz w:val="18"/>
                <w:szCs w:val="18"/>
                <w:lang w:eastAsia="es-MX"/>
              </w:rPr>
              <w:t>Indicar la fecha en la que se recibió la solicitud de desbloqueo del Equipo Terminal Móvil (</w:t>
            </w:r>
            <w:proofErr w:type="spellStart"/>
            <w:r w:rsidRPr="00C57285">
              <w:rPr>
                <w:rFonts w:ascii="Arial" w:eastAsia="Times New Roman" w:hAnsi="Arial" w:cs="Arial"/>
                <w:color w:val="000000"/>
                <w:sz w:val="18"/>
                <w:szCs w:val="18"/>
                <w:lang w:eastAsia="es-MX"/>
              </w:rPr>
              <w:t>dd</w:t>
            </w:r>
            <w:proofErr w:type="spellEnd"/>
            <w:r w:rsidRPr="00C57285">
              <w:rPr>
                <w:rFonts w:ascii="Arial" w:eastAsia="Times New Roman" w:hAnsi="Arial" w:cs="Arial"/>
                <w:color w:val="000000"/>
                <w:sz w:val="18"/>
                <w:szCs w:val="18"/>
                <w:lang w:eastAsia="es-MX"/>
              </w:rPr>
              <w:t>/mm/</w:t>
            </w:r>
            <w:proofErr w:type="spellStart"/>
            <w:r w:rsidRPr="00C57285">
              <w:rPr>
                <w:rFonts w:ascii="Arial" w:eastAsia="Times New Roman" w:hAnsi="Arial" w:cs="Arial"/>
                <w:color w:val="000000"/>
                <w:sz w:val="18"/>
                <w:szCs w:val="18"/>
                <w:lang w:eastAsia="es-MX"/>
              </w:rPr>
              <w:t>aaaa</w:t>
            </w:r>
            <w:proofErr w:type="spellEnd"/>
            <w:r w:rsidRPr="00C57285">
              <w:rPr>
                <w:rFonts w:ascii="Arial" w:eastAsia="Times New Roman" w:hAnsi="Arial" w:cs="Arial"/>
                <w:color w:val="000000"/>
                <w:sz w:val="18"/>
                <w:szCs w:val="18"/>
                <w:lang w:eastAsia="es-MX"/>
              </w:rPr>
              <w:t>).</w:t>
            </w:r>
          </w:p>
        </w:tc>
      </w:tr>
      <w:tr w:rsidR="00F65B8A" w:rsidRPr="00C57285" w14:paraId="5736E3DF" w14:textId="77777777" w:rsidTr="002955CF">
        <w:trPr>
          <w:trHeight w:val="664"/>
          <w:jc w:val="center"/>
        </w:trPr>
        <w:tc>
          <w:tcPr>
            <w:cnfStyle w:val="001000000000" w:firstRow="0" w:lastRow="0" w:firstColumn="1" w:lastColumn="0" w:oddVBand="0" w:evenVBand="0" w:oddHBand="0" w:evenHBand="0" w:firstRowFirstColumn="0" w:firstRowLastColumn="0" w:lastRowFirstColumn="0" w:lastRowLastColumn="0"/>
            <w:tcW w:w="3823" w:type="dxa"/>
          </w:tcPr>
          <w:p w14:paraId="3BE8D160" w14:textId="77777777" w:rsidR="00F65B8A" w:rsidRPr="00CA5D62" w:rsidRDefault="00F65B8A" w:rsidP="002955CF">
            <w:pPr>
              <w:spacing w:after="0"/>
              <w:rPr>
                <w:rFonts w:ascii="Arial" w:eastAsia="Times New Roman" w:hAnsi="Arial" w:cs="Arial"/>
                <w:b w:val="0"/>
                <w:bCs w:val="0"/>
                <w:color w:val="000000"/>
                <w:sz w:val="18"/>
                <w:szCs w:val="18"/>
                <w:lang w:eastAsia="es-MX"/>
              </w:rPr>
            </w:pPr>
            <w:r w:rsidRPr="00CA5D62">
              <w:rPr>
                <w:rFonts w:ascii="Arial" w:eastAsia="Times New Roman" w:hAnsi="Arial" w:cs="Arial"/>
                <w:b w:val="0"/>
                <w:bCs w:val="0"/>
                <w:color w:val="000000"/>
                <w:sz w:val="18"/>
                <w:szCs w:val="18"/>
                <w:lang w:eastAsia="es-MX"/>
              </w:rPr>
              <w:t>Hora de recepción de la solicitud de desbloqueo</w:t>
            </w:r>
          </w:p>
        </w:tc>
        <w:tc>
          <w:tcPr>
            <w:tcW w:w="5368" w:type="dxa"/>
          </w:tcPr>
          <w:p w14:paraId="6DB516C1" w14:textId="77777777" w:rsidR="00F65B8A" w:rsidRPr="00C57285" w:rsidRDefault="00F65B8A" w:rsidP="002955CF">
            <w:pPr>
              <w:spacing w:after="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C57285">
              <w:rPr>
                <w:rFonts w:ascii="Arial" w:eastAsia="Times New Roman" w:hAnsi="Arial" w:cs="Arial"/>
                <w:color w:val="000000"/>
                <w:sz w:val="18"/>
                <w:szCs w:val="18"/>
                <w:lang w:eastAsia="es-MX"/>
              </w:rPr>
              <w:t xml:space="preserve">Indicar la </w:t>
            </w:r>
            <w:r>
              <w:rPr>
                <w:rFonts w:ascii="Arial" w:eastAsia="Times New Roman" w:hAnsi="Arial" w:cs="Arial"/>
                <w:color w:val="000000"/>
                <w:sz w:val="18"/>
                <w:szCs w:val="18"/>
                <w:lang w:eastAsia="es-MX"/>
              </w:rPr>
              <w:t>hora</w:t>
            </w:r>
            <w:r w:rsidRPr="00C57285">
              <w:rPr>
                <w:rFonts w:ascii="Arial" w:eastAsia="Times New Roman" w:hAnsi="Arial" w:cs="Arial"/>
                <w:color w:val="000000"/>
                <w:sz w:val="18"/>
                <w:szCs w:val="18"/>
                <w:lang w:eastAsia="es-MX"/>
              </w:rPr>
              <w:t xml:space="preserve"> en la que se recibió la solicitud de desbloqueo del Equipo Terminal Móvil (</w:t>
            </w:r>
            <w:proofErr w:type="spellStart"/>
            <w:r>
              <w:rPr>
                <w:rFonts w:ascii="Arial" w:eastAsia="Times New Roman" w:hAnsi="Arial" w:cs="Arial"/>
                <w:color w:val="000000"/>
                <w:sz w:val="18"/>
                <w:szCs w:val="18"/>
                <w:lang w:eastAsia="es-MX"/>
              </w:rPr>
              <w:t>hh:</w:t>
            </w:r>
            <w:r w:rsidRPr="00C57285">
              <w:rPr>
                <w:rFonts w:ascii="Arial" w:eastAsia="Times New Roman" w:hAnsi="Arial" w:cs="Arial"/>
                <w:color w:val="000000"/>
                <w:sz w:val="18"/>
                <w:szCs w:val="18"/>
                <w:lang w:eastAsia="es-MX"/>
              </w:rPr>
              <w:t>mm</w:t>
            </w:r>
            <w:proofErr w:type="spellEnd"/>
            <w:r w:rsidRPr="00C57285">
              <w:rPr>
                <w:rFonts w:ascii="Arial" w:eastAsia="Times New Roman" w:hAnsi="Arial" w:cs="Arial"/>
                <w:color w:val="000000"/>
                <w:sz w:val="18"/>
                <w:szCs w:val="18"/>
                <w:lang w:eastAsia="es-MX"/>
              </w:rPr>
              <w:t>).</w:t>
            </w:r>
          </w:p>
        </w:tc>
      </w:tr>
      <w:tr w:rsidR="00F65B8A" w:rsidRPr="00C57285" w14:paraId="30B58FA3" w14:textId="77777777" w:rsidTr="002955CF">
        <w:trPr>
          <w:cnfStyle w:val="000000100000" w:firstRow="0" w:lastRow="0" w:firstColumn="0" w:lastColumn="0" w:oddVBand="0" w:evenVBand="0" w:oddHBand="1" w:evenHBand="0" w:firstRowFirstColumn="0" w:firstRowLastColumn="0" w:lastRowFirstColumn="0" w:lastRowLastColumn="0"/>
          <w:trHeight w:val="664"/>
          <w:jc w:val="center"/>
        </w:trPr>
        <w:tc>
          <w:tcPr>
            <w:cnfStyle w:val="001000000000" w:firstRow="0" w:lastRow="0" w:firstColumn="1" w:lastColumn="0" w:oddVBand="0" w:evenVBand="0" w:oddHBand="0" w:evenHBand="0" w:firstRowFirstColumn="0" w:firstRowLastColumn="0" w:lastRowFirstColumn="0" w:lastRowLastColumn="0"/>
            <w:tcW w:w="3823" w:type="dxa"/>
          </w:tcPr>
          <w:p w14:paraId="6FD0C24B" w14:textId="77777777" w:rsidR="00F65B8A" w:rsidRPr="00CA5D62" w:rsidRDefault="00F65B8A" w:rsidP="002955CF">
            <w:pPr>
              <w:spacing w:after="0"/>
              <w:rPr>
                <w:rFonts w:ascii="Arial" w:eastAsia="Times New Roman" w:hAnsi="Arial" w:cs="Arial"/>
                <w:b w:val="0"/>
                <w:bCs w:val="0"/>
                <w:color w:val="000000"/>
                <w:sz w:val="18"/>
                <w:szCs w:val="18"/>
                <w:lang w:eastAsia="es-MX"/>
              </w:rPr>
            </w:pPr>
            <w:r w:rsidRPr="00CA5D62">
              <w:rPr>
                <w:rFonts w:ascii="Arial" w:eastAsia="Times New Roman" w:hAnsi="Arial" w:cs="Arial"/>
                <w:b w:val="0"/>
                <w:bCs w:val="0"/>
                <w:color w:val="000000"/>
                <w:sz w:val="18"/>
                <w:szCs w:val="18"/>
                <w:lang w:eastAsia="es-MX"/>
              </w:rPr>
              <w:t xml:space="preserve">Fecha del desbloqueo </w:t>
            </w:r>
          </w:p>
        </w:tc>
        <w:tc>
          <w:tcPr>
            <w:tcW w:w="5368" w:type="dxa"/>
          </w:tcPr>
          <w:p w14:paraId="36BAA0BF" w14:textId="77777777" w:rsidR="00F65B8A" w:rsidRPr="00C57285" w:rsidRDefault="00F65B8A" w:rsidP="002955CF">
            <w:pPr>
              <w:spacing w:after="0"/>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s-MX"/>
              </w:rPr>
            </w:pPr>
            <w:r w:rsidRPr="00C57285">
              <w:rPr>
                <w:rFonts w:ascii="Arial" w:eastAsia="Times New Roman" w:hAnsi="Arial" w:cs="Arial"/>
                <w:color w:val="000000"/>
                <w:sz w:val="18"/>
                <w:szCs w:val="18"/>
                <w:lang w:eastAsia="es-MX"/>
              </w:rPr>
              <w:t xml:space="preserve">Indicar la fecha en la que se </w:t>
            </w:r>
            <w:r>
              <w:rPr>
                <w:rFonts w:ascii="Arial" w:eastAsia="Times New Roman" w:hAnsi="Arial" w:cs="Arial"/>
                <w:color w:val="000000"/>
                <w:sz w:val="18"/>
                <w:szCs w:val="18"/>
                <w:lang w:eastAsia="es-MX"/>
              </w:rPr>
              <w:t>realizó</w:t>
            </w:r>
            <w:r w:rsidRPr="00C57285">
              <w:rPr>
                <w:rFonts w:ascii="Arial" w:eastAsia="Times New Roman" w:hAnsi="Arial" w:cs="Arial"/>
                <w:color w:val="000000"/>
                <w:sz w:val="18"/>
                <w:szCs w:val="18"/>
                <w:lang w:eastAsia="es-MX"/>
              </w:rPr>
              <w:t xml:space="preserve"> </w:t>
            </w:r>
            <w:r>
              <w:rPr>
                <w:rFonts w:ascii="Arial" w:eastAsia="Times New Roman" w:hAnsi="Arial" w:cs="Arial"/>
                <w:color w:val="000000"/>
                <w:sz w:val="18"/>
                <w:szCs w:val="18"/>
                <w:lang w:eastAsia="es-MX"/>
              </w:rPr>
              <w:t>el</w:t>
            </w:r>
            <w:r w:rsidRPr="00C57285">
              <w:rPr>
                <w:rFonts w:ascii="Arial" w:eastAsia="Times New Roman" w:hAnsi="Arial" w:cs="Arial"/>
                <w:color w:val="000000"/>
                <w:sz w:val="18"/>
                <w:szCs w:val="18"/>
                <w:lang w:eastAsia="es-MX"/>
              </w:rPr>
              <w:t xml:space="preserve"> desbloqueo</w:t>
            </w:r>
            <w:r>
              <w:rPr>
                <w:rFonts w:ascii="Arial" w:eastAsia="Times New Roman" w:hAnsi="Arial" w:cs="Arial"/>
                <w:color w:val="000000"/>
                <w:sz w:val="18"/>
                <w:szCs w:val="18"/>
                <w:lang w:eastAsia="es-MX"/>
              </w:rPr>
              <w:t xml:space="preserve"> </w:t>
            </w:r>
            <w:r w:rsidRPr="00C57285">
              <w:rPr>
                <w:rFonts w:ascii="Arial" w:eastAsia="Times New Roman" w:hAnsi="Arial" w:cs="Arial"/>
                <w:color w:val="000000"/>
                <w:sz w:val="18"/>
                <w:szCs w:val="18"/>
                <w:lang w:eastAsia="es-MX"/>
              </w:rPr>
              <w:t xml:space="preserve">o </w:t>
            </w:r>
            <w:r>
              <w:rPr>
                <w:rFonts w:ascii="Arial" w:eastAsia="Times New Roman" w:hAnsi="Arial" w:cs="Arial"/>
                <w:color w:val="000000"/>
                <w:sz w:val="18"/>
                <w:szCs w:val="18"/>
                <w:lang w:eastAsia="es-MX"/>
              </w:rPr>
              <w:t xml:space="preserve">se </w:t>
            </w:r>
            <w:r w:rsidRPr="00C57285">
              <w:rPr>
                <w:rFonts w:ascii="Arial" w:eastAsia="Times New Roman" w:hAnsi="Arial" w:cs="Arial"/>
                <w:color w:val="000000"/>
                <w:sz w:val="18"/>
                <w:szCs w:val="18"/>
                <w:lang w:eastAsia="es-MX"/>
              </w:rPr>
              <w:t>entreg</w:t>
            </w:r>
            <w:r>
              <w:rPr>
                <w:rFonts w:ascii="Arial" w:eastAsia="Times New Roman" w:hAnsi="Arial" w:cs="Arial"/>
                <w:color w:val="000000"/>
                <w:sz w:val="18"/>
                <w:szCs w:val="18"/>
                <w:lang w:eastAsia="es-MX"/>
              </w:rPr>
              <w:t>ó</w:t>
            </w:r>
            <w:r w:rsidRPr="00C57285">
              <w:rPr>
                <w:rFonts w:ascii="Arial" w:eastAsia="Times New Roman" w:hAnsi="Arial" w:cs="Arial"/>
                <w:color w:val="000000"/>
                <w:sz w:val="18"/>
                <w:szCs w:val="18"/>
                <w:lang w:eastAsia="es-MX"/>
              </w:rPr>
              <w:t xml:space="preserve"> el Código de desbloqueo del Equipo Terminal Móvil (</w:t>
            </w:r>
            <w:proofErr w:type="spellStart"/>
            <w:r w:rsidRPr="00C57285">
              <w:rPr>
                <w:rFonts w:ascii="Arial" w:eastAsia="Times New Roman" w:hAnsi="Arial" w:cs="Arial"/>
                <w:color w:val="000000"/>
                <w:sz w:val="18"/>
                <w:szCs w:val="18"/>
                <w:lang w:eastAsia="es-MX"/>
              </w:rPr>
              <w:t>dd</w:t>
            </w:r>
            <w:proofErr w:type="spellEnd"/>
            <w:r w:rsidRPr="00C57285">
              <w:rPr>
                <w:rFonts w:ascii="Arial" w:eastAsia="Times New Roman" w:hAnsi="Arial" w:cs="Arial"/>
                <w:color w:val="000000"/>
                <w:sz w:val="18"/>
                <w:szCs w:val="18"/>
                <w:lang w:eastAsia="es-MX"/>
              </w:rPr>
              <w:t>/mm/</w:t>
            </w:r>
            <w:proofErr w:type="spellStart"/>
            <w:r w:rsidRPr="00C57285">
              <w:rPr>
                <w:rFonts w:ascii="Arial" w:eastAsia="Times New Roman" w:hAnsi="Arial" w:cs="Arial"/>
                <w:color w:val="000000"/>
                <w:sz w:val="18"/>
                <w:szCs w:val="18"/>
                <w:lang w:eastAsia="es-MX"/>
              </w:rPr>
              <w:t>aaaa</w:t>
            </w:r>
            <w:proofErr w:type="spellEnd"/>
            <w:r w:rsidRPr="00C57285">
              <w:rPr>
                <w:rFonts w:ascii="Arial" w:eastAsia="Times New Roman" w:hAnsi="Arial" w:cs="Arial"/>
                <w:color w:val="000000"/>
                <w:sz w:val="18"/>
                <w:szCs w:val="18"/>
                <w:lang w:eastAsia="es-MX"/>
              </w:rPr>
              <w:t>).</w:t>
            </w:r>
          </w:p>
        </w:tc>
      </w:tr>
      <w:tr w:rsidR="00F65B8A" w:rsidRPr="00C57285" w14:paraId="06146FC8" w14:textId="77777777" w:rsidTr="002955CF">
        <w:trPr>
          <w:trHeight w:val="664"/>
          <w:jc w:val="center"/>
        </w:trPr>
        <w:tc>
          <w:tcPr>
            <w:cnfStyle w:val="001000000000" w:firstRow="0" w:lastRow="0" w:firstColumn="1" w:lastColumn="0" w:oddVBand="0" w:evenVBand="0" w:oddHBand="0" w:evenHBand="0" w:firstRowFirstColumn="0" w:firstRowLastColumn="0" w:lastRowFirstColumn="0" w:lastRowLastColumn="0"/>
            <w:tcW w:w="3823" w:type="dxa"/>
          </w:tcPr>
          <w:p w14:paraId="4054284C" w14:textId="77777777" w:rsidR="00F65B8A" w:rsidRPr="00CA5D62" w:rsidRDefault="00F65B8A" w:rsidP="002955CF">
            <w:pPr>
              <w:spacing w:after="0"/>
              <w:rPr>
                <w:rFonts w:ascii="Arial" w:eastAsia="Times New Roman" w:hAnsi="Arial" w:cs="Arial"/>
                <w:b w:val="0"/>
                <w:bCs w:val="0"/>
                <w:color w:val="000000"/>
                <w:sz w:val="18"/>
                <w:szCs w:val="18"/>
                <w:lang w:eastAsia="es-MX"/>
              </w:rPr>
            </w:pPr>
            <w:r w:rsidRPr="00CA5D62">
              <w:rPr>
                <w:rFonts w:ascii="Arial" w:eastAsia="Times New Roman" w:hAnsi="Arial" w:cs="Arial"/>
                <w:b w:val="0"/>
                <w:bCs w:val="0"/>
                <w:color w:val="000000"/>
                <w:sz w:val="18"/>
                <w:szCs w:val="18"/>
                <w:lang w:eastAsia="es-MX"/>
              </w:rPr>
              <w:t xml:space="preserve">Hora del desbloqueo </w:t>
            </w:r>
          </w:p>
        </w:tc>
        <w:tc>
          <w:tcPr>
            <w:tcW w:w="5368" w:type="dxa"/>
          </w:tcPr>
          <w:p w14:paraId="779ABB68" w14:textId="77777777" w:rsidR="00F65B8A" w:rsidRPr="00C57285" w:rsidRDefault="00F65B8A" w:rsidP="002955CF">
            <w:pPr>
              <w:spacing w:after="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C57285">
              <w:rPr>
                <w:rFonts w:ascii="Arial" w:eastAsia="Times New Roman" w:hAnsi="Arial" w:cs="Arial"/>
                <w:color w:val="000000"/>
                <w:sz w:val="18"/>
                <w:szCs w:val="18"/>
                <w:lang w:eastAsia="es-MX"/>
              </w:rPr>
              <w:t xml:space="preserve">Indicar la </w:t>
            </w:r>
            <w:r>
              <w:rPr>
                <w:rFonts w:ascii="Arial" w:eastAsia="Times New Roman" w:hAnsi="Arial" w:cs="Arial"/>
                <w:color w:val="000000"/>
                <w:sz w:val="18"/>
                <w:szCs w:val="18"/>
                <w:lang w:eastAsia="es-MX"/>
              </w:rPr>
              <w:t>hora</w:t>
            </w:r>
            <w:r w:rsidRPr="00C57285">
              <w:rPr>
                <w:rFonts w:ascii="Arial" w:eastAsia="Times New Roman" w:hAnsi="Arial" w:cs="Arial"/>
                <w:color w:val="000000"/>
                <w:sz w:val="18"/>
                <w:szCs w:val="18"/>
                <w:lang w:eastAsia="es-MX"/>
              </w:rPr>
              <w:t xml:space="preserve"> en la que se </w:t>
            </w:r>
            <w:r>
              <w:rPr>
                <w:rFonts w:ascii="Arial" w:eastAsia="Times New Roman" w:hAnsi="Arial" w:cs="Arial"/>
                <w:color w:val="000000"/>
                <w:sz w:val="18"/>
                <w:szCs w:val="18"/>
                <w:lang w:eastAsia="es-MX"/>
              </w:rPr>
              <w:t>realizó</w:t>
            </w:r>
            <w:r w:rsidRPr="00C57285">
              <w:rPr>
                <w:rFonts w:ascii="Arial" w:eastAsia="Times New Roman" w:hAnsi="Arial" w:cs="Arial"/>
                <w:color w:val="000000"/>
                <w:sz w:val="18"/>
                <w:szCs w:val="18"/>
                <w:lang w:eastAsia="es-MX"/>
              </w:rPr>
              <w:t xml:space="preserve"> </w:t>
            </w:r>
            <w:r>
              <w:rPr>
                <w:rFonts w:ascii="Arial" w:eastAsia="Times New Roman" w:hAnsi="Arial" w:cs="Arial"/>
                <w:color w:val="000000"/>
                <w:sz w:val="18"/>
                <w:szCs w:val="18"/>
                <w:lang w:eastAsia="es-MX"/>
              </w:rPr>
              <w:t>el</w:t>
            </w:r>
            <w:r w:rsidRPr="00C57285">
              <w:rPr>
                <w:rFonts w:ascii="Arial" w:eastAsia="Times New Roman" w:hAnsi="Arial" w:cs="Arial"/>
                <w:color w:val="000000"/>
                <w:sz w:val="18"/>
                <w:szCs w:val="18"/>
                <w:lang w:eastAsia="es-MX"/>
              </w:rPr>
              <w:t xml:space="preserve"> desbloqueo o </w:t>
            </w:r>
            <w:r>
              <w:rPr>
                <w:rFonts w:ascii="Arial" w:eastAsia="Times New Roman" w:hAnsi="Arial" w:cs="Arial"/>
                <w:color w:val="000000"/>
                <w:sz w:val="18"/>
                <w:szCs w:val="18"/>
                <w:lang w:eastAsia="es-MX"/>
              </w:rPr>
              <w:t xml:space="preserve">se </w:t>
            </w:r>
            <w:r w:rsidRPr="00C57285">
              <w:rPr>
                <w:rFonts w:ascii="Arial" w:eastAsia="Times New Roman" w:hAnsi="Arial" w:cs="Arial"/>
                <w:color w:val="000000"/>
                <w:sz w:val="18"/>
                <w:szCs w:val="18"/>
                <w:lang w:eastAsia="es-MX"/>
              </w:rPr>
              <w:t>entreg</w:t>
            </w:r>
            <w:r>
              <w:rPr>
                <w:rFonts w:ascii="Arial" w:eastAsia="Times New Roman" w:hAnsi="Arial" w:cs="Arial"/>
                <w:color w:val="000000"/>
                <w:sz w:val="18"/>
                <w:szCs w:val="18"/>
                <w:lang w:eastAsia="es-MX"/>
              </w:rPr>
              <w:t>ó</w:t>
            </w:r>
            <w:r w:rsidRPr="00C57285">
              <w:rPr>
                <w:rFonts w:ascii="Arial" w:eastAsia="Times New Roman" w:hAnsi="Arial" w:cs="Arial"/>
                <w:color w:val="000000"/>
                <w:sz w:val="18"/>
                <w:szCs w:val="18"/>
                <w:lang w:eastAsia="es-MX"/>
              </w:rPr>
              <w:t xml:space="preserve"> el Código de desbloqueo del Equipo Terminal Móvil (</w:t>
            </w:r>
            <w:proofErr w:type="spellStart"/>
            <w:r>
              <w:rPr>
                <w:rFonts w:ascii="Arial" w:eastAsia="Times New Roman" w:hAnsi="Arial" w:cs="Arial"/>
                <w:color w:val="000000"/>
                <w:sz w:val="18"/>
                <w:szCs w:val="18"/>
                <w:lang w:eastAsia="es-MX"/>
              </w:rPr>
              <w:t>hh:</w:t>
            </w:r>
            <w:r w:rsidRPr="00C57285">
              <w:rPr>
                <w:rFonts w:ascii="Arial" w:eastAsia="Times New Roman" w:hAnsi="Arial" w:cs="Arial"/>
                <w:color w:val="000000"/>
                <w:sz w:val="18"/>
                <w:szCs w:val="18"/>
                <w:lang w:eastAsia="es-MX"/>
              </w:rPr>
              <w:t>mm</w:t>
            </w:r>
            <w:proofErr w:type="spellEnd"/>
            <w:r w:rsidRPr="00C57285">
              <w:rPr>
                <w:rFonts w:ascii="Arial" w:eastAsia="Times New Roman" w:hAnsi="Arial" w:cs="Arial"/>
                <w:color w:val="000000"/>
                <w:sz w:val="18"/>
                <w:szCs w:val="18"/>
                <w:lang w:eastAsia="es-MX"/>
              </w:rPr>
              <w:t>).</w:t>
            </w:r>
          </w:p>
        </w:tc>
      </w:tr>
      <w:tr w:rsidR="00F65B8A" w:rsidRPr="00C57285" w14:paraId="42D00B24" w14:textId="77777777" w:rsidTr="002955CF">
        <w:trPr>
          <w:cnfStyle w:val="000000100000" w:firstRow="0" w:lastRow="0" w:firstColumn="0" w:lastColumn="0" w:oddVBand="0" w:evenVBand="0" w:oddHBand="1" w:evenHBand="0" w:firstRowFirstColumn="0" w:firstRowLastColumn="0" w:lastRowFirstColumn="0" w:lastRowLastColumn="0"/>
          <w:trHeight w:val="664"/>
          <w:jc w:val="center"/>
        </w:trPr>
        <w:tc>
          <w:tcPr>
            <w:cnfStyle w:val="001000000000" w:firstRow="0" w:lastRow="0" w:firstColumn="1" w:lastColumn="0" w:oddVBand="0" w:evenVBand="0" w:oddHBand="0" w:evenHBand="0" w:firstRowFirstColumn="0" w:firstRowLastColumn="0" w:lastRowFirstColumn="0" w:lastRowLastColumn="0"/>
            <w:tcW w:w="3823" w:type="dxa"/>
          </w:tcPr>
          <w:p w14:paraId="59110DD1" w14:textId="77777777" w:rsidR="00F65B8A" w:rsidRPr="00CA5D62" w:rsidRDefault="00F65B8A" w:rsidP="002955CF">
            <w:pPr>
              <w:spacing w:after="0"/>
              <w:rPr>
                <w:rFonts w:ascii="Arial" w:eastAsia="Times New Roman" w:hAnsi="Arial" w:cs="Arial"/>
                <w:b w:val="0"/>
                <w:bCs w:val="0"/>
                <w:color w:val="000000"/>
                <w:sz w:val="18"/>
                <w:szCs w:val="18"/>
                <w:lang w:eastAsia="es-MX"/>
              </w:rPr>
            </w:pPr>
            <w:r w:rsidRPr="00CA5D62">
              <w:rPr>
                <w:rFonts w:ascii="Arial" w:eastAsia="Times New Roman" w:hAnsi="Arial" w:cs="Arial"/>
                <w:b w:val="0"/>
                <w:bCs w:val="0"/>
                <w:color w:val="000000"/>
                <w:sz w:val="18"/>
                <w:szCs w:val="18"/>
                <w:lang w:eastAsia="es-MX"/>
              </w:rPr>
              <w:t>Justificación ante imposibilidad de desbloqueo</w:t>
            </w:r>
          </w:p>
        </w:tc>
        <w:tc>
          <w:tcPr>
            <w:tcW w:w="5368" w:type="dxa"/>
          </w:tcPr>
          <w:p w14:paraId="7E4BF3AC" w14:textId="77777777" w:rsidR="00F65B8A" w:rsidRPr="00C57285" w:rsidRDefault="00F65B8A" w:rsidP="002955CF">
            <w:pPr>
              <w:spacing w:after="0"/>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s-MX"/>
              </w:rPr>
            </w:pPr>
            <w:r w:rsidRPr="00C57285">
              <w:rPr>
                <w:rFonts w:ascii="Arial" w:eastAsia="Times New Roman" w:hAnsi="Arial" w:cs="Arial"/>
                <w:color w:val="000000"/>
                <w:sz w:val="18"/>
                <w:szCs w:val="18"/>
                <w:lang w:eastAsia="es-MX"/>
              </w:rPr>
              <w:t>En su caso, señalar la justificación por la cual no fue posible desbloquear o entregar el Código de desbloqueo del Equipo Terminal Móvil.</w:t>
            </w:r>
          </w:p>
        </w:tc>
      </w:tr>
      <w:tr w:rsidR="00C65A9E" w:rsidRPr="00F567FE" w14:paraId="0FD163A5" w14:textId="77777777" w:rsidTr="002955CF">
        <w:trPr>
          <w:trHeight w:val="664"/>
          <w:jc w:val="center"/>
        </w:trPr>
        <w:tc>
          <w:tcPr>
            <w:cnfStyle w:val="001000000000" w:firstRow="0" w:lastRow="0" w:firstColumn="1" w:lastColumn="0" w:oddVBand="0" w:evenVBand="0" w:oddHBand="0" w:evenHBand="0" w:firstRowFirstColumn="0" w:firstRowLastColumn="0" w:lastRowFirstColumn="0" w:lastRowLastColumn="0"/>
            <w:tcW w:w="3823" w:type="dxa"/>
          </w:tcPr>
          <w:p w14:paraId="48D7FCCB" w14:textId="591DC26E" w:rsidR="00C65A9E" w:rsidRPr="00CA5D62" w:rsidRDefault="00C65A9E" w:rsidP="002955CF">
            <w:pPr>
              <w:spacing w:after="0"/>
              <w:rPr>
                <w:rFonts w:ascii="Arial" w:eastAsia="Times New Roman" w:hAnsi="Arial" w:cs="Arial"/>
                <w:b w:val="0"/>
                <w:bCs w:val="0"/>
                <w:color w:val="000000"/>
                <w:sz w:val="18"/>
                <w:szCs w:val="18"/>
                <w:lang w:eastAsia="es-MX"/>
              </w:rPr>
            </w:pPr>
            <w:r w:rsidRPr="00CA5D62">
              <w:rPr>
                <w:rFonts w:ascii="Arial" w:eastAsia="Times New Roman" w:hAnsi="Arial" w:cs="Arial"/>
                <w:b w:val="0"/>
                <w:bCs w:val="0"/>
                <w:color w:val="000000"/>
                <w:sz w:val="18"/>
                <w:szCs w:val="18"/>
                <w:lang w:eastAsia="es-MX"/>
              </w:rPr>
              <w:t>Justificación por desbloqueo fuera del plazo debido</w:t>
            </w:r>
          </w:p>
        </w:tc>
        <w:tc>
          <w:tcPr>
            <w:tcW w:w="5368" w:type="dxa"/>
          </w:tcPr>
          <w:p w14:paraId="2109CB85" w14:textId="73AA89C9" w:rsidR="00C65A9E" w:rsidRPr="00F567FE" w:rsidRDefault="00C65A9E" w:rsidP="002955CF">
            <w:pPr>
              <w:spacing w:after="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9B210D">
              <w:rPr>
                <w:rFonts w:ascii="Arial" w:eastAsia="Times New Roman" w:hAnsi="Arial" w:cs="Arial"/>
                <w:color w:val="000000"/>
                <w:sz w:val="18"/>
                <w:szCs w:val="18"/>
                <w:lang w:eastAsia="es-MX"/>
              </w:rPr>
              <w:t xml:space="preserve">En su caso, señalar la justificación por la cual </w:t>
            </w:r>
            <w:r w:rsidR="00D15658">
              <w:rPr>
                <w:rFonts w:ascii="Arial" w:eastAsia="Times New Roman" w:hAnsi="Arial" w:cs="Arial"/>
                <w:color w:val="000000"/>
                <w:sz w:val="18"/>
                <w:szCs w:val="18"/>
                <w:lang w:eastAsia="es-MX"/>
              </w:rPr>
              <w:t xml:space="preserve">se realizó el </w:t>
            </w:r>
            <w:r w:rsidRPr="009B210D">
              <w:rPr>
                <w:rFonts w:ascii="Arial" w:eastAsia="Times New Roman" w:hAnsi="Arial" w:cs="Arial"/>
                <w:color w:val="000000"/>
                <w:sz w:val="18"/>
                <w:szCs w:val="18"/>
                <w:lang w:eastAsia="es-MX"/>
              </w:rPr>
              <w:t>desbloque</w:t>
            </w:r>
            <w:r w:rsidR="00D15658">
              <w:rPr>
                <w:rFonts w:ascii="Arial" w:eastAsia="Times New Roman" w:hAnsi="Arial" w:cs="Arial"/>
                <w:color w:val="000000"/>
                <w:sz w:val="18"/>
                <w:szCs w:val="18"/>
                <w:lang w:eastAsia="es-MX"/>
              </w:rPr>
              <w:t xml:space="preserve">o </w:t>
            </w:r>
            <w:r w:rsidRPr="009B210D">
              <w:rPr>
                <w:rFonts w:ascii="Arial" w:eastAsia="Times New Roman" w:hAnsi="Arial" w:cs="Arial"/>
                <w:color w:val="000000"/>
                <w:sz w:val="18"/>
                <w:szCs w:val="18"/>
                <w:lang w:eastAsia="es-MX"/>
              </w:rPr>
              <w:t xml:space="preserve">o </w:t>
            </w:r>
            <w:r w:rsidR="00D15658">
              <w:rPr>
                <w:rFonts w:ascii="Arial" w:eastAsia="Times New Roman" w:hAnsi="Arial" w:cs="Arial"/>
                <w:color w:val="000000"/>
                <w:sz w:val="18"/>
                <w:szCs w:val="18"/>
                <w:lang w:eastAsia="es-MX"/>
              </w:rPr>
              <w:t xml:space="preserve">la </w:t>
            </w:r>
            <w:r w:rsidRPr="009B210D">
              <w:rPr>
                <w:rFonts w:ascii="Arial" w:eastAsia="Times New Roman" w:hAnsi="Arial" w:cs="Arial"/>
                <w:color w:val="000000"/>
                <w:sz w:val="18"/>
                <w:szCs w:val="18"/>
                <w:lang w:eastAsia="es-MX"/>
              </w:rPr>
              <w:t xml:space="preserve">entrega </w:t>
            </w:r>
            <w:r w:rsidR="00D15658">
              <w:rPr>
                <w:rFonts w:ascii="Arial" w:eastAsia="Times New Roman" w:hAnsi="Arial" w:cs="Arial"/>
                <w:color w:val="000000"/>
                <w:sz w:val="18"/>
                <w:szCs w:val="18"/>
                <w:lang w:eastAsia="es-MX"/>
              </w:rPr>
              <w:t>d</w:t>
            </w:r>
            <w:r w:rsidRPr="009B210D">
              <w:rPr>
                <w:rFonts w:ascii="Arial" w:eastAsia="Times New Roman" w:hAnsi="Arial" w:cs="Arial"/>
                <w:color w:val="000000"/>
                <w:sz w:val="18"/>
                <w:szCs w:val="18"/>
                <w:lang w:eastAsia="es-MX"/>
              </w:rPr>
              <w:t>el Código de desbloqueo del Equipo Terminal Móvil en un plazo mayor a 24 horas desde la fecha y hora de solicitud</w:t>
            </w:r>
            <w:r w:rsidR="00D15658">
              <w:rPr>
                <w:rFonts w:ascii="Arial" w:eastAsia="Times New Roman" w:hAnsi="Arial" w:cs="Arial"/>
                <w:color w:val="000000"/>
                <w:sz w:val="18"/>
                <w:szCs w:val="18"/>
                <w:lang w:eastAsia="es-MX"/>
              </w:rPr>
              <w:t>.</w:t>
            </w:r>
          </w:p>
        </w:tc>
      </w:tr>
    </w:tbl>
    <w:p w14:paraId="0F274776" w14:textId="77777777" w:rsidR="00F65B8A" w:rsidRDefault="00F65B8A" w:rsidP="00CA5D62">
      <w:pPr>
        <w:spacing w:after="0"/>
        <w:jc w:val="center"/>
        <w:rPr>
          <w:rFonts w:ascii="Arial" w:hAnsi="Arial" w:cs="Arial"/>
          <w:b/>
          <w:sz w:val="18"/>
          <w:szCs w:val="18"/>
        </w:rPr>
      </w:pPr>
    </w:p>
    <w:sectPr w:rsidR="00F65B8A" w:rsidSect="00497A71">
      <w:pgSz w:w="12240" w:h="15840"/>
      <w:pgMar w:top="2098" w:right="1418" w:bottom="1134" w:left="1418" w:header="709" w:footer="82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CBCD1B" w14:textId="77777777" w:rsidR="00754A85" w:rsidRDefault="00754A85" w:rsidP="000F1667">
      <w:pPr>
        <w:spacing w:after="0" w:line="240" w:lineRule="auto"/>
      </w:pPr>
      <w:r>
        <w:separator/>
      </w:r>
    </w:p>
  </w:endnote>
  <w:endnote w:type="continuationSeparator" w:id="0">
    <w:p w14:paraId="4ED3067A" w14:textId="77777777" w:rsidR="00754A85" w:rsidRDefault="00754A85" w:rsidP="000F1667">
      <w:pPr>
        <w:spacing w:after="0" w:line="240" w:lineRule="auto"/>
      </w:pPr>
      <w:r>
        <w:continuationSeparator/>
      </w:r>
    </w:p>
  </w:endnote>
  <w:endnote w:type="continuationNotice" w:id="1">
    <w:p w14:paraId="3EA899C3" w14:textId="77777777" w:rsidR="00754A85" w:rsidRDefault="00754A8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ITC Avant Garde Std Bk">
    <w:panose1 w:val="020B0502020202020204"/>
    <w:charset w:val="00"/>
    <w:family w:val="swiss"/>
    <w:notTrueType/>
    <w:pitch w:val="variable"/>
    <w:sig w:usb0="800000AF" w:usb1="4000204A" w:usb2="00000000" w:usb3="00000000" w:csb0="00000001" w:csb1="00000000"/>
  </w:font>
  <w:font w:name="ITC Avant Garde">
    <w:panose1 w:val="020B0402020203020304"/>
    <w:charset w:val="00"/>
    <w:family w:val="swiss"/>
    <w:pitch w:val="variable"/>
    <w:sig w:usb0="00000007" w:usb1="00000000" w:usb2="00000000" w:usb3="00000000" w:csb0="00000093" w:csb1="00000000"/>
  </w:font>
  <w:font w:name="Calibri Light">
    <w:panose1 w:val="020F0302020204030204"/>
    <w:charset w:val="00"/>
    <w:family w:val="swiss"/>
    <w:pitch w:val="variable"/>
    <w:sig w:usb0="A00002EF" w:usb1="4000207B"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18"/>
        <w:szCs w:val="18"/>
      </w:rPr>
      <w:id w:val="-366610312"/>
      <w:docPartObj>
        <w:docPartGallery w:val="Page Numbers (Bottom of Page)"/>
        <w:docPartUnique/>
      </w:docPartObj>
    </w:sdtPr>
    <w:sdtEndPr/>
    <w:sdtContent>
      <w:sdt>
        <w:sdtPr>
          <w:rPr>
            <w:rFonts w:ascii="Arial" w:hAnsi="Arial" w:cs="Arial"/>
            <w:sz w:val="18"/>
            <w:szCs w:val="18"/>
          </w:rPr>
          <w:id w:val="-1769616900"/>
          <w:docPartObj>
            <w:docPartGallery w:val="Page Numbers (Top of Page)"/>
            <w:docPartUnique/>
          </w:docPartObj>
        </w:sdtPr>
        <w:sdtEndPr/>
        <w:sdtContent>
          <w:p w14:paraId="155F76B5" w14:textId="58D22E43" w:rsidR="006A3A4C" w:rsidRPr="00BB6A0B" w:rsidRDefault="006A3A4C" w:rsidP="00BB6A0B">
            <w:pPr>
              <w:pStyle w:val="Piedepgina"/>
              <w:jc w:val="right"/>
              <w:rPr>
                <w:rFonts w:ascii="Arial" w:hAnsi="Arial" w:cs="Arial"/>
                <w:sz w:val="18"/>
                <w:szCs w:val="18"/>
              </w:rPr>
            </w:pPr>
            <w:r w:rsidRPr="00BB6A0B">
              <w:rPr>
                <w:rFonts w:ascii="Arial" w:hAnsi="Arial" w:cs="Arial"/>
                <w:sz w:val="18"/>
                <w:szCs w:val="18"/>
              </w:rPr>
              <w:t xml:space="preserve">Página </w:t>
            </w:r>
            <w:r w:rsidRPr="00BB6A0B">
              <w:rPr>
                <w:rFonts w:ascii="Arial" w:hAnsi="Arial" w:cs="Arial"/>
                <w:bCs/>
                <w:sz w:val="18"/>
                <w:szCs w:val="18"/>
              </w:rPr>
              <w:fldChar w:fldCharType="begin"/>
            </w:r>
            <w:r w:rsidRPr="00BB6A0B">
              <w:rPr>
                <w:rFonts w:ascii="Arial" w:hAnsi="Arial" w:cs="Arial"/>
                <w:bCs/>
                <w:sz w:val="18"/>
                <w:szCs w:val="18"/>
              </w:rPr>
              <w:instrText>PAGE</w:instrText>
            </w:r>
            <w:r w:rsidRPr="00BB6A0B">
              <w:rPr>
                <w:rFonts w:ascii="Arial" w:hAnsi="Arial" w:cs="Arial"/>
                <w:bCs/>
                <w:sz w:val="18"/>
                <w:szCs w:val="18"/>
              </w:rPr>
              <w:fldChar w:fldCharType="separate"/>
            </w:r>
            <w:r>
              <w:rPr>
                <w:rFonts w:ascii="Arial" w:hAnsi="Arial" w:cs="Arial"/>
                <w:bCs/>
                <w:noProof/>
                <w:sz w:val="18"/>
                <w:szCs w:val="18"/>
              </w:rPr>
              <w:t>10</w:t>
            </w:r>
            <w:r w:rsidRPr="00BB6A0B">
              <w:rPr>
                <w:rFonts w:ascii="Arial" w:hAnsi="Arial" w:cs="Arial"/>
                <w:bCs/>
                <w:sz w:val="18"/>
                <w:szCs w:val="18"/>
              </w:rPr>
              <w:fldChar w:fldCharType="end"/>
            </w:r>
            <w:r w:rsidRPr="00BB6A0B">
              <w:rPr>
                <w:rFonts w:ascii="Arial" w:hAnsi="Arial" w:cs="Arial"/>
                <w:sz w:val="18"/>
                <w:szCs w:val="18"/>
              </w:rPr>
              <w:t xml:space="preserve"> de </w:t>
            </w:r>
            <w:r w:rsidRPr="00BB6A0B">
              <w:rPr>
                <w:rFonts w:ascii="Arial" w:hAnsi="Arial" w:cs="Arial"/>
                <w:bCs/>
                <w:sz w:val="18"/>
                <w:szCs w:val="18"/>
              </w:rPr>
              <w:fldChar w:fldCharType="begin"/>
            </w:r>
            <w:r w:rsidRPr="00BB6A0B">
              <w:rPr>
                <w:rFonts w:ascii="Arial" w:hAnsi="Arial" w:cs="Arial"/>
                <w:bCs/>
                <w:sz w:val="18"/>
                <w:szCs w:val="18"/>
              </w:rPr>
              <w:instrText>NUMPAGES</w:instrText>
            </w:r>
            <w:r w:rsidRPr="00BB6A0B">
              <w:rPr>
                <w:rFonts w:ascii="Arial" w:hAnsi="Arial" w:cs="Arial"/>
                <w:bCs/>
                <w:sz w:val="18"/>
                <w:szCs w:val="18"/>
              </w:rPr>
              <w:fldChar w:fldCharType="separate"/>
            </w:r>
            <w:r>
              <w:rPr>
                <w:rFonts w:ascii="Arial" w:hAnsi="Arial" w:cs="Arial"/>
                <w:bCs/>
                <w:noProof/>
                <w:sz w:val="18"/>
                <w:szCs w:val="18"/>
              </w:rPr>
              <w:t>10</w:t>
            </w:r>
            <w:r w:rsidRPr="00BB6A0B">
              <w:rPr>
                <w:rFonts w:ascii="Arial" w:hAnsi="Arial" w:cs="Arial"/>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53ADF3" w14:textId="77777777" w:rsidR="00754A85" w:rsidRDefault="00754A85" w:rsidP="000F1667">
      <w:pPr>
        <w:spacing w:after="0" w:line="240" w:lineRule="auto"/>
      </w:pPr>
      <w:r>
        <w:separator/>
      </w:r>
    </w:p>
  </w:footnote>
  <w:footnote w:type="continuationSeparator" w:id="0">
    <w:p w14:paraId="70EC7C1E" w14:textId="77777777" w:rsidR="00754A85" w:rsidRDefault="00754A85" w:rsidP="000F1667">
      <w:pPr>
        <w:spacing w:after="0" w:line="240" w:lineRule="auto"/>
      </w:pPr>
      <w:r>
        <w:continuationSeparator/>
      </w:r>
    </w:p>
  </w:footnote>
  <w:footnote w:type="continuationNotice" w:id="1">
    <w:p w14:paraId="4B4BFB20" w14:textId="77777777" w:rsidR="00754A85" w:rsidRDefault="00754A85">
      <w:pPr>
        <w:spacing w:after="0" w:line="240" w:lineRule="auto"/>
      </w:pPr>
    </w:p>
  </w:footnote>
  <w:footnote w:id="2">
    <w:p w14:paraId="4E547765" w14:textId="2ACA4C51" w:rsidR="006A3A4C" w:rsidRPr="0022244B" w:rsidRDefault="006A3A4C" w:rsidP="008F0D71">
      <w:pPr>
        <w:pStyle w:val="Textonotapie"/>
        <w:jc w:val="both"/>
        <w:rPr>
          <w:rFonts w:ascii="Arial" w:hAnsi="Arial" w:cs="Arial"/>
          <w:sz w:val="18"/>
          <w:szCs w:val="18"/>
        </w:rPr>
      </w:pPr>
      <w:r w:rsidRPr="0022244B">
        <w:rPr>
          <w:rStyle w:val="Refdenotaalpie"/>
          <w:rFonts w:ascii="Arial" w:hAnsi="Arial" w:cs="Arial"/>
          <w:sz w:val="18"/>
          <w:szCs w:val="18"/>
        </w:rPr>
        <w:footnoteRef/>
      </w:r>
      <w:r w:rsidRPr="0022244B">
        <w:rPr>
          <w:rFonts w:ascii="Arial" w:hAnsi="Arial" w:cs="Arial"/>
          <w:sz w:val="18"/>
          <w:szCs w:val="18"/>
          <w:lang w:val="en-US"/>
        </w:rPr>
        <w:t xml:space="preserve"> Telecom Regulatory Policy CRTC 2017-200. 2017. Review of the Wireless Code. </w:t>
      </w:r>
      <w:r w:rsidRPr="0022244B">
        <w:rPr>
          <w:rFonts w:ascii="Arial" w:hAnsi="Arial" w:cs="Arial"/>
          <w:sz w:val="18"/>
          <w:szCs w:val="18"/>
          <w:lang w:val="es-MX"/>
        </w:rPr>
        <w:t xml:space="preserve">Disponible en: </w:t>
      </w:r>
      <w:hyperlink r:id="rId1" w:history="1">
        <w:r w:rsidRPr="0022244B">
          <w:rPr>
            <w:rStyle w:val="Hipervnculo"/>
            <w:rFonts w:ascii="Arial" w:hAnsi="Arial" w:cs="Arial"/>
            <w:sz w:val="18"/>
            <w:szCs w:val="18"/>
            <w:lang w:val="es-MX"/>
          </w:rPr>
          <w:t>https://crtc.gc.ca/eng/archive/2017/2017-200.pdf</w:t>
        </w:r>
      </w:hyperlink>
      <w:r w:rsidRPr="0022244B">
        <w:rPr>
          <w:rFonts w:ascii="Arial" w:hAnsi="Arial" w:cs="Arial"/>
          <w:sz w:val="18"/>
          <w:szCs w:val="18"/>
          <w:lang w:val="es-MX"/>
        </w:rPr>
        <w:t xml:space="preserve"> </w:t>
      </w:r>
    </w:p>
  </w:footnote>
  <w:footnote w:id="3">
    <w:p w14:paraId="414CB502" w14:textId="77777777" w:rsidR="006A3A4C" w:rsidRPr="0022244B" w:rsidRDefault="006A3A4C" w:rsidP="00D65394">
      <w:pPr>
        <w:pStyle w:val="Textonotapie"/>
        <w:jc w:val="both"/>
        <w:rPr>
          <w:rFonts w:ascii="Arial" w:hAnsi="Arial" w:cs="Arial"/>
          <w:sz w:val="18"/>
          <w:szCs w:val="18"/>
          <w:lang w:val="es-MX"/>
        </w:rPr>
      </w:pPr>
      <w:r w:rsidRPr="0022244B">
        <w:rPr>
          <w:rStyle w:val="Refdenotaalpie"/>
          <w:rFonts w:ascii="Arial" w:hAnsi="Arial" w:cs="Arial"/>
          <w:sz w:val="18"/>
          <w:szCs w:val="18"/>
        </w:rPr>
        <w:footnoteRef/>
      </w:r>
      <w:r w:rsidRPr="0022244B">
        <w:rPr>
          <w:rFonts w:ascii="Arial" w:hAnsi="Arial" w:cs="Arial"/>
          <w:sz w:val="18"/>
          <w:szCs w:val="18"/>
        </w:rPr>
        <w:t xml:space="preserve"> Resolución 1683 Exenta. 2013. </w:t>
      </w:r>
      <w:r w:rsidRPr="0022244B">
        <w:rPr>
          <w:rFonts w:ascii="Arial" w:hAnsi="Arial" w:cs="Arial"/>
          <w:bCs/>
          <w:kern w:val="1"/>
          <w:sz w:val="18"/>
          <w:szCs w:val="18"/>
          <w:lang w:eastAsia="ar-SA"/>
        </w:rPr>
        <w:t xml:space="preserve">Fija Norma Técnica que regula la habilitación de los equipos terminales utilizados en las redes móviles. Disponible en: </w:t>
      </w:r>
      <w:hyperlink r:id="rId2" w:history="1">
        <w:r w:rsidRPr="0022244B">
          <w:rPr>
            <w:rStyle w:val="Hipervnculo"/>
            <w:rFonts w:ascii="Arial" w:hAnsi="Arial" w:cs="Arial"/>
            <w:bCs/>
            <w:kern w:val="1"/>
            <w:sz w:val="18"/>
            <w:szCs w:val="18"/>
            <w:lang w:eastAsia="ar-SA"/>
          </w:rPr>
          <w:t>https://www.bcn.cl/leychile/navegar?idNorma=1051179</w:t>
        </w:r>
      </w:hyperlink>
      <w:r w:rsidRPr="0022244B">
        <w:rPr>
          <w:rFonts w:ascii="Arial" w:hAnsi="Arial" w:cs="Arial"/>
          <w:bCs/>
          <w:kern w:val="1"/>
          <w:sz w:val="18"/>
          <w:szCs w:val="18"/>
          <w:lang w:eastAsia="ar-SA"/>
        </w:rPr>
        <w:t xml:space="preserve"> </w:t>
      </w:r>
    </w:p>
  </w:footnote>
  <w:footnote w:id="4">
    <w:p w14:paraId="0FF582C1" w14:textId="77777777" w:rsidR="006A3A4C" w:rsidRPr="009D1325" w:rsidRDefault="006A3A4C" w:rsidP="00F54810">
      <w:pPr>
        <w:pStyle w:val="Textonotapie"/>
        <w:jc w:val="both"/>
        <w:rPr>
          <w:rFonts w:ascii="Arial" w:hAnsi="Arial" w:cs="Arial"/>
          <w:sz w:val="18"/>
          <w:szCs w:val="18"/>
          <w:lang w:val="es-MX"/>
        </w:rPr>
      </w:pPr>
      <w:r w:rsidRPr="0022244B">
        <w:rPr>
          <w:rStyle w:val="Refdenotaalpie"/>
          <w:rFonts w:ascii="Arial" w:hAnsi="Arial" w:cs="Arial"/>
          <w:sz w:val="18"/>
          <w:szCs w:val="18"/>
        </w:rPr>
        <w:footnoteRef/>
      </w:r>
      <w:r w:rsidRPr="0022244B">
        <w:rPr>
          <w:rFonts w:ascii="Arial" w:hAnsi="Arial" w:cs="Arial"/>
          <w:sz w:val="18"/>
          <w:szCs w:val="18"/>
          <w:lang w:val="es-MX"/>
        </w:rPr>
        <w:t xml:space="preserve"> </w:t>
      </w:r>
      <w:r w:rsidRPr="0022244B">
        <w:rPr>
          <w:rFonts w:ascii="Arial" w:hAnsi="Arial" w:cs="Arial"/>
          <w:sz w:val="18"/>
          <w:szCs w:val="18"/>
          <w:lang w:val="es-MX"/>
        </w:rPr>
        <w:t>Consumer Code for Wireless Service. 2020. Disponible en</w:t>
      </w:r>
      <w:r w:rsidRPr="009D1325">
        <w:rPr>
          <w:rFonts w:ascii="Arial" w:hAnsi="Arial" w:cs="Arial"/>
          <w:sz w:val="18"/>
          <w:szCs w:val="18"/>
          <w:lang w:val="es-MX"/>
        </w:rPr>
        <w:t xml:space="preserve">: </w:t>
      </w:r>
      <w:r w:rsidRPr="009D1325">
        <w:rPr>
          <w:rStyle w:val="Hipervnculo"/>
          <w:rFonts w:ascii="Arial" w:hAnsi="Arial" w:cs="Arial"/>
          <w:bCs/>
          <w:kern w:val="1"/>
          <w:sz w:val="18"/>
          <w:szCs w:val="18"/>
          <w:lang w:eastAsia="ar-SA"/>
        </w:rPr>
        <w:t>https://api.ctia.org/wp-content/uploads/2020/03/CTIA-Consumer-Code-2020.pdf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995C91" w14:textId="60BE192A" w:rsidR="00DF5C08" w:rsidRDefault="00DF5C08">
    <w:pPr>
      <w:pStyle w:val="Encabezado"/>
    </w:pPr>
    <w:r>
      <w:rPr>
        <w:noProof/>
      </w:rPr>
      <w:pict w14:anchorId="48542F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211188" o:spid="_x0000_s2051" type="#_x0000_t136" style="position:absolute;margin-left:0;margin-top:0;width:482.15pt;height:180.8pt;rotation:315;z-index:-251655168;mso-position-horizontal:center;mso-position-horizontal-relative:margin;mso-position-vertical:center;mso-position-vertical-relative:margin" o:allowincell="f" fillcolor="silver" stroked="f">
          <v:fill opacity=".5"/>
          <v:textpath style="font-family:&quot;Calibri Light&quot;;font-size:1pt" string="Proyecto"/>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B0B478" w14:textId="6E33C330" w:rsidR="006A3A4C" w:rsidRDefault="00DF5C08">
    <w:pPr>
      <w:pStyle w:val="Encabezado"/>
    </w:pPr>
    <w:r>
      <w:rPr>
        <w:noProof/>
      </w:rPr>
      <w:pict w14:anchorId="44EDAE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08760" o:spid="_x0000_s2053" type="#_x0000_t75" alt="hoja membretada s dir-01" style="position:absolute;margin-left:-74pt;margin-top:-116.05pt;width:612pt;height:808pt;z-index:-251652096;visibility:visible;mso-wrap-edited:f;mso-position-horizontal-relative:margin;mso-position-vertical-relative:margin" o:allowincell="f">
          <v:imagedata r:id="rId1" o:title="hoja membretada s dir-01"/>
          <w10:wrap anchorx="margin" anchory="margin"/>
        </v:shape>
      </w:pict>
    </w:r>
    <w:r>
      <w:rPr>
        <w:noProof/>
      </w:rPr>
      <w:pict w14:anchorId="0F331D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211189" o:spid="_x0000_s2052" type="#_x0000_t136" style="position:absolute;margin-left:0;margin-top:0;width:482.15pt;height:180.8pt;rotation:315;z-index:-251653120;mso-position-horizontal:center;mso-position-horizontal-relative:margin;mso-position-vertical:center;mso-position-vertical-relative:margin" o:allowincell="f" fillcolor="silver" stroked="f">
          <v:fill opacity=".5"/>
          <v:textpath style="font-family:&quot;Calibri Light&quot;;font-size:1pt" string="Proyecto"/>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73AD8D" w14:textId="27FA57C5" w:rsidR="00DF5C08" w:rsidRDefault="00DF5C08">
    <w:pPr>
      <w:pStyle w:val="Encabezado"/>
    </w:pPr>
    <w:r>
      <w:rPr>
        <w:noProof/>
      </w:rPr>
      <w:pict w14:anchorId="15C454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211187" o:spid="_x0000_s2050" type="#_x0000_t136" style="position:absolute;margin-left:0;margin-top:0;width:482.15pt;height:180.8pt;rotation:315;z-index:-251657216;mso-position-horizontal:center;mso-position-horizontal-relative:margin;mso-position-vertical:center;mso-position-vertical-relative:margin" o:allowincell="f" fillcolor="silver" stroked="f">
          <v:fill opacity=".5"/>
          <v:textpath style="font-family:&quot;Calibri Light&quot;;font-size:1pt" string="Proyecto"/>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25DFF"/>
    <w:multiLevelType w:val="hybridMultilevel"/>
    <w:tmpl w:val="7354E3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10F3F6B"/>
    <w:multiLevelType w:val="hybridMultilevel"/>
    <w:tmpl w:val="FFFFFFFF"/>
    <w:lvl w:ilvl="0" w:tplc="54D25C7A">
      <w:start w:val="1"/>
      <w:numFmt w:val="upperRoman"/>
      <w:lvlText w:val="%1."/>
      <w:lvlJc w:val="left"/>
      <w:pPr>
        <w:ind w:left="720" w:hanging="360"/>
      </w:pPr>
    </w:lvl>
    <w:lvl w:ilvl="1" w:tplc="4DA41E48">
      <w:start w:val="1"/>
      <w:numFmt w:val="lowerLetter"/>
      <w:lvlText w:val="%2."/>
      <w:lvlJc w:val="left"/>
      <w:pPr>
        <w:ind w:left="1440" w:hanging="360"/>
      </w:pPr>
    </w:lvl>
    <w:lvl w:ilvl="2" w:tplc="229C1412">
      <w:start w:val="1"/>
      <w:numFmt w:val="lowerRoman"/>
      <w:lvlText w:val="%3."/>
      <w:lvlJc w:val="right"/>
      <w:pPr>
        <w:ind w:left="2160" w:hanging="180"/>
      </w:pPr>
    </w:lvl>
    <w:lvl w:ilvl="3" w:tplc="5CF8041C">
      <w:start w:val="1"/>
      <w:numFmt w:val="decimal"/>
      <w:lvlText w:val="%4."/>
      <w:lvlJc w:val="left"/>
      <w:pPr>
        <w:ind w:left="2880" w:hanging="360"/>
      </w:pPr>
    </w:lvl>
    <w:lvl w:ilvl="4" w:tplc="ED601424">
      <w:start w:val="1"/>
      <w:numFmt w:val="lowerLetter"/>
      <w:lvlText w:val="%5."/>
      <w:lvlJc w:val="left"/>
      <w:pPr>
        <w:ind w:left="3600" w:hanging="360"/>
      </w:pPr>
    </w:lvl>
    <w:lvl w:ilvl="5" w:tplc="1E88C246">
      <w:start w:val="1"/>
      <w:numFmt w:val="lowerRoman"/>
      <w:lvlText w:val="%6."/>
      <w:lvlJc w:val="right"/>
      <w:pPr>
        <w:ind w:left="4320" w:hanging="180"/>
      </w:pPr>
    </w:lvl>
    <w:lvl w:ilvl="6" w:tplc="77EE8362">
      <w:start w:val="1"/>
      <w:numFmt w:val="decimal"/>
      <w:lvlText w:val="%7."/>
      <w:lvlJc w:val="left"/>
      <w:pPr>
        <w:ind w:left="5040" w:hanging="360"/>
      </w:pPr>
    </w:lvl>
    <w:lvl w:ilvl="7" w:tplc="E618EBE8">
      <w:start w:val="1"/>
      <w:numFmt w:val="lowerLetter"/>
      <w:lvlText w:val="%8."/>
      <w:lvlJc w:val="left"/>
      <w:pPr>
        <w:ind w:left="5760" w:hanging="360"/>
      </w:pPr>
    </w:lvl>
    <w:lvl w:ilvl="8" w:tplc="B6C2B5E0">
      <w:start w:val="1"/>
      <w:numFmt w:val="lowerRoman"/>
      <w:lvlText w:val="%9."/>
      <w:lvlJc w:val="right"/>
      <w:pPr>
        <w:ind w:left="6480" w:hanging="180"/>
      </w:pPr>
    </w:lvl>
  </w:abstractNum>
  <w:abstractNum w:abstractNumId="2" w15:restartNumberingAfterBreak="0">
    <w:nsid w:val="04AC6C82"/>
    <w:multiLevelType w:val="hybridMultilevel"/>
    <w:tmpl w:val="149C15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63E33ED"/>
    <w:multiLevelType w:val="hybridMultilevel"/>
    <w:tmpl w:val="8C0E938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8D041B1"/>
    <w:multiLevelType w:val="hybridMultilevel"/>
    <w:tmpl w:val="D79C2932"/>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E5D2A75"/>
    <w:multiLevelType w:val="hybridMultilevel"/>
    <w:tmpl w:val="1B88826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7DC0F04"/>
    <w:multiLevelType w:val="hybridMultilevel"/>
    <w:tmpl w:val="8C0E938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9977D59"/>
    <w:multiLevelType w:val="hybridMultilevel"/>
    <w:tmpl w:val="BA222C48"/>
    <w:lvl w:ilvl="0" w:tplc="080A001B">
      <w:start w:val="1"/>
      <w:numFmt w:val="lowerRoman"/>
      <w:lvlText w:val="%1."/>
      <w:lvlJc w:val="right"/>
      <w:pPr>
        <w:ind w:left="1077" w:hanging="360"/>
      </w:pPr>
      <w:rPr>
        <w:rFonts w:hint="default"/>
      </w:rPr>
    </w:lvl>
    <w:lvl w:ilvl="1" w:tplc="080A0019" w:tentative="1">
      <w:start w:val="1"/>
      <w:numFmt w:val="lowerLetter"/>
      <w:lvlText w:val="%2."/>
      <w:lvlJc w:val="left"/>
      <w:pPr>
        <w:ind w:left="1797" w:hanging="360"/>
      </w:pPr>
    </w:lvl>
    <w:lvl w:ilvl="2" w:tplc="080A001B" w:tentative="1">
      <w:start w:val="1"/>
      <w:numFmt w:val="lowerRoman"/>
      <w:lvlText w:val="%3."/>
      <w:lvlJc w:val="right"/>
      <w:pPr>
        <w:ind w:left="2517" w:hanging="180"/>
      </w:pPr>
    </w:lvl>
    <w:lvl w:ilvl="3" w:tplc="080A000F" w:tentative="1">
      <w:start w:val="1"/>
      <w:numFmt w:val="decimal"/>
      <w:lvlText w:val="%4."/>
      <w:lvlJc w:val="left"/>
      <w:pPr>
        <w:ind w:left="3237" w:hanging="360"/>
      </w:pPr>
    </w:lvl>
    <w:lvl w:ilvl="4" w:tplc="080A0019" w:tentative="1">
      <w:start w:val="1"/>
      <w:numFmt w:val="lowerLetter"/>
      <w:lvlText w:val="%5."/>
      <w:lvlJc w:val="left"/>
      <w:pPr>
        <w:ind w:left="3957" w:hanging="360"/>
      </w:pPr>
    </w:lvl>
    <w:lvl w:ilvl="5" w:tplc="080A001B" w:tentative="1">
      <w:start w:val="1"/>
      <w:numFmt w:val="lowerRoman"/>
      <w:lvlText w:val="%6."/>
      <w:lvlJc w:val="right"/>
      <w:pPr>
        <w:ind w:left="4677" w:hanging="180"/>
      </w:pPr>
    </w:lvl>
    <w:lvl w:ilvl="6" w:tplc="080A000F" w:tentative="1">
      <w:start w:val="1"/>
      <w:numFmt w:val="decimal"/>
      <w:lvlText w:val="%7."/>
      <w:lvlJc w:val="left"/>
      <w:pPr>
        <w:ind w:left="5397" w:hanging="360"/>
      </w:pPr>
    </w:lvl>
    <w:lvl w:ilvl="7" w:tplc="080A0019" w:tentative="1">
      <w:start w:val="1"/>
      <w:numFmt w:val="lowerLetter"/>
      <w:lvlText w:val="%8."/>
      <w:lvlJc w:val="left"/>
      <w:pPr>
        <w:ind w:left="6117" w:hanging="360"/>
      </w:pPr>
    </w:lvl>
    <w:lvl w:ilvl="8" w:tplc="080A001B" w:tentative="1">
      <w:start w:val="1"/>
      <w:numFmt w:val="lowerRoman"/>
      <w:lvlText w:val="%9."/>
      <w:lvlJc w:val="right"/>
      <w:pPr>
        <w:ind w:left="6837" w:hanging="180"/>
      </w:pPr>
    </w:lvl>
  </w:abstractNum>
  <w:abstractNum w:abstractNumId="8" w15:restartNumberingAfterBreak="0">
    <w:nsid w:val="1A7B0928"/>
    <w:multiLevelType w:val="hybridMultilevel"/>
    <w:tmpl w:val="FA6458A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EA95FBC"/>
    <w:multiLevelType w:val="hybridMultilevel"/>
    <w:tmpl w:val="084A7944"/>
    <w:lvl w:ilvl="0" w:tplc="4EEE5C3E">
      <w:start w:val="1"/>
      <w:numFmt w:val="upperRoman"/>
      <w:lvlText w:val="%1."/>
      <w:lvlJc w:val="left"/>
      <w:pPr>
        <w:ind w:left="2148" w:hanging="720"/>
      </w:pPr>
      <w:rPr>
        <w:rFonts w:hint="default"/>
      </w:rPr>
    </w:lvl>
    <w:lvl w:ilvl="1" w:tplc="080A0019" w:tentative="1">
      <w:start w:val="1"/>
      <w:numFmt w:val="lowerLetter"/>
      <w:lvlText w:val="%2."/>
      <w:lvlJc w:val="left"/>
      <w:pPr>
        <w:ind w:left="2508" w:hanging="360"/>
      </w:pPr>
    </w:lvl>
    <w:lvl w:ilvl="2" w:tplc="080A001B" w:tentative="1">
      <w:start w:val="1"/>
      <w:numFmt w:val="lowerRoman"/>
      <w:lvlText w:val="%3."/>
      <w:lvlJc w:val="right"/>
      <w:pPr>
        <w:ind w:left="3228" w:hanging="180"/>
      </w:pPr>
    </w:lvl>
    <w:lvl w:ilvl="3" w:tplc="080A000F" w:tentative="1">
      <w:start w:val="1"/>
      <w:numFmt w:val="decimal"/>
      <w:lvlText w:val="%4."/>
      <w:lvlJc w:val="left"/>
      <w:pPr>
        <w:ind w:left="3948" w:hanging="360"/>
      </w:pPr>
    </w:lvl>
    <w:lvl w:ilvl="4" w:tplc="080A0019" w:tentative="1">
      <w:start w:val="1"/>
      <w:numFmt w:val="lowerLetter"/>
      <w:lvlText w:val="%5."/>
      <w:lvlJc w:val="left"/>
      <w:pPr>
        <w:ind w:left="4668" w:hanging="360"/>
      </w:pPr>
    </w:lvl>
    <w:lvl w:ilvl="5" w:tplc="080A001B" w:tentative="1">
      <w:start w:val="1"/>
      <w:numFmt w:val="lowerRoman"/>
      <w:lvlText w:val="%6."/>
      <w:lvlJc w:val="right"/>
      <w:pPr>
        <w:ind w:left="5388" w:hanging="180"/>
      </w:pPr>
    </w:lvl>
    <w:lvl w:ilvl="6" w:tplc="080A000F" w:tentative="1">
      <w:start w:val="1"/>
      <w:numFmt w:val="decimal"/>
      <w:lvlText w:val="%7."/>
      <w:lvlJc w:val="left"/>
      <w:pPr>
        <w:ind w:left="6108" w:hanging="360"/>
      </w:pPr>
    </w:lvl>
    <w:lvl w:ilvl="7" w:tplc="080A0019" w:tentative="1">
      <w:start w:val="1"/>
      <w:numFmt w:val="lowerLetter"/>
      <w:lvlText w:val="%8."/>
      <w:lvlJc w:val="left"/>
      <w:pPr>
        <w:ind w:left="6828" w:hanging="360"/>
      </w:pPr>
    </w:lvl>
    <w:lvl w:ilvl="8" w:tplc="080A001B" w:tentative="1">
      <w:start w:val="1"/>
      <w:numFmt w:val="lowerRoman"/>
      <w:lvlText w:val="%9."/>
      <w:lvlJc w:val="right"/>
      <w:pPr>
        <w:ind w:left="7548" w:hanging="180"/>
      </w:pPr>
    </w:lvl>
  </w:abstractNum>
  <w:abstractNum w:abstractNumId="10" w15:restartNumberingAfterBreak="0">
    <w:nsid w:val="1EBB299E"/>
    <w:multiLevelType w:val="hybridMultilevel"/>
    <w:tmpl w:val="3F5AB378"/>
    <w:lvl w:ilvl="0" w:tplc="910CEC74">
      <w:start w:val="1"/>
      <w:numFmt w:val="lowerRoman"/>
      <w:lvlText w:val="%1."/>
      <w:lvlJc w:val="left"/>
      <w:pPr>
        <w:ind w:left="7810" w:hanging="720"/>
      </w:pPr>
      <w:rPr>
        <w:rFonts w:hint="default"/>
        <w:b/>
        <w:bCs w:val="0"/>
      </w:rPr>
    </w:lvl>
    <w:lvl w:ilvl="1" w:tplc="080A0019">
      <w:start w:val="1"/>
      <w:numFmt w:val="lowerLetter"/>
      <w:lvlText w:val="%2."/>
      <w:lvlJc w:val="left"/>
      <w:pPr>
        <w:ind w:left="8170" w:hanging="360"/>
      </w:pPr>
    </w:lvl>
    <w:lvl w:ilvl="2" w:tplc="080A001B" w:tentative="1">
      <w:start w:val="1"/>
      <w:numFmt w:val="lowerRoman"/>
      <w:lvlText w:val="%3."/>
      <w:lvlJc w:val="right"/>
      <w:pPr>
        <w:ind w:left="8890" w:hanging="180"/>
      </w:pPr>
    </w:lvl>
    <w:lvl w:ilvl="3" w:tplc="080A000F" w:tentative="1">
      <w:start w:val="1"/>
      <w:numFmt w:val="decimal"/>
      <w:lvlText w:val="%4."/>
      <w:lvlJc w:val="left"/>
      <w:pPr>
        <w:ind w:left="9610" w:hanging="360"/>
      </w:pPr>
    </w:lvl>
    <w:lvl w:ilvl="4" w:tplc="080A0019" w:tentative="1">
      <w:start w:val="1"/>
      <w:numFmt w:val="lowerLetter"/>
      <w:lvlText w:val="%5."/>
      <w:lvlJc w:val="left"/>
      <w:pPr>
        <w:ind w:left="10330" w:hanging="360"/>
      </w:pPr>
    </w:lvl>
    <w:lvl w:ilvl="5" w:tplc="080A001B" w:tentative="1">
      <w:start w:val="1"/>
      <w:numFmt w:val="lowerRoman"/>
      <w:lvlText w:val="%6."/>
      <w:lvlJc w:val="right"/>
      <w:pPr>
        <w:ind w:left="11050" w:hanging="180"/>
      </w:pPr>
    </w:lvl>
    <w:lvl w:ilvl="6" w:tplc="080A000F" w:tentative="1">
      <w:start w:val="1"/>
      <w:numFmt w:val="decimal"/>
      <w:lvlText w:val="%7."/>
      <w:lvlJc w:val="left"/>
      <w:pPr>
        <w:ind w:left="11770" w:hanging="360"/>
      </w:pPr>
    </w:lvl>
    <w:lvl w:ilvl="7" w:tplc="080A0019" w:tentative="1">
      <w:start w:val="1"/>
      <w:numFmt w:val="lowerLetter"/>
      <w:lvlText w:val="%8."/>
      <w:lvlJc w:val="left"/>
      <w:pPr>
        <w:ind w:left="12490" w:hanging="360"/>
      </w:pPr>
    </w:lvl>
    <w:lvl w:ilvl="8" w:tplc="080A001B" w:tentative="1">
      <w:start w:val="1"/>
      <w:numFmt w:val="lowerRoman"/>
      <w:lvlText w:val="%9."/>
      <w:lvlJc w:val="right"/>
      <w:pPr>
        <w:ind w:left="13210" w:hanging="180"/>
      </w:pPr>
    </w:lvl>
  </w:abstractNum>
  <w:abstractNum w:abstractNumId="11" w15:restartNumberingAfterBreak="0">
    <w:nsid w:val="237D25F8"/>
    <w:multiLevelType w:val="hybridMultilevel"/>
    <w:tmpl w:val="C5363C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5F72AD6"/>
    <w:multiLevelType w:val="hybridMultilevel"/>
    <w:tmpl w:val="37BCB11E"/>
    <w:lvl w:ilvl="0" w:tplc="080A0013">
      <w:start w:val="1"/>
      <w:numFmt w:val="upperRoman"/>
      <w:lvlText w:val="%1."/>
      <w:lvlJc w:val="right"/>
      <w:pPr>
        <w:ind w:left="786"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70A5E69"/>
    <w:multiLevelType w:val="hybridMultilevel"/>
    <w:tmpl w:val="47A052D0"/>
    <w:lvl w:ilvl="0" w:tplc="B970A8F4">
      <w:numFmt w:val="bullet"/>
      <w:lvlText w:val=""/>
      <w:lvlJc w:val="left"/>
      <w:pPr>
        <w:ind w:left="720" w:hanging="360"/>
      </w:pPr>
      <w:rPr>
        <w:rFonts w:ascii="Wingdings" w:eastAsia="Calibri" w:hAnsi="Wingdings" w:cs="Arial" w:hint="default"/>
        <w:color w:val="000000"/>
        <w:sz w:val="18"/>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E220E22"/>
    <w:multiLevelType w:val="hybridMultilevel"/>
    <w:tmpl w:val="B10A3E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4030FA2"/>
    <w:multiLevelType w:val="hybridMultilevel"/>
    <w:tmpl w:val="E16C8014"/>
    <w:lvl w:ilvl="0" w:tplc="080A0001">
      <w:start w:val="1"/>
      <w:numFmt w:val="bullet"/>
      <w:lvlText w:val=""/>
      <w:lvlJc w:val="left"/>
      <w:pPr>
        <w:ind w:left="8766" w:hanging="360"/>
      </w:pPr>
      <w:rPr>
        <w:rFonts w:ascii="Symbol" w:hAnsi="Symbol" w:hint="default"/>
      </w:rPr>
    </w:lvl>
    <w:lvl w:ilvl="1" w:tplc="080A0003" w:tentative="1">
      <w:start w:val="1"/>
      <w:numFmt w:val="bullet"/>
      <w:lvlText w:val="o"/>
      <w:lvlJc w:val="left"/>
      <w:pPr>
        <w:ind w:left="1482" w:hanging="360"/>
      </w:pPr>
      <w:rPr>
        <w:rFonts w:ascii="Courier New" w:hAnsi="Courier New" w:cs="Courier New" w:hint="default"/>
      </w:rPr>
    </w:lvl>
    <w:lvl w:ilvl="2" w:tplc="080A0005" w:tentative="1">
      <w:start w:val="1"/>
      <w:numFmt w:val="bullet"/>
      <w:lvlText w:val=""/>
      <w:lvlJc w:val="left"/>
      <w:pPr>
        <w:ind w:left="2202" w:hanging="360"/>
      </w:pPr>
      <w:rPr>
        <w:rFonts w:ascii="Wingdings" w:hAnsi="Wingdings" w:hint="default"/>
      </w:rPr>
    </w:lvl>
    <w:lvl w:ilvl="3" w:tplc="080A0001" w:tentative="1">
      <w:start w:val="1"/>
      <w:numFmt w:val="bullet"/>
      <w:lvlText w:val=""/>
      <w:lvlJc w:val="left"/>
      <w:pPr>
        <w:ind w:left="2922" w:hanging="360"/>
      </w:pPr>
      <w:rPr>
        <w:rFonts w:ascii="Symbol" w:hAnsi="Symbol" w:hint="default"/>
      </w:rPr>
    </w:lvl>
    <w:lvl w:ilvl="4" w:tplc="080A0003" w:tentative="1">
      <w:start w:val="1"/>
      <w:numFmt w:val="bullet"/>
      <w:lvlText w:val="o"/>
      <w:lvlJc w:val="left"/>
      <w:pPr>
        <w:ind w:left="3642" w:hanging="360"/>
      </w:pPr>
      <w:rPr>
        <w:rFonts w:ascii="Courier New" w:hAnsi="Courier New" w:cs="Courier New" w:hint="default"/>
      </w:rPr>
    </w:lvl>
    <w:lvl w:ilvl="5" w:tplc="080A0005" w:tentative="1">
      <w:start w:val="1"/>
      <w:numFmt w:val="bullet"/>
      <w:lvlText w:val=""/>
      <w:lvlJc w:val="left"/>
      <w:pPr>
        <w:ind w:left="4362" w:hanging="360"/>
      </w:pPr>
      <w:rPr>
        <w:rFonts w:ascii="Wingdings" w:hAnsi="Wingdings" w:hint="default"/>
      </w:rPr>
    </w:lvl>
    <w:lvl w:ilvl="6" w:tplc="080A0001" w:tentative="1">
      <w:start w:val="1"/>
      <w:numFmt w:val="bullet"/>
      <w:lvlText w:val=""/>
      <w:lvlJc w:val="left"/>
      <w:pPr>
        <w:ind w:left="5082" w:hanging="360"/>
      </w:pPr>
      <w:rPr>
        <w:rFonts w:ascii="Symbol" w:hAnsi="Symbol" w:hint="default"/>
      </w:rPr>
    </w:lvl>
    <w:lvl w:ilvl="7" w:tplc="080A0003" w:tentative="1">
      <w:start w:val="1"/>
      <w:numFmt w:val="bullet"/>
      <w:lvlText w:val="o"/>
      <w:lvlJc w:val="left"/>
      <w:pPr>
        <w:ind w:left="5802" w:hanging="360"/>
      </w:pPr>
      <w:rPr>
        <w:rFonts w:ascii="Courier New" w:hAnsi="Courier New" w:cs="Courier New" w:hint="default"/>
      </w:rPr>
    </w:lvl>
    <w:lvl w:ilvl="8" w:tplc="080A0005" w:tentative="1">
      <w:start w:val="1"/>
      <w:numFmt w:val="bullet"/>
      <w:lvlText w:val=""/>
      <w:lvlJc w:val="left"/>
      <w:pPr>
        <w:ind w:left="6522" w:hanging="360"/>
      </w:pPr>
      <w:rPr>
        <w:rFonts w:ascii="Wingdings" w:hAnsi="Wingdings" w:hint="default"/>
      </w:rPr>
    </w:lvl>
  </w:abstractNum>
  <w:abstractNum w:abstractNumId="16" w15:restartNumberingAfterBreak="0">
    <w:nsid w:val="3BF60A53"/>
    <w:multiLevelType w:val="hybridMultilevel"/>
    <w:tmpl w:val="644E62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C886503"/>
    <w:multiLevelType w:val="hybridMultilevel"/>
    <w:tmpl w:val="0A62B07C"/>
    <w:lvl w:ilvl="0" w:tplc="080A0001">
      <w:start w:val="1"/>
      <w:numFmt w:val="bullet"/>
      <w:lvlText w:val=""/>
      <w:lvlJc w:val="left"/>
      <w:pPr>
        <w:ind w:left="8724" w:hanging="360"/>
      </w:pPr>
      <w:rPr>
        <w:rFonts w:ascii="Symbol" w:hAnsi="Symbol" w:hint="default"/>
      </w:rPr>
    </w:lvl>
    <w:lvl w:ilvl="1" w:tplc="080A0003">
      <w:start w:val="1"/>
      <w:numFmt w:val="bullet"/>
      <w:lvlText w:val="o"/>
      <w:lvlJc w:val="left"/>
      <w:pPr>
        <w:ind w:left="8735" w:hanging="360"/>
      </w:pPr>
      <w:rPr>
        <w:rFonts w:ascii="Courier New" w:hAnsi="Courier New" w:cs="Courier New" w:hint="default"/>
      </w:rPr>
    </w:lvl>
    <w:lvl w:ilvl="2" w:tplc="080A0005" w:tentative="1">
      <w:start w:val="1"/>
      <w:numFmt w:val="bullet"/>
      <w:lvlText w:val=""/>
      <w:lvlJc w:val="left"/>
      <w:pPr>
        <w:ind w:left="9455" w:hanging="360"/>
      </w:pPr>
      <w:rPr>
        <w:rFonts w:ascii="Wingdings" w:hAnsi="Wingdings" w:hint="default"/>
      </w:rPr>
    </w:lvl>
    <w:lvl w:ilvl="3" w:tplc="080A0001" w:tentative="1">
      <w:start w:val="1"/>
      <w:numFmt w:val="bullet"/>
      <w:lvlText w:val=""/>
      <w:lvlJc w:val="left"/>
      <w:pPr>
        <w:ind w:left="10175" w:hanging="360"/>
      </w:pPr>
      <w:rPr>
        <w:rFonts w:ascii="Symbol" w:hAnsi="Symbol" w:hint="default"/>
      </w:rPr>
    </w:lvl>
    <w:lvl w:ilvl="4" w:tplc="080A0003">
      <w:start w:val="1"/>
      <w:numFmt w:val="bullet"/>
      <w:lvlText w:val="o"/>
      <w:lvlJc w:val="left"/>
      <w:pPr>
        <w:ind w:left="10895" w:hanging="360"/>
      </w:pPr>
      <w:rPr>
        <w:rFonts w:ascii="Courier New" w:hAnsi="Courier New" w:cs="Courier New" w:hint="default"/>
      </w:rPr>
    </w:lvl>
    <w:lvl w:ilvl="5" w:tplc="080A0005" w:tentative="1">
      <w:start w:val="1"/>
      <w:numFmt w:val="bullet"/>
      <w:lvlText w:val=""/>
      <w:lvlJc w:val="left"/>
      <w:pPr>
        <w:ind w:left="11615" w:hanging="360"/>
      </w:pPr>
      <w:rPr>
        <w:rFonts w:ascii="Wingdings" w:hAnsi="Wingdings" w:hint="default"/>
      </w:rPr>
    </w:lvl>
    <w:lvl w:ilvl="6" w:tplc="080A0001" w:tentative="1">
      <w:start w:val="1"/>
      <w:numFmt w:val="bullet"/>
      <w:lvlText w:val=""/>
      <w:lvlJc w:val="left"/>
      <w:pPr>
        <w:ind w:left="12335" w:hanging="360"/>
      </w:pPr>
      <w:rPr>
        <w:rFonts w:ascii="Symbol" w:hAnsi="Symbol" w:hint="default"/>
      </w:rPr>
    </w:lvl>
    <w:lvl w:ilvl="7" w:tplc="080A0003" w:tentative="1">
      <w:start w:val="1"/>
      <w:numFmt w:val="bullet"/>
      <w:lvlText w:val="o"/>
      <w:lvlJc w:val="left"/>
      <w:pPr>
        <w:ind w:left="13055" w:hanging="360"/>
      </w:pPr>
      <w:rPr>
        <w:rFonts w:ascii="Courier New" w:hAnsi="Courier New" w:cs="Courier New" w:hint="default"/>
      </w:rPr>
    </w:lvl>
    <w:lvl w:ilvl="8" w:tplc="080A0005" w:tentative="1">
      <w:start w:val="1"/>
      <w:numFmt w:val="bullet"/>
      <w:lvlText w:val=""/>
      <w:lvlJc w:val="left"/>
      <w:pPr>
        <w:ind w:left="13775" w:hanging="360"/>
      </w:pPr>
      <w:rPr>
        <w:rFonts w:ascii="Wingdings" w:hAnsi="Wingdings" w:hint="default"/>
      </w:rPr>
    </w:lvl>
  </w:abstractNum>
  <w:abstractNum w:abstractNumId="18" w15:restartNumberingAfterBreak="0">
    <w:nsid w:val="3F2A687D"/>
    <w:multiLevelType w:val="hybridMultilevel"/>
    <w:tmpl w:val="AC06EC32"/>
    <w:lvl w:ilvl="0" w:tplc="D780CC4C">
      <w:start w:val="1"/>
      <w:numFmt w:val="upperRoman"/>
      <w:lvlText w:val="%1."/>
      <w:lvlJc w:val="left"/>
      <w:pPr>
        <w:ind w:left="720" w:hanging="360"/>
      </w:pPr>
    </w:lvl>
    <w:lvl w:ilvl="1" w:tplc="1C2E6A40">
      <w:start w:val="1"/>
      <w:numFmt w:val="lowerLetter"/>
      <w:lvlText w:val="%2."/>
      <w:lvlJc w:val="left"/>
      <w:pPr>
        <w:ind w:left="1440" w:hanging="360"/>
      </w:pPr>
    </w:lvl>
    <w:lvl w:ilvl="2" w:tplc="BB985AA4">
      <w:start w:val="1"/>
      <w:numFmt w:val="lowerRoman"/>
      <w:lvlText w:val="%3."/>
      <w:lvlJc w:val="right"/>
      <w:pPr>
        <w:ind w:left="2160" w:hanging="180"/>
      </w:pPr>
    </w:lvl>
    <w:lvl w:ilvl="3" w:tplc="C5C822CC">
      <w:start w:val="1"/>
      <w:numFmt w:val="decimal"/>
      <w:lvlText w:val="%4."/>
      <w:lvlJc w:val="left"/>
      <w:pPr>
        <w:ind w:left="2880" w:hanging="360"/>
      </w:pPr>
    </w:lvl>
    <w:lvl w:ilvl="4" w:tplc="4DE25EBC">
      <w:start w:val="1"/>
      <w:numFmt w:val="lowerLetter"/>
      <w:lvlText w:val="%5."/>
      <w:lvlJc w:val="left"/>
      <w:pPr>
        <w:ind w:left="3600" w:hanging="360"/>
      </w:pPr>
    </w:lvl>
    <w:lvl w:ilvl="5" w:tplc="AC1060AC">
      <w:start w:val="1"/>
      <w:numFmt w:val="lowerRoman"/>
      <w:lvlText w:val="%6."/>
      <w:lvlJc w:val="right"/>
      <w:pPr>
        <w:ind w:left="4320" w:hanging="180"/>
      </w:pPr>
    </w:lvl>
    <w:lvl w:ilvl="6" w:tplc="075A7D94">
      <w:start w:val="1"/>
      <w:numFmt w:val="decimal"/>
      <w:lvlText w:val="%7."/>
      <w:lvlJc w:val="left"/>
      <w:pPr>
        <w:ind w:left="5040" w:hanging="360"/>
      </w:pPr>
    </w:lvl>
    <w:lvl w:ilvl="7" w:tplc="F954C4F0">
      <w:start w:val="1"/>
      <w:numFmt w:val="lowerLetter"/>
      <w:lvlText w:val="%8."/>
      <w:lvlJc w:val="left"/>
      <w:pPr>
        <w:ind w:left="5760" w:hanging="360"/>
      </w:pPr>
    </w:lvl>
    <w:lvl w:ilvl="8" w:tplc="C2AA79CC">
      <w:start w:val="1"/>
      <w:numFmt w:val="lowerRoman"/>
      <w:lvlText w:val="%9."/>
      <w:lvlJc w:val="right"/>
      <w:pPr>
        <w:ind w:left="6480" w:hanging="180"/>
      </w:pPr>
    </w:lvl>
  </w:abstractNum>
  <w:abstractNum w:abstractNumId="19" w15:restartNumberingAfterBreak="0">
    <w:nsid w:val="43310112"/>
    <w:multiLevelType w:val="hybridMultilevel"/>
    <w:tmpl w:val="23283F3C"/>
    <w:lvl w:ilvl="0" w:tplc="98B27C1E">
      <w:numFmt w:val="bullet"/>
      <w:lvlText w:val=""/>
      <w:lvlJc w:val="left"/>
      <w:pPr>
        <w:ind w:left="720" w:hanging="360"/>
      </w:pPr>
      <w:rPr>
        <w:rFonts w:ascii="Wingdings" w:eastAsia="Calibri" w:hAnsi="Wingdings" w:cs="Arial" w:hint="default"/>
        <w:color w:val="000000"/>
        <w:sz w:val="18"/>
        <w:u w:val="single"/>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5EE7362"/>
    <w:multiLevelType w:val="hybridMultilevel"/>
    <w:tmpl w:val="21CC11F4"/>
    <w:lvl w:ilvl="0" w:tplc="141CDD56">
      <w:start w:val="1"/>
      <w:numFmt w:val="upperRoman"/>
      <w:lvlText w:val="%1."/>
      <w:lvlJc w:val="left"/>
      <w:pPr>
        <w:ind w:left="720" w:hanging="720"/>
      </w:pPr>
      <w:rPr>
        <w:rFonts w:ascii="ITC Avant Garde Std Bk" w:eastAsia="Calibri" w:hAnsi="ITC Avant Garde Std Bk" w:cs="Times New Roman"/>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614E3DF4"/>
    <w:multiLevelType w:val="hybridMultilevel"/>
    <w:tmpl w:val="9DAC71C0"/>
    <w:lvl w:ilvl="0" w:tplc="6EFADF2A">
      <w:start w:val="1"/>
      <w:numFmt w:val="upperRoman"/>
      <w:lvlText w:val="%1."/>
      <w:lvlJc w:val="left"/>
      <w:pPr>
        <w:ind w:left="1080" w:hanging="720"/>
      </w:pPr>
      <w:rPr>
        <w:rFonts w:ascii="Arial" w:hAnsi="Arial" w:cs="Arial" w:hint="default"/>
        <w:b/>
        <w:bCs/>
        <w:sz w:val="18"/>
        <w:szCs w:val="18"/>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3D53491"/>
    <w:multiLevelType w:val="hybridMultilevel"/>
    <w:tmpl w:val="BFC09FD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3" w15:restartNumberingAfterBreak="0">
    <w:nsid w:val="6E3F265B"/>
    <w:multiLevelType w:val="multilevel"/>
    <w:tmpl w:val="784A3626"/>
    <w:lvl w:ilvl="0">
      <w:start w:val="3"/>
      <w:numFmt w:val="upperRoman"/>
      <w:pStyle w:val="Ttulo2"/>
      <w:lvlText w:val="%1."/>
      <w:lvlJc w:val="right"/>
      <w:pPr>
        <w:ind w:left="720" w:hanging="360"/>
      </w:pPr>
      <w:rPr>
        <w:rFonts w:ascii="ITC Avant Garde" w:hAnsi="ITC Avant Garde" w:hint="default"/>
        <w:b/>
        <w:sz w:val="22"/>
      </w:rPr>
    </w:lvl>
    <w:lvl w:ilvl="1">
      <w:start w:val="1"/>
      <w:numFmt w:val="decimal"/>
      <w:suff w:val="space"/>
      <w:lvlText w:val="%1.%2. "/>
      <w:lvlJc w:val="left"/>
      <w:pPr>
        <w:ind w:left="5747" w:hanging="360"/>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20"/>
  </w:num>
  <w:num w:numId="2">
    <w:abstractNumId w:val="4"/>
  </w:num>
  <w:num w:numId="3">
    <w:abstractNumId w:val="7"/>
  </w:num>
  <w:num w:numId="4">
    <w:abstractNumId w:val="9"/>
  </w:num>
  <w:num w:numId="5">
    <w:abstractNumId w:val="12"/>
  </w:num>
  <w:num w:numId="6">
    <w:abstractNumId w:val="23"/>
  </w:num>
  <w:num w:numId="7">
    <w:abstractNumId w:val="17"/>
  </w:num>
  <w:num w:numId="8">
    <w:abstractNumId w:val="15"/>
  </w:num>
  <w:num w:numId="9">
    <w:abstractNumId w:val="2"/>
  </w:num>
  <w:num w:numId="10">
    <w:abstractNumId w:val="22"/>
  </w:num>
  <w:num w:numId="11">
    <w:abstractNumId w:val="21"/>
  </w:num>
  <w:num w:numId="12">
    <w:abstractNumId w:val="18"/>
  </w:num>
  <w:num w:numId="13">
    <w:abstractNumId w:val="1"/>
  </w:num>
  <w:num w:numId="14">
    <w:abstractNumId w:val="5"/>
  </w:num>
  <w:num w:numId="15">
    <w:abstractNumId w:val="0"/>
  </w:num>
  <w:num w:numId="16">
    <w:abstractNumId w:val="3"/>
  </w:num>
  <w:num w:numId="17">
    <w:abstractNumId w:val="16"/>
  </w:num>
  <w:num w:numId="18">
    <w:abstractNumId w:val="19"/>
  </w:num>
  <w:num w:numId="19">
    <w:abstractNumId w:val="13"/>
  </w:num>
  <w:num w:numId="20">
    <w:abstractNumId w:val="10"/>
  </w:num>
  <w:num w:numId="21">
    <w:abstractNumId w:val="8"/>
  </w:num>
  <w:num w:numId="22">
    <w:abstractNumId w:val="6"/>
  </w:num>
  <w:num w:numId="23">
    <w:abstractNumId w:val="11"/>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2054"/>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1DD"/>
    <w:rsid w:val="000015E5"/>
    <w:rsid w:val="00003514"/>
    <w:rsid w:val="00003754"/>
    <w:rsid w:val="0000448E"/>
    <w:rsid w:val="000066F5"/>
    <w:rsid w:val="000067AE"/>
    <w:rsid w:val="00006B03"/>
    <w:rsid w:val="0000708C"/>
    <w:rsid w:val="000075EE"/>
    <w:rsid w:val="00011227"/>
    <w:rsid w:val="0001246A"/>
    <w:rsid w:val="000134BE"/>
    <w:rsid w:val="00015C2E"/>
    <w:rsid w:val="00015DC8"/>
    <w:rsid w:val="00016A8A"/>
    <w:rsid w:val="00016C7F"/>
    <w:rsid w:val="00016CD0"/>
    <w:rsid w:val="00017A48"/>
    <w:rsid w:val="000209EF"/>
    <w:rsid w:val="0002322F"/>
    <w:rsid w:val="00023283"/>
    <w:rsid w:val="00024EF0"/>
    <w:rsid w:val="00024FC7"/>
    <w:rsid w:val="00025152"/>
    <w:rsid w:val="0002633F"/>
    <w:rsid w:val="0002736E"/>
    <w:rsid w:val="00027A00"/>
    <w:rsid w:val="00030592"/>
    <w:rsid w:val="00030F90"/>
    <w:rsid w:val="00031318"/>
    <w:rsid w:val="000319FF"/>
    <w:rsid w:val="00031EDB"/>
    <w:rsid w:val="00036160"/>
    <w:rsid w:val="000365AF"/>
    <w:rsid w:val="000366FE"/>
    <w:rsid w:val="00036C98"/>
    <w:rsid w:val="00037381"/>
    <w:rsid w:val="00037BBC"/>
    <w:rsid w:val="00040622"/>
    <w:rsid w:val="000416D5"/>
    <w:rsid w:val="00041CD8"/>
    <w:rsid w:val="0004749E"/>
    <w:rsid w:val="00050443"/>
    <w:rsid w:val="000504B0"/>
    <w:rsid w:val="00050A90"/>
    <w:rsid w:val="00050FA7"/>
    <w:rsid w:val="000512F6"/>
    <w:rsid w:val="00051ABC"/>
    <w:rsid w:val="000532AB"/>
    <w:rsid w:val="00054F13"/>
    <w:rsid w:val="0005626B"/>
    <w:rsid w:val="00057579"/>
    <w:rsid w:val="000577B5"/>
    <w:rsid w:val="00057B21"/>
    <w:rsid w:val="0006065D"/>
    <w:rsid w:val="00064197"/>
    <w:rsid w:val="00065BE1"/>
    <w:rsid w:val="00065DA5"/>
    <w:rsid w:val="00066211"/>
    <w:rsid w:val="0006647C"/>
    <w:rsid w:val="00067BCE"/>
    <w:rsid w:val="00071316"/>
    <w:rsid w:val="00071534"/>
    <w:rsid w:val="00072454"/>
    <w:rsid w:val="00075763"/>
    <w:rsid w:val="000760E6"/>
    <w:rsid w:val="00076AFD"/>
    <w:rsid w:val="000811BE"/>
    <w:rsid w:val="00081414"/>
    <w:rsid w:val="00081A79"/>
    <w:rsid w:val="0008296C"/>
    <w:rsid w:val="00083C9E"/>
    <w:rsid w:val="0008462D"/>
    <w:rsid w:val="00085A79"/>
    <w:rsid w:val="000862CF"/>
    <w:rsid w:val="000863E9"/>
    <w:rsid w:val="0008680C"/>
    <w:rsid w:val="00086F4B"/>
    <w:rsid w:val="0008723A"/>
    <w:rsid w:val="00087C53"/>
    <w:rsid w:val="00090F84"/>
    <w:rsid w:val="00092AA4"/>
    <w:rsid w:val="00093720"/>
    <w:rsid w:val="000942D5"/>
    <w:rsid w:val="00095EB5"/>
    <w:rsid w:val="000962EA"/>
    <w:rsid w:val="00097854"/>
    <w:rsid w:val="000A0E2A"/>
    <w:rsid w:val="000A1DC4"/>
    <w:rsid w:val="000A2410"/>
    <w:rsid w:val="000A4BFF"/>
    <w:rsid w:val="000A596B"/>
    <w:rsid w:val="000A647E"/>
    <w:rsid w:val="000B01C5"/>
    <w:rsid w:val="000B0217"/>
    <w:rsid w:val="000B0DAD"/>
    <w:rsid w:val="000B1395"/>
    <w:rsid w:val="000B18A3"/>
    <w:rsid w:val="000B1B00"/>
    <w:rsid w:val="000B1EC5"/>
    <w:rsid w:val="000B2C3E"/>
    <w:rsid w:val="000B33AD"/>
    <w:rsid w:val="000B4C39"/>
    <w:rsid w:val="000B58EC"/>
    <w:rsid w:val="000B667F"/>
    <w:rsid w:val="000B6D55"/>
    <w:rsid w:val="000B6FEC"/>
    <w:rsid w:val="000B7B28"/>
    <w:rsid w:val="000C0DB0"/>
    <w:rsid w:val="000C30A5"/>
    <w:rsid w:val="000C36AE"/>
    <w:rsid w:val="000C3DA9"/>
    <w:rsid w:val="000C48BC"/>
    <w:rsid w:val="000C5DA3"/>
    <w:rsid w:val="000C6EBF"/>
    <w:rsid w:val="000C7A58"/>
    <w:rsid w:val="000D0289"/>
    <w:rsid w:val="000D1089"/>
    <w:rsid w:val="000D1E06"/>
    <w:rsid w:val="000D321D"/>
    <w:rsid w:val="000D3E89"/>
    <w:rsid w:val="000D521B"/>
    <w:rsid w:val="000D59F2"/>
    <w:rsid w:val="000D5C7F"/>
    <w:rsid w:val="000D6CF2"/>
    <w:rsid w:val="000E05BC"/>
    <w:rsid w:val="000E0987"/>
    <w:rsid w:val="000E17E1"/>
    <w:rsid w:val="000E2460"/>
    <w:rsid w:val="000E273E"/>
    <w:rsid w:val="000E3155"/>
    <w:rsid w:val="000E330E"/>
    <w:rsid w:val="000E3994"/>
    <w:rsid w:val="000E7836"/>
    <w:rsid w:val="000F016D"/>
    <w:rsid w:val="000F1398"/>
    <w:rsid w:val="000F1667"/>
    <w:rsid w:val="000F3651"/>
    <w:rsid w:val="000F40CA"/>
    <w:rsid w:val="000F45D7"/>
    <w:rsid w:val="000F6DF8"/>
    <w:rsid w:val="000F7921"/>
    <w:rsid w:val="000F7BBB"/>
    <w:rsid w:val="001010B3"/>
    <w:rsid w:val="001030B1"/>
    <w:rsid w:val="0010495D"/>
    <w:rsid w:val="00105098"/>
    <w:rsid w:val="001058A4"/>
    <w:rsid w:val="001058E5"/>
    <w:rsid w:val="00105959"/>
    <w:rsid w:val="001067AC"/>
    <w:rsid w:val="0010713E"/>
    <w:rsid w:val="0010785E"/>
    <w:rsid w:val="0011024D"/>
    <w:rsid w:val="00110B8E"/>
    <w:rsid w:val="00111F31"/>
    <w:rsid w:val="00112AE2"/>
    <w:rsid w:val="0011347F"/>
    <w:rsid w:val="00113C4B"/>
    <w:rsid w:val="00114070"/>
    <w:rsid w:val="00114F1F"/>
    <w:rsid w:val="00115AFA"/>
    <w:rsid w:val="00116031"/>
    <w:rsid w:val="00116E7E"/>
    <w:rsid w:val="00117976"/>
    <w:rsid w:val="001209FB"/>
    <w:rsid w:val="00122E95"/>
    <w:rsid w:val="00123290"/>
    <w:rsid w:val="00123E5D"/>
    <w:rsid w:val="0012734C"/>
    <w:rsid w:val="00127C1C"/>
    <w:rsid w:val="001302C2"/>
    <w:rsid w:val="00131140"/>
    <w:rsid w:val="001311C0"/>
    <w:rsid w:val="00131377"/>
    <w:rsid w:val="00134886"/>
    <w:rsid w:val="00135649"/>
    <w:rsid w:val="00136049"/>
    <w:rsid w:val="001361F6"/>
    <w:rsid w:val="0013672C"/>
    <w:rsid w:val="00136CE2"/>
    <w:rsid w:val="00136D23"/>
    <w:rsid w:val="00137E61"/>
    <w:rsid w:val="0014141C"/>
    <w:rsid w:val="0014174C"/>
    <w:rsid w:val="0014255F"/>
    <w:rsid w:val="00142C05"/>
    <w:rsid w:val="0014311C"/>
    <w:rsid w:val="0014383E"/>
    <w:rsid w:val="001456A5"/>
    <w:rsid w:val="001461F4"/>
    <w:rsid w:val="00146C27"/>
    <w:rsid w:val="00146F0E"/>
    <w:rsid w:val="0015002D"/>
    <w:rsid w:val="00151542"/>
    <w:rsid w:val="00151F0B"/>
    <w:rsid w:val="00153294"/>
    <w:rsid w:val="001532CF"/>
    <w:rsid w:val="001538EE"/>
    <w:rsid w:val="00153CF6"/>
    <w:rsid w:val="001555DF"/>
    <w:rsid w:val="00155F9B"/>
    <w:rsid w:val="00157EE8"/>
    <w:rsid w:val="00160221"/>
    <w:rsid w:val="00160B90"/>
    <w:rsid w:val="00160BA0"/>
    <w:rsid w:val="001622CE"/>
    <w:rsid w:val="001624A5"/>
    <w:rsid w:val="00163BFF"/>
    <w:rsid w:val="00164886"/>
    <w:rsid w:val="001661B4"/>
    <w:rsid w:val="00166D76"/>
    <w:rsid w:val="00167252"/>
    <w:rsid w:val="00167DF7"/>
    <w:rsid w:val="00171C2D"/>
    <w:rsid w:val="001726A6"/>
    <w:rsid w:val="0017321D"/>
    <w:rsid w:val="00173F38"/>
    <w:rsid w:val="0017497B"/>
    <w:rsid w:val="00174E4E"/>
    <w:rsid w:val="00175535"/>
    <w:rsid w:val="00175AA8"/>
    <w:rsid w:val="00180EBE"/>
    <w:rsid w:val="00181DDC"/>
    <w:rsid w:val="00181F0C"/>
    <w:rsid w:val="00183B9F"/>
    <w:rsid w:val="0018676F"/>
    <w:rsid w:val="00187997"/>
    <w:rsid w:val="001904C7"/>
    <w:rsid w:val="00191B31"/>
    <w:rsid w:val="00191B4D"/>
    <w:rsid w:val="00191DF4"/>
    <w:rsid w:val="00192F49"/>
    <w:rsid w:val="00193B5A"/>
    <w:rsid w:val="00194520"/>
    <w:rsid w:val="00196BC2"/>
    <w:rsid w:val="001A0321"/>
    <w:rsid w:val="001A0985"/>
    <w:rsid w:val="001A0D10"/>
    <w:rsid w:val="001A10C4"/>
    <w:rsid w:val="001A1FDA"/>
    <w:rsid w:val="001A2170"/>
    <w:rsid w:val="001A2230"/>
    <w:rsid w:val="001A36C2"/>
    <w:rsid w:val="001A37C2"/>
    <w:rsid w:val="001A3ECD"/>
    <w:rsid w:val="001A468F"/>
    <w:rsid w:val="001A5E05"/>
    <w:rsid w:val="001A71CF"/>
    <w:rsid w:val="001A7934"/>
    <w:rsid w:val="001B08AB"/>
    <w:rsid w:val="001B163B"/>
    <w:rsid w:val="001B1F53"/>
    <w:rsid w:val="001B57F9"/>
    <w:rsid w:val="001B7414"/>
    <w:rsid w:val="001C02B3"/>
    <w:rsid w:val="001C04D3"/>
    <w:rsid w:val="001C1001"/>
    <w:rsid w:val="001C1601"/>
    <w:rsid w:val="001C1D7F"/>
    <w:rsid w:val="001C3150"/>
    <w:rsid w:val="001C3237"/>
    <w:rsid w:val="001C3616"/>
    <w:rsid w:val="001C5392"/>
    <w:rsid w:val="001C6BC2"/>
    <w:rsid w:val="001D0D53"/>
    <w:rsid w:val="001D1124"/>
    <w:rsid w:val="001D12CA"/>
    <w:rsid w:val="001D1CB9"/>
    <w:rsid w:val="001D63A5"/>
    <w:rsid w:val="001D7237"/>
    <w:rsid w:val="001D7299"/>
    <w:rsid w:val="001D76B3"/>
    <w:rsid w:val="001E02D1"/>
    <w:rsid w:val="001E3D34"/>
    <w:rsid w:val="001E3E5E"/>
    <w:rsid w:val="001E67A9"/>
    <w:rsid w:val="001E7269"/>
    <w:rsid w:val="001E78D1"/>
    <w:rsid w:val="001F1CEB"/>
    <w:rsid w:val="001F29C9"/>
    <w:rsid w:val="001F31EE"/>
    <w:rsid w:val="001F3C97"/>
    <w:rsid w:val="001F4912"/>
    <w:rsid w:val="001F509A"/>
    <w:rsid w:val="001F50FC"/>
    <w:rsid w:val="001F62B7"/>
    <w:rsid w:val="001F6B01"/>
    <w:rsid w:val="001F716D"/>
    <w:rsid w:val="00200E4B"/>
    <w:rsid w:val="00201116"/>
    <w:rsid w:val="002032F8"/>
    <w:rsid w:val="00204A0B"/>
    <w:rsid w:val="00204FD0"/>
    <w:rsid w:val="0020516A"/>
    <w:rsid w:val="002068FC"/>
    <w:rsid w:val="00206A9D"/>
    <w:rsid w:val="002075A2"/>
    <w:rsid w:val="00207F64"/>
    <w:rsid w:val="0021129A"/>
    <w:rsid w:val="00211312"/>
    <w:rsid w:val="00211FA1"/>
    <w:rsid w:val="00212656"/>
    <w:rsid w:val="00212C59"/>
    <w:rsid w:val="00214F24"/>
    <w:rsid w:val="002151C0"/>
    <w:rsid w:val="00215524"/>
    <w:rsid w:val="0021602A"/>
    <w:rsid w:val="00216236"/>
    <w:rsid w:val="00216F33"/>
    <w:rsid w:val="0021704D"/>
    <w:rsid w:val="00217271"/>
    <w:rsid w:val="0021737E"/>
    <w:rsid w:val="002215FC"/>
    <w:rsid w:val="00221B6A"/>
    <w:rsid w:val="0022244B"/>
    <w:rsid w:val="00225F4C"/>
    <w:rsid w:val="00226FC1"/>
    <w:rsid w:val="002278D4"/>
    <w:rsid w:val="00232268"/>
    <w:rsid w:val="002322A9"/>
    <w:rsid w:val="002332F5"/>
    <w:rsid w:val="00234488"/>
    <w:rsid w:val="002348AA"/>
    <w:rsid w:val="00234933"/>
    <w:rsid w:val="00234FF5"/>
    <w:rsid w:val="0023662A"/>
    <w:rsid w:val="0023674F"/>
    <w:rsid w:val="00237AB7"/>
    <w:rsid w:val="00240DDE"/>
    <w:rsid w:val="00241BD0"/>
    <w:rsid w:val="00242298"/>
    <w:rsid w:val="002422BA"/>
    <w:rsid w:val="002431A0"/>
    <w:rsid w:val="00243AF8"/>
    <w:rsid w:val="00244C22"/>
    <w:rsid w:val="0024502F"/>
    <w:rsid w:val="002450AB"/>
    <w:rsid w:val="00245399"/>
    <w:rsid w:val="00245D12"/>
    <w:rsid w:val="00247F9A"/>
    <w:rsid w:val="002509C4"/>
    <w:rsid w:val="00250F10"/>
    <w:rsid w:val="0025304E"/>
    <w:rsid w:val="00253C92"/>
    <w:rsid w:val="00253F6B"/>
    <w:rsid w:val="00254AF7"/>
    <w:rsid w:val="00257138"/>
    <w:rsid w:val="002579D4"/>
    <w:rsid w:val="00260D4C"/>
    <w:rsid w:val="0026480E"/>
    <w:rsid w:val="00264935"/>
    <w:rsid w:val="00264F53"/>
    <w:rsid w:val="00267CB9"/>
    <w:rsid w:val="00270FBA"/>
    <w:rsid w:val="00272207"/>
    <w:rsid w:val="002724FB"/>
    <w:rsid w:val="00273117"/>
    <w:rsid w:val="0027391A"/>
    <w:rsid w:val="00274458"/>
    <w:rsid w:val="00275042"/>
    <w:rsid w:val="00276AA1"/>
    <w:rsid w:val="002803A6"/>
    <w:rsid w:val="002808C4"/>
    <w:rsid w:val="00282A18"/>
    <w:rsid w:val="00284093"/>
    <w:rsid w:val="002841FF"/>
    <w:rsid w:val="0028553F"/>
    <w:rsid w:val="00285F4B"/>
    <w:rsid w:val="002863CB"/>
    <w:rsid w:val="002866AE"/>
    <w:rsid w:val="00286C74"/>
    <w:rsid w:val="0028705D"/>
    <w:rsid w:val="00290BDC"/>
    <w:rsid w:val="00290CC3"/>
    <w:rsid w:val="0029147D"/>
    <w:rsid w:val="00291CF9"/>
    <w:rsid w:val="00292669"/>
    <w:rsid w:val="00292D53"/>
    <w:rsid w:val="00294F43"/>
    <w:rsid w:val="002955CF"/>
    <w:rsid w:val="002959FE"/>
    <w:rsid w:val="00296B9B"/>
    <w:rsid w:val="00297A60"/>
    <w:rsid w:val="002A0E3D"/>
    <w:rsid w:val="002A1C9E"/>
    <w:rsid w:val="002A20C9"/>
    <w:rsid w:val="002A3397"/>
    <w:rsid w:val="002A3456"/>
    <w:rsid w:val="002A3C3A"/>
    <w:rsid w:val="002A4008"/>
    <w:rsid w:val="002A43F0"/>
    <w:rsid w:val="002A4E64"/>
    <w:rsid w:val="002A5E8B"/>
    <w:rsid w:val="002A6C7F"/>
    <w:rsid w:val="002B08D5"/>
    <w:rsid w:val="002B1294"/>
    <w:rsid w:val="002B14B7"/>
    <w:rsid w:val="002B1CFF"/>
    <w:rsid w:val="002B3242"/>
    <w:rsid w:val="002B3558"/>
    <w:rsid w:val="002B40AA"/>
    <w:rsid w:val="002B760E"/>
    <w:rsid w:val="002C3AD8"/>
    <w:rsid w:val="002C3F21"/>
    <w:rsid w:val="002C47AE"/>
    <w:rsid w:val="002C707A"/>
    <w:rsid w:val="002C7961"/>
    <w:rsid w:val="002D33CD"/>
    <w:rsid w:val="002D4073"/>
    <w:rsid w:val="002D4717"/>
    <w:rsid w:val="002D4FE4"/>
    <w:rsid w:val="002D50E1"/>
    <w:rsid w:val="002D72DB"/>
    <w:rsid w:val="002E0943"/>
    <w:rsid w:val="002E0F3B"/>
    <w:rsid w:val="002E1959"/>
    <w:rsid w:val="002E1E63"/>
    <w:rsid w:val="002E2275"/>
    <w:rsid w:val="002E2320"/>
    <w:rsid w:val="002E2525"/>
    <w:rsid w:val="002E267D"/>
    <w:rsid w:val="002E522E"/>
    <w:rsid w:val="002E5D75"/>
    <w:rsid w:val="002E70B9"/>
    <w:rsid w:val="002E7850"/>
    <w:rsid w:val="002F1B88"/>
    <w:rsid w:val="002F27FA"/>
    <w:rsid w:val="002F30F0"/>
    <w:rsid w:val="002F48C4"/>
    <w:rsid w:val="002F4FA2"/>
    <w:rsid w:val="002F5C2B"/>
    <w:rsid w:val="00301288"/>
    <w:rsid w:val="00302699"/>
    <w:rsid w:val="00303340"/>
    <w:rsid w:val="00303C49"/>
    <w:rsid w:val="00304EEA"/>
    <w:rsid w:val="0030517E"/>
    <w:rsid w:val="003066CD"/>
    <w:rsid w:val="003073F0"/>
    <w:rsid w:val="00310A87"/>
    <w:rsid w:val="00311AE4"/>
    <w:rsid w:val="00311E16"/>
    <w:rsid w:val="00313D70"/>
    <w:rsid w:val="00313E9A"/>
    <w:rsid w:val="0031638B"/>
    <w:rsid w:val="0031673A"/>
    <w:rsid w:val="003173FD"/>
    <w:rsid w:val="00317527"/>
    <w:rsid w:val="00321BC8"/>
    <w:rsid w:val="00322EF9"/>
    <w:rsid w:val="003246DA"/>
    <w:rsid w:val="00324FC1"/>
    <w:rsid w:val="003257F5"/>
    <w:rsid w:val="00327943"/>
    <w:rsid w:val="00332F40"/>
    <w:rsid w:val="00333507"/>
    <w:rsid w:val="00333891"/>
    <w:rsid w:val="0033402E"/>
    <w:rsid w:val="003346CB"/>
    <w:rsid w:val="00334FFB"/>
    <w:rsid w:val="003350CF"/>
    <w:rsid w:val="003352AD"/>
    <w:rsid w:val="00335338"/>
    <w:rsid w:val="00335F29"/>
    <w:rsid w:val="0033731B"/>
    <w:rsid w:val="0033735A"/>
    <w:rsid w:val="0033766C"/>
    <w:rsid w:val="00337E7F"/>
    <w:rsid w:val="003402EF"/>
    <w:rsid w:val="00340F7D"/>
    <w:rsid w:val="003426D5"/>
    <w:rsid w:val="00343009"/>
    <w:rsid w:val="00343A78"/>
    <w:rsid w:val="003446FB"/>
    <w:rsid w:val="00345919"/>
    <w:rsid w:val="003461C8"/>
    <w:rsid w:val="00346208"/>
    <w:rsid w:val="00346475"/>
    <w:rsid w:val="00346BCE"/>
    <w:rsid w:val="00354983"/>
    <w:rsid w:val="00357B01"/>
    <w:rsid w:val="00360872"/>
    <w:rsid w:val="00360CA1"/>
    <w:rsid w:val="0036239D"/>
    <w:rsid w:val="0036444C"/>
    <w:rsid w:val="00364C76"/>
    <w:rsid w:val="00365595"/>
    <w:rsid w:val="00366CA7"/>
    <w:rsid w:val="00372BAD"/>
    <w:rsid w:val="0037328B"/>
    <w:rsid w:val="00373FCB"/>
    <w:rsid w:val="0037590D"/>
    <w:rsid w:val="00375B48"/>
    <w:rsid w:val="00377CBA"/>
    <w:rsid w:val="00377DA1"/>
    <w:rsid w:val="00381D29"/>
    <w:rsid w:val="00382B34"/>
    <w:rsid w:val="003831FE"/>
    <w:rsid w:val="0038376D"/>
    <w:rsid w:val="003838ED"/>
    <w:rsid w:val="00384745"/>
    <w:rsid w:val="00384A5C"/>
    <w:rsid w:val="00384CAC"/>
    <w:rsid w:val="003853B5"/>
    <w:rsid w:val="00385435"/>
    <w:rsid w:val="00385EBE"/>
    <w:rsid w:val="003873AA"/>
    <w:rsid w:val="00391061"/>
    <w:rsid w:val="003953DA"/>
    <w:rsid w:val="00396075"/>
    <w:rsid w:val="00396576"/>
    <w:rsid w:val="00397AEC"/>
    <w:rsid w:val="003A0266"/>
    <w:rsid w:val="003A1E43"/>
    <w:rsid w:val="003A293C"/>
    <w:rsid w:val="003A35DA"/>
    <w:rsid w:val="003A3AF9"/>
    <w:rsid w:val="003A50DE"/>
    <w:rsid w:val="003A5CA2"/>
    <w:rsid w:val="003A6194"/>
    <w:rsid w:val="003B054B"/>
    <w:rsid w:val="003B07BF"/>
    <w:rsid w:val="003B15A6"/>
    <w:rsid w:val="003B201F"/>
    <w:rsid w:val="003B47E5"/>
    <w:rsid w:val="003B6F29"/>
    <w:rsid w:val="003B708C"/>
    <w:rsid w:val="003C0268"/>
    <w:rsid w:val="003C0E22"/>
    <w:rsid w:val="003C1771"/>
    <w:rsid w:val="003C1959"/>
    <w:rsid w:val="003C2823"/>
    <w:rsid w:val="003C2D41"/>
    <w:rsid w:val="003C31F7"/>
    <w:rsid w:val="003C3D99"/>
    <w:rsid w:val="003C3E2F"/>
    <w:rsid w:val="003C4D55"/>
    <w:rsid w:val="003C4FE6"/>
    <w:rsid w:val="003C5644"/>
    <w:rsid w:val="003C6455"/>
    <w:rsid w:val="003C6D81"/>
    <w:rsid w:val="003C795A"/>
    <w:rsid w:val="003D0E35"/>
    <w:rsid w:val="003D1789"/>
    <w:rsid w:val="003D18D3"/>
    <w:rsid w:val="003D2861"/>
    <w:rsid w:val="003D51ED"/>
    <w:rsid w:val="003D66E5"/>
    <w:rsid w:val="003E0DFA"/>
    <w:rsid w:val="003E0EF9"/>
    <w:rsid w:val="003E2331"/>
    <w:rsid w:val="003E2825"/>
    <w:rsid w:val="003E285A"/>
    <w:rsid w:val="003E2D38"/>
    <w:rsid w:val="003E401D"/>
    <w:rsid w:val="003E4203"/>
    <w:rsid w:val="003E43DE"/>
    <w:rsid w:val="003E4FFA"/>
    <w:rsid w:val="003E5751"/>
    <w:rsid w:val="003E6265"/>
    <w:rsid w:val="003E6738"/>
    <w:rsid w:val="003E735B"/>
    <w:rsid w:val="003E75DF"/>
    <w:rsid w:val="003F0E74"/>
    <w:rsid w:val="003F1F15"/>
    <w:rsid w:val="003F2C7C"/>
    <w:rsid w:val="003F4542"/>
    <w:rsid w:val="003F4C73"/>
    <w:rsid w:val="003F5473"/>
    <w:rsid w:val="003F6892"/>
    <w:rsid w:val="003F7D54"/>
    <w:rsid w:val="003F7FD6"/>
    <w:rsid w:val="00400E88"/>
    <w:rsid w:val="00401260"/>
    <w:rsid w:val="00401D9E"/>
    <w:rsid w:val="00403B01"/>
    <w:rsid w:val="00403C65"/>
    <w:rsid w:val="00404C0B"/>
    <w:rsid w:val="004057F6"/>
    <w:rsid w:val="0040628E"/>
    <w:rsid w:val="004062BC"/>
    <w:rsid w:val="00406684"/>
    <w:rsid w:val="00407604"/>
    <w:rsid w:val="004102C1"/>
    <w:rsid w:val="00410F99"/>
    <w:rsid w:val="0041228F"/>
    <w:rsid w:val="0041399C"/>
    <w:rsid w:val="00416680"/>
    <w:rsid w:val="0041691E"/>
    <w:rsid w:val="00417458"/>
    <w:rsid w:val="00417715"/>
    <w:rsid w:val="00417BFB"/>
    <w:rsid w:val="00417FCD"/>
    <w:rsid w:val="004216A3"/>
    <w:rsid w:val="0042175C"/>
    <w:rsid w:val="00421A24"/>
    <w:rsid w:val="0042281A"/>
    <w:rsid w:val="0042523A"/>
    <w:rsid w:val="00426E91"/>
    <w:rsid w:val="00427048"/>
    <w:rsid w:val="004304BB"/>
    <w:rsid w:val="00430CFE"/>
    <w:rsid w:val="00433BAB"/>
    <w:rsid w:val="00434F6C"/>
    <w:rsid w:val="00435075"/>
    <w:rsid w:val="00435B8F"/>
    <w:rsid w:val="00435DCF"/>
    <w:rsid w:val="00436584"/>
    <w:rsid w:val="004377D3"/>
    <w:rsid w:val="00440BAF"/>
    <w:rsid w:val="004424C8"/>
    <w:rsid w:val="0044389E"/>
    <w:rsid w:val="004438AB"/>
    <w:rsid w:val="00444BE2"/>
    <w:rsid w:val="0044508C"/>
    <w:rsid w:val="004460CB"/>
    <w:rsid w:val="00446121"/>
    <w:rsid w:val="00446E58"/>
    <w:rsid w:val="00447EAE"/>
    <w:rsid w:val="004505E0"/>
    <w:rsid w:val="00450734"/>
    <w:rsid w:val="00450C62"/>
    <w:rsid w:val="0045349B"/>
    <w:rsid w:val="00453EB7"/>
    <w:rsid w:val="004553EA"/>
    <w:rsid w:val="0045683E"/>
    <w:rsid w:val="00457A8B"/>
    <w:rsid w:val="0046149F"/>
    <w:rsid w:val="00461D76"/>
    <w:rsid w:val="004626EF"/>
    <w:rsid w:val="0046365F"/>
    <w:rsid w:val="00465E10"/>
    <w:rsid w:val="00466589"/>
    <w:rsid w:val="00467B64"/>
    <w:rsid w:val="00471672"/>
    <w:rsid w:val="004721C1"/>
    <w:rsid w:val="004726DF"/>
    <w:rsid w:val="00472F7F"/>
    <w:rsid w:val="0047485B"/>
    <w:rsid w:val="004756B8"/>
    <w:rsid w:val="004765F0"/>
    <w:rsid w:val="00476E8E"/>
    <w:rsid w:val="00477903"/>
    <w:rsid w:val="004779E3"/>
    <w:rsid w:val="00480192"/>
    <w:rsid w:val="00481ACC"/>
    <w:rsid w:val="00481E7D"/>
    <w:rsid w:val="004824D2"/>
    <w:rsid w:val="00482B38"/>
    <w:rsid w:val="0048374A"/>
    <w:rsid w:val="00484AEF"/>
    <w:rsid w:val="004853CF"/>
    <w:rsid w:val="00486552"/>
    <w:rsid w:val="00486F89"/>
    <w:rsid w:val="004870B1"/>
    <w:rsid w:val="004873A5"/>
    <w:rsid w:val="00490112"/>
    <w:rsid w:val="0049046C"/>
    <w:rsid w:val="00490913"/>
    <w:rsid w:val="00491BC3"/>
    <w:rsid w:val="004928A5"/>
    <w:rsid w:val="00492B90"/>
    <w:rsid w:val="00493105"/>
    <w:rsid w:val="00493826"/>
    <w:rsid w:val="00494E93"/>
    <w:rsid w:val="00497425"/>
    <w:rsid w:val="0049785F"/>
    <w:rsid w:val="00497A71"/>
    <w:rsid w:val="004A0C1A"/>
    <w:rsid w:val="004A126B"/>
    <w:rsid w:val="004A3540"/>
    <w:rsid w:val="004A5B5B"/>
    <w:rsid w:val="004A5BDF"/>
    <w:rsid w:val="004A5DAA"/>
    <w:rsid w:val="004A61A5"/>
    <w:rsid w:val="004A659A"/>
    <w:rsid w:val="004A7B41"/>
    <w:rsid w:val="004A7E44"/>
    <w:rsid w:val="004B0955"/>
    <w:rsid w:val="004B35F6"/>
    <w:rsid w:val="004B38C0"/>
    <w:rsid w:val="004B711B"/>
    <w:rsid w:val="004C299F"/>
    <w:rsid w:val="004C4598"/>
    <w:rsid w:val="004C4DF6"/>
    <w:rsid w:val="004C53E0"/>
    <w:rsid w:val="004C55B1"/>
    <w:rsid w:val="004C58D4"/>
    <w:rsid w:val="004C60A7"/>
    <w:rsid w:val="004C6867"/>
    <w:rsid w:val="004D1F4B"/>
    <w:rsid w:val="004D3BA7"/>
    <w:rsid w:val="004D4998"/>
    <w:rsid w:val="004D51CD"/>
    <w:rsid w:val="004D6750"/>
    <w:rsid w:val="004D77C4"/>
    <w:rsid w:val="004D7F5A"/>
    <w:rsid w:val="004E044B"/>
    <w:rsid w:val="004E091E"/>
    <w:rsid w:val="004E2287"/>
    <w:rsid w:val="004E343B"/>
    <w:rsid w:val="004E40AE"/>
    <w:rsid w:val="004E428B"/>
    <w:rsid w:val="004E46C4"/>
    <w:rsid w:val="004E4A49"/>
    <w:rsid w:val="004E6B86"/>
    <w:rsid w:val="004E7962"/>
    <w:rsid w:val="004F107B"/>
    <w:rsid w:val="004F1B97"/>
    <w:rsid w:val="004F2383"/>
    <w:rsid w:val="004F3263"/>
    <w:rsid w:val="004F4097"/>
    <w:rsid w:val="004F5288"/>
    <w:rsid w:val="004F6324"/>
    <w:rsid w:val="004F6F80"/>
    <w:rsid w:val="004F7707"/>
    <w:rsid w:val="005002AA"/>
    <w:rsid w:val="00500FB2"/>
    <w:rsid w:val="0050109F"/>
    <w:rsid w:val="005017A6"/>
    <w:rsid w:val="0050203F"/>
    <w:rsid w:val="00502BDB"/>
    <w:rsid w:val="00503054"/>
    <w:rsid w:val="00503256"/>
    <w:rsid w:val="00503494"/>
    <w:rsid w:val="005057F2"/>
    <w:rsid w:val="00505937"/>
    <w:rsid w:val="00506C00"/>
    <w:rsid w:val="00507A21"/>
    <w:rsid w:val="00507AA4"/>
    <w:rsid w:val="00507C01"/>
    <w:rsid w:val="00510228"/>
    <w:rsid w:val="005105C3"/>
    <w:rsid w:val="0051079D"/>
    <w:rsid w:val="00511DA9"/>
    <w:rsid w:val="005125B1"/>
    <w:rsid w:val="005129CB"/>
    <w:rsid w:val="00513C6D"/>
    <w:rsid w:val="00514418"/>
    <w:rsid w:val="00514F24"/>
    <w:rsid w:val="0051534E"/>
    <w:rsid w:val="0051669A"/>
    <w:rsid w:val="005166FD"/>
    <w:rsid w:val="00517B77"/>
    <w:rsid w:val="00521DF1"/>
    <w:rsid w:val="00522CC9"/>
    <w:rsid w:val="00522D16"/>
    <w:rsid w:val="005231AD"/>
    <w:rsid w:val="005240AF"/>
    <w:rsid w:val="00524975"/>
    <w:rsid w:val="00524A0D"/>
    <w:rsid w:val="00525082"/>
    <w:rsid w:val="00526610"/>
    <w:rsid w:val="00527003"/>
    <w:rsid w:val="00531735"/>
    <w:rsid w:val="00531C81"/>
    <w:rsid w:val="005337DF"/>
    <w:rsid w:val="005337F9"/>
    <w:rsid w:val="00534E79"/>
    <w:rsid w:val="00536DA2"/>
    <w:rsid w:val="0053710F"/>
    <w:rsid w:val="00537EB4"/>
    <w:rsid w:val="005407E5"/>
    <w:rsid w:val="005409D5"/>
    <w:rsid w:val="00541C14"/>
    <w:rsid w:val="005422A1"/>
    <w:rsid w:val="00542C18"/>
    <w:rsid w:val="00544691"/>
    <w:rsid w:val="00544CA0"/>
    <w:rsid w:val="00545AC6"/>
    <w:rsid w:val="00545D09"/>
    <w:rsid w:val="005460CA"/>
    <w:rsid w:val="005463BE"/>
    <w:rsid w:val="00546508"/>
    <w:rsid w:val="00547F4D"/>
    <w:rsid w:val="005500B7"/>
    <w:rsid w:val="005502C7"/>
    <w:rsid w:val="00551846"/>
    <w:rsid w:val="005520FA"/>
    <w:rsid w:val="00552ED8"/>
    <w:rsid w:val="00553E37"/>
    <w:rsid w:val="00554AF4"/>
    <w:rsid w:val="00555F67"/>
    <w:rsid w:val="00557056"/>
    <w:rsid w:val="00560A16"/>
    <w:rsid w:val="00560BCD"/>
    <w:rsid w:val="00561307"/>
    <w:rsid w:val="00561C49"/>
    <w:rsid w:val="0056233C"/>
    <w:rsid w:val="005642DD"/>
    <w:rsid w:val="00564657"/>
    <w:rsid w:val="00566E31"/>
    <w:rsid w:val="005672BE"/>
    <w:rsid w:val="00567FCB"/>
    <w:rsid w:val="005702F6"/>
    <w:rsid w:val="0057083F"/>
    <w:rsid w:val="00571E58"/>
    <w:rsid w:val="0057201C"/>
    <w:rsid w:val="00572132"/>
    <w:rsid w:val="005729F2"/>
    <w:rsid w:val="00573D58"/>
    <w:rsid w:val="00574172"/>
    <w:rsid w:val="005767A3"/>
    <w:rsid w:val="00576E08"/>
    <w:rsid w:val="005774BA"/>
    <w:rsid w:val="00577BFE"/>
    <w:rsid w:val="00580015"/>
    <w:rsid w:val="005803D5"/>
    <w:rsid w:val="00582C24"/>
    <w:rsid w:val="00582D75"/>
    <w:rsid w:val="00584A6A"/>
    <w:rsid w:val="005877A2"/>
    <w:rsid w:val="00587D76"/>
    <w:rsid w:val="005901D6"/>
    <w:rsid w:val="00590B69"/>
    <w:rsid w:val="00592208"/>
    <w:rsid w:val="00592391"/>
    <w:rsid w:val="0059393E"/>
    <w:rsid w:val="00593C1B"/>
    <w:rsid w:val="00594F1F"/>
    <w:rsid w:val="00595151"/>
    <w:rsid w:val="005951F7"/>
    <w:rsid w:val="0059654C"/>
    <w:rsid w:val="005973EB"/>
    <w:rsid w:val="00597857"/>
    <w:rsid w:val="005978E5"/>
    <w:rsid w:val="00597D79"/>
    <w:rsid w:val="005A0171"/>
    <w:rsid w:val="005A1955"/>
    <w:rsid w:val="005A1EE3"/>
    <w:rsid w:val="005A234F"/>
    <w:rsid w:val="005A3C5D"/>
    <w:rsid w:val="005A57CD"/>
    <w:rsid w:val="005A600B"/>
    <w:rsid w:val="005A600E"/>
    <w:rsid w:val="005A770C"/>
    <w:rsid w:val="005B03CA"/>
    <w:rsid w:val="005B13C8"/>
    <w:rsid w:val="005B15CB"/>
    <w:rsid w:val="005B22C1"/>
    <w:rsid w:val="005B26CE"/>
    <w:rsid w:val="005B32A8"/>
    <w:rsid w:val="005B53CA"/>
    <w:rsid w:val="005B662A"/>
    <w:rsid w:val="005B7DEB"/>
    <w:rsid w:val="005C2FC1"/>
    <w:rsid w:val="005C3204"/>
    <w:rsid w:val="005C6543"/>
    <w:rsid w:val="005C6B67"/>
    <w:rsid w:val="005C7276"/>
    <w:rsid w:val="005C765A"/>
    <w:rsid w:val="005D15B3"/>
    <w:rsid w:val="005D1983"/>
    <w:rsid w:val="005D29F0"/>
    <w:rsid w:val="005D3B79"/>
    <w:rsid w:val="005D4C14"/>
    <w:rsid w:val="005D54E8"/>
    <w:rsid w:val="005D56D4"/>
    <w:rsid w:val="005D695F"/>
    <w:rsid w:val="005D7344"/>
    <w:rsid w:val="005D76F6"/>
    <w:rsid w:val="005E1DDC"/>
    <w:rsid w:val="005E36C3"/>
    <w:rsid w:val="005E544B"/>
    <w:rsid w:val="005E7BBE"/>
    <w:rsid w:val="005F1037"/>
    <w:rsid w:val="005F1711"/>
    <w:rsid w:val="005F305F"/>
    <w:rsid w:val="005F345C"/>
    <w:rsid w:val="005F5465"/>
    <w:rsid w:val="005F653C"/>
    <w:rsid w:val="005F7AD9"/>
    <w:rsid w:val="005F7C7D"/>
    <w:rsid w:val="005F7CA2"/>
    <w:rsid w:val="006020AE"/>
    <w:rsid w:val="00602EBE"/>
    <w:rsid w:val="0060382F"/>
    <w:rsid w:val="006051DD"/>
    <w:rsid w:val="00606051"/>
    <w:rsid w:val="00606067"/>
    <w:rsid w:val="00607BEA"/>
    <w:rsid w:val="00607DF4"/>
    <w:rsid w:val="00610821"/>
    <w:rsid w:val="00611864"/>
    <w:rsid w:val="006145BD"/>
    <w:rsid w:val="00615835"/>
    <w:rsid w:val="006166C1"/>
    <w:rsid w:val="00617DF7"/>
    <w:rsid w:val="0062194D"/>
    <w:rsid w:val="00623B4A"/>
    <w:rsid w:val="00624A8C"/>
    <w:rsid w:val="00624FE0"/>
    <w:rsid w:val="00626548"/>
    <w:rsid w:val="00626B37"/>
    <w:rsid w:val="00631199"/>
    <w:rsid w:val="0063135D"/>
    <w:rsid w:val="006314C5"/>
    <w:rsid w:val="00631528"/>
    <w:rsid w:val="006316E9"/>
    <w:rsid w:val="00632479"/>
    <w:rsid w:val="00632FE2"/>
    <w:rsid w:val="006333C0"/>
    <w:rsid w:val="0063343A"/>
    <w:rsid w:val="00633A5E"/>
    <w:rsid w:val="00634231"/>
    <w:rsid w:val="006349BB"/>
    <w:rsid w:val="00634A23"/>
    <w:rsid w:val="0063527F"/>
    <w:rsid w:val="00635534"/>
    <w:rsid w:val="00635928"/>
    <w:rsid w:val="00636092"/>
    <w:rsid w:val="00637BC6"/>
    <w:rsid w:val="006424BD"/>
    <w:rsid w:val="00642695"/>
    <w:rsid w:val="006427D2"/>
    <w:rsid w:val="00643434"/>
    <w:rsid w:val="00643554"/>
    <w:rsid w:val="00643952"/>
    <w:rsid w:val="006452A9"/>
    <w:rsid w:val="00646000"/>
    <w:rsid w:val="00646089"/>
    <w:rsid w:val="00647E8B"/>
    <w:rsid w:val="0065021E"/>
    <w:rsid w:val="00650609"/>
    <w:rsid w:val="00651732"/>
    <w:rsid w:val="00651AF7"/>
    <w:rsid w:val="0065232A"/>
    <w:rsid w:val="00652D24"/>
    <w:rsid w:val="00653AB1"/>
    <w:rsid w:val="00655608"/>
    <w:rsid w:val="00656381"/>
    <w:rsid w:val="00656E5B"/>
    <w:rsid w:val="0065786B"/>
    <w:rsid w:val="00660BAA"/>
    <w:rsid w:val="00660D63"/>
    <w:rsid w:val="00661320"/>
    <w:rsid w:val="00661C52"/>
    <w:rsid w:val="00662090"/>
    <w:rsid w:val="00662258"/>
    <w:rsid w:val="00662E53"/>
    <w:rsid w:val="00663146"/>
    <w:rsid w:val="0066338F"/>
    <w:rsid w:val="00663B54"/>
    <w:rsid w:val="00663DAB"/>
    <w:rsid w:val="00664140"/>
    <w:rsid w:val="00665E7D"/>
    <w:rsid w:val="00666B11"/>
    <w:rsid w:val="00672CBA"/>
    <w:rsid w:val="00672D0A"/>
    <w:rsid w:val="0067350A"/>
    <w:rsid w:val="00673DDC"/>
    <w:rsid w:val="006749C8"/>
    <w:rsid w:val="0067512C"/>
    <w:rsid w:val="006761E5"/>
    <w:rsid w:val="0067624A"/>
    <w:rsid w:val="006762AF"/>
    <w:rsid w:val="0067713B"/>
    <w:rsid w:val="0068096D"/>
    <w:rsid w:val="00680ED0"/>
    <w:rsid w:val="00681298"/>
    <w:rsid w:val="00681C66"/>
    <w:rsid w:val="006826AE"/>
    <w:rsid w:val="006827A0"/>
    <w:rsid w:val="006831BF"/>
    <w:rsid w:val="00683AAA"/>
    <w:rsid w:val="006846C5"/>
    <w:rsid w:val="0068623F"/>
    <w:rsid w:val="00686246"/>
    <w:rsid w:val="00687112"/>
    <w:rsid w:val="006873AD"/>
    <w:rsid w:val="00687AE3"/>
    <w:rsid w:val="006904A7"/>
    <w:rsid w:val="00690E8C"/>
    <w:rsid w:val="00691465"/>
    <w:rsid w:val="006928A1"/>
    <w:rsid w:val="00692C6F"/>
    <w:rsid w:val="0069357D"/>
    <w:rsid w:val="006963CB"/>
    <w:rsid w:val="00696410"/>
    <w:rsid w:val="006964EE"/>
    <w:rsid w:val="00697861"/>
    <w:rsid w:val="006A041A"/>
    <w:rsid w:val="006A2462"/>
    <w:rsid w:val="006A2849"/>
    <w:rsid w:val="006A2918"/>
    <w:rsid w:val="006A3534"/>
    <w:rsid w:val="006A3A4C"/>
    <w:rsid w:val="006A47B1"/>
    <w:rsid w:val="006A6EA3"/>
    <w:rsid w:val="006A744A"/>
    <w:rsid w:val="006B031B"/>
    <w:rsid w:val="006B41E1"/>
    <w:rsid w:val="006B5E6F"/>
    <w:rsid w:val="006B7383"/>
    <w:rsid w:val="006B7BEE"/>
    <w:rsid w:val="006B7DD0"/>
    <w:rsid w:val="006C003E"/>
    <w:rsid w:val="006C015C"/>
    <w:rsid w:val="006C10D7"/>
    <w:rsid w:val="006C1E54"/>
    <w:rsid w:val="006C2273"/>
    <w:rsid w:val="006C298B"/>
    <w:rsid w:val="006C2B31"/>
    <w:rsid w:val="006C2FAE"/>
    <w:rsid w:val="006C3D02"/>
    <w:rsid w:val="006C3FEF"/>
    <w:rsid w:val="006C4812"/>
    <w:rsid w:val="006C4DD2"/>
    <w:rsid w:val="006C6827"/>
    <w:rsid w:val="006C6ADB"/>
    <w:rsid w:val="006C6E8B"/>
    <w:rsid w:val="006D3517"/>
    <w:rsid w:val="006D4843"/>
    <w:rsid w:val="006D5340"/>
    <w:rsid w:val="006D5F89"/>
    <w:rsid w:val="006D70E3"/>
    <w:rsid w:val="006E0900"/>
    <w:rsid w:val="006E0CF6"/>
    <w:rsid w:val="006E0D1C"/>
    <w:rsid w:val="006E2278"/>
    <w:rsid w:val="006E2B8E"/>
    <w:rsid w:val="006E3969"/>
    <w:rsid w:val="006E526B"/>
    <w:rsid w:val="006F0421"/>
    <w:rsid w:val="006F20C9"/>
    <w:rsid w:val="006F35DD"/>
    <w:rsid w:val="006F3C65"/>
    <w:rsid w:val="006F45F0"/>
    <w:rsid w:val="006F673F"/>
    <w:rsid w:val="006F6B8C"/>
    <w:rsid w:val="006F6D8C"/>
    <w:rsid w:val="007002C0"/>
    <w:rsid w:val="00700BF1"/>
    <w:rsid w:val="00700E21"/>
    <w:rsid w:val="0070122F"/>
    <w:rsid w:val="007024A8"/>
    <w:rsid w:val="00702E46"/>
    <w:rsid w:val="007037E1"/>
    <w:rsid w:val="00704B0C"/>
    <w:rsid w:val="00704F51"/>
    <w:rsid w:val="007053D2"/>
    <w:rsid w:val="00705A6E"/>
    <w:rsid w:val="00706D49"/>
    <w:rsid w:val="00707ED0"/>
    <w:rsid w:val="00707F37"/>
    <w:rsid w:val="00710B64"/>
    <w:rsid w:val="00712EB9"/>
    <w:rsid w:val="0071366E"/>
    <w:rsid w:val="00714B2B"/>
    <w:rsid w:val="00714E08"/>
    <w:rsid w:val="00714E27"/>
    <w:rsid w:val="00717413"/>
    <w:rsid w:val="00717753"/>
    <w:rsid w:val="00720624"/>
    <w:rsid w:val="007208B0"/>
    <w:rsid w:val="00721257"/>
    <w:rsid w:val="007225DD"/>
    <w:rsid w:val="00723BFB"/>
    <w:rsid w:val="007243B7"/>
    <w:rsid w:val="00724636"/>
    <w:rsid w:val="0072486B"/>
    <w:rsid w:val="00725497"/>
    <w:rsid w:val="00725718"/>
    <w:rsid w:val="007262F3"/>
    <w:rsid w:val="00726AC2"/>
    <w:rsid w:val="00727A75"/>
    <w:rsid w:val="00730F3C"/>
    <w:rsid w:val="007317C6"/>
    <w:rsid w:val="007328C6"/>
    <w:rsid w:val="00732C6E"/>
    <w:rsid w:val="007347CD"/>
    <w:rsid w:val="00734EC1"/>
    <w:rsid w:val="00735995"/>
    <w:rsid w:val="00735BC4"/>
    <w:rsid w:val="00737583"/>
    <w:rsid w:val="007376E4"/>
    <w:rsid w:val="00737ED5"/>
    <w:rsid w:val="00741546"/>
    <w:rsid w:val="00742E7C"/>
    <w:rsid w:val="007448D0"/>
    <w:rsid w:val="00744FF0"/>
    <w:rsid w:val="00745DCA"/>
    <w:rsid w:val="00747D10"/>
    <w:rsid w:val="007514EC"/>
    <w:rsid w:val="00751968"/>
    <w:rsid w:val="007524C5"/>
    <w:rsid w:val="00752DF0"/>
    <w:rsid w:val="0075420B"/>
    <w:rsid w:val="00754A85"/>
    <w:rsid w:val="0075651C"/>
    <w:rsid w:val="00756DFF"/>
    <w:rsid w:val="00757679"/>
    <w:rsid w:val="00760818"/>
    <w:rsid w:val="007616D8"/>
    <w:rsid w:val="00761F15"/>
    <w:rsid w:val="0076481A"/>
    <w:rsid w:val="0076500E"/>
    <w:rsid w:val="007670A0"/>
    <w:rsid w:val="00770469"/>
    <w:rsid w:val="007751DE"/>
    <w:rsid w:val="00776665"/>
    <w:rsid w:val="00777CA7"/>
    <w:rsid w:val="00777FF9"/>
    <w:rsid w:val="00781231"/>
    <w:rsid w:val="00782441"/>
    <w:rsid w:val="00782B16"/>
    <w:rsid w:val="007837F8"/>
    <w:rsid w:val="007848C9"/>
    <w:rsid w:val="00784CFD"/>
    <w:rsid w:val="00786694"/>
    <w:rsid w:val="007869E4"/>
    <w:rsid w:val="0078757D"/>
    <w:rsid w:val="0078795B"/>
    <w:rsid w:val="00790BFA"/>
    <w:rsid w:val="00791651"/>
    <w:rsid w:val="00792561"/>
    <w:rsid w:val="0079489F"/>
    <w:rsid w:val="007951BE"/>
    <w:rsid w:val="00795DDE"/>
    <w:rsid w:val="00797872"/>
    <w:rsid w:val="00797EE8"/>
    <w:rsid w:val="007A0238"/>
    <w:rsid w:val="007A03A7"/>
    <w:rsid w:val="007A3D35"/>
    <w:rsid w:val="007A4CF0"/>
    <w:rsid w:val="007A5662"/>
    <w:rsid w:val="007A5746"/>
    <w:rsid w:val="007A631E"/>
    <w:rsid w:val="007A78AE"/>
    <w:rsid w:val="007B0891"/>
    <w:rsid w:val="007B11CF"/>
    <w:rsid w:val="007B1205"/>
    <w:rsid w:val="007B428D"/>
    <w:rsid w:val="007B48DB"/>
    <w:rsid w:val="007B52AA"/>
    <w:rsid w:val="007B5E1F"/>
    <w:rsid w:val="007B6244"/>
    <w:rsid w:val="007B62A3"/>
    <w:rsid w:val="007B6724"/>
    <w:rsid w:val="007B6B56"/>
    <w:rsid w:val="007B6BA6"/>
    <w:rsid w:val="007C0588"/>
    <w:rsid w:val="007C0E4C"/>
    <w:rsid w:val="007C1880"/>
    <w:rsid w:val="007C19EF"/>
    <w:rsid w:val="007C216E"/>
    <w:rsid w:val="007C39E1"/>
    <w:rsid w:val="007C3DFA"/>
    <w:rsid w:val="007C4036"/>
    <w:rsid w:val="007C4160"/>
    <w:rsid w:val="007C453E"/>
    <w:rsid w:val="007C4563"/>
    <w:rsid w:val="007C4AEC"/>
    <w:rsid w:val="007C533B"/>
    <w:rsid w:val="007D066A"/>
    <w:rsid w:val="007D11D6"/>
    <w:rsid w:val="007D21F1"/>
    <w:rsid w:val="007D2B36"/>
    <w:rsid w:val="007D31FF"/>
    <w:rsid w:val="007D4019"/>
    <w:rsid w:val="007D4CAE"/>
    <w:rsid w:val="007D6198"/>
    <w:rsid w:val="007D77F7"/>
    <w:rsid w:val="007D7E35"/>
    <w:rsid w:val="007E025B"/>
    <w:rsid w:val="007E1901"/>
    <w:rsid w:val="007E23CC"/>
    <w:rsid w:val="007E2F4C"/>
    <w:rsid w:val="007E5938"/>
    <w:rsid w:val="007E5D12"/>
    <w:rsid w:val="007E6C9E"/>
    <w:rsid w:val="007E780E"/>
    <w:rsid w:val="007F095C"/>
    <w:rsid w:val="007F1615"/>
    <w:rsid w:val="007F2FD2"/>
    <w:rsid w:val="007F64EC"/>
    <w:rsid w:val="007F7BE7"/>
    <w:rsid w:val="007F7FF8"/>
    <w:rsid w:val="00800986"/>
    <w:rsid w:val="008029F0"/>
    <w:rsid w:val="00804941"/>
    <w:rsid w:val="00804A21"/>
    <w:rsid w:val="008052A4"/>
    <w:rsid w:val="008052BB"/>
    <w:rsid w:val="00807009"/>
    <w:rsid w:val="00811AF1"/>
    <w:rsid w:val="00812D26"/>
    <w:rsid w:val="00813212"/>
    <w:rsid w:val="0081402D"/>
    <w:rsid w:val="008141E5"/>
    <w:rsid w:val="00814255"/>
    <w:rsid w:val="00814FE3"/>
    <w:rsid w:val="00815392"/>
    <w:rsid w:val="00815A44"/>
    <w:rsid w:val="008162B4"/>
    <w:rsid w:val="008166DC"/>
    <w:rsid w:val="008227DB"/>
    <w:rsid w:val="00823067"/>
    <w:rsid w:val="0082331D"/>
    <w:rsid w:val="00824A3E"/>
    <w:rsid w:val="00824CB1"/>
    <w:rsid w:val="008253F1"/>
    <w:rsid w:val="0082755C"/>
    <w:rsid w:val="00833221"/>
    <w:rsid w:val="008332E3"/>
    <w:rsid w:val="00834550"/>
    <w:rsid w:val="00835A66"/>
    <w:rsid w:val="00836234"/>
    <w:rsid w:val="00836D79"/>
    <w:rsid w:val="00837AFF"/>
    <w:rsid w:val="0084083F"/>
    <w:rsid w:val="00840B83"/>
    <w:rsid w:val="008414E5"/>
    <w:rsid w:val="008420C6"/>
    <w:rsid w:val="00845912"/>
    <w:rsid w:val="00845C39"/>
    <w:rsid w:val="00845C4C"/>
    <w:rsid w:val="008464C5"/>
    <w:rsid w:val="00846907"/>
    <w:rsid w:val="00846978"/>
    <w:rsid w:val="0085003E"/>
    <w:rsid w:val="0085037C"/>
    <w:rsid w:val="008518B6"/>
    <w:rsid w:val="00852E26"/>
    <w:rsid w:val="008560C3"/>
    <w:rsid w:val="008563FC"/>
    <w:rsid w:val="0085669A"/>
    <w:rsid w:val="00856D44"/>
    <w:rsid w:val="00857325"/>
    <w:rsid w:val="0085741B"/>
    <w:rsid w:val="00863FED"/>
    <w:rsid w:val="008664EB"/>
    <w:rsid w:val="0086742E"/>
    <w:rsid w:val="00871907"/>
    <w:rsid w:val="008719EC"/>
    <w:rsid w:val="00871B71"/>
    <w:rsid w:val="00872B13"/>
    <w:rsid w:val="00872B92"/>
    <w:rsid w:val="00872EE8"/>
    <w:rsid w:val="00872FB9"/>
    <w:rsid w:val="00873589"/>
    <w:rsid w:val="008747F2"/>
    <w:rsid w:val="00875037"/>
    <w:rsid w:val="0087531D"/>
    <w:rsid w:val="00875C25"/>
    <w:rsid w:val="008760F2"/>
    <w:rsid w:val="0088016D"/>
    <w:rsid w:val="00880202"/>
    <w:rsid w:val="008806CB"/>
    <w:rsid w:val="00880785"/>
    <w:rsid w:val="00880AB9"/>
    <w:rsid w:val="0088208F"/>
    <w:rsid w:val="0088457B"/>
    <w:rsid w:val="00884DDC"/>
    <w:rsid w:val="00886A86"/>
    <w:rsid w:val="008870D2"/>
    <w:rsid w:val="00894749"/>
    <w:rsid w:val="00894EE0"/>
    <w:rsid w:val="00896268"/>
    <w:rsid w:val="008974E7"/>
    <w:rsid w:val="00897CEA"/>
    <w:rsid w:val="008A0FF6"/>
    <w:rsid w:val="008A1525"/>
    <w:rsid w:val="008A2BC9"/>
    <w:rsid w:val="008A34B6"/>
    <w:rsid w:val="008A449B"/>
    <w:rsid w:val="008A44BF"/>
    <w:rsid w:val="008A4741"/>
    <w:rsid w:val="008A4A80"/>
    <w:rsid w:val="008A5C76"/>
    <w:rsid w:val="008A5F86"/>
    <w:rsid w:val="008A6DB0"/>
    <w:rsid w:val="008A79A1"/>
    <w:rsid w:val="008A7C3E"/>
    <w:rsid w:val="008B02A6"/>
    <w:rsid w:val="008B0873"/>
    <w:rsid w:val="008B11A4"/>
    <w:rsid w:val="008B1274"/>
    <w:rsid w:val="008B29FA"/>
    <w:rsid w:val="008B2EAC"/>
    <w:rsid w:val="008B3403"/>
    <w:rsid w:val="008B40E1"/>
    <w:rsid w:val="008B663D"/>
    <w:rsid w:val="008B7543"/>
    <w:rsid w:val="008B7E78"/>
    <w:rsid w:val="008B7F11"/>
    <w:rsid w:val="008C16DC"/>
    <w:rsid w:val="008C20CC"/>
    <w:rsid w:val="008C234E"/>
    <w:rsid w:val="008C3065"/>
    <w:rsid w:val="008C59D2"/>
    <w:rsid w:val="008C5D54"/>
    <w:rsid w:val="008C6781"/>
    <w:rsid w:val="008C6A0A"/>
    <w:rsid w:val="008C6BC8"/>
    <w:rsid w:val="008D14F6"/>
    <w:rsid w:val="008D2742"/>
    <w:rsid w:val="008D3F8E"/>
    <w:rsid w:val="008D4BCD"/>
    <w:rsid w:val="008D5B00"/>
    <w:rsid w:val="008D5CAC"/>
    <w:rsid w:val="008D6142"/>
    <w:rsid w:val="008D63E4"/>
    <w:rsid w:val="008D6449"/>
    <w:rsid w:val="008D7C7C"/>
    <w:rsid w:val="008D7FB8"/>
    <w:rsid w:val="008E09A8"/>
    <w:rsid w:val="008E2C04"/>
    <w:rsid w:val="008E3425"/>
    <w:rsid w:val="008E3753"/>
    <w:rsid w:val="008E499B"/>
    <w:rsid w:val="008E4D49"/>
    <w:rsid w:val="008E6791"/>
    <w:rsid w:val="008E76DF"/>
    <w:rsid w:val="008F0ADD"/>
    <w:rsid w:val="008F0D71"/>
    <w:rsid w:val="008F100B"/>
    <w:rsid w:val="008F29A5"/>
    <w:rsid w:val="008F2E47"/>
    <w:rsid w:val="008F3DC4"/>
    <w:rsid w:val="008F4C7B"/>
    <w:rsid w:val="008F6593"/>
    <w:rsid w:val="008F7017"/>
    <w:rsid w:val="00900070"/>
    <w:rsid w:val="0090162C"/>
    <w:rsid w:val="0090321B"/>
    <w:rsid w:val="00903576"/>
    <w:rsid w:val="00904101"/>
    <w:rsid w:val="009074FE"/>
    <w:rsid w:val="009101A5"/>
    <w:rsid w:val="00911776"/>
    <w:rsid w:val="00911A9A"/>
    <w:rsid w:val="00912BC2"/>
    <w:rsid w:val="00912C6C"/>
    <w:rsid w:val="0091333C"/>
    <w:rsid w:val="009136AA"/>
    <w:rsid w:val="00913D98"/>
    <w:rsid w:val="00913E46"/>
    <w:rsid w:val="009145C8"/>
    <w:rsid w:val="00914E98"/>
    <w:rsid w:val="00921712"/>
    <w:rsid w:val="00923C42"/>
    <w:rsid w:val="0092646A"/>
    <w:rsid w:val="00926C63"/>
    <w:rsid w:val="00926E28"/>
    <w:rsid w:val="00927A17"/>
    <w:rsid w:val="009308C5"/>
    <w:rsid w:val="00932D3F"/>
    <w:rsid w:val="009331AE"/>
    <w:rsid w:val="009355CE"/>
    <w:rsid w:val="009373CC"/>
    <w:rsid w:val="00941C94"/>
    <w:rsid w:val="0094341C"/>
    <w:rsid w:val="00944DBB"/>
    <w:rsid w:val="00944DCC"/>
    <w:rsid w:val="00944E10"/>
    <w:rsid w:val="009458DC"/>
    <w:rsid w:val="00945D25"/>
    <w:rsid w:val="0094683F"/>
    <w:rsid w:val="00947CD1"/>
    <w:rsid w:val="00950568"/>
    <w:rsid w:val="009523D9"/>
    <w:rsid w:val="00952B7C"/>
    <w:rsid w:val="00952D4C"/>
    <w:rsid w:val="00954349"/>
    <w:rsid w:val="009544D4"/>
    <w:rsid w:val="009548DB"/>
    <w:rsid w:val="00954907"/>
    <w:rsid w:val="00954F7C"/>
    <w:rsid w:val="00955B9A"/>
    <w:rsid w:val="00956C73"/>
    <w:rsid w:val="00957265"/>
    <w:rsid w:val="00957772"/>
    <w:rsid w:val="00960BA2"/>
    <w:rsid w:val="009611FC"/>
    <w:rsid w:val="00961ACF"/>
    <w:rsid w:val="009628A4"/>
    <w:rsid w:val="00964041"/>
    <w:rsid w:val="00964138"/>
    <w:rsid w:val="00964ABE"/>
    <w:rsid w:val="0096532B"/>
    <w:rsid w:val="009653CA"/>
    <w:rsid w:val="00966821"/>
    <w:rsid w:val="0096698C"/>
    <w:rsid w:val="009672C8"/>
    <w:rsid w:val="00967769"/>
    <w:rsid w:val="00967E7A"/>
    <w:rsid w:val="009707DE"/>
    <w:rsid w:val="009716AC"/>
    <w:rsid w:val="00972170"/>
    <w:rsid w:val="00972B52"/>
    <w:rsid w:val="00972D76"/>
    <w:rsid w:val="00973B2F"/>
    <w:rsid w:val="0097475E"/>
    <w:rsid w:val="00974E6C"/>
    <w:rsid w:val="009751C4"/>
    <w:rsid w:val="00975265"/>
    <w:rsid w:val="0097529C"/>
    <w:rsid w:val="00977A1B"/>
    <w:rsid w:val="00977C67"/>
    <w:rsid w:val="00977D30"/>
    <w:rsid w:val="00977D67"/>
    <w:rsid w:val="0098032D"/>
    <w:rsid w:val="009803C0"/>
    <w:rsid w:val="00981078"/>
    <w:rsid w:val="00981472"/>
    <w:rsid w:val="0098193B"/>
    <w:rsid w:val="009844D7"/>
    <w:rsid w:val="009856ED"/>
    <w:rsid w:val="0098591F"/>
    <w:rsid w:val="00990BFA"/>
    <w:rsid w:val="0099192E"/>
    <w:rsid w:val="0099225B"/>
    <w:rsid w:val="00993DC0"/>
    <w:rsid w:val="00994DAA"/>
    <w:rsid w:val="00995046"/>
    <w:rsid w:val="00995A32"/>
    <w:rsid w:val="0099709E"/>
    <w:rsid w:val="009979E5"/>
    <w:rsid w:val="009A06A4"/>
    <w:rsid w:val="009A073C"/>
    <w:rsid w:val="009A0CF0"/>
    <w:rsid w:val="009A0E95"/>
    <w:rsid w:val="009A0EEC"/>
    <w:rsid w:val="009A1127"/>
    <w:rsid w:val="009A28FE"/>
    <w:rsid w:val="009A6822"/>
    <w:rsid w:val="009A694F"/>
    <w:rsid w:val="009A721D"/>
    <w:rsid w:val="009B1C82"/>
    <w:rsid w:val="009B210D"/>
    <w:rsid w:val="009B410F"/>
    <w:rsid w:val="009B50AB"/>
    <w:rsid w:val="009B5CEE"/>
    <w:rsid w:val="009B5F23"/>
    <w:rsid w:val="009B5FED"/>
    <w:rsid w:val="009B6027"/>
    <w:rsid w:val="009C096A"/>
    <w:rsid w:val="009C161E"/>
    <w:rsid w:val="009C21B8"/>
    <w:rsid w:val="009C2DC7"/>
    <w:rsid w:val="009C36DE"/>
    <w:rsid w:val="009C52CF"/>
    <w:rsid w:val="009C5A2F"/>
    <w:rsid w:val="009D03DC"/>
    <w:rsid w:val="009D0D25"/>
    <w:rsid w:val="009D1325"/>
    <w:rsid w:val="009D1822"/>
    <w:rsid w:val="009D3A99"/>
    <w:rsid w:val="009D5402"/>
    <w:rsid w:val="009D5667"/>
    <w:rsid w:val="009D585D"/>
    <w:rsid w:val="009D588D"/>
    <w:rsid w:val="009D727E"/>
    <w:rsid w:val="009E125E"/>
    <w:rsid w:val="009E22EE"/>
    <w:rsid w:val="009E2C20"/>
    <w:rsid w:val="009E4F6D"/>
    <w:rsid w:val="009E57F9"/>
    <w:rsid w:val="009E5D38"/>
    <w:rsid w:val="009F0378"/>
    <w:rsid w:val="009F175C"/>
    <w:rsid w:val="009F2651"/>
    <w:rsid w:val="009F27AE"/>
    <w:rsid w:val="009F32B2"/>
    <w:rsid w:val="009F32FB"/>
    <w:rsid w:val="009F4202"/>
    <w:rsid w:val="009F525E"/>
    <w:rsid w:val="009F6BD6"/>
    <w:rsid w:val="009F700E"/>
    <w:rsid w:val="009F7E02"/>
    <w:rsid w:val="00A00830"/>
    <w:rsid w:val="00A00A27"/>
    <w:rsid w:val="00A01937"/>
    <w:rsid w:val="00A01958"/>
    <w:rsid w:val="00A01CC3"/>
    <w:rsid w:val="00A02CD0"/>
    <w:rsid w:val="00A05AA9"/>
    <w:rsid w:val="00A06315"/>
    <w:rsid w:val="00A06593"/>
    <w:rsid w:val="00A077C2"/>
    <w:rsid w:val="00A07BB1"/>
    <w:rsid w:val="00A100FA"/>
    <w:rsid w:val="00A10660"/>
    <w:rsid w:val="00A10C05"/>
    <w:rsid w:val="00A10E2D"/>
    <w:rsid w:val="00A10E8C"/>
    <w:rsid w:val="00A11D32"/>
    <w:rsid w:val="00A11FCD"/>
    <w:rsid w:val="00A1241C"/>
    <w:rsid w:val="00A12506"/>
    <w:rsid w:val="00A13393"/>
    <w:rsid w:val="00A13728"/>
    <w:rsid w:val="00A13A15"/>
    <w:rsid w:val="00A13FE8"/>
    <w:rsid w:val="00A1421C"/>
    <w:rsid w:val="00A14A6B"/>
    <w:rsid w:val="00A15A49"/>
    <w:rsid w:val="00A16729"/>
    <w:rsid w:val="00A21764"/>
    <w:rsid w:val="00A243A8"/>
    <w:rsid w:val="00A25BF3"/>
    <w:rsid w:val="00A25E4E"/>
    <w:rsid w:val="00A26AC1"/>
    <w:rsid w:val="00A270F6"/>
    <w:rsid w:val="00A27120"/>
    <w:rsid w:val="00A30CE7"/>
    <w:rsid w:val="00A314E2"/>
    <w:rsid w:val="00A31875"/>
    <w:rsid w:val="00A32364"/>
    <w:rsid w:val="00A33347"/>
    <w:rsid w:val="00A33E44"/>
    <w:rsid w:val="00A3568C"/>
    <w:rsid w:val="00A360D0"/>
    <w:rsid w:val="00A36BC9"/>
    <w:rsid w:val="00A36EB4"/>
    <w:rsid w:val="00A37AF1"/>
    <w:rsid w:val="00A37EF9"/>
    <w:rsid w:val="00A4080D"/>
    <w:rsid w:val="00A40DF8"/>
    <w:rsid w:val="00A425B5"/>
    <w:rsid w:val="00A438A6"/>
    <w:rsid w:val="00A45194"/>
    <w:rsid w:val="00A4572F"/>
    <w:rsid w:val="00A4573D"/>
    <w:rsid w:val="00A461DF"/>
    <w:rsid w:val="00A46803"/>
    <w:rsid w:val="00A46DA4"/>
    <w:rsid w:val="00A506CE"/>
    <w:rsid w:val="00A5070B"/>
    <w:rsid w:val="00A52B16"/>
    <w:rsid w:val="00A5388D"/>
    <w:rsid w:val="00A53E61"/>
    <w:rsid w:val="00A54135"/>
    <w:rsid w:val="00A54A30"/>
    <w:rsid w:val="00A56987"/>
    <w:rsid w:val="00A600F1"/>
    <w:rsid w:val="00A60460"/>
    <w:rsid w:val="00A6235C"/>
    <w:rsid w:val="00A6241E"/>
    <w:rsid w:val="00A63E8F"/>
    <w:rsid w:val="00A664D6"/>
    <w:rsid w:val="00A66A3D"/>
    <w:rsid w:val="00A66A6A"/>
    <w:rsid w:val="00A66D35"/>
    <w:rsid w:val="00A6711F"/>
    <w:rsid w:val="00A70117"/>
    <w:rsid w:val="00A70EFF"/>
    <w:rsid w:val="00A7368E"/>
    <w:rsid w:val="00A73B46"/>
    <w:rsid w:val="00A760D1"/>
    <w:rsid w:val="00A763BE"/>
    <w:rsid w:val="00A77356"/>
    <w:rsid w:val="00A8043D"/>
    <w:rsid w:val="00A80731"/>
    <w:rsid w:val="00A81297"/>
    <w:rsid w:val="00A81360"/>
    <w:rsid w:val="00A821DD"/>
    <w:rsid w:val="00A83B6C"/>
    <w:rsid w:val="00A856CE"/>
    <w:rsid w:val="00A86A39"/>
    <w:rsid w:val="00A870A4"/>
    <w:rsid w:val="00A87747"/>
    <w:rsid w:val="00A877E8"/>
    <w:rsid w:val="00A90976"/>
    <w:rsid w:val="00A913F2"/>
    <w:rsid w:val="00A91C3D"/>
    <w:rsid w:val="00A92990"/>
    <w:rsid w:val="00A9416D"/>
    <w:rsid w:val="00A95CF7"/>
    <w:rsid w:val="00A970A8"/>
    <w:rsid w:val="00A9737A"/>
    <w:rsid w:val="00A97CF2"/>
    <w:rsid w:val="00AA06D1"/>
    <w:rsid w:val="00AA1790"/>
    <w:rsid w:val="00AA1919"/>
    <w:rsid w:val="00AA39E6"/>
    <w:rsid w:val="00AA4326"/>
    <w:rsid w:val="00AA56FC"/>
    <w:rsid w:val="00AA5BC9"/>
    <w:rsid w:val="00AA6417"/>
    <w:rsid w:val="00AA69CF"/>
    <w:rsid w:val="00AA71A5"/>
    <w:rsid w:val="00AB19C0"/>
    <w:rsid w:val="00AB27F5"/>
    <w:rsid w:val="00AB3CFA"/>
    <w:rsid w:val="00AB402E"/>
    <w:rsid w:val="00AB6C3C"/>
    <w:rsid w:val="00AC138E"/>
    <w:rsid w:val="00AC20AD"/>
    <w:rsid w:val="00AC2CD7"/>
    <w:rsid w:val="00AC44ED"/>
    <w:rsid w:val="00AC5875"/>
    <w:rsid w:val="00AC76AD"/>
    <w:rsid w:val="00AC79E4"/>
    <w:rsid w:val="00AD03FB"/>
    <w:rsid w:val="00AD0F0F"/>
    <w:rsid w:val="00AD1388"/>
    <w:rsid w:val="00AD1B47"/>
    <w:rsid w:val="00AD28A4"/>
    <w:rsid w:val="00AD5556"/>
    <w:rsid w:val="00AD5C05"/>
    <w:rsid w:val="00AD5EF9"/>
    <w:rsid w:val="00AD617A"/>
    <w:rsid w:val="00AD6AF0"/>
    <w:rsid w:val="00AD73C2"/>
    <w:rsid w:val="00AE00E1"/>
    <w:rsid w:val="00AE0DEA"/>
    <w:rsid w:val="00AE27BB"/>
    <w:rsid w:val="00AE2F84"/>
    <w:rsid w:val="00AE3CAC"/>
    <w:rsid w:val="00AE4D2E"/>
    <w:rsid w:val="00AE4FE6"/>
    <w:rsid w:val="00AE57B9"/>
    <w:rsid w:val="00AF0691"/>
    <w:rsid w:val="00AF0A6E"/>
    <w:rsid w:val="00AF261D"/>
    <w:rsid w:val="00AF2A88"/>
    <w:rsid w:val="00AF302D"/>
    <w:rsid w:val="00AF4168"/>
    <w:rsid w:val="00AF42A4"/>
    <w:rsid w:val="00AF4817"/>
    <w:rsid w:val="00AF52A3"/>
    <w:rsid w:val="00AF6502"/>
    <w:rsid w:val="00AF6E2D"/>
    <w:rsid w:val="00B003AE"/>
    <w:rsid w:val="00B0053C"/>
    <w:rsid w:val="00B00E77"/>
    <w:rsid w:val="00B025D1"/>
    <w:rsid w:val="00B03B12"/>
    <w:rsid w:val="00B043DB"/>
    <w:rsid w:val="00B04BA6"/>
    <w:rsid w:val="00B04C3E"/>
    <w:rsid w:val="00B04E0C"/>
    <w:rsid w:val="00B067FC"/>
    <w:rsid w:val="00B06D04"/>
    <w:rsid w:val="00B10574"/>
    <w:rsid w:val="00B10C10"/>
    <w:rsid w:val="00B10F2C"/>
    <w:rsid w:val="00B111A3"/>
    <w:rsid w:val="00B1363C"/>
    <w:rsid w:val="00B13D73"/>
    <w:rsid w:val="00B14D87"/>
    <w:rsid w:val="00B168AF"/>
    <w:rsid w:val="00B172A1"/>
    <w:rsid w:val="00B172DE"/>
    <w:rsid w:val="00B17A2A"/>
    <w:rsid w:val="00B17EB0"/>
    <w:rsid w:val="00B20BCE"/>
    <w:rsid w:val="00B21424"/>
    <w:rsid w:val="00B21719"/>
    <w:rsid w:val="00B231CE"/>
    <w:rsid w:val="00B24316"/>
    <w:rsid w:val="00B246EB"/>
    <w:rsid w:val="00B25979"/>
    <w:rsid w:val="00B26349"/>
    <w:rsid w:val="00B26D9B"/>
    <w:rsid w:val="00B27F42"/>
    <w:rsid w:val="00B30849"/>
    <w:rsid w:val="00B31444"/>
    <w:rsid w:val="00B32293"/>
    <w:rsid w:val="00B33898"/>
    <w:rsid w:val="00B35817"/>
    <w:rsid w:val="00B359C1"/>
    <w:rsid w:val="00B35F20"/>
    <w:rsid w:val="00B37C85"/>
    <w:rsid w:val="00B435DE"/>
    <w:rsid w:val="00B4457A"/>
    <w:rsid w:val="00B44CAC"/>
    <w:rsid w:val="00B44DB0"/>
    <w:rsid w:val="00B44F2F"/>
    <w:rsid w:val="00B45A7B"/>
    <w:rsid w:val="00B469D2"/>
    <w:rsid w:val="00B4708D"/>
    <w:rsid w:val="00B47D62"/>
    <w:rsid w:val="00B50BF2"/>
    <w:rsid w:val="00B51049"/>
    <w:rsid w:val="00B511D2"/>
    <w:rsid w:val="00B5137B"/>
    <w:rsid w:val="00B51AF8"/>
    <w:rsid w:val="00B51B95"/>
    <w:rsid w:val="00B51D95"/>
    <w:rsid w:val="00B52913"/>
    <w:rsid w:val="00B53C5D"/>
    <w:rsid w:val="00B54A6B"/>
    <w:rsid w:val="00B54C7F"/>
    <w:rsid w:val="00B54E70"/>
    <w:rsid w:val="00B54F43"/>
    <w:rsid w:val="00B550DB"/>
    <w:rsid w:val="00B5596E"/>
    <w:rsid w:val="00B5775F"/>
    <w:rsid w:val="00B62C8E"/>
    <w:rsid w:val="00B64112"/>
    <w:rsid w:val="00B6412E"/>
    <w:rsid w:val="00B653B0"/>
    <w:rsid w:val="00B65A26"/>
    <w:rsid w:val="00B65E2D"/>
    <w:rsid w:val="00B67632"/>
    <w:rsid w:val="00B70BD3"/>
    <w:rsid w:val="00B72C88"/>
    <w:rsid w:val="00B7307D"/>
    <w:rsid w:val="00B73159"/>
    <w:rsid w:val="00B735FC"/>
    <w:rsid w:val="00B7567C"/>
    <w:rsid w:val="00B77856"/>
    <w:rsid w:val="00B77AED"/>
    <w:rsid w:val="00B800A8"/>
    <w:rsid w:val="00B82987"/>
    <w:rsid w:val="00B83070"/>
    <w:rsid w:val="00B83E13"/>
    <w:rsid w:val="00B84F40"/>
    <w:rsid w:val="00B854ED"/>
    <w:rsid w:val="00B85E1F"/>
    <w:rsid w:val="00B8632E"/>
    <w:rsid w:val="00B86E6D"/>
    <w:rsid w:val="00B905D4"/>
    <w:rsid w:val="00B91058"/>
    <w:rsid w:val="00B9197E"/>
    <w:rsid w:val="00B93D5F"/>
    <w:rsid w:val="00B94251"/>
    <w:rsid w:val="00B95EC9"/>
    <w:rsid w:val="00B96CAF"/>
    <w:rsid w:val="00B96D3F"/>
    <w:rsid w:val="00B97EDF"/>
    <w:rsid w:val="00B97F66"/>
    <w:rsid w:val="00BA04AB"/>
    <w:rsid w:val="00BA2392"/>
    <w:rsid w:val="00BA24E9"/>
    <w:rsid w:val="00BA263C"/>
    <w:rsid w:val="00BA2DAD"/>
    <w:rsid w:val="00BA3AEE"/>
    <w:rsid w:val="00BA3B1D"/>
    <w:rsid w:val="00BA5C42"/>
    <w:rsid w:val="00BA6649"/>
    <w:rsid w:val="00BA67F1"/>
    <w:rsid w:val="00BA6E5D"/>
    <w:rsid w:val="00BA77F6"/>
    <w:rsid w:val="00BB1508"/>
    <w:rsid w:val="00BB18B2"/>
    <w:rsid w:val="00BB1EE0"/>
    <w:rsid w:val="00BB1FEE"/>
    <w:rsid w:val="00BB4780"/>
    <w:rsid w:val="00BB4BFA"/>
    <w:rsid w:val="00BB6A0B"/>
    <w:rsid w:val="00BC0239"/>
    <w:rsid w:val="00BC200F"/>
    <w:rsid w:val="00BC2262"/>
    <w:rsid w:val="00BC281E"/>
    <w:rsid w:val="00BC2DB7"/>
    <w:rsid w:val="00BC63D1"/>
    <w:rsid w:val="00BD0782"/>
    <w:rsid w:val="00BD1370"/>
    <w:rsid w:val="00BD21BB"/>
    <w:rsid w:val="00BD36B9"/>
    <w:rsid w:val="00BD386B"/>
    <w:rsid w:val="00BD3DBB"/>
    <w:rsid w:val="00BD3E32"/>
    <w:rsid w:val="00BD44BD"/>
    <w:rsid w:val="00BD47C0"/>
    <w:rsid w:val="00BD4B2D"/>
    <w:rsid w:val="00BD621F"/>
    <w:rsid w:val="00BE0B61"/>
    <w:rsid w:val="00BE13D3"/>
    <w:rsid w:val="00BE21FA"/>
    <w:rsid w:val="00BE2662"/>
    <w:rsid w:val="00BE4089"/>
    <w:rsid w:val="00BE4527"/>
    <w:rsid w:val="00BE4D33"/>
    <w:rsid w:val="00BE4EE2"/>
    <w:rsid w:val="00BE6E72"/>
    <w:rsid w:val="00BF05B1"/>
    <w:rsid w:val="00BF4681"/>
    <w:rsid w:val="00BF4897"/>
    <w:rsid w:val="00BF4EE4"/>
    <w:rsid w:val="00BF670A"/>
    <w:rsid w:val="00C014AD"/>
    <w:rsid w:val="00C03CD0"/>
    <w:rsid w:val="00C03DFA"/>
    <w:rsid w:val="00C04DE0"/>
    <w:rsid w:val="00C04F5B"/>
    <w:rsid w:val="00C05286"/>
    <w:rsid w:val="00C06B3B"/>
    <w:rsid w:val="00C0721E"/>
    <w:rsid w:val="00C07460"/>
    <w:rsid w:val="00C10E53"/>
    <w:rsid w:val="00C121FC"/>
    <w:rsid w:val="00C14A46"/>
    <w:rsid w:val="00C152B9"/>
    <w:rsid w:val="00C157F2"/>
    <w:rsid w:val="00C16624"/>
    <w:rsid w:val="00C17976"/>
    <w:rsid w:val="00C20651"/>
    <w:rsid w:val="00C20EC2"/>
    <w:rsid w:val="00C2261F"/>
    <w:rsid w:val="00C23230"/>
    <w:rsid w:val="00C23F4B"/>
    <w:rsid w:val="00C270A0"/>
    <w:rsid w:val="00C27A1E"/>
    <w:rsid w:val="00C33B04"/>
    <w:rsid w:val="00C348BC"/>
    <w:rsid w:val="00C37A0F"/>
    <w:rsid w:val="00C37ABD"/>
    <w:rsid w:val="00C4103F"/>
    <w:rsid w:val="00C42335"/>
    <w:rsid w:val="00C42966"/>
    <w:rsid w:val="00C43624"/>
    <w:rsid w:val="00C437B0"/>
    <w:rsid w:val="00C43B4D"/>
    <w:rsid w:val="00C445D2"/>
    <w:rsid w:val="00C47033"/>
    <w:rsid w:val="00C500CF"/>
    <w:rsid w:val="00C502AE"/>
    <w:rsid w:val="00C505BD"/>
    <w:rsid w:val="00C5190C"/>
    <w:rsid w:val="00C522F9"/>
    <w:rsid w:val="00C56573"/>
    <w:rsid w:val="00C56A1D"/>
    <w:rsid w:val="00C57285"/>
    <w:rsid w:val="00C606F8"/>
    <w:rsid w:val="00C60903"/>
    <w:rsid w:val="00C62307"/>
    <w:rsid w:val="00C639F5"/>
    <w:rsid w:val="00C64C8A"/>
    <w:rsid w:val="00C64F96"/>
    <w:rsid w:val="00C65032"/>
    <w:rsid w:val="00C65A9E"/>
    <w:rsid w:val="00C664ED"/>
    <w:rsid w:val="00C66A46"/>
    <w:rsid w:val="00C66DF9"/>
    <w:rsid w:val="00C71122"/>
    <w:rsid w:val="00C7146B"/>
    <w:rsid w:val="00C71DA1"/>
    <w:rsid w:val="00C71DFD"/>
    <w:rsid w:val="00C73249"/>
    <w:rsid w:val="00C73676"/>
    <w:rsid w:val="00C74475"/>
    <w:rsid w:val="00C755EF"/>
    <w:rsid w:val="00C77BC6"/>
    <w:rsid w:val="00C81429"/>
    <w:rsid w:val="00C81FA4"/>
    <w:rsid w:val="00C833A0"/>
    <w:rsid w:val="00C841A5"/>
    <w:rsid w:val="00C853F1"/>
    <w:rsid w:val="00C864E7"/>
    <w:rsid w:val="00C8657F"/>
    <w:rsid w:val="00C9018C"/>
    <w:rsid w:val="00C90EB6"/>
    <w:rsid w:val="00C92C1B"/>
    <w:rsid w:val="00C9468F"/>
    <w:rsid w:val="00C96114"/>
    <w:rsid w:val="00C9742C"/>
    <w:rsid w:val="00C9774C"/>
    <w:rsid w:val="00C9799C"/>
    <w:rsid w:val="00C97CC3"/>
    <w:rsid w:val="00CA055B"/>
    <w:rsid w:val="00CA0D3B"/>
    <w:rsid w:val="00CA1CCC"/>
    <w:rsid w:val="00CA2117"/>
    <w:rsid w:val="00CA259E"/>
    <w:rsid w:val="00CA494E"/>
    <w:rsid w:val="00CA5D62"/>
    <w:rsid w:val="00CA6C00"/>
    <w:rsid w:val="00CA7147"/>
    <w:rsid w:val="00CA7E9D"/>
    <w:rsid w:val="00CB116E"/>
    <w:rsid w:val="00CB1786"/>
    <w:rsid w:val="00CB2290"/>
    <w:rsid w:val="00CB2C68"/>
    <w:rsid w:val="00CB45ED"/>
    <w:rsid w:val="00CB59CB"/>
    <w:rsid w:val="00CB6252"/>
    <w:rsid w:val="00CB658C"/>
    <w:rsid w:val="00CC1349"/>
    <w:rsid w:val="00CC1373"/>
    <w:rsid w:val="00CC2E18"/>
    <w:rsid w:val="00CC33A4"/>
    <w:rsid w:val="00CC34E2"/>
    <w:rsid w:val="00CC6831"/>
    <w:rsid w:val="00CC74C3"/>
    <w:rsid w:val="00CC7DEC"/>
    <w:rsid w:val="00CD1A0B"/>
    <w:rsid w:val="00CD1C37"/>
    <w:rsid w:val="00CD2284"/>
    <w:rsid w:val="00CD2760"/>
    <w:rsid w:val="00CD385F"/>
    <w:rsid w:val="00CD5B43"/>
    <w:rsid w:val="00CD5F9E"/>
    <w:rsid w:val="00CD626E"/>
    <w:rsid w:val="00CD6D3A"/>
    <w:rsid w:val="00CD7A9C"/>
    <w:rsid w:val="00CD7B35"/>
    <w:rsid w:val="00CE040E"/>
    <w:rsid w:val="00CE11DD"/>
    <w:rsid w:val="00CE2626"/>
    <w:rsid w:val="00CE2988"/>
    <w:rsid w:val="00CE3118"/>
    <w:rsid w:val="00CE446E"/>
    <w:rsid w:val="00CE4F7E"/>
    <w:rsid w:val="00CE5C9D"/>
    <w:rsid w:val="00CE659B"/>
    <w:rsid w:val="00CE7A10"/>
    <w:rsid w:val="00CE7ACA"/>
    <w:rsid w:val="00CE7B20"/>
    <w:rsid w:val="00CE7E65"/>
    <w:rsid w:val="00CF0E21"/>
    <w:rsid w:val="00CF1566"/>
    <w:rsid w:val="00CF28CA"/>
    <w:rsid w:val="00CF3C57"/>
    <w:rsid w:val="00CF3FC6"/>
    <w:rsid w:val="00CF403F"/>
    <w:rsid w:val="00CF720C"/>
    <w:rsid w:val="00CF7856"/>
    <w:rsid w:val="00CF7F2A"/>
    <w:rsid w:val="00D0000C"/>
    <w:rsid w:val="00D002FD"/>
    <w:rsid w:val="00D003CF"/>
    <w:rsid w:val="00D00C27"/>
    <w:rsid w:val="00D00F96"/>
    <w:rsid w:val="00D01004"/>
    <w:rsid w:val="00D016AB"/>
    <w:rsid w:val="00D02058"/>
    <w:rsid w:val="00D024A4"/>
    <w:rsid w:val="00D02F91"/>
    <w:rsid w:val="00D0304E"/>
    <w:rsid w:val="00D032AB"/>
    <w:rsid w:val="00D03FDF"/>
    <w:rsid w:val="00D03FE7"/>
    <w:rsid w:val="00D04BD6"/>
    <w:rsid w:val="00D05DCE"/>
    <w:rsid w:val="00D06A6B"/>
    <w:rsid w:val="00D0712A"/>
    <w:rsid w:val="00D07159"/>
    <w:rsid w:val="00D10BA2"/>
    <w:rsid w:val="00D1134A"/>
    <w:rsid w:val="00D123FD"/>
    <w:rsid w:val="00D1286E"/>
    <w:rsid w:val="00D15292"/>
    <w:rsid w:val="00D15658"/>
    <w:rsid w:val="00D15B62"/>
    <w:rsid w:val="00D15C07"/>
    <w:rsid w:val="00D15DCA"/>
    <w:rsid w:val="00D16888"/>
    <w:rsid w:val="00D16A93"/>
    <w:rsid w:val="00D1792A"/>
    <w:rsid w:val="00D17B0E"/>
    <w:rsid w:val="00D20180"/>
    <w:rsid w:val="00D20FDD"/>
    <w:rsid w:val="00D220A7"/>
    <w:rsid w:val="00D2257A"/>
    <w:rsid w:val="00D23218"/>
    <w:rsid w:val="00D233AB"/>
    <w:rsid w:val="00D233CE"/>
    <w:rsid w:val="00D2471F"/>
    <w:rsid w:val="00D24A3F"/>
    <w:rsid w:val="00D25B79"/>
    <w:rsid w:val="00D269EB"/>
    <w:rsid w:val="00D27E76"/>
    <w:rsid w:val="00D31EC4"/>
    <w:rsid w:val="00D31F2B"/>
    <w:rsid w:val="00D32D35"/>
    <w:rsid w:val="00D35149"/>
    <w:rsid w:val="00D35FB5"/>
    <w:rsid w:val="00D362C1"/>
    <w:rsid w:val="00D36DC0"/>
    <w:rsid w:val="00D37961"/>
    <w:rsid w:val="00D37DB2"/>
    <w:rsid w:val="00D4025E"/>
    <w:rsid w:val="00D40316"/>
    <w:rsid w:val="00D403CE"/>
    <w:rsid w:val="00D41B91"/>
    <w:rsid w:val="00D428A4"/>
    <w:rsid w:val="00D439F7"/>
    <w:rsid w:val="00D43B6B"/>
    <w:rsid w:val="00D44432"/>
    <w:rsid w:val="00D47898"/>
    <w:rsid w:val="00D47A61"/>
    <w:rsid w:val="00D47DEE"/>
    <w:rsid w:val="00D50CB2"/>
    <w:rsid w:val="00D512EF"/>
    <w:rsid w:val="00D51D85"/>
    <w:rsid w:val="00D53E96"/>
    <w:rsid w:val="00D549FC"/>
    <w:rsid w:val="00D54D73"/>
    <w:rsid w:val="00D556EC"/>
    <w:rsid w:val="00D564BE"/>
    <w:rsid w:val="00D56942"/>
    <w:rsid w:val="00D56D88"/>
    <w:rsid w:val="00D60CCE"/>
    <w:rsid w:val="00D61233"/>
    <w:rsid w:val="00D61D12"/>
    <w:rsid w:val="00D6252A"/>
    <w:rsid w:val="00D63DE5"/>
    <w:rsid w:val="00D65394"/>
    <w:rsid w:val="00D65F61"/>
    <w:rsid w:val="00D6645A"/>
    <w:rsid w:val="00D66817"/>
    <w:rsid w:val="00D718BA"/>
    <w:rsid w:val="00D73E33"/>
    <w:rsid w:val="00D74C49"/>
    <w:rsid w:val="00D76D2E"/>
    <w:rsid w:val="00D77051"/>
    <w:rsid w:val="00D81FE0"/>
    <w:rsid w:val="00D82951"/>
    <w:rsid w:val="00D84664"/>
    <w:rsid w:val="00D87833"/>
    <w:rsid w:val="00D91A5C"/>
    <w:rsid w:val="00D91FCA"/>
    <w:rsid w:val="00D923EE"/>
    <w:rsid w:val="00D9250A"/>
    <w:rsid w:val="00D92918"/>
    <w:rsid w:val="00D94C58"/>
    <w:rsid w:val="00D94E4D"/>
    <w:rsid w:val="00D97766"/>
    <w:rsid w:val="00D97E44"/>
    <w:rsid w:val="00DA0270"/>
    <w:rsid w:val="00DA0576"/>
    <w:rsid w:val="00DA0EB9"/>
    <w:rsid w:val="00DA134D"/>
    <w:rsid w:val="00DA25DE"/>
    <w:rsid w:val="00DA3E23"/>
    <w:rsid w:val="00DA46A0"/>
    <w:rsid w:val="00DA6153"/>
    <w:rsid w:val="00DA784E"/>
    <w:rsid w:val="00DA7F6A"/>
    <w:rsid w:val="00DB10E2"/>
    <w:rsid w:val="00DB1B39"/>
    <w:rsid w:val="00DB1C4E"/>
    <w:rsid w:val="00DB1E3E"/>
    <w:rsid w:val="00DB21B1"/>
    <w:rsid w:val="00DB21BA"/>
    <w:rsid w:val="00DB6BA5"/>
    <w:rsid w:val="00DB6CAB"/>
    <w:rsid w:val="00DC01CE"/>
    <w:rsid w:val="00DC1015"/>
    <w:rsid w:val="00DC1A0F"/>
    <w:rsid w:val="00DC2058"/>
    <w:rsid w:val="00DC29DE"/>
    <w:rsid w:val="00DC2A37"/>
    <w:rsid w:val="00DC3199"/>
    <w:rsid w:val="00DC591B"/>
    <w:rsid w:val="00DC6B28"/>
    <w:rsid w:val="00DC71C9"/>
    <w:rsid w:val="00DC75C3"/>
    <w:rsid w:val="00DD0035"/>
    <w:rsid w:val="00DD156F"/>
    <w:rsid w:val="00DD2F6B"/>
    <w:rsid w:val="00DD4CDF"/>
    <w:rsid w:val="00DD5385"/>
    <w:rsid w:val="00DD5653"/>
    <w:rsid w:val="00DD5A0B"/>
    <w:rsid w:val="00DD5E68"/>
    <w:rsid w:val="00DD6F88"/>
    <w:rsid w:val="00DE0A5E"/>
    <w:rsid w:val="00DE0CB4"/>
    <w:rsid w:val="00DE154F"/>
    <w:rsid w:val="00DE229E"/>
    <w:rsid w:val="00DE232D"/>
    <w:rsid w:val="00DE2A85"/>
    <w:rsid w:val="00DE2F52"/>
    <w:rsid w:val="00DE3AB8"/>
    <w:rsid w:val="00DE4961"/>
    <w:rsid w:val="00DF0F22"/>
    <w:rsid w:val="00DF1421"/>
    <w:rsid w:val="00DF221D"/>
    <w:rsid w:val="00DF5923"/>
    <w:rsid w:val="00DF5C08"/>
    <w:rsid w:val="00DF6922"/>
    <w:rsid w:val="00DF7C05"/>
    <w:rsid w:val="00DF7F2A"/>
    <w:rsid w:val="00E00227"/>
    <w:rsid w:val="00E01EC4"/>
    <w:rsid w:val="00E023C3"/>
    <w:rsid w:val="00E04200"/>
    <w:rsid w:val="00E054B0"/>
    <w:rsid w:val="00E056BE"/>
    <w:rsid w:val="00E05E13"/>
    <w:rsid w:val="00E06DC1"/>
    <w:rsid w:val="00E073DB"/>
    <w:rsid w:val="00E07D5E"/>
    <w:rsid w:val="00E103CC"/>
    <w:rsid w:val="00E11369"/>
    <w:rsid w:val="00E12B01"/>
    <w:rsid w:val="00E13303"/>
    <w:rsid w:val="00E13E74"/>
    <w:rsid w:val="00E1420B"/>
    <w:rsid w:val="00E151C5"/>
    <w:rsid w:val="00E16DD4"/>
    <w:rsid w:val="00E17A02"/>
    <w:rsid w:val="00E207F5"/>
    <w:rsid w:val="00E22A43"/>
    <w:rsid w:val="00E22AF9"/>
    <w:rsid w:val="00E22C74"/>
    <w:rsid w:val="00E246E7"/>
    <w:rsid w:val="00E2481E"/>
    <w:rsid w:val="00E2665A"/>
    <w:rsid w:val="00E27F1C"/>
    <w:rsid w:val="00E27F76"/>
    <w:rsid w:val="00E30DF9"/>
    <w:rsid w:val="00E31071"/>
    <w:rsid w:val="00E31682"/>
    <w:rsid w:val="00E318CA"/>
    <w:rsid w:val="00E31B27"/>
    <w:rsid w:val="00E3215B"/>
    <w:rsid w:val="00E332D0"/>
    <w:rsid w:val="00E33750"/>
    <w:rsid w:val="00E33C81"/>
    <w:rsid w:val="00E3668D"/>
    <w:rsid w:val="00E40094"/>
    <w:rsid w:val="00E409A4"/>
    <w:rsid w:val="00E41719"/>
    <w:rsid w:val="00E423A1"/>
    <w:rsid w:val="00E4425F"/>
    <w:rsid w:val="00E44A4D"/>
    <w:rsid w:val="00E44E26"/>
    <w:rsid w:val="00E45197"/>
    <w:rsid w:val="00E46254"/>
    <w:rsid w:val="00E46D7E"/>
    <w:rsid w:val="00E46E72"/>
    <w:rsid w:val="00E4724E"/>
    <w:rsid w:val="00E47B82"/>
    <w:rsid w:val="00E50991"/>
    <w:rsid w:val="00E51608"/>
    <w:rsid w:val="00E51681"/>
    <w:rsid w:val="00E52679"/>
    <w:rsid w:val="00E52D63"/>
    <w:rsid w:val="00E54532"/>
    <w:rsid w:val="00E54559"/>
    <w:rsid w:val="00E54845"/>
    <w:rsid w:val="00E56F94"/>
    <w:rsid w:val="00E5768B"/>
    <w:rsid w:val="00E60AF4"/>
    <w:rsid w:val="00E60B0B"/>
    <w:rsid w:val="00E612D5"/>
    <w:rsid w:val="00E621CB"/>
    <w:rsid w:val="00E62370"/>
    <w:rsid w:val="00E64094"/>
    <w:rsid w:val="00E64999"/>
    <w:rsid w:val="00E657AE"/>
    <w:rsid w:val="00E67ED7"/>
    <w:rsid w:val="00E71026"/>
    <w:rsid w:val="00E71F96"/>
    <w:rsid w:val="00E7508F"/>
    <w:rsid w:val="00E811A7"/>
    <w:rsid w:val="00E817B1"/>
    <w:rsid w:val="00E81C51"/>
    <w:rsid w:val="00E83EE8"/>
    <w:rsid w:val="00E8417E"/>
    <w:rsid w:val="00E86BA7"/>
    <w:rsid w:val="00E87419"/>
    <w:rsid w:val="00E91056"/>
    <w:rsid w:val="00E91614"/>
    <w:rsid w:val="00E919C9"/>
    <w:rsid w:val="00E924E3"/>
    <w:rsid w:val="00E949DA"/>
    <w:rsid w:val="00E95CE8"/>
    <w:rsid w:val="00EA00D2"/>
    <w:rsid w:val="00EA1515"/>
    <w:rsid w:val="00EA1AE9"/>
    <w:rsid w:val="00EA1CEE"/>
    <w:rsid w:val="00EA37C2"/>
    <w:rsid w:val="00EA39E7"/>
    <w:rsid w:val="00EA3CBF"/>
    <w:rsid w:val="00EA47E6"/>
    <w:rsid w:val="00EA4E0B"/>
    <w:rsid w:val="00EA643B"/>
    <w:rsid w:val="00EA6B6B"/>
    <w:rsid w:val="00EA7B95"/>
    <w:rsid w:val="00EB0CE4"/>
    <w:rsid w:val="00EB1B5B"/>
    <w:rsid w:val="00EB2B25"/>
    <w:rsid w:val="00EB2BA2"/>
    <w:rsid w:val="00EB35B6"/>
    <w:rsid w:val="00EB4489"/>
    <w:rsid w:val="00EB75B7"/>
    <w:rsid w:val="00EB7A55"/>
    <w:rsid w:val="00EC1718"/>
    <w:rsid w:val="00EC1898"/>
    <w:rsid w:val="00EC1DD5"/>
    <w:rsid w:val="00EC2A50"/>
    <w:rsid w:val="00EC2C63"/>
    <w:rsid w:val="00EC3261"/>
    <w:rsid w:val="00EC379C"/>
    <w:rsid w:val="00EC400E"/>
    <w:rsid w:val="00EC4A39"/>
    <w:rsid w:val="00EC6EC0"/>
    <w:rsid w:val="00EC7A86"/>
    <w:rsid w:val="00EC7E5E"/>
    <w:rsid w:val="00ED03B1"/>
    <w:rsid w:val="00ED149C"/>
    <w:rsid w:val="00ED3C2F"/>
    <w:rsid w:val="00ED3C65"/>
    <w:rsid w:val="00ED4215"/>
    <w:rsid w:val="00ED47A9"/>
    <w:rsid w:val="00ED550B"/>
    <w:rsid w:val="00ED55D7"/>
    <w:rsid w:val="00ED6A2C"/>
    <w:rsid w:val="00EE0168"/>
    <w:rsid w:val="00EE143B"/>
    <w:rsid w:val="00EE2F79"/>
    <w:rsid w:val="00EE2FF8"/>
    <w:rsid w:val="00EE33AB"/>
    <w:rsid w:val="00EE3732"/>
    <w:rsid w:val="00EE494A"/>
    <w:rsid w:val="00EE4B88"/>
    <w:rsid w:val="00EE780C"/>
    <w:rsid w:val="00EF00E6"/>
    <w:rsid w:val="00EF0C4D"/>
    <w:rsid w:val="00EF0E0C"/>
    <w:rsid w:val="00EF2081"/>
    <w:rsid w:val="00EF3A54"/>
    <w:rsid w:val="00EF3BAA"/>
    <w:rsid w:val="00EF4A61"/>
    <w:rsid w:val="00EF5DC6"/>
    <w:rsid w:val="00EF6265"/>
    <w:rsid w:val="00EF761B"/>
    <w:rsid w:val="00EF7951"/>
    <w:rsid w:val="00EF7B7E"/>
    <w:rsid w:val="00F01253"/>
    <w:rsid w:val="00F0179A"/>
    <w:rsid w:val="00F029B6"/>
    <w:rsid w:val="00F04BF0"/>
    <w:rsid w:val="00F04DD9"/>
    <w:rsid w:val="00F0662F"/>
    <w:rsid w:val="00F135EA"/>
    <w:rsid w:val="00F13D72"/>
    <w:rsid w:val="00F152E3"/>
    <w:rsid w:val="00F167ED"/>
    <w:rsid w:val="00F169EA"/>
    <w:rsid w:val="00F16C02"/>
    <w:rsid w:val="00F17365"/>
    <w:rsid w:val="00F20A3A"/>
    <w:rsid w:val="00F21279"/>
    <w:rsid w:val="00F221D5"/>
    <w:rsid w:val="00F225F6"/>
    <w:rsid w:val="00F23E87"/>
    <w:rsid w:val="00F247F9"/>
    <w:rsid w:val="00F24DD7"/>
    <w:rsid w:val="00F25421"/>
    <w:rsid w:val="00F27201"/>
    <w:rsid w:val="00F301EC"/>
    <w:rsid w:val="00F316F7"/>
    <w:rsid w:val="00F31A73"/>
    <w:rsid w:val="00F32751"/>
    <w:rsid w:val="00F33CBE"/>
    <w:rsid w:val="00F35944"/>
    <w:rsid w:val="00F365C3"/>
    <w:rsid w:val="00F40037"/>
    <w:rsid w:val="00F43960"/>
    <w:rsid w:val="00F43F7C"/>
    <w:rsid w:val="00F4580C"/>
    <w:rsid w:val="00F4599D"/>
    <w:rsid w:val="00F45DA9"/>
    <w:rsid w:val="00F45F8A"/>
    <w:rsid w:val="00F46DF2"/>
    <w:rsid w:val="00F473C0"/>
    <w:rsid w:val="00F50781"/>
    <w:rsid w:val="00F51765"/>
    <w:rsid w:val="00F51C93"/>
    <w:rsid w:val="00F54810"/>
    <w:rsid w:val="00F54D85"/>
    <w:rsid w:val="00F557C8"/>
    <w:rsid w:val="00F55AC2"/>
    <w:rsid w:val="00F55C92"/>
    <w:rsid w:val="00F561F3"/>
    <w:rsid w:val="00F567FE"/>
    <w:rsid w:val="00F5735B"/>
    <w:rsid w:val="00F617AD"/>
    <w:rsid w:val="00F62F26"/>
    <w:rsid w:val="00F63015"/>
    <w:rsid w:val="00F64001"/>
    <w:rsid w:val="00F65B8A"/>
    <w:rsid w:val="00F66229"/>
    <w:rsid w:val="00F70F00"/>
    <w:rsid w:val="00F71478"/>
    <w:rsid w:val="00F71BDF"/>
    <w:rsid w:val="00F73233"/>
    <w:rsid w:val="00F732D7"/>
    <w:rsid w:val="00F73F1E"/>
    <w:rsid w:val="00F76379"/>
    <w:rsid w:val="00F76D2C"/>
    <w:rsid w:val="00F80F96"/>
    <w:rsid w:val="00F816BB"/>
    <w:rsid w:val="00F820D7"/>
    <w:rsid w:val="00F82247"/>
    <w:rsid w:val="00F83232"/>
    <w:rsid w:val="00F83603"/>
    <w:rsid w:val="00F83C09"/>
    <w:rsid w:val="00F846E3"/>
    <w:rsid w:val="00F852AA"/>
    <w:rsid w:val="00F85B39"/>
    <w:rsid w:val="00F85E14"/>
    <w:rsid w:val="00F85E7D"/>
    <w:rsid w:val="00F916F9"/>
    <w:rsid w:val="00F918A1"/>
    <w:rsid w:val="00F92533"/>
    <w:rsid w:val="00F92571"/>
    <w:rsid w:val="00F93318"/>
    <w:rsid w:val="00F93F69"/>
    <w:rsid w:val="00F93FC6"/>
    <w:rsid w:val="00F94525"/>
    <w:rsid w:val="00F94A80"/>
    <w:rsid w:val="00F954FF"/>
    <w:rsid w:val="00F955BF"/>
    <w:rsid w:val="00F95DBD"/>
    <w:rsid w:val="00F976B9"/>
    <w:rsid w:val="00FA03DC"/>
    <w:rsid w:val="00FA07DE"/>
    <w:rsid w:val="00FA1490"/>
    <w:rsid w:val="00FA2AE4"/>
    <w:rsid w:val="00FA3866"/>
    <w:rsid w:val="00FA5281"/>
    <w:rsid w:val="00FA59F7"/>
    <w:rsid w:val="00FA6DB2"/>
    <w:rsid w:val="00FB0721"/>
    <w:rsid w:val="00FB0D99"/>
    <w:rsid w:val="00FB1063"/>
    <w:rsid w:val="00FB22E1"/>
    <w:rsid w:val="00FB4963"/>
    <w:rsid w:val="00FB7A41"/>
    <w:rsid w:val="00FB7B8A"/>
    <w:rsid w:val="00FC05E7"/>
    <w:rsid w:val="00FC0FBD"/>
    <w:rsid w:val="00FC30D3"/>
    <w:rsid w:val="00FC3111"/>
    <w:rsid w:val="00FC3579"/>
    <w:rsid w:val="00FC37F1"/>
    <w:rsid w:val="00FC4073"/>
    <w:rsid w:val="00FC672E"/>
    <w:rsid w:val="00FC6BE9"/>
    <w:rsid w:val="00FD1EDB"/>
    <w:rsid w:val="00FD351C"/>
    <w:rsid w:val="00FD5F9A"/>
    <w:rsid w:val="00FD67EF"/>
    <w:rsid w:val="00FD6C12"/>
    <w:rsid w:val="00FD7B6D"/>
    <w:rsid w:val="00FE026D"/>
    <w:rsid w:val="00FE0743"/>
    <w:rsid w:val="00FE09C6"/>
    <w:rsid w:val="00FE12D2"/>
    <w:rsid w:val="00FE26DE"/>
    <w:rsid w:val="00FE3293"/>
    <w:rsid w:val="00FE4051"/>
    <w:rsid w:val="00FE41BC"/>
    <w:rsid w:val="00FE43DA"/>
    <w:rsid w:val="00FE63D9"/>
    <w:rsid w:val="00FF0FD8"/>
    <w:rsid w:val="00FF1803"/>
    <w:rsid w:val="00FF1F19"/>
    <w:rsid w:val="00FF2240"/>
    <w:rsid w:val="00FF28BA"/>
    <w:rsid w:val="00FF2C73"/>
    <w:rsid w:val="00FF3766"/>
    <w:rsid w:val="00FF428F"/>
    <w:rsid w:val="00FF4A18"/>
    <w:rsid w:val="00FF5289"/>
    <w:rsid w:val="00FF6592"/>
    <w:rsid w:val="00FF791B"/>
  </w:rsids>
  <m:mathPr>
    <m:mathFont m:val="Cambria Math"/>
    <m:brkBin m:val="before"/>
    <m:brkBinSub m:val="--"/>
    <m:smallFrac m:val="0"/>
    <m:dispDef/>
    <m:lMargin m:val="0"/>
    <m:rMargin m:val="0"/>
    <m:defJc m:val="centerGroup"/>
    <m:wrapIndent m:val="1440"/>
    <m:intLim m:val="subSup"/>
    <m:naryLim m:val="undOvr"/>
  </m:mathPr>
  <w:themeFontLang w:val="es-MX"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0E588ABE"/>
  <w15:chartTrackingRefBased/>
  <w15:docId w15:val="{D71E6A7A-C82C-431E-AAB7-22813AC00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7567C"/>
    <w:pPr>
      <w:spacing w:after="200" w:line="276" w:lineRule="auto"/>
    </w:pPr>
    <w:rPr>
      <w:rFonts w:ascii="Calibri" w:eastAsia="Calibri" w:hAnsi="Calibri" w:cs="Times New Roman"/>
      <w:lang w:val="es-ES"/>
    </w:rPr>
  </w:style>
  <w:style w:type="paragraph" w:styleId="Ttulo1">
    <w:name w:val="heading 1"/>
    <w:basedOn w:val="Normal"/>
    <w:next w:val="Normal"/>
    <w:link w:val="Ttulo1Car"/>
    <w:uiPriority w:val="9"/>
    <w:qFormat/>
    <w:rsid w:val="000F166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626B37"/>
    <w:pPr>
      <w:keepNext/>
      <w:numPr>
        <w:numId w:val="6"/>
      </w:numPr>
      <w:spacing w:before="240" w:after="120"/>
      <w:jc w:val="both"/>
      <w:outlineLvl w:val="1"/>
    </w:pPr>
    <w:rPr>
      <w:rFonts w:ascii="ITC Avant Garde" w:eastAsia="Times New Roman" w:hAnsi="ITC Avant Garde"/>
      <w:b/>
      <w:color w:val="000000"/>
      <w:lang w:eastAsia="es-MX"/>
    </w:rPr>
  </w:style>
  <w:style w:type="paragraph" w:styleId="Ttulo6">
    <w:name w:val="heading 6"/>
    <w:basedOn w:val="Normal"/>
    <w:next w:val="Normal"/>
    <w:link w:val="Ttulo6Car"/>
    <w:uiPriority w:val="9"/>
    <w:semiHidden/>
    <w:unhideWhenUsed/>
    <w:qFormat/>
    <w:rsid w:val="00037BBC"/>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stilo30">
    <w:name w:val="estilo30"/>
    <w:basedOn w:val="Normal"/>
    <w:rsid w:val="00CE11DD"/>
    <w:pPr>
      <w:spacing w:before="100" w:beforeAutospacing="1" w:after="100" w:afterAutospacing="1" w:line="240" w:lineRule="auto"/>
    </w:pPr>
    <w:rPr>
      <w:rFonts w:ascii="Times New Roman" w:eastAsia="Times New Roman" w:hAnsi="Times New Roman"/>
      <w:sz w:val="24"/>
      <w:szCs w:val="24"/>
      <w:lang w:eastAsia="es-MX"/>
    </w:rPr>
  </w:style>
  <w:style w:type="paragraph" w:styleId="Prrafodelista">
    <w:name w:val="List Paragraph"/>
    <w:aliases w:val="Bullet List,FooterText,numbered,List Paragraph1,Paragraphe de liste1,Bulletr List Paragraph,列出段落,列出段落1,Cuadros,Lista general,Numeración 1,Cuadrícula media 1 - Énfasis 21,4 Viñ 1nivel,Footnote"/>
    <w:basedOn w:val="Normal"/>
    <w:link w:val="PrrafodelistaCar"/>
    <w:uiPriority w:val="34"/>
    <w:qFormat/>
    <w:rsid w:val="00CE11DD"/>
    <w:pPr>
      <w:spacing w:after="0" w:line="240" w:lineRule="auto"/>
      <w:ind w:left="708"/>
    </w:pPr>
    <w:rPr>
      <w:rFonts w:ascii="Arial" w:eastAsia="Times New Roman" w:hAnsi="Arial"/>
      <w:sz w:val="24"/>
      <w:szCs w:val="20"/>
      <w:lang w:eastAsia="es-ES"/>
    </w:rPr>
  </w:style>
  <w:style w:type="character" w:customStyle="1" w:styleId="apple-converted-space">
    <w:name w:val="apple-converted-space"/>
    <w:basedOn w:val="Fuentedeprrafopredeter"/>
    <w:rsid w:val="00CE11DD"/>
  </w:style>
  <w:style w:type="paragraph" w:styleId="Textoindependiente">
    <w:name w:val="Body Text"/>
    <w:basedOn w:val="Normal"/>
    <w:link w:val="TextoindependienteCar"/>
    <w:uiPriority w:val="99"/>
    <w:unhideWhenUsed/>
    <w:rsid w:val="00CE11DD"/>
    <w:pPr>
      <w:spacing w:after="120"/>
    </w:pPr>
  </w:style>
  <w:style w:type="character" w:customStyle="1" w:styleId="TextoindependienteCar">
    <w:name w:val="Texto independiente Car"/>
    <w:basedOn w:val="Fuentedeprrafopredeter"/>
    <w:link w:val="Textoindependiente"/>
    <w:uiPriority w:val="99"/>
    <w:rsid w:val="00CE11DD"/>
    <w:rPr>
      <w:rFonts w:ascii="Calibri" w:eastAsia="Calibri" w:hAnsi="Calibri" w:cs="Times New Roman"/>
    </w:rPr>
  </w:style>
  <w:style w:type="character" w:customStyle="1" w:styleId="PrrafodelistaCar">
    <w:name w:val="Párrafo de lista Car"/>
    <w:aliases w:val="Bullet List Car,FooterText Car,numbered Car,List Paragraph1 Car,Paragraphe de liste1 Car,Bulletr List Paragraph Car,列出段落 Car,列出段落1 Car,Cuadros Car,Lista general Car,Numeración 1 Car,Cuadrícula media 1 - Énfasis 21 Car,Footnote Car"/>
    <w:link w:val="Prrafodelista"/>
    <w:uiPriority w:val="34"/>
    <w:rsid w:val="00CE11DD"/>
    <w:rPr>
      <w:rFonts w:ascii="Arial" w:eastAsia="Times New Roman" w:hAnsi="Arial" w:cs="Times New Roman"/>
      <w:sz w:val="24"/>
      <w:szCs w:val="20"/>
      <w:lang w:val="es-ES" w:eastAsia="es-ES"/>
    </w:rPr>
  </w:style>
  <w:style w:type="paragraph" w:styleId="Textoindependiente2">
    <w:name w:val="Body Text 2"/>
    <w:basedOn w:val="Normal"/>
    <w:link w:val="Textoindependiente2Car"/>
    <w:uiPriority w:val="99"/>
    <w:unhideWhenUsed/>
    <w:rsid w:val="00626B37"/>
    <w:pPr>
      <w:spacing w:after="120" w:line="480" w:lineRule="auto"/>
    </w:pPr>
  </w:style>
  <w:style w:type="character" w:customStyle="1" w:styleId="Textoindependiente2Car">
    <w:name w:val="Texto independiente 2 Car"/>
    <w:basedOn w:val="Fuentedeprrafopredeter"/>
    <w:link w:val="Textoindependiente2"/>
    <w:uiPriority w:val="99"/>
    <w:rsid w:val="00626B37"/>
    <w:rPr>
      <w:rFonts w:ascii="Calibri" w:eastAsia="Calibri" w:hAnsi="Calibri" w:cs="Times New Roman"/>
    </w:rPr>
  </w:style>
  <w:style w:type="character" w:customStyle="1" w:styleId="Ttulo2Car">
    <w:name w:val="Título 2 Car"/>
    <w:basedOn w:val="Fuentedeprrafopredeter"/>
    <w:link w:val="Ttulo2"/>
    <w:uiPriority w:val="9"/>
    <w:rsid w:val="00626B37"/>
    <w:rPr>
      <w:rFonts w:ascii="ITC Avant Garde" w:eastAsia="Times New Roman" w:hAnsi="ITC Avant Garde" w:cs="Times New Roman"/>
      <w:b/>
      <w:color w:val="000000"/>
      <w:lang w:eastAsia="es-MX"/>
    </w:rPr>
  </w:style>
  <w:style w:type="table" w:styleId="Tablaconcuadrcula">
    <w:name w:val="Table Grid"/>
    <w:basedOn w:val="Tablanormal"/>
    <w:uiPriority w:val="59"/>
    <w:rsid w:val="00626B37"/>
    <w:pPr>
      <w:spacing w:after="0" w:line="240" w:lineRule="auto"/>
    </w:pPr>
    <w:rPr>
      <w:rFonts w:ascii="Calibri" w:eastAsia="Calibri" w:hAnsi="Calibri" w:cs="Times New Roman"/>
      <w:bCs/>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ente">
    <w:name w:val="Fuente"/>
    <w:basedOn w:val="Prrafodelista"/>
    <w:link w:val="FuenteChar"/>
    <w:qFormat/>
    <w:rsid w:val="00626B37"/>
    <w:pPr>
      <w:spacing w:after="200" w:line="276" w:lineRule="auto"/>
      <w:ind w:left="851"/>
      <w:contextualSpacing/>
      <w:jc w:val="both"/>
    </w:pPr>
    <w:rPr>
      <w:rFonts w:asciiTheme="minorHAnsi" w:eastAsiaTheme="minorEastAsia" w:hAnsiTheme="minorHAnsi" w:cstheme="minorBidi"/>
      <w:sz w:val="16"/>
      <w:szCs w:val="16"/>
      <w:lang w:val="es-MX" w:eastAsia="en-US" w:bidi="en-US"/>
    </w:rPr>
  </w:style>
  <w:style w:type="character" w:customStyle="1" w:styleId="FuenteChar">
    <w:name w:val="Fuente Char"/>
    <w:basedOn w:val="Fuentedeprrafopredeter"/>
    <w:link w:val="Fuente"/>
    <w:rsid w:val="00626B37"/>
    <w:rPr>
      <w:rFonts w:eastAsiaTheme="minorEastAsia"/>
      <w:sz w:val="16"/>
      <w:szCs w:val="16"/>
      <w:lang w:bidi="en-US"/>
    </w:rPr>
  </w:style>
  <w:style w:type="character" w:customStyle="1" w:styleId="Ttulo1Car">
    <w:name w:val="Título 1 Car"/>
    <w:basedOn w:val="Fuentedeprrafopredeter"/>
    <w:link w:val="Ttulo1"/>
    <w:uiPriority w:val="9"/>
    <w:rsid w:val="000F1667"/>
    <w:rPr>
      <w:rFonts w:asciiTheme="majorHAnsi" w:eastAsiaTheme="majorEastAsia" w:hAnsiTheme="majorHAnsi" w:cstheme="majorBidi"/>
      <w:color w:val="2E74B5" w:themeColor="accent1" w:themeShade="BF"/>
      <w:sz w:val="32"/>
      <w:szCs w:val="32"/>
    </w:rPr>
  </w:style>
  <w:style w:type="paragraph" w:styleId="Lista">
    <w:name w:val="List"/>
    <w:basedOn w:val="Normal"/>
    <w:uiPriority w:val="99"/>
    <w:unhideWhenUsed/>
    <w:rsid w:val="000F1667"/>
    <w:pPr>
      <w:ind w:left="283" w:hanging="283"/>
      <w:contextualSpacing/>
    </w:pPr>
  </w:style>
  <w:style w:type="paragraph" w:styleId="Lista2">
    <w:name w:val="List 2"/>
    <w:basedOn w:val="Normal"/>
    <w:uiPriority w:val="99"/>
    <w:unhideWhenUsed/>
    <w:rsid w:val="000F1667"/>
    <w:pPr>
      <w:ind w:left="566" w:hanging="283"/>
      <w:contextualSpacing/>
    </w:pPr>
  </w:style>
  <w:style w:type="paragraph" w:styleId="Sangradetextonormal">
    <w:name w:val="Body Text Indent"/>
    <w:basedOn w:val="Normal"/>
    <w:link w:val="SangradetextonormalCar"/>
    <w:uiPriority w:val="99"/>
    <w:unhideWhenUsed/>
    <w:rsid w:val="000F1667"/>
    <w:pPr>
      <w:spacing w:after="120"/>
      <w:ind w:left="283"/>
    </w:pPr>
  </w:style>
  <w:style w:type="character" w:customStyle="1" w:styleId="SangradetextonormalCar">
    <w:name w:val="Sangría de texto normal Car"/>
    <w:basedOn w:val="Fuentedeprrafopredeter"/>
    <w:link w:val="Sangradetextonormal"/>
    <w:uiPriority w:val="99"/>
    <w:rsid w:val="000F1667"/>
    <w:rPr>
      <w:rFonts w:ascii="Calibri" w:eastAsia="Calibri" w:hAnsi="Calibri" w:cs="Times New Roman"/>
    </w:rPr>
  </w:style>
  <w:style w:type="paragraph" w:styleId="Textoindependienteprimerasangra2">
    <w:name w:val="Body Text First Indent 2"/>
    <w:basedOn w:val="Sangradetextonormal"/>
    <w:link w:val="Textoindependienteprimerasangra2Car"/>
    <w:uiPriority w:val="99"/>
    <w:unhideWhenUsed/>
    <w:rsid w:val="000F1667"/>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0F1667"/>
    <w:rPr>
      <w:rFonts w:ascii="Calibri" w:eastAsia="Calibri" w:hAnsi="Calibri" w:cs="Times New Roman"/>
    </w:rPr>
  </w:style>
  <w:style w:type="paragraph" w:styleId="Textonotapie">
    <w:name w:val="footnote text"/>
    <w:basedOn w:val="Normal"/>
    <w:link w:val="TextonotapieCar"/>
    <w:unhideWhenUsed/>
    <w:rsid w:val="000F1667"/>
    <w:pPr>
      <w:spacing w:after="0" w:line="240" w:lineRule="auto"/>
    </w:pPr>
    <w:rPr>
      <w:sz w:val="20"/>
      <w:szCs w:val="20"/>
    </w:rPr>
  </w:style>
  <w:style w:type="character" w:customStyle="1" w:styleId="TextonotapieCar">
    <w:name w:val="Texto nota pie Car"/>
    <w:basedOn w:val="Fuentedeprrafopredeter"/>
    <w:link w:val="Textonotapie"/>
    <w:rsid w:val="000F1667"/>
    <w:rPr>
      <w:rFonts w:ascii="Calibri" w:eastAsia="Calibri" w:hAnsi="Calibri" w:cs="Times New Roman"/>
      <w:sz w:val="20"/>
      <w:szCs w:val="20"/>
    </w:rPr>
  </w:style>
  <w:style w:type="character" w:styleId="Refdenotaalpie">
    <w:name w:val="footnote reference"/>
    <w:basedOn w:val="Fuentedeprrafopredeter"/>
    <w:uiPriority w:val="99"/>
    <w:unhideWhenUsed/>
    <w:rsid w:val="000F1667"/>
    <w:rPr>
      <w:vertAlign w:val="superscript"/>
    </w:rPr>
  </w:style>
  <w:style w:type="character" w:styleId="Hipervnculo">
    <w:name w:val="Hyperlink"/>
    <w:basedOn w:val="Fuentedeprrafopredeter"/>
    <w:uiPriority w:val="99"/>
    <w:unhideWhenUsed/>
    <w:rsid w:val="00BD4B2D"/>
    <w:rPr>
      <w:color w:val="0563C1" w:themeColor="hyperlink"/>
      <w:u w:val="single"/>
    </w:rPr>
  </w:style>
  <w:style w:type="paragraph" w:styleId="Sinespaciado">
    <w:name w:val="No Spacing"/>
    <w:aliases w:val="~BaseStyle"/>
    <w:uiPriority w:val="1"/>
    <w:qFormat/>
    <w:rsid w:val="00B25979"/>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EE373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E3732"/>
    <w:rPr>
      <w:rFonts w:ascii="Segoe UI" w:eastAsia="Calibri" w:hAnsi="Segoe UI" w:cs="Segoe UI"/>
      <w:sz w:val="18"/>
      <w:szCs w:val="18"/>
    </w:rPr>
  </w:style>
  <w:style w:type="paragraph" w:styleId="Encabezado">
    <w:name w:val="header"/>
    <w:basedOn w:val="Normal"/>
    <w:link w:val="EncabezadoCar"/>
    <w:uiPriority w:val="99"/>
    <w:unhideWhenUsed/>
    <w:rsid w:val="00BB6A0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B6A0B"/>
    <w:rPr>
      <w:rFonts w:ascii="Calibri" w:eastAsia="Calibri" w:hAnsi="Calibri" w:cs="Times New Roman"/>
    </w:rPr>
  </w:style>
  <w:style w:type="paragraph" w:styleId="Piedepgina">
    <w:name w:val="footer"/>
    <w:basedOn w:val="Normal"/>
    <w:link w:val="PiedepginaCar"/>
    <w:uiPriority w:val="99"/>
    <w:unhideWhenUsed/>
    <w:rsid w:val="00BB6A0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B6A0B"/>
    <w:rPr>
      <w:rFonts w:ascii="Calibri" w:eastAsia="Calibri" w:hAnsi="Calibri" w:cs="Times New Roman"/>
    </w:rPr>
  </w:style>
  <w:style w:type="character" w:customStyle="1" w:styleId="N1IFTCar">
    <w:name w:val="N1 IFT Car"/>
    <w:basedOn w:val="Fuentedeprrafopredeter"/>
    <w:link w:val="N1IFT"/>
    <w:locked/>
    <w:rsid w:val="00EB7A55"/>
    <w:rPr>
      <w:rFonts w:ascii="ITC Avant Garde" w:hAnsi="ITC Avant Garde"/>
      <w:b/>
      <w:bCs/>
      <w:color w:val="000000"/>
      <w:lang w:eastAsia="es-ES"/>
    </w:rPr>
  </w:style>
  <w:style w:type="paragraph" w:customStyle="1" w:styleId="N1IFT">
    <w:name w:val="N1 IFT"/>
    <w:basedOn w:val="Normal"/>
    <w:link w:val="N1IFTCar"/>
    <w:rsid w:val="00EB7A55"/>
    <w:pPr>
      <w:jc w:val="both"/>
    </w:pPr>
    <w:rPr>
      <w:rFonts w:ascii="ITC Avant Garde" w:eastAsiaTheme="minorHAnsi" w:hAnsi="ITC Avant Garde" w:cstheme="minorBidi"/>
      <w:b/>
      <w:bCs/>
      <w:color w:val="000000"/>
      <w:lang w:eastAsia="es-ES"/>
    </w:rPr>
  </w:style>
  <w:style w:type="paragraph" w:customStyle="1" w:styleId="Enfasisnegrita">
    <w:name w:val="* Enfasis negrita"/>
    <w:basedOn w:val="Normal"/>
    <w:link w:val="EnfasisnegritaCar"/>
    <w:qFormat/>
    <w:rsid w:val="00037BBC"/>
    <w:pPr>
      <w:spacing w:before="120" w:after="120"/>
      <w:ind w:right="51"/>
      <w:jc w:val="both"/>
    </w:pPr>
    <w:rPr>
      <w:rFonts w:ascii="Arial" w:eastAsiaTheme="minorHAnsi" w:hAnsi="Arial" w:cs="Arial"/>
      <w:b/>
      <w:lang w:val="es-MX"/>
    </w:rPr>
  </w:style>
  <w:style w:type="character" w:customStyle="1" w:styleId="EnfasisnegritaCar">
    <w:name w:val="* Enfasis negrita Car"/>
    <w:basedOn w:val="Fuentedeprrafopredeter"/>
    <w:link w:val="Enfasisnegrita"/>
    <w:rsid w:val="00037BBC"/>
    <w:rPr>
      <w:rFonts w:ascii="Arial" w:hAnsi="Arial" w:cs="Arial"/>
      <w:b/>
    </w:rPr>
  </w:style>
  <w:style w:type="paragraph" w:customStyle="1" w:styleId="6Ttulo">
    <w:name w:val="* 6 Título"/>
    <w:basedOn w:val="Ttulo6"/>
    <w:link w:val="6TtuloCar"/>
    <w:qFormat/>
    <w:rsid w:val="00037BBC"/>
    <w:pPr>
      <w:spacing w:before="200" w:after="120"/>
      <w:ind w:right="51"/>
      <w:jc w:val="both"/>
    </w:pPr>
    <w:rPr>
      <w:rFonts w:ascii="Arial" w:hAnsi="Arial"/>
      <w:b/>
      <w:iCs/>
      <w:lang w:val="es-ES_tradnl" w:eastAsia="es-ES"/>
    </w:rPr>
  </w:style>
  <w:style w:type="character" w:customStyle="1" w:styleId="6TtuloCar">
    <w:name w:val="* 6 Título Car"/>
    <w:basedOn w:val="Ttulo6Car"/>
    <w:link w:val="6Ttulo"/>
    <w:rsid w:val="00037BBC"/>
    <w:rPr>
      <w:rFonts w:ascii="Arial" w:eastAsiaTheme="majorEastAsia" w:hAnsi="Arial" w:cstheme="majorBidi"/>
      <w:b/>
      <w:iCs/>
      <w:color w:val="1F4D78" w:themeColor="accent1" w:themeShade="7F"/>
      <w:lang w:val="es-ES_tradnl" w:eastAsia="es-ES"/>
    </w:rPr>
  </w:style>
  <w:style w:type="character" w:customStyle="1" w:styleId="Ttulo6Car">
    <w:name w:val="Título 6 Car"/>
    <w:basedOn w:val="Fuentedeprrafopredeter"/>
    <w:link w:val="Ttulo6"/>
    <w:uiPriority w:val="9"/>
    <w:semiHidden/>
    <w:rsid w:val="00037BBC"/>
    <w:rPr>
      <w:rFonts w:asciiTheme="majorHAnsi" w:eastAsiaTheme="majorEastAsia" w:hAnsiTheme="majorHAnsi" w:cstheme="majorBidi"/>
      <w:color w:val="1F4D78" w:themeColor="accent1" w:themeShade="7F"/>
      <w:lang w:val="es-ES"/>
    </w:rPr>
  </w:style>
  <w:style w:type="character" w:styleId="Refdecomentario">
    <w:name w:val="annotation reference"/>
    <w:basedOn w:val="Fuentedeprrafopredeter"/>
    <w:uiPriority w:val="99"/>
    <w:semiHidden/>
    <w:unhideWhenUsed/>
    <w:rsid w:val="0051079D"/>
    <w:rPr>
      <w:sz w:val="16"/>
      <w:szCs w:val="16"/>
    </w:rPr>
  </w:style>
  <w:style w:type="paragraph" w:styleId="Textocomentario">
    <w:name w:val="annotation text"/>
    <w:basedOn w:val="Normal"/>
    <w:link w:val="TextocomentarioCar"/>
    <w:uiPriority w:val="99"/>
    <w:unhideWhenUsed/>
    <w:rsid w:val="0051079D"/>
    <w:pPr>
      <w:spacing w:line="240" w:lineRule="auto"/>
    </w:pPr>
    <w:rPr>
      <w:sz w:val="20"/>
      <w:szCs w:val="20"/>
    </w:rPr>
  </w:style>
  <w:style w:type="character" w:customStyle="1" w:styleId="TextocomentarioCar">
    <w:name w:val="Texto comentario Car"/>
    <w:basedOn w:val="Fuentedeprrafopredeter"/>
    <w:link w:val="Textocomentario"/>
    <w:uiPriority w:val="99"/>
    <w:rsid w:val="0051079D"/>
    <w:rPr>
      <w:rFonts w:ascii="Calibri" w:eastAsia="Calibri" w:hAnsi="Calibri"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51079D"/>
    <w:rPr>
      <w:b/>
      <w:bCs/>
    </w:rPr>
  </w:style>
  <w:style w:type="character" w:customStyle="1" w:styleId="AsuntodelcomentarioCar">
    <w:name w:val="Asunto del comentario Car"/>
    <w:basedOn w:val="TextocomentarioCar"/>
    <w:link w:val="Asuntodelcomentario"/>
    <w:uiPriority w:val="99"/>
    <w:semiHidden/>
    <w:rsid w:val="0051079D"/>
    <w:rPr>
      <w:rFonts w:ascii="Calibri" w:eastAsia="Calibri" w:hAnsi="Calibri" w:cs="Times New Roman"/>
      <w:b/>
      <w:bCs/>
      <w:sz w:val="20"/>
      <w:szCs w:val="20"/>
      <w:lang w:val="es-ES"/>
    </w:rPr>
  </w:style>
  <w:style w:type="paragraph" w:customStyle="1" w:styleId="Default">
    <w:name w:val="Default"/>
    <w:rsid w:val="00071534"/>
    <w:pPr>
      <w:autoSpaceDE w:val="0"/>
      <w:autoSpaceDN w:val="0"/>
      <w:adjustRightInd w:val="0"/>
      <w:spacing w:after="0" w:line="240" w:lineRule="auto"/>
    </w:pPr>
    <w:rPr>
      <w:rFonts w:ascii="ITC Avant Garde" w:hAnsi="ITC Avant Garde" w:cs="ITC Avant Garde"/>
      <w:color w:val="000000"/>
      <w:sz w:val="24"/>
      <w:szCs w:val="24"/>
    </w:rPr>
  </w:style>
  <w:style w:type="character" w:styleId="Hipervnculovisitado">
    <w:name w:val="FollowedHyperlink"/>
    <w:basedOn w:val="Fuentedeprrafopredeter"/>
    <w:uiPriority w:val="99"/>
    <w:semiHidden/>
    <w:unhideWhenUsed/>
    <w:rsid w:val="00505937"/>
    <w:rPr>
      <w:color w:val="954F72" w:themeColor="followedHyperlink"/>
      <w:u w:val="single"/>
    </w:rPr>
  </w:style>
  <w:style w:type="paragraph" w:styleId="HTMLconformatoprevio">
    <w:name w:val="HTML Preformatted"/>
    <w:basedOn w:val="Normal"/>
    <w:link w:val="HTMLconformatoprevioCar"/>
    <w:uiPriority w:val="99"/>
    <w:semiHidden/>
    <w:unhideWhenUsed/>
    <w:rsid w:val="00EB75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MX" w:eastAsia="es-MX"/>
    </w:rPr>
  </w:style>
  <w:style w:type="character" w:customStyle="1" w:styleId="HTMLconformatoprevioCar">
    <w:name w:val="HTML con formato previo Car"/>
    <w:basedOn w:val="Fuentedeprrafopredeter"/>
    <w:link w:val="HTMLconformatoprevio"/>
    <w:uiPriority w:val="99"/>
    <w:semiHidden/>
    <w:rsid w:val="00EB75B7"/>
    <w:rPr>
      <w:rFonts w:ascii="Courier New" w:eastAsia="Times New Roman" w:hAnsi="Courier New" w:cs="Courier New"/>
      <w:sz w:val="20"/>
      <w:szCs w:val="20"/>
      <w:lang w:eastAsia="es-MX"/>
    </w:rPr>
  </w:style>
  <w:style w:type="character" w:customStyle="1" w:styleId="y2iqfc">
    <w:name w:val="y2iqfc"/>
    <w:basedOn w:val="Fuentedeprrafopredeter"/>
    <w:rsid w:val="00EB75B7"/>
  </w:style>
  <w:style w:type="character" w:customStyle="1" w:styleId="liststyle1196043187level1">
    <w:name w:val="liststyle_1196043187_level_1"/>
    <w:basedOn w:val="Fuentedeprrafopredeter"/>
    <w:rsid w:val="00954349"/>
  </w:style>
  <w:style w:type="character" w:styleId="Mencinsinresolver">
    <w:name w:val="Unresolved Mention"/>
    <w:basedOn w:val="Fuentedeprrafopredeter"/>
    <w:uiPriority w:val="99"/>
    <w:semiHidden/>
    <w:unhideWhenUsed/>
    <w:rsid w:val="00871907"/>
    <w:rPr>
      <w:color w:val="605E5C"/>
      <w:shd w:val="clear" w:color="auto" w:fill="E1DFDD"/>
    </w:rPr>
  </w:style>
  <w:style w:type="paragraph" w:customStyle="1" w:styleId="Normal1">
    <w:name w:val="Normal1"/>
    <w:rsid w:val="00995046"/>
    <w:pPr>
      <w:spacing w:after="0" w:line="276" w:lineRule="auto"/>
    </w:pPr>
    <w:rPr>
      <w:rFonts w:ascii="Arial" w:eastAsia="Arial" w:hAnsi="Arial" w:cs="Arial"/>
      <w:color w:val="000000"/>
      <w:szCs w:val="24"/>
      <w:lang w:eastAsia="es-ES"/>
    </w:rPr>
  </w:style>
  <w:style w:type="paragraph" w:styleId="Revisin">
    <w:name w:val="Revision"/>
    <w:hidden/>
    <w:uiPriority w:val="99"/>
    <w:semiHidden/>
    <w:rsid w:val="007D77F7"/>
    <w:pPr>
      <w:spacing w:after="0" w:line="240" w:lineRule="auto"/>
    </w:pPr>
    <w:rPr>
      <w:rFonts w:ascii="Calibri" w:eastAsia="Calibri" w:hAnsi="Calibri" w:cs="Times New Roman"/>
      <w:lang w:val="es-ES"/>
    </w:rPr>
  </w:style>
  <w:style w:type="character" w:customStyle="1" w:styleId="cf01">
    <w:name w:val="cf01"/>
    <w:basedOn w:val="Fuentedeprrafopredeter"/>
    <w:rsid w:val="00DE232D"/>
    <w:rPr>
      <w:rFonts w:ascii="Segoe UI" w:hAnsi="Segoe UI" w:cs="Segoe UI" w:hint="default"/>
      <w:sz w:val="18"/>
      <w:szCs w:val="18"/>
    </w:rPr>
  </w:style>
  <w:style w:type="paragraph" w:styleId="NormalWeb">
    <w:name w:val="Normal (Web)"/>
    <w:basedOn w:val="Normal"/>
    <w:uiPriority w:val="99"/>
    <w:unhideWhenUsed/>
    <w:rsid w:val="003D1789"/>
    <w:pPr>
      <w:spacing w:before="100" w:beforeAutospacing="1" w:after="100" w:afterAutospacing="1" w:line="240" w:lineRule="auto"/>
    </w:pPr>
    <w:rPr>
      <w:rFonts w:ascii="Times New Roman" w:eastAsia="Times New Roman" w:hAnsi="Times New Roman"/>
      <w:sz w:val="24"/>
      <w:szCs w:val="24"/>
      <w:lang w:val="es-MX" w:eastAsia="es-MX"/>
    </w:rPr>
  </w:style>
  <w:style w:type="paragraph" w:customStyle="1" w:styleId="Texto">
    <w:name w:val="Texto"/>
    <w:basedOn w:val="Normal"/>
    <w:link w:val="TextoCar"/>
    <w:rsid w:val="00D31EC4"/>
    <w:pPr>
      <w:spacing w:after="101" w:line="216" w:lineRule="exact"/>
      <w:ind w:firstLine="288"/>
      <w:jc w:val="both"/>
    </w:pPr>
    <w:rPr>
      <w:rFonts w:ascii="Arial" w:eastAsia="Times New Roman" w:hAnsi="Arial" w:cs="Arial"/>
      <w:sz w:val="18"/>
      <w:szCs w:val="20"/>
      <w:lang w:eastAsia="es-ES"/>
    </w:rPr>
  </w:style>
  <w:style w:type="character" w:customStyle="1" w:styleId="TextoCar">
    <w:name w:val="Texto Car"/>
    <w:link w:val="Texto"/>
    <w:locked/>
    <w:rsid w:val="00D31EC4"/>
    <w:rPr>
      <w:rFonts w:ascii="Arial" w:eastAsia="Times New Roman" w:hAnsi="Arial" w:cs="Arial"/>
      <w:sz w:val="18"/>
      <w:szCs w:val="20"/>
      <w:lang w:val="es-ES" w:eastAsia="es-ES"/>
    </w:rPr>
  </w:style>
  <w:style w:type="paragraph" w:customStyle="1" w:styleId="texto0">
    <w:name w:val="texto"/>
    <w:basedOn w:val="Normal"/>
    <w:rsid w:val="00D31EC4"/>
    <w:pPr>
      <w:snapToGrid w:val="0"/>
      <w:spacing w:after="101" w:line="216" w:lineRule="exact"/>
      <w:ind w:firstLine="288"/>
      <w:jc w:val="both"/>
    </w:pPr>
    <w:rPr>
      <w:rFonts w:ascii="Arial" w:eastAsia="Times New Roman" w:hAnsi="Arial" w:cs="Arial"/>
      <w:sz w:val="18"/>
      <w:szCs w:val="18"/>
      <w:lang w:val="es-MX" w:eastAsia="es-ES"/>
    </w:rPr>
  </w:style>
  <w:style w:type="table" w:styleId="Tabladecuadrcula4">
    <w:name w:val="Grid Table 4"/>
    <w:basedOn w:val="Tablanormal"/>
    <w:uiPriority w:val="49"/>
    <w:rsid w:val="002955C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924327">
      <w:bodyDiv w:val="1"/>
      <w:marLeft w:val="0"/>
      <w:marRight w:val="0"/>
      <w:marTop w:val="0"/>
      <w:marBottom w:val="0"/>
      <w:divBdr>
        <w:top w:val="none" w:sz="0" w:space="0" w:color="auto"/>
        <w:left w:val="none" w:sz="0" w:space="0" w:color="auto"/>
        <w:bottom w:val="none" w:sz="0" w:space="0" w:color="auto"/>
        <w:right w:val="none" w:sz="0" w:space="0" w:color="auto"/>
      </w:divBdr>
    </w:div>
    <w:div w:id="112947816">
      <w:bodyDiv w:val="1"/>
      <w:marLeft w:val="0"/>
      <w:marRight w:val="0"/>
      <w:marTop w:val="0"/>
      <w:marBottom w:val="0"/>
      <w:divBdr>
        <w:top w:val="none" w:sz="0" w:space="0" w:color="auto"/>
        <w:left w:val="none" w:sz="0" w:space="0" w:color="auto"/>
        <w:bottom w:val="none" w:sz="0" w:space="0" w:color="auto"/>
        <w:right w:val="none" w:sz="0" w:space="0" w:color="auto"/>
      </w:divBdr>
    </w:div>
    <w:div w:id="268319783">
      <w:bodyDiv w:val="1"/>
      <w:marLeft w:val="0"/>
      <w:marRight w:val="0"/>
      <w:marTop w:val="0"/>
      <w:marBottom w:val="0"/>
      <w:divBdr>
        <w:top w:val="none" w:sz="0" w:space="0" w:color="auto"/>
        <w:left w:val="none" w:sz="0" w:space="0" w:color="auto"/>
        <w:bottom w:val="none" w:sz="0" w:space="0" w:color="auto"/>
        <w:right w:val="none" w:sz="0" w:space="0" w:color="auto"/>
      </w:divBdr>
    </w:div>
    <w:div w:id="319844371">
      <w:bodyDiv w:val="1"/>
      <w:marLeft w:val="0"/>
      <w:marRight w:val="0"/>
      <w:marTop w:val="0"/>
      <w:marBottom w:val="0"/>
      <w:divBdr>
        <w:top w:val="none" w:sz="0" w:space="0" w:color="auto"/>
        <w:left w:val="none" w:sz="0" w:space="0" w:color="auto"/>
        <w:bottom w:val="none" w:sz="0" w:space="0" w:color="auto"/>
        <w:right w:val="none" w:sz="0" w:space="0" w:color="auto"/>
      </w:divBdr>
      <w:divsChild>
        <w:div w:id="1083070209">
          <w:marLeft w:val="0"/>
          <w:marRight w:val="0"/>
          <w:marTop w:val="0"/>
          <w:marBottom w:val="20"/>
          <w:divBdr>
            <w:top w:val="none" w:sz="0" w:space="0" w:color="auto"/>
            <w:left w:val="none" w:sz="0" w:space="0" w:color="auto"/>
            <w:bottom w:val="none" w:sz="0" w:space="0" w:color="auto"/>
            <w:right w:val="none" w:sz="0" w:space="0" w:color="auto"/>
          </w:divBdr>
        </w:div>
      </w:divsChild>
    </w:div>
    <w:div w:id="335037077">
      <w:bodyDiv w:val="1"/>
      <w:marLeft w:val="0"/>
      <w:marRight w:val="0"/>
      <w:marTop w:val="0"/>
      <w:marBottom w:val="0"/>
      <w:divBdr>
        <w:top w:val="none" w:sz="0" w:space="0" w:color="auto"/>
        <w:left w:val="none" w:sz="0" w:space="0" w:color="auto"/>
        <w:bottom w:val="none" w:sz="0" w:space="0" w:color="auto"/>
        <w:right w:val="none" w:sz="0" w:space="0" w:color="auto"/>
      </w:divBdr>
      <w:divsChild>
        <w:div w:id="590743189">
          <w:marLeft w:val="0"/>
          <w:marRight w:val="0"/>
          <w:marTop w:val="0"/>
          <w:marBottom w:val="101"/>
          <w:divBdr>
            <w:top w:val="none" w:sz="0" w:space="0" w:color="auto"/>
            <w:left w:val="none" w:sz="0" w:space="0" w:color="auto"/>
            <w:bottom w:val="none" w:sz="0" w:space="0" w:color="auto"/>
            <w:right w:val="none" w:sz="0" w:space="0" w:color="auto"/>
          </w:divBdr>
        </w:div>
      </w:divsChild>
    </w:div>
    <w:div w:id="357388478">
      <w:bodyDiv w:val="1"/>
      <w:marLeft w:val="0"/>
      <w:marRight w:val="0"/>
      <w:marTop w:val="0"/>
      <w:marBottom w:val="0"/>
      <w:divBdr>
        <w:top w:val="none" w:sz="0" w:space="0" w:color="auto"/>
        <w:left w:val="none" w:sz="0" w:space="0" w:color="auto"/>
        <w:bottom w:val="none" w:sz="0" w:space="0" w:color="auto"/>
        <w:right w:val="none" w:sz="0" w:space="0" w:color="auto"/>
      </w:divBdr>
    </w:div>
    <w:div w:id="595677587">
      <w:bodyDiv w:val="1"/>
      <w:marLeft w:val="0"/>
      <w:marRight w:val="0"/>
      <w:marTop w:val="0"/>
      <w:marBottom w:val="0"/>
      <w:divBdr>
        <w:top w:val="none" w:sz="0" w:space="0" w:color="auto"/>
        <w:left w:val="none" w:sz="0" w:space="0" w:color="auto"/>
        <w:bottom w:val="none" w:sz="0" w:space="0" w:color="auto"/>
        <w:right w:val="none" w:sz="0" w:space="0" w:color="auto"/>
      </w:divBdr>
    </w:div>
    <w:div w:id="666715768">
      <w:bodyDiv w:val="1"/>
      <w:marLeft w:val="0"/>
      <w:marRight w:val="0"/>
      <w:marTop w:val="0"/>
      <w:marBottom w:val="0"/>
      <w:divBdr>
        <w:top w:val="none" w:sz="0" w:space="0" w:color="auto"/>
        <w:left w:val="none" w:sz="0" w:space="0" w:color="auto"/>
        <w:bottom w:val="none" w:sz="0" w:space="0" w:color="auto"/>
        <w:right w:val="none" w:sz="0" w:space="0" w:color="auto"/>
      </w:divBdr>
    </w:div>
    <w:div w:id="715543841">
      <w:bodyDiv w:val="1"/>
      <w:marLeft w:val="0"/>
      <w:marRight w:val="0"/>
      <w:marTop w:val="0"/>
      <w:marBottom w:val="0"/>
      <w:divBdr>
        <w:top w:val="none" w:sz="0" w:space="0" w:color="auto"/>
        <w:left w:val="none" w:sz="0" w:space="0" w:color="auto"/>
        <w:bottom w:val="none" w:sz="0" w:space="0" w:color="auto"/>
        <w:right w:val="none" w:sz="0" w:space="0" w:color="auto"/>
      </w:divBdr>
    </w:div>
    <w:div w:id="765267858">
      <w:bodyDiv w:val="1"/>
      <w:marLeft w:val="0"/>
      <w:marRight w:val="0"/>
      <w:marTop w:val="0"/>
      <w:marBottom w:val="0"/>
      <w:divBdr>
        <w:top w:val="none" w:sz="0" w:space="0" w:color="auto"/>
        <w:left w:val="none" w:sz="0" w:space="0" w:color="auto"/>
        <w:bottom w:val="none" w:sz="0" w:space="0" w:color="auto"/>
        <w:right w:val="none" w:sz="0" w:space="0" w:color="auto"/>
      </w:divBdr>
    </w:div>
    <w:div w:id="875046667">
      <w:bodyDiv w:val="1"/>
      <w:marLeft w:val="0"/>
      <w:marRight w:val="0"/>
      <w:marTop w:val="0"/>
      <w:marBottom w:val="0"/>
      <w:divBdr>
        <w:top w:val="none" w:sz="0" w:space="0" w:color="auto"/>
        <w:left w:val="none" w:sz="0" w:space="0" w:color="auto"/>
        <w:bottom w:val="none" w:sz="0" w:space="0" w:color="auto"/>
        <w:right w:val="none" w:sz="0" w:space="0" w:color="auto"/>
      </w:divBdr>
    </w:div>
    <w:div w:id="1004749507">
      <w:bodyDiv w:val="1"/>
      <w:marLeft w:val="0"/>
      <w:marRight w:val="0"/>
      <w:marTop w:val="0"/>
      <w:marBottom w:val="0"/>
      <w:divBdr>
        <w:top w:val="none" w:sz="0" w:space="0" w:color="auto"/>
        <w:left w:val="none" w:sz="0" w:space="0" w:color="auto"/>
        <w:bottom w:val="none" w:sz="0" w:space="0" w:color="auto"/>
        <w:right w:val="none" w:sz="0" w:space="0" w:color="auto"/>
      </w:divBdr>
    </w:div>
    <w:div w:id="1301496139">
      <w:bodyDiv w:val="1"/>
      <w:marLeft w:val="0"/>
      <w:marRight w:val="0"/>
      <w:marTop w:val="0"/>
      <w:marBottom w:val="0"/>
      <w:divBdr>
        <w:top w:val="none" w:sz="0" w:space="0" w:color="auto"/>
        <w:left w:val="none" w:sz="0" w:space="0" w:color="auto"/>
        <w:bottom w:val="none" w:sz="0" w:space="0" w:color="auto"/>
        <w:right w:val="none" w:sz="0" w:space="0" w:color="auto"/>
      </w:divBdr>
    </w:div>
    <w:div w:id="1331522755">
      <w:bodyDiv w:val="1"/>
      <w:marLeft w:val="0"/>
      <w:marRight w:val="0"/>
      <w:marTop w:val="0"/>
      <w:marBottom w:val="0"/>
      <w:divBdr>
        <w:top w:val="none" w:sz="0" w:space="0" w:color="auto"/>
        <w:left w:val="none" w:sz="0" w:space="0" w:color="auto"/>
        <w:bottom w:val="none" w:sz="0" w:space="0" w:color="auto"/>
        <w:right w:val="none" w:sz="0" w:space="0" w:color="auto"/>
      </w:divBdr>
      <w:divsChild>
        <w:div w:id="757336157">
          <w:marLeft w:val="720"/>
          <w:marRight w:val="0"/>
          <w:marTop w:val="0"/>
          <w:marBottom w:val="101"/>
          <w:divBdr>
            <w:top w:val="none" w:sz="0" w:space="0" w:color="auto"/>
            <w:left w:val="none" w:sz="0" w:space="0" w:color="auto"/>
            <w:bottom w:val="none" w:sz="0" w:space="0" w:color="auto"/>
            <w:right w:val="none" w:sz="0" w:space="0" w:color="auto"/>
          </w:divBdr>
        </w:div>
      </w:divsChild>
    </w:div>
    <w:div w:id="1395816320">
      <w:bodyDiv w:val="1"/>
      <w:marLeft w:val="0"/>
      <w:marRight w:val="0"/>
      <w:marTop w:val="0"/>
      <w:marBottom w:val="0"/>
      <w:divBdr>
        <w:top w:val="none" w:sz="0" w:space="0" w:color="auto"/>
        <w:left w:val="none" w:sz="0" w:space="0" w:color="auto"/>
        <w:bottom w:val="none" w:sz="0" w:space="0" w:color="auto"/>
        <w:right w:val="none" w:sz="0" w:space="0" w:color="auto"/>
      </w:divBdr>
    </w:div>
    <w:div w:id="1485659206">
      <w:bodyDiv w:val="1"/>
      <w:marLeft w:val="0"/>
      <w:marRight w:val="0"/>
      <w:marTop w:val="0"/>
      <w:marBottom w:val="0"/>
      <w:divBdr>
        <w:top w:val="none" w:sz="0" w:space="0" w:color="auto"/>
        <w:left w:val="none" w:sz="0" w:space="0" w:color="auto"/>
        <w:bottom w:val="none" w:sz="0" w:space="0" w:color="auto"/>
        <w:right w:val="none" w:sz="0" w:space="0" w:color="auto"/>
      </w:divBdr>
    </w:div>
    <w:div w:id="1494027496">
      <w:bodyDiv w:val="1"/>
      <w:marLeft w:val="0"/>
      <w:marRight w:val="0"/>
      <w:marTop w:val="0"/>
      <w:marBottom w:val="0"/>
      <w:divBdr>
        <w:top w:val="none" w:sz="0" w:space="0" w:color="auto"/>
        <w:left w:val="none" w:sz="0" w:space="0" w:color="auto"/>
        <w:bottom w:val="none" w:sz="0" w:space="0" w:color="auto"/>
        <w:right w:val="none" w:sz="0" w:space="0" w:color="auto"/>
      </w:divBdr>
    </w:div>
    <w:div w:id="1529830980">
      <w:bodyDiv w:val="1"/>
      <w:marLeft w:val="0"/>
      <w:marRight w:val="0"/>
      <w:marTop w:val="0"/>
      <w:marBottom w:val="0"/>
      <w:divBdr>
        <w:top w:val="none" w:sz="0" w:space="0" w:color="auto"/>
        <w:left w:val="none" w:sz="0" w:space="0" w:color="auto"/>
        <w:bottom w:val="none" w:sz="0" w:space="0" w:color="auto"/>
        <w:right w:val="none" w:sz="0" w:space="0" w:color="auto"/>
      </w:divBdr>
      <w:divsChild>
        <w:div w:id="2095203879">
          <w:marLeft w:val="0"/>
          <w:marRight w:val="0"/>
          <w:marTop w:val="240"/>
          <w:marBottom w:val="0"/>
          <w:divBdr>
            <w:top w:val="none" w:sz="0" w:space="0" w:color="auto"/>
            <w:left w:val="none" w:sz="0" w:space="0" w:color="auto"/>
            <w:bottom w:val="none" w:sz="0" w:space="0" w:color="auto"/>
            <w:right w:val="none" w:sz="0" w:space="0" w:color="auto"/>
          </w:divBdr>
          <w:divsChild>
            <w:div w:id="753935121">
              <w:marLeft w:val="0"/>
              <w:marRight w:val="0"/>
              <w:marTop w:val="0"/>
              <w:marBottom w:val="0"/>
              <w:divBdr>
                <w:top w:val="none" w:sz="0" w:space="0" w:color="auto"/>
                <w:left w:val="none" w:sz="0" w:space="0" w:color="auto"/>
                <w:bottom w:val="none" w:sz="0" w:space="0" w:color="auto"/>
                <w:right w:val="none" w:sz="0" w:space="0" w:color="auto"/>
              </w:divBdr>
              <w:divsChild>
                <w:div w:id="701519275">
                  <w:marLeft w:val="0"/>
                  <w:marRight w:val="0"/>
                  <w:marTop w:val="0"/>
                  <w:marBottom w:val="0"/>
                  <w:divBdr>
                    <w:top w:val="none" w:sz="0" w:space="0" w:color="auto"/>
                    <w:left w:val="none" w:sz="0" w:space="0" w:color="auto"/>
                    <w:bottom w:val="none" w:sz="0" w:space="0" w:color="auto"/>
                    <w:right w:val="none" w:sz="0" w:space="0" w:color="auto"/>
                  </w:divBdr>
                  <w:divsChild>
                    <w:div w:id="1891071311">
                      <w:marLeft w:val="144"/>
                      <w:marRight w:val="0"/>
                      <w:marTop w:val="0"/>
                      <w:marBottom w:val="101"/>
                      <w:divBdr>
                        <w:top w:val="none" w:sz="0" w:space="0" w:color="auto"/>
                        <w:left w:val="none" w:sz="0" w:space="0" w:color="auto"/>
                        <w:bottom w:val="single" w:sz="4" w:space="0" w:color="000000"/>
                        <w:right w:val="none" w:sz="0" w:space="0" w:color="auto"/>
                      </w:divBdr>
                    </w:div>
                  </w:divsChild>
                </w:div>
                <w:div w:id="1465351641">
                  <w:marLeft w:val="0"/>
                  <w:marRight w:val="0"/>
                  <w:marTop w:val="0"/>
                  <w:marBottom w:val="0"/>
                  <w:divBdr>
                    <w:top w:val="none" w:sz="0" w:space="0" w:color="auto"/>
                    <w:left w:val="none" w:sz="0" w:space="0" w:color="auto"/>
                    <w:bottom w:val="none" w:sz="0" w:space="0" w:color="auto"/>
                    <w:right w:val="none" w:sz="0" w:space="0" w:color="auto"/>
                  </w:divBdr>
                  <w:divsChild>
                    <w:div w:id="1475681418">
                      <w:marLeft w:val="0"/>
                      <w:marRight w:val="0"/>
                      <w:marTop w:val="0"/>
                      <w:marBottom w:val="54"/>
                      <w:divBdr>
                        <w:top w:val="none" w:sz="0" w:space="0" w:color="auto"/>
                        <w:left w:val="none" w:sz="0" w:space="0" w:color="auto"/>
                        <w:bottom w:val="none" w:sz="0" w:space="0" w:color="auto"/>
                        <w:right w:val="none" w:sz="0" w:space="0" w:color="auto"/>
                      </w:divBdr>
                    </w:div>
                    <w:div w:id="1631279302">
                      <w:marLeft w:val="720"/>
                      <w:marRight w:val="0"/>
                      <w:marTop w:val="0"/>
                      <w:marBottom w:val="54"/>
                      <w:divBdr>
                        <w:top w:val="none" w:sz="0" w:space="0" w:color="auto"/>
                        <w:left w:val="none" w:sz="0" w:space="0" w:color="auto"/>
                        <w:bottom w:val="none" w:sz="0" w:space="0" w:color="auto"/>
                        <w:right w:val="none" w:sz="0" w:space="0" w:color="auto"/>
                      </w:divBdr>
                    </w:div>
                    <w:div w:id="1700424600">
                      <w:marLeft w:val="0"/>
                      <w:marRight w:val="0"/>
                      <w:marTop w:val="0"/>
                      <w:marBottom w:val="54"/>
                      <w:divBdr>
                        <w:top w:val="none" w:sz="0" w:space="0" w:color="auto"/>
                        <w:left w:val="none" w:sz="0" w:space="0" w:color="auto"/>
                        <w:bottom w:val="none" w:sz="0" w:space="0" w:color="auto"/>
                        <w:right w:val="none" w:sz="0" w:space="0" w:color="auto"/>
                      </w:divBdr>
                    </w:div>
                    <w:div w:id="1818381330">
                      <w:marLeft w:val="0"/>
                      <w:marRight w:val="0"/>
                      <w:marTop w:val="0"/>
                      <w:marBottom w:val="54"/>
                      <w:divBdr>
                        <w:top w:val="none" w:sz="0" w:space="0" w:color="auto"/>
                        <w:left w:val="none" w:sz="0" w:space="0" w:color="auto"/>
                        <w:bottom w:val="none" w:sz="0" w:space="0" w:color="auto"/>
                        <w:right w:val="none" w:sz="0" w:space="0" w:color="auto"/>
                      </w:divBdr>
                    </w:div>
                  </w:divsChild>
                </w:div>
                <w:div w:id="1888881904">
                  <w:marLeft w:val="0"/>
                  <w:marRight w:val="0"/>
                  <w:marTop w:val="0"/>
                  <w:marBottom w:val="0"/>
                  <w:divBdr>
                    <w:top w:val="none" w:sz="0" w:space="0" w:color="auto"/>
                    <w:left w:val="none" w:sz="0" w:space="0" w:color="auto"/>
                    <w:bottom w:val="none" w:sz="0" w:space="0" w:color="auto"/>
                    <w:right w:val="none" w:sz="0" w:space="0" w:color="auto"/>
                  </w:divBdr>
                  <w:divsChild>
                    <w:div w:id="1398116">
                      <w:marLeft w:val="144"/>
                      <w:marRight w:val="0"/>
                      <w:marTop w:val="0"/>
                      <w:marBottom w:val="101"/>
                      <w:divBdr>
                        <w:top w:val="none" w:sz="0" w:space="0" w:color="auto"/>
                        <w:left w:val="none" w:sz="0" w:space="0" w:color="auto"/>
                        <w:bottom w:val="single" w:sz="4" w:space="0" w:color="000000"/>
                        <w:right w:val="none" w:sz="0" w:space="0" w:color="auto"/>
                      </w:divBdr>
                    </w:div>
                    <w:div w:id="116804076">
                      <w:marLeft w:val="720"/>
                      <w:marRight w:val="0"/>
                      <w:marTop w:val="0"/>
                      <w:marBottom w:val="101"/>
                      <w:divBdr>
                        <w:top w:val="none" w:sz="0" w:space="0" w:color="auto"/>
                        <w:left w:val="none" w:sz="0" w:space="0" w:color="auto"/>
                        <w:bottom w:val="none" w:sz="0" w:space="0" w:color="auto"/>
                        <w:right w:val="none" w:sz="0" w:space="0" w:color="auto"/>
                      </w:divBdr>
                    </w:div>
                    <w:div w:id="231038904">
                      <w:marLeft w:val="720"/>
                      <w:marRight w:val="0"/>
                      <w:marTop w:val="0"/>
                      <w:marBottom w:val="54"/>
                      <w:divBdr>
                        <w:top w:val="single" w:sz="4" w:space="0" w:color="000000"/>
                        <w:left w:val="none" w:sz="0" w:space="0" w:color="auto"/>
                        <w:bottom w:val="none" w:sz="0" w:space="0" w:color="auto"/>
                        <w:right w:val="none" w:sz="0" w:space="0" w:color="auto"/>
                      </w:divBdr>
                    </w:div>
                    <w:div w:id="231161489">
                      <w:marLeft w:val="720"/>
                      <w:marRight w:val="0"/>
                      <w:marTop w:val="0"/>
                      <w:marBottom w:val="54"/>
                      <w:divBdr>
                        <w:top w:val="none" w:sz="0" w:space="0" w:color="auto"/>
                        <w:left w:val="none" w:sz="0" w:space="0" w:color="auto"/>
                        <w:bottom w:val="none" w:sz="0" w:space="0" w:color="auto"/>
                        <w:right w:val="none" w:sz="0" w:space="0" w:color="auto"/>
                      </w:divBdr>
                    </w:div>
                    <w:div w:id="267467011">
                      <w:marLeft w:val="720"/>
                      <w:marRight w:val="0"/>
                      <w:marTop w:val="0"/>
                      <w:marBottom w:val="101"/>
                      <w:divBdr>
                        <w:top w:val="single" w:sz="4" w:space="0" w:color="000000"/>
                        <w:left w:val="none" w:sz="0" w:space="0" w:color="auto"/>
                        <w:bottom w:val="none" w:sz="0" w:space="0" w:color="auto"/>
                        <w:right w:val="none" w:sz="0" w:space="0" w:color="auto"/>
                      </w:divBdr>
                    </w:div>
                    <w:div w:id="340787325">
                      <w:marLeft w:val="720"/>
                      <w:marRight w:val="0"/>
                      <w:marTop w:val="0"/>
                      <w:marBottom w:val="54"/>
                      <w:divBdr>
                        <w:top w:val="none" w:sz="0" w:space="0" w:color="auto"/>
                        <w:left w:val="none" w:sz="0" w:space="0" w:color="auto"/>
                        <w:bottom w:val="none" w:sz="0" w:space="0" w:color="auto"/>
                        <w:right w:val="none" w:sz="0" w:space="0" w:color="auto"/>
                      </w:divBdr>
                    </w:div>
                    <w:div w:id="475954046">
                      <w:marLeft w:val="720"/>
                      <w:marRight w:val="0"/>
                      <w:marTop w:val="0"/>
                      <w:marBottom w:val="54"/>
                      <w:divBdr>
                        <w:top w:val="none" w:sz="0" w:space="0" w:color="auto"/>
                        <w:left w:val="none" w:sz="0" w:space="0" w:color="auto"/>
                        <w:bottom w:val="none" w:sz="0" w:space="0" w:color="auto"/>
                        <w:right w:val="none" w:sz="0" w:space="0" w:color="auto"/>
                      </w:divBdr>
                    </w:div>
                    <w:div w:id="490605856">
                      <w:marLeft w:val="720"/>
                      <w:marRight w:val="0"/>
                      <w:marTop w:val="0"/>
                      <w:marBottom w:val="54"/>
                      <w:divBdr>
                        <w:top w:val="none" w:sz="0" w:space="0" w:color="auto"/>
                        <w:left w:val="none" w:sz="0" w:space="0" w:color="auto"/>
                        <w:bottom w:val="none" w:sz="0" w:space="0" w:color="auto"/>
                        <w:right w:val="none" w:sz="0" w:space="0" w:color="auto"/>
                      </w:divBdr>
                    </w:div>
                    <w:div w:id="495651994">
                      <w:marLeft w:val="720"/>
                      <w:marRight w:val="0"/>
                      <w:marTop w:val="0"/>
                      <w:marBottom w:val="54"/>
                      <w:divBdr>
                        <w:top w:val="none" w:sz="0" w:space="0" w:color="auto"/>
                        <w:left w:val="none" w:sz="0" w:space="0" w:color="auto"/>
                        <w:bottom w:val="none" w:sz="0" w:space="0" w:color="auto"/>
                        <w:right w:val="none" w:sz="0" w:space="0" w:color="auto"/>
                      </w:divBdr>
                    </w:div>
                    <w:div w:id="506217902">
                      <w:marLeft w:val="1152"/>
                      <w:marRight w:val="0"/>
                      <w:marTop w:val="0"/>
                      <w:marBottom w:val="54"/>
                      <w:divBdr>
                        <w:top w:val="none" w:sz="0" w:space="0" w:color="auto"/>
                        <w:left w:val="none" w:sz="0" w:space="0" w:color="auto"/>
                        <w:bottom w:val="none" w:sz="0" w:space="0" w:color="auto"/>
                        <w:right w:val="none" w:sz="0" w:space="0" w:color="auto"/>
                      </w:divBdr>
                    </w:div>
                    <w:div w:id="735322170">
                      <w:marLeft w:val="720"/>
                      <w:marRight w:val="0"/>
                      <w:marTop w:val="0"/>
                      <w:marBottom w:val="101"/>
                      <w:divBdr>
                        <w:top w:val="none" w:sz="0" w:space="0" w:color="auto"/>
                        <w:left w:val="none" w:sz="0" w:space="0" w:color="auto"/>
                        <w:bottom w:val="none" w:sz="0" w:space="0" w:color="auto"/>
                        <w:right w:val="none" w:sz="0" w:space="0" w:color="auto"/>
                      </w:divBdr>
                    </w:div>
                    <w:div w:id="810828170">
                      <w:marLeft w:val="1152"/>
                      <w:marRight w:val="0"/>
                      <w:marTop w:val="0"/>
                      <w:marBottom w:val="54"/>
                      <w:divBdr>
                        <w:top w:val="none" w:sz="0" w:space="0" w:color="auto"/>
                        <w:left w:val="none" w:sz="0" w:space="0" w:color="auto"/>
                        <w:bottom w:val="none" w:sz="0" w:space="0" w:color="auto"/>
                        <w:right w:val="none" w:sz="0" w:space="0" w:color="auto"/>
                      </w:divBdr>
                    </w:div>
                    <w:div w:id="886113963">
                      <w:marLeft w:val="720"/>
                      <w:marRight w:val="0"/>
                      <w:marTop w:val="0"/>
                      <w:marBottom w:val="101"/>
                      <w:divBdr>
                        <w:top w:val="single" w:sz="4" w:space="0" w:color="000000"/>
                        <w:left w:val="none" w:sz="0" w:space="0" w:color="auto"/>
                        <w:bottom w:val="none" w:sz="0" w:space="0" w:color="auto"/>
                        <w:right w:val="none" w:sz="0" w:space="0" w:color="auto"/>
                      </w:divBdr>
                    </w:div>
                    <w:div w:id="1017273382">
                      <w:marLeft w:val="1152"/>
                      <w:marRight w:val="0"/>
                      <w:marTop w:val="0"/>
                      <w:marBottom w:val="54"/>
                      <w:divBdr>
                        <w:top w:val="none" w:sz="0" w:space="0" w:color="auto"/>
                        <w:left w:val="none" w:sz="0" w:space="0" w:color="auto"/>
                        <w:bottom w:val="none" w:sz="0" w:space="0" w:color="auto"/>
                        <w:right w:val="none" w:sz="0" w:space="0" w:color="auto"/>
                      </w:divBdr>
                    </w:div>
                    <w:div w:id="1019090707">
                      <w:marLeft w:val="720"/>
                      <w:marRight w:val="0"/>
                      <w:marTop w:val="0"/>
                      <w:marBottom w:val="101"/>
                      <w:divBdr>
                        <w:top w:val="none" w:sz="0" w:space="0" w:color="auto"/>
                        <w:left w:val="none" w:sz="0" w:space="0" w:color="auto"/>
                        <w:bottom w:val="none" w:sz="0" w:space="0" w:color="auto"/>
                        <w:right w:val="none" w:sz="0" w:space="0" w:color="auto"/>
                      </w:divBdr>
                    </w:div>
                    <w:div w:id="1035618419">
                      <w:marLeft w:val="720"/>
                      <w:marRight w:val="0"/>
                      <w:marTop w:val="0"/>
                      <w:marBottom w:val="54"/>
                      <w:divBdr>
                        <w:top w:val="none" w:sz="0" w:space="0" w:color="auto"/>
                        <w:left w:val="none" w:sz="0" w:space="0" w:color="auto"/>
                        <w:bottom w:val="none" w:sz="0" w:space="0" w:color="auto"/>
                        <w:right w:val="none" w:sz="0" w:space="0" w:color="auto"/>
                      </w:divBdr>
                    </w:div>
                    <w:div w:id="1082682814">
                      <w:marLeft w:val="1152"/>
                      <w:marRight w:val="0"/>
                      <w:marTop w:val="0"/>
                      <w:marBottom w:val="54"/>
                      <w:divBdr>
                        <w:top w:val="none" w:sz="0" w:space="0" w:color="auto"/>
                        <w:left w:val="none" w:sz="0" w:space="0" w:color="auto"/>
                        <w:bottom w:val="none" w:sz="0" w:space="0" w:color="auto"/>
                        <w:right w:val="none" w:sz="0" w:space="0" w:color="auto"/>
                      </w:divBdr>
                    </w:div>
                    <w:div w:id="1106995953">
                      <w:marLeft w:val="720"/>
                      <w:marRight w:val="0"/>
                      <w:marTop w:val="0"/>
                      <w:marBottom w:val="54"/>
                      <w:divBdr>
                        <w:top w:val="none" w:sz="0" w:space="0" w:color="auto"/>
                        <w:left w:val="none" w:sz="0" w:space="0" w:color="auto"/>
                        <w:bottom w:val="none" w:sz="0" w:space="0" w:color="auto"/>
                        <w:right w:val="none" w:sz="0" w:space="0" w:color="auto"/>
                      </w:divBdr>
                    </w:div>
                    <w:div w:id="1148322993">
                      <w:marLeft w:val="720"/>
                      <w:marRight w:val="0"/>
                      <w:marTop w:val="0"/>
                      <w:marBottom w:val="54"/>
                      <w:divBdr>
                        <w:top w:val="none" w:sz="0" w:space="0" w:color="auto"/>
                        <w:left w:val="none" w:sz="0" w:space="0" w:color="auto"/>
                        <w:bottom w:val="none" w:sz="0" w:space="0" w:color="auto"/>
                        <w:right w:val="none" w:sz="0" w:space="0" w:color="auto"/>
                      </w:divBdr>
                    </w:div>
                    <w:div w:id="1180658166">
                      <w:marLeft w:val="720"/>
                      <w:marRight w:val="0"/>
                      <w:marTop w:val="0"/>
                      <w:marBottom w:val="54"/>
                      <w:divBdr>
                        <w:top w:val="single" w:sz="4" w:space="0" w:color="000000"/>
                        <w:left w:val="none" w:sz="0" w:space="0" w:color="auto"/>
                        <w:bottom w:val="none" w:sz="0" w:space="0" w:color="auto"/>
                        <w:right w:val="none" w:sz="0" w:space="0" w:color="auto"/>
                      </w:divBdr>
                    </w:div>
                    <w:div w:id="1208571355">
                      <w:marLeft w:val="720"/>
                      <w:marRight w:val="0"/>
                      <w:marTop w:val="0"/>
                      <w:marBottom w:val="54"/>
                      <w:divBdr>
                        <w:top w:val="none" w:sz="0" w:space="0" w:color="auto"/>
                        <w:left w:val="none" w:sz="0" w:space="0" w:color="auto"/>
                        <w:bottom w:val="none" w:sz="0" w:space="0" w:color="auto"/>
                        <w:right w:val="none" w:sz="0" w:space="0" w:color="auto"/>
                      </w:divBdr>
                    </w:div>
                    <w:div w:id="1255240475">
                      <w:marLeft w:val="720"/>
                      <w:marRight w:val="0"/>
                      <w:marTop w:val="0"/>
                      <w:marBottom w:val="54"/>
                      <w:divBdr>
                        <w:top w:val="none" w:sz="0" w:space="0" w:color="auto"/>
                        <w:left w:val="none" w:sz="0" w:space="0" w:color="auto"/>
                        <w:bottom w:val="none" w:sz="0" w:space="0" w:color="auto"/>
                        <w:right w:val="none" w:sz="0" w:space="0" w:color="auto"/>
                      </w:divBdr>
                    </w:div>
                    <w:div w:id="1306549653">
                      <w:marLeft w:val="720"/>
                      <w:marRight w:val="0"/>
                      <w:marTop w:val="0"/>
                      <w:marBottom w:val="54"/>
                      <w:divBdr>
                        <w:top w:val="none" w:sz="0" w:space="0" w:color="auto"/>
                        <w:left w:val="none" w:sz="0" w:space="0" w:color="auto"/>
                        <w:bottom w:val="none" w:sz="0" w:space="0" w:color="auto"/>
                        <w:right w:val="none" w:sz="0" w:space="0" w:color="auto"/>
                      </w:divBdr>
                    </w:div>
                    <w:div w:id="1403065882">
                      <w:marLeft w:val="720"/>
                      <w:marRight w:val="0"/>
                      <w:marTop w:val="0"/>
                      <w:marBottom w:val="54"/>
                      <w:divBdr>
                        <w:top w:val="none" w:sz="0" w:space="0" w:color="auto"/>
                        <w:left w:val="none" w:sz="0" w:space="0" w:color="auto"/>
                        <w:bottom w:val="none" w:sz="0" w:space="0" w:color="auto"/>
                        <w:right w:val="none" w:sz="0" w:space="0" w:color="auto"/>
                      </w:divBdr>
                    </w:div>
                    <w:div w:id="1459491742">
                      <w:marLeft w:val="1152"/>
                      <w:marRight w:val="0"/>
                      <w:marTop w:val="0"/>
                      <w:marBottom w:val="54"/>
                      <w:divBdr>
                        <w:top w:val="none" w:sz="0" w:space="0" w:color="auto"/>
                        <w:left w:val="none" w:sz="0" w:space="0" w:color="auto"/>
                        <w:bottom w:val="none" w:sz="0" w:space="0" w:color="auto"/>
                        <w:right w:val="none" w:sz="0" w:space="0" w:color="auto"/>
                      </w:divBdr>
                    </w:div>
                    <w:div w:id="1495411475">
                      <w:marLeft w:val="720"/>
                      <w:marRight w:val="0"/>
                      <w:marTop w:val="0"/>
                      <w:marBottom w:val="101"/>
                      <w:divBdr>
                        <w:top w:val="none" w:sz="0" w:space="0" w:color="auto"/>
                        <w:left w:val="none" w:sz="0" w:space="0" w:color="auto"/>
                        <w:bottom w:val="none" w:sz="0" w:space="0" w:color="auto"/>
                        <w:right w:val="none" w:sz="0" w:space="0" w:color="auto"/>
                      </w:divBdr>
                    </w:div>
                    <w:div w:id="1547059645">
                      <w:marLeft w:val="1152"/>
                      <w:marRight w:val="0"/>
                      <w:marTop w:val="0"/>
                      <w:marBottom w:val="54"/>
                      <w:divBdr>
                        <w:top w:val="none" w:sz="0" w:space="0" w:color="auto"/>
                        <w:left w:val="none" w:sz="0" w:space="0" w:color="auto"/>
                        <w:bottom w:val="none" w:sz="0" w:space="0" w:color="auto"/>
                        <w:right w:val="none" w:sz="0" w:space="0" w:color="auto"/>
                      </w:divBdr>
                    </w:div>
                    <w:div w:id="1815637929">
                      <w:marLeft w:val="720"/>
                      <w:marRight w:val="0"/>
                      <w:marTop w:val="0"/>
                      <w:marBottom w:val="54"/>
                      <w:divBdr>
                        <w:top w:val="none" w:sz="0" w:space="0" w:color="auto"/>
                        <w:left w:val="none" w:sz="0" w:space="0" w:color="auto"/>
                        <w:bottom w:val="none" w:sz="0" w:space="0" w:color="auto"/>
                        <w:right w:val="none" w:sz="0" w:space="0" w:color="auto"/>
                      </w:divBdr>
                    </w:div>
                    <w:div w:id="1890259916">
                      <w:marLeft w:val="720"/>
                      <w:marRight w:val="0"/>
                      <w:marTop w:val="0"/>
                      <w:marBottom w:val="101"/>
                      <w:divBdr>
                        <w:top w:val="single" w:sz="4" w:space="0" w:color="000000"/>
                        <w:left w:val="none" w:sz="0" w:space="0" w:color="auto"/>
                        <w:bottom w:val="none" w:sz="0" w:space="0" w:color="auto"/>
                        <w:right w:val="none" w:sz="0" w:space="0" w:color="auto"/>
                      </w:divBdr>
                    </w:div>
                    <w:div w:id="1904296750">
                      <w:marLeft w:val="1152"/>
                      <w:marRight w:val="0"/>
                      <w:marTop w:val="0"/>
                      <w:marBottom w:val="54"/>
                      <w:divBdr>
                        <w:top w:val="none" w:sz="0" w:space="0" w:color="auto"/>
                        <w:left w:val="none" w:sz="0" w:space="0" w:color="auto"/>
                        <w:bottom w:val="none" w:sz="0" w:space="0" w:color="auto"/>
                        <w:right w:val="none" w:sz="0" w:space="0" w:color="auto"/>
                      </w:divBdr>
                    </w:div>
                    <w:div w:id="1944534127">
                      <w:marLeft w:val="720"/>
                      <w:marRight w:val="0"/>
                      <w:marTop w:val="0"/>
                      <w:marBottom w:val="54"/>
                      <w:divBdr>
                        <w:top w:val="none" w:sz="0" w:space="0" w:color="auto"/>
                        <w:left w:val="none" w:sz="0" w:space="0" w:color="auto"/>
                        <w:bottom w:val="none" w:sz="0" w:space="0" w:color="auto"/>
                        <w:right w:val="none" w:sz="0" w:space="0" w:color="auto"/>
                      </w:divBdr>
                    </w:div>
                    <w:div w:id="2009862720">
                      <w:marLeft w:val="720"/>
                      <w:marRight w:val="0"/>
                      <w:marTop w:val="0"/>
                      <w:marBottom w:val="54"/>
                      <w:divBdr>
                        <w:top w:val="single" w:sz="4" w:space="0" w:color="000000"/>
                        <w:left w:val="none" w:sz="0" w:space="0" w:color="auto"/>
                        <w:bottom w:val="none" w:sz="0" w:space="0" w:color="auto"/>
                        <w:right w:val="none" w:sz="0" w:space="0" w:color="auto"/>
                      </w:divBdr>
                    </w:div>
                    <w:div w:id="2019232010">
                      <w:marLeft w:val="1152"/>
                      <w:marRight w:val="0"/>
                      <w:marTop w:val="0"/>
                      <w:marBottom w:val="54"/>
                      <w:divBdr>
                        <w:top w:val="none" w:sz="0" w:space="0" w:color="auto"/>
                        <w:left w:val="none" w:sz="0" w:space="0" w:color="auto"/>
                        <w:bottom w:val="none" w:sz="0" w:space="0" w:color="auto"/>
                        <w:right w:val="none" w:sz="0" w:space="0" w:color="auto"/>
                      </w:divBdr>
                    </w:div>
                    <w:div w:id="2105298923">
                      <w:marLeft w:val="720"/>
                      <w:marRight w:val="0"/>
                      <w:marTop w:val="0"/>
                      <w:marBottom w:val="54"/>
                      <w:divBdr>
                        <w:top w:val="none" w:sz="0" w:space="0" w:color="auto"/>
                        <w:left w:val="none" w:sz="0" w:space="0" w:color="auto"/>
                        <w:bottom w:val="none" w:sz="0" w:space="0" w:color="auto"/>
                        <w:right w:val="none" w:sz="0" w:space="0" w:color="auto"/>
                      </w:divBdr>
                    </w:div>
                    <w:div w:id="2137022855">
                      <w:marLeft w:val="720"/>
                      <w:marRight w:val="0"/>
                      <w:marTop w:val="0"/>
                      <w:marBottom w:val="101"/>
                      <w:divBdr>
                        <w:top w:val="single" w:sz="4" w:space="0" w:color="000000"/>
                        <w:left w:val="none" w:sz="0" w:space="0" w:color="auto"/>
                        <w:bottom w:val="none" w:sz="0" w:space="0" w:color="auto"/>
                        <w:right w:val="none" w:sz="0" w:space="0" w:color="auto"/>
                      </w:divBdr>
                    </w:div>
                  </w:divsChild>
                </w:div>
              </w:divsChild>
            </w:div>
          </w:divsChild>
        </w:div>
      </w:divsChild>
    </w:div>
    <w:div w:id="1539124125">
      <w:bodyDiv w:val="1"/>
      <w:marLeft w:val="0"/>
      <w:marRight w:val="0"/>
      <w:marTop w:val="0"/>
      <w:marBottom w:val="0"/>
      <w:divBdr>
        <w:top w:val="none" w:sz="0" w:space="0" w:color="auto"/>
        <w:left w:val="none" w:sz="0" w:space="0" w:color="auto"/>
        <w:bottom w:val="none" w:sz="0" w:space="0" w:color="auto"/>
        <w:right w:val="none" w:sz="0" w:space="0" w:color="auto"/>
      </w:divBdr>
      <w:divsChild>
        <w:div w:id="876353293">
          <w:marLeft w:val="0"/>
          <w:marRight w:val="0"/>
          <w:marTop w:val="0"/>
          <w:marBottom w:val="0"/>
          <w:divBdr>
            <w:top w:val="single" w:sz="2" w:space="0" w:color="auto"/>
            <w:left w:val="single" w:sz="2" w:space="0" w:color="auto"/>
            <w:bottom w:val="single" w:sz="6" w:space="0" w:color="auto"/>
            <w:right w:val="single" w:sz="2" w:space="0" w:color="auto"/>
          </w:divBdr>
          <w:divsChild>
            <w:div w:id="1881699501">
              <w:marLeft w:val="0"/>
              <w:marRight w:val="0"/>
              <w:marTop w:val="100"/>
              <w:marBottom w:val="100"/>
              <w:divBdr>
                <w:top w:val="single" w:sz="2" w:space="0" w:color="D9D9E3"/>
                <w:left w:val="single" w:sz="2" w:space="0" w:color="D9D9E3"/>
                <w:bottom w:val="single" w:sz="2" w:space="0" w:color="D9D9E3"/>
                <w:right w:val="single" w:sz="2" w:space="0" w:color="D9D9E3"/>
              </w:divBdr>
              <w:divsChild>
                <w:div w:id="1700931273">
                  <w:marLeft w:val="0"/>
                  <w:marRight w:val="0"/>
                  <w:marTop w:val="0"/>
                  <w:marBottom w:val="0"/>
                  <w:divBdr>
                    <w:top w:val="single" w:sz="2" w:space="0" w:color="D9D9E3"/>
                    <w:left w:val="single" w:sz="2" w:space="0" w:color="D9D9E3"/>
                    <w:bottom w:val="single" w:sz="2" w:space="0" w:color="D9D9E3"/>
                    <w:right w:val="single" w:sz="2" w:space="0" w:color="D9D9E3"/>
                  </w:divBdr>
                  <w:divsChild>
                    <w:div w:id="2014800452">
                      <w:marLeft w:val="0"/>
                      <w:marRight w:val="0"/>
                      <w:marTop w:val="0"/>
                      <w:marBottom w:val="0"/>
                      <w:divBdr>
                        <w:top w:val="single" w:sz="2" w:space="0" w:color="D9D9E3"/>
                        <w:left w:val="single" w:sz="2" w:space="0" w:color="D9D9E3"/>
                        <w:bottom w:val="single" w:sz="2" w:space="0" w:color="D9D9E3"/>
                        <w:right w:val="single" w:sz="2" w:space="0" w:color="D9D9E3"/>
                      </w:divBdr>
                      <w:divsChild>
                        <w:div w:id="756482348">
                          <w:marLeft w:val="0"/>
                          <w:marRight w:val="0"/>
                          <w:marTop w:val="0"/>
                          <w:marBottom w:val="0"/>
                          <w:divBdr>
                            <w:top w:val="single" w:sz="2" w:space="0" w:color="D9D9E3"/>
                            <w:left w:val="single" w:sz="2" w:space="0" w:color="D9D9E3"/>
                            <w:bottom w:val="single" w:sz="2" w:space="0" w:color="D9D9E3"/>
                            <w:right w:val="single" w:sz="2" w:space="0" w:color="D9D9E3"/>
                          </w:divBdr>
                          <w:divsChild>
                            <w:div w:id="1982926426">
                              <w:marLeft w:val="0"/>
                              <w:marRight w:val="0"/>
                              <w:marTop w:val="0"/>
                              <w:marBottom w:val="0"/>
                              <w:divBdr>
                                <w:top w:val="single" w:sz="2" w:space="0" w:color="D9D9E3"/>
                                <w:left w:val="single" w:sz="2" w:space="0" w:color="D9D9E3"/>
                                <w:bottom w:val="single" w:sz="2" w:space="0" w:color="D9D9E3"/>
                                <w:right w:val="single" w:sz="2" w:space="0" w:color="D9D9E3"/>
                              </w:divBdr>
                              <w:divsChild>
                                <w:div w:id="183580152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577087480">
      <w:bodyDiv w:val="1"/>
      <w:marLeft w:val="0"/>
      <w:marRight w:val="0"/>
      <w:marTop w:val="0"/>
      <w:marBottom w:val="0"/>
      <w:divBdr>
        <w:top w:val="none" w:sz="0" w:space="0" w:color="auto"/>
        <w:left w:val="none" w:sz="0" w:space="0" w:color="auto"/>
        <w:bottom w:val="none" w:sz="0" w:space="0" w:color="auto"/>
        <w:right w:val="none" w:sz="0" w:space="0" w:color="auto"/>
      </w:divBdr>
    </w:div>
    <w:div w:id="1660186163">
      <w:bodyDiv w:val="1"/>
      <w:marLeft w:val="0"/>
      <w:marRight w:val="0"/>
      <w:marTop w:val="0"/>
      <w:marBottom w:val="0"/>
      <w:divBdr>
        <w:top w:val="none" w:sz="0" w:space="0" w:color="auto"/>
        <w:left w:val="none" w:sz="0" w:space="0" w:color="auto"/>
        <w:bottom w:val="none" w:sz="0" w:space="0" w:color="auto"/>
        <w:right w:val="none" w:sz="0" w:space="0" w:color="auto"/>
      </w:divBdr>
      <w:divsChild>
        <w:div w:id="903680593">
          <w:marLeft w:val="0"/>
          <w:marRight w:val="0"/>
          <w:marTop w:val="0"/>
          <w:marBottom w:val="20"/>
          <w:divBdr>
            <w:top w:val="none" w:sz="0" w:space="0" w:color="auto"/>
            <w:left w:val="none" w:sz="0" w:space="0" w:color="auto"/>
            <w:bottom w:val="none" w:sz="0" w:space="0" w:color="auto"/>
            <w:right w:val="none" w:sz="0" w:space="0" w:color="auto"/>
          </w:divBdr>
        </w:div>
      </w:divsChild>
    </w:div>
    <w:div w:id="1744450366">
      <w:bodyDiv w:val="1"/>
      <w:marLeft w:val="0"/>
      <w:marRight w:val="0"/>
      <w:marTop w:val="0"/>
      <w:marBottom w:val="0"/>
      <w:divBdr>
        <w:top w:val="none" w:sz="0" w:space="0" w:color="auto"/>
        <w:left w:val="none" w:sz="0" w:space="0" w:color="auto"/>
        <w:bottom w:val="none" w:sz="0" w:space="0" w:color="auto"/>
        <w:right w:val="none" w:sz="0" w:space="0" w:color="auto"/>
      </w:divBdr>
      <w:divsChild>
        <w:div w:id="1703902770">
          <w:marLeft w:val="0"/>
          <w:marRight w:val="0"/>
          <w:marTop w:val="0"/>
          <w:marBottom w:val="101"/>
          <w:divBdr>
            <w:top w:val="none" w:sz="0" w:space="0" w:color="auto"/>
            <w:left w:val="none" w:sz="0" w:space="0" w:color="auto"/>
            <w:bottom w:val="none" w:sz="0" w:space="0" w:color="auto"/>
            <w:right w:val="none" w:sz="0" w:space="0" w:color="auto"/>
          </w:divBdr>
        </w:div>
      </w:divsChild>
    </w:div>
    <w:div w:id="1819806485">
      <w:bodyDiv w:val="1"/>
      <w:marLeft w:val="0"/>
      <w:marRight w:val="0"/>
      <w:marTop w:val="0"/>
      <w:marBottom w:val="0"/>
      <w:divBdr>
        <w:top w:val="none" w:sz="0" w:space="0" w:color="auto"/>
        <w:left w:val="none" w:sz="0" w:space="0" w:color="auto"/>
        <w:bottom w:val="none" w:sz="0" w:space="0" w:color="auto"/>
        <w:right w:val="none" w:sz="0" w:space="0" w:color="auto"/>
      </w:divBdr>
      <w:divsChild>
        <w:div w:id="34504541">
          <w:marLeft w:val="1080"/>
          <w:marRight w:val="0"/>
          <w:marTop w:val="0"/>
          <w:marBottom w:val="86"/>
          <w:divBdr>
            <w:top w:val="none" w:sz="0" w:space="0" w:color="auto"/>
            <w:left w:val="none" w:sz="0" w:space="0" w:color="auto"/>
            <w:bottom w:val="none" w:sz="0" w:space="0" w:color="auto"/>
            <w:right w:val="none" w:sz="0" w:space="0" w:color="auto"/>
          </w:divBdr>
        </w:div>
        <w:div w:id="55011390">
          <w:marLeft w:val="648"/>
          <w:marRight w:val="0"/>
          <w:marTop w:val="0"/>
          <w:marBottom w:val="86"/>
          <w:divBdr>
            <w:top w:val="none" w:sz="0" w:space="0" w:color="auto"/>
            <w:left w:val="none" w:sz="0" w:space="0" w:color="auto"/>
            <w:bottom w:val="none" w:sz="0" w:space="0" w:color="auto"/>
            <w:right w:val="none" w:sz="0" w:space="0" w:color="auto"/>
          </w:divBdr>
        </w:div>
        <w:div w:id="150028697">
          <w:marLeft w:val="576"/>
          <w:marRight w:val="0"/>
          <w:marTop w:val="0"/>
          <w:marBottom w:val="86"/>
          <w:divBdr>
            <w:top w:val="none" w:sz="0" w:space="0" w:color="auto"/>
            <w:left w:val="none" w:sz="0" w:space="0" w:color="auto"/>
            <w:bottom w:val="none" w:sz="0" w:space="0" w:color="auto"/>
            <w:right w:val="none" w:sz="0" w:space="0" w:color="auto"/>
          </w:divBdr>
        </w:div>
        <w:div w:id="216741841">
          <w:marLeft w:val="1080"/>
          <w:marRight w:val="0"/>
          <w:marTop w:val="0"/>
          <w:marBottom w:val="86"/>
          <w:divBdr>
            <w:top w:val="none" w:sz="0" w:space="0" w:color="auto"/>
            <w:left w:val="none" w:sz="0" w:space="0" w:color="auto"/>
            <w:bottom w:val="none" w:sz="0" w:space="0" w:color="auto"/>
            <w:right w:val="none" w:sz="0" w:space="0" w:color="auto"/>
          </w:divBdr>
        </w:div>
        <w:div w:id="279648813">
          <w:marLeft w:val="0"/>
          <w:marRight w:val="0"/>
          <w:marTop w:val="0"/>
          <w:marBottom w:val="86"/>
          <w:divBdr>
            <w:top w:val="none" w:sz="0" w:space="0" w:color="auto"/>
            <w:left w:val="none" w:sz="0" w:space="0" w:color="auto"/>
            <w:bottom w:val="none" w:sz="0" w:space="0" w:color="auto"/>
            <w:right w:val="none" w:sz="0" w:space="0" w:color="auto"/>
          </w:divBdr>
        </w:div>
        <w:div w:id="495807383">
          <w:marLeft w:val="576"/>
          <w:marRight w:val="0"/>
          <w:marTop w:val="0"/>
          <w:marBottom w:val="86"/>
          <w:divBdr>
            <w:top w:val="none" w:sz="0" w:space="0" w:color="auto"/>
            <w:left w:val="none" w:sz="0" w:space="0" w:color="auto"/>
            <w:bottom w:val="none" w:sz="0" w:space="0" w:color="auto"/>
            <w:right w:val="none" w:sz="0" w:space="0" w:color="auto"/>
          </w:divBdr>
        </w:div>
        <w:div w:id="500507015">
          <w:marLeft w:val="0"/>
          <w:marRight w:val="0"/>
          <w:marTop w:val="0"/>
          <w:marBottom w:val="86"/>
          <w:divBdr>
            <w:top w:val="none" w:sz="0" w:space="0" w:color="auto"/>
            <w:left w:val="none" w:sz="0" w:space="0" w:color="auto"/>
            <w:bottom w:val="none" w:sz="0" w:space="0" w:color="auto"/>
            <w:right w:val="none" w:sz="0" w:space="0" w:color="auto"/>
          </w:divBdr>
        </w:div>
        <w:div w:id="546645491">
          <w:marLeft w:val="648"/>
          <w:marRight w:val="0"/>
          <w:marTop w:val="0"/>
          <w:marBottom w:val="86"/>
          <w:divBdr>
            <w:top w:val="none" w:sz="0" w:space="0" w:color="auto"/>
            <w:left w:val="none" w:sz="0" w:space="0" w:color="auto"/>
            <w:bottom w:val="none" w:sz="0" w:space="0" w:color="auto"/>
            <w:right w:val="none" w:sz="0" w:space="0" w:color="auto"/>
          </w:divBdr>
        </w:div>
        <w:div w:id="553808073">
          <w:marLeft w:val="1080"/>
          <w:marRight w:val="0"/>
          <w:marTop w:val="0"/>
          <w:marBottom w:val="86"/>
          <w:divBdr>
            <w:top w:val="none" w:sz="0" w:space="0" w:color="auto"/>
            <w:left w:val="none" w:sz="0" w:space="0" w:color="auto"/>
            <w:bottom w:val="none" w:sz="0" w:space="0" w:color="auto"/>
            <w:right w:val="none" w:sz="0" w:space="0" w:color="auto"/>
          </w:divBdr>
        </w:div>
        <w:div w:id="583612462">
          <w:marLeft w:val="648"/>
          <w:marRight w:val="0"/>
          <w:marTop w:val="0"/>
          <w:marBottom w:val="86"/>
          <w:divBdr>
            <w:top w:val="none" w:sz="0" w:space="0" w:color="auto"/>
            <w:left w:val="none" w:sz="0" w:space="0" w:color="auto"/>
            <w:bottom w:val="none" w:sz="0" w:space="0" w:color="auto"/>
            <w:right w:val="none" w:sz="0" w:space="0" w:color="auto"/>
          </w:divBdr>
        </w:div>
        <w:div w:id="612596004">
          <w:marLeft w:val="576"/>
          <w:marRight w:val="0"/>
          <w:marTop w:val="0"/>
          <w:marBottom w:val="86"/>
          <w:divBdr>
            <w:top w:val="none" w:sz="0" w:space="0" w:color="auto"/>
            <w:left w:val="none" w:sz="0" w:space="0" w:color="auto"/>
            <w:bottom w:val="none" w:sz="0" w:space="0" w:color="auto"/>
            <w:right w:val="none" w:sz="0" w:space="0" w:color="auto"/>
          </w:divBdr>
        </w:div>
        <w:div w:id="694159908">
          <w:marLeft w:val="648"/>
          <w:marRight w:val="0"/>
          <w:marTop w:val="0"/>
          <w:marBottom w:val="86"/>
          <w:divBdr>
            <w:top w:val="none" w:sz="0" w:space="0" w:color="auto"/>
            <w:left w:val="none" w:sz="0" w:space="0" w:color="auto"/>
            <w:bottom w:val="none" w:sz="0" w:space="0" w:color="auto"/>
            <w:right w:val="none" w:sz="0" w:space="0" w:color="auto"/>
          </w:divBdr>
        </w:div>
        <w:div w:id="774247544">
          <w:marLeft w:val="576"/>
          <w:marRight w:val="0"/>
          <w:marTop w:val="0"/>
          <w:marBottom w:val="86"/>
          <w:divBdr>
            <w:top w:val="none" w:sz="0" w:space="0" w:color="auto"/>
            <w:left w:val="none" w:sz="0" w:space="0" w:color="auto"/>
            <w:bottom w:val="none" w:sz="0" w:space="0" w:color="auto"/>
            <w:right w:val="none" w:sz="0" w:space="0" w:color="auto"/>
          </w:divBdr>
        </w:div>
        <w:div w:id="796682243">
          <w:marLeft w:val="648"/>
          <w:marRight w:val="0"/>
          <w:marTop w:val="0"/>
          <w:marBottom w:val="86"/>
          <w:divBdr>
            <w:top w:val="none" w:sz="0" w:space="0" w:color="auto"/>
            <w:left w:val="none" w:sz="0" w:space="0" w:color="auto"/>
            <w:bottom w:val="none" w:sz="0" w:space="0" w:color="auto"/>
            <w:right w:val="none" w:sz="0" w:space="0" w:color="auto"/>
          </w:divBdr>
        </w:div>
        <w:div w:id="1002858451">
          <w:marLeft w:val="1080"/>
          <w:marRight w:val="0"/>
          <w:marTop w:val="0"/>
          <w:marBottom w:val="86"/>
          <w:divBdr>
            <w:top w:val="none" w:sz="0" w:space="0" w:color="auto"/>
            <w:left w:val="none" w:sz="0" w:space="0" w:color="auto"/>
            <w:bottom w:val="none" w:sz="0" w:space="0" w:color="auto"/>
            <w:right w:val="none" w:sz="0" w:space="0" w:color="auto"/>
          </w:divBdr>
        </w:div>
        <w:div w:id="1037776793">
          <w:marLeft w:val="0"/>
          <w:marRight w:val="0"/>
          <w:marTop w:val="0"/>
          <w:marBottom w:val="86"/>
          <w:divBdr>
            <w:top w:val="none" w:sz="0" w:space="0" w:color="auto"/>
            <w:left w:val="none" w:sz="0" w:space="0" w:color="auto"/>
            <w:bottom w:val="none" w:sz="0" w:space="0" w:color="auto"/>
            <w:right w:val="none" w:sz="0" w:space="0" w:color="auto"/>
          </w:divBdr>
        </w:div>
        <w:div w:id="1200623924">
          <w:marLeft w:val="648"/>
          <w:marRight w:val="0"/>
          <w:marTop w:val="0"/>
          <w:marBottom w:val="86"/>
          <w:divBdr>
            <w:top w:val="none" w:sz="0" w:space="0" w:color="auto"/>
            <w:left w:val="none" w:sz="0" w:space="0" w:color="auto"/>
            <w:bottom w:val="none" w:sz="0" w:space="0" w:color="auto"/>
            <w:right w:val="none" w:sz="0" w:space="0" w:color="auto"/>
          </w:divBdr>
        </w:div>
        <w:div w:id="1276211306">
          <w:marLeft w:val="648"/>
          <w:marRight w:val="0"/>
          <w:marTop w:val="0"/>
          <w:marBottom w:val="86"/>
          <w:divBdr>
            <w:top w:val="none" w:sz="0" w:space="0" w:color="auto"/>
            <w:left w:val="none" w:sz="0" w:space="0" w:color="auto"/>
            <w:bottom w:val="none" w:sz="0" w:space="0" w:color="auto"/>
            <w:right w:val="none" w:sz="0" w:space="0" w:color="auto"/>
          </w:divBdr>
        </w:div>
        <w:div w:id="1325013264">
          <w:marLeft w:val="576"/>
          <w:marRight w:val="0"/>
          <w:marTop w:val="0"/>
          <w:marBottom w:val="86"/>
          <w:divBdr>
            <w:top w:val="none" w:sz="0" w:space="0" w:color="auto"/>
            <w:left w:val="none" w:sz="0" w:space="0" w:color="auto"/>
            <w:bottom w:val="none" w:sz="0" w:space="0" w:color="auto"/>
            <w:right w:val="none" w:sz="0" w:space="0" w:color="auto"/>
          </w:divBdr>
        </w:div>
        <w:div w:id="1372069514">
          <w:marLeft w:val="0"/>
          <w:marRight w:val="0"/>
          <w:marTop w:val="0"/>
          <w:marBottom w:val="86"/>
          <w:divBdr>
            <w:top w:val="none" w:sz="0" w:space="0" w:color="auto"/>
            <w:left w:val="none" w:sz="0" w:space="0" w:color="auto"/>
            <w:bottom w:val="none" w:sz="0" w:space="0" w:color="auto"/>
            <w:right w:val="none" w:sz="0" w:space="0" w:color="auto"/>
          </w:divBdr>
        </w:div>
        <w:div w:id="1397556996">
          <w:marLeft w:val="1080"/>
          <w:marRight w:val="0"/>
          <w:marTop w:val="0"/>
          <w:marBottom w:val="86"/>
          <w:divBdr>
            <w:top w:val="none" w:sz="0" w:space="0" w:color="auto"/>
            <w:left w:val="none" w:sz="0" w:space="0" w:color="auto"/>
            <w:bottom w:val="none" w:sz="0" w:space="0" w:color="auto"/>
            <w:right w:val="none" w:sz="0" w:space="0" w:color="auto"/>
          </w:divBdr>
        </w:div>
        <w:div w:id="1436484410">
          <w:marLeft w:val="576"/>
          <w:marRight w:val="0"/>
          <w:marTop w:val="0"/>
          <w:marBottom w:val="86"/>
          <w:divBdr>
            <w:top w:val="none" w:sz="0" w:space="0" w:color="auto"/>
            <w:left w:val="none" w:sz="0" w:space="0" w:color="auto"/>
            <w:bottom w:val="none" w:sz="0" w:space="0" w:color="auto"/>
            <w:right w:val="none" w:sz="0" w:space="0" w:color="auto"/>
          </w:divBdr>
        </w:div>
        <w:div w:id="1526286081">
          <w:marLeft w:val="1080"/>
          <w:marRight w:val="0"/>
          <w:marTop w:val="0"/>
          <w:marBottom w:val="86"/>
          <w:divBdr>
            <w:top w:val="none" w:sz="0" w:space="0" w:color="auto"/>
            <w:left w:val="none" w:sz="0" w:space="0" w:color="auto"/>
            <w:bottom w:val="none" w:sz="0" w:space="0" w:color="auto"/>
            <w:right w:val="none" w:sz="0" w:space="0" w:color="auto"/>
          </w:divBdr>
        </w:div>
        <w:div w:id="1609005225">
          <w:marLeft w:val="576"/>
          <w:marRight w:val="0"/>
          <w:marTop w:val="0"/>
          <w:marBottom w:val="86"/>
          <w:divBdr>
            <w:top w:val="none" w:sz="0" w:space="0" w:color="auto"/>
            <w:left w:val="none" w:sz="0" w:space="0" w:color="auto"/>
            <w:bottom w:val="none" w:sz="0" w:space="0" w:color="auto"/>
            <w:right w:val="none" w:sz="0" w:space="0" w:color="auto"/>
          </w:divBdr>
        </w:div>
        <w:div w:id="1709842454">
          <w:marLeft w:val="1080"/>
          <w:marRight w:val="0"/>
          <w:marTop w:val="0"/>
          <w:marBottom w:val="86"/>
          <w:divBdr>
            <w:top w:val="none" w:sz="0" w:space="0" w:color="auto"/>
            <w:left w:val="none" w:sz="0" w:space="0" w:color="auto"/>
            <w:bottom w:val="none" w:sz="0" w:space="0" w:color="auto"/>
            <w:right w:val="none" w:sz="0" w:space="0" w:color="auto"/>
          </w:divBdr>
        </w:div>
        <w:div w:id="1813911784">
          <w:marLeft w:val="648"/>
          <w:marRight w:val="0"/>
          <w:marTop w:val="0"/>
          <w:marBottom w:val="86"/>
          <w:divBdr>
            <w:top w:val="none" w:sz="0" w:space="0" w:color="auto"/>
            <w:left w:val="none" w:sz="0" w:space="0" w:color="auto"/>
            <w:bottom w:val="none" w:sz="0" w:space="0" w:color="auto"/>
            <w:right w:val="none" w:sz="0" w:space="0" w:color="auto"/>
          </w:divBdr>
        </w:div>
        <w:div w:id="1852643499">
          <w:marLeft w:val="1080"/>
          <w:marRight w:val="0"/>
          <w:marTop w:val="0"/>
          <w:marBottom w:val="86"/>
          <w:divBdr>
            <w:top w:val="none" w:sz="0" w:space="0" w:color="auto"/>
            <w:left w:val="none" w:sz="0" w:space="0" w:color="auto"/>
            <w:bottom w:val="none" w:sz="0" w:space="0" w:color="auto"/>
            <w:right w:val="none" w:sz="0" w:space="0" w:color="auto"/>
          </w:divBdr>
        </w:div>
        <w:div w:id="2045907216">
          <w:marLeft w:val="648"/>
          <w:marRight w:val="0"/>
          <w:marTop w:val="0"/>
          <w:marBottom w:val="86"/>
          <w:divBdr>
            <w:top w:val="none" w:sz="0" w:space="0" w:color="auto"/>
            <w:left w:val="none" w:sz="0" w:space="0" w:color="auto"/>
            <w:bottom w:val="none" w:sz="0" w:space="0" w:color="auto"/>
            <w:right w:val="none" w:sz="0" w:space="0" w:color="auto"/>
          </w:divBdr>
        </w:div>
        <w:div w:id="2062442178">
          <w:marLeft w:val="576"/>
          <w:marRight w:val="0"/>
          <w:marTop w:val="0"/>
          <w:marBottom w:val="86"/>
          <w:divBdr>
            <w:top w:val="none" w:sz="0" w:space="0" w:color="auto"/>
            <w:left w:val="none" w:sz="0" w:space="0" w:color="auto"/>
            <w:bottom w:val="none" w:sz="0" w:space="0" w:color="auto"/>
            <w:right w:val="none" w:sz="0" w:space="0" w:color="auto"/>
          </w:divBdr>
        </w:div>
      </w:divsChild>
    </w:div>
    <w:div w:id="1909917485">
      <w:bodyDiv w:val="1"/>
      <w:marLeft w:val="0"/>
      <w:marRight w:val="0"/>
      <w:marTop w:val="0"/>
      <w:marBottom w:val="0"/>
      <w:divBdr>
        <w:top w:val="none" w:sz="0" w:space="0" w:color="auto"/>
        <w:left w:val="none" w:sz="0" w:space="0" w:color="auto"/>
        <w:bottom w:val="none" w:sz="0" w:space="0" w:color="auto"/>
        <w:right w:val="none" w:sz="0" w:space="0" w:color="auto"/>
      </w:divBdr>
    </w:div>
    <w:div w:id="1927811513">
      <w:bodyDiv w:val="1"/>
      <w:marLeft w:val="0"/>
      <w:marRight w:val="0"/>
      <w:marTop w:val="0"/>
      <w:marBottom w:val="0"/>
      <w:divBdr>
        <w:top w:val="none" w:sz="0" w:space="0" w:color="auto"/>
        <w:left w:val="none" w:sz="0" w:space="0" w:color="auto"/>
        <w:bottom w:val="none" w:sz="0" w:space="0" w:color="auto"/>
        <w:right w:val="none" w:sz="0" w:space="0" w:color="auto"/>
      </w:divBdr>
      <w:divsChild>
        <w:div w:id="1870684143">
          <w:marLeft w:val="0"/>
          <w:marRight w:val="0"/>
          <w:marTop w:val="0"/>
          <w:marBottom w:val="101"/>
          <w:divBdr>
            <w:top w:val="none" w:sz="0" w:space="0" w:color="auto"/>
            <w:left w:val="none" w:sz="0" w:space="0" w:color="auto"/>
            <w:bottom w:val="none" w:sz="0" w:space="0" w:color="auto"/>
            <w:right w:val="none" w:sz="0" w:space="0" w:color="auto"/>
          </w:divBdr>
        </w:div>
      </w:divsChild>
    </w:div>
    <w:div w:id="2043095898">
      <w:bodyDiv w:val="1"/>
      <w:marLeft w:val="0"/>
      <w:marRight w:val="0"/>
      <w:marTop w:val="0"/>
      <w:marBottom w:val="0"/>
      <w:divBdr>
        <w:top w:val="none" w:sz="0" w:space="0" w:color="auto"/>
        <w:left w:val="none" w:sz="0" w:space="0" w:color="auto"/>
        <w:bottom w:val="none" w:sz="0" w:space="0" w:color="auto"/>
        <w:right w:val="none" w:sz="0" w:space="0" w:color="auto"/>
      </w:divBdr>
      <w:divsChild>
        <w:div w:id="497775090">
          <w:marLeft w:val="0"/>
          <w:marRight w:val="0"/>
          <w:marTop w:val="240"/>
          <w:marBottom w:val="0"/>
          <w:divBdr>
            <w:top w:val="none" w:sz="0" w:space="0" w:color="auto"/>
            <w:left w:val="none" w:sz="0" w:space="0" w:color="auto"/>
            <w:bottom w:val="none" w:sz="0" w:space="0" w:color="auto"/>
            <w:right w:val="none" w:sz="0" w:space="0" w:color="auto"/>
          </w:divBdr>
          <w:divsChild>
            <w:div w:id="229779561">
              <w:marLeft w:val="0"/>
              <w:marRight w:val="0"/>
              <w:marTop w:val="0"/>
              <w:marBottom w:val="0"/>
              <w:divBdr>
                <w:top w:val="none" w:sz="0" w:space="0" w:color="auto"/>
                <w:left w:val="none" w:sz="0" w:space="0" w:color="auto"/>
                <w:bottom w:val="none" w:sz="0" w:space="0" w:color="auto"/>
                <w:right w:val="none" w:sz="0" w:space="0" w:color="auto"/>
              </w:divBdr>
              <w:divsChild>
                <w:div w:id="161593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894702">
      <w:bodyDiv w:val="1"/>
      <w:marLeft w:val="0"/>
      <w:marRight w:val="0"/>
      <w:marTop w:val="0"/>
      <w:marBottom w:val="0"/>
      <w:divBdr>
        <w:top w:val="none" w:sz="0" w:space="0" w:color="auto"/>
        <w:left w:val="none" w:sz="0" w:space="0" w:color="auto"/>
        <w:bottom w:val="none" w:sz="0" w:space="0" w:color="auto"/>
        <w:right w:val="none" w:sz="0" w:space="0" w:color="auto"/>
      </w:divBdr>
    </w:div>
    <w:div w:id="2080052056">
      <w:bodyDiv w:val="1"/>
      <w:marLeft w:val="0"/>
      <w:marRight w:val="0"/>
      <w:marTop w:val="0"/>
      <w:marBottom w:val="0"/>
      <w:divBdr>
        <w:top w:val="none" w:sz="0" w:space="0" w:color="auto"/>
        <w:left w:val="none" w:sz="0" w:space="0" w:color="auto"/>
        <w:bottom w:val="none" w:sz="0" w:space="0" w:color="auto"/>
        <w:right w:val="none" w:sz="0" w:space="0" w:color="auto"/>
      </w:divBdr>
    </w:div>
    <w:div w:id="2116319795">
      <w:bodyDiv w:val="1"/>
      <w:marLeft w:val="0"/>
      <w:marRight w:val="0"/>
      <w:marTop w:val="0"/>
      <w:marBottom w:val="0"/>
      <w:divBdr>
        <w:top w:val="none" w:sz="0" w:space="0" w:color="auto"/>
        <w:left w:val="none" w:sz="0" w:space="0" w:color="auto"/>
        <w:bottom w:val="none" w:sz="0" w:space="0" w:color="auto"/>
        <w:right w:val="none" w:sz="0" w:space="0" w:color="auto"/>
      </w:divBdr>
      <w:divsChild>
        <w:div w:id="1507288992">
          <w:marLeft w:val="0"/>
          <w:marRight w:val="0"/>
          <w:marTop w:val="240"/>
          <w:marBottom w:val="0"/>
          <w:divBdr>
            <w:top w:val="none" w:sz="0" w:space="0" w:color="auto"/>
            <w:left w:val="none" w:sz="0" w:space="0" w:color="auto"/>
            <w:bottom w:val="none" w:sz="0" w:space="0" w:color="auto"/>
            <w:right w:val="none" w:sz="0" w:space="0" w:color="auto"/>
          </w:divBdr>
          <w:divsChild>
            <w:div w:id="647973788">
              <w:marLeft w:val="0"/>
              <w:marRight w:val="0"/>
              <w:marTop w:val="0"/>
              <w:marBottom w:val="0"/>
              <w:divBdr>
                <w:top w:val="none" w:sz="0" w:space="0" w:color="auto"/>
                <w:left w:val="none" w:sz="0" w:space="0" w:color="auto"/>
                <w:bottom w:val="none" w:sz="0" w:space="0" w:color="auto"/>
                <w:right w:val="none" w:sz="0" w:space="0" w:color="auto"/>
              </w:divBdr>
              <w:divsChild>
                <w:div w:id="596642627">
                  <w:marLeft w:val="0"/>
                  <w:marRight w:val="0"/>
                  <w:marTop w:val="0"/>
                  <w:marBottom w:val="0"/>
                  <w:divBdr>
                    <w:top w:val="none" w:sz="0" w:space="0" w:color="auto"/>
                    <w:left w:val="none" w:sz="0" w:space="0" w:color="auto"/>
                    <w:bottom w:val="none" w:sz="0" w:space="0" w:color="auto"/>
                    <w:right w:val="none" w:sz="0" w:space="0" w:color="auto"/>
                  </w:divBdr>
                  <w:divsChild>
                    <w:div w:id="1969625051">
                      <w:marLeft w:val="0"/>
                      <w:marRight w:val="0"/>
                      <w:marTop w:val="0"/>
                      <w:marBottom w:val="101"/>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tools.ietf.org/html/rfc4180" TargetMode="External"/><Relationship Id="rId10" Type="http://schemas.openxmlformats.org/officeDocument/2006/relationships/hyperlink" Target="http://www.ift.org.mx/avisos-de-privacidad" TargetMode="External"/><Relationship Id="rId4" Type="http://schemas.openxmlformats.org/officeDocument/2006/relationships/settings" Target="settings.xml"/><Relationship Id="rId9" Type="http://schemas.openxmlformats.org/officeDocument/2006/relationships/hyperlink" Target="mailto:unidad.transparencia@ift.org.mx"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https://www.bcn.cl/leychile/navegar?idNorma=1051179" TargetMode="External"/><Relationship Id="rId1" Type="http://schemas.openxmlformats.org/officeDocument/2006/relationships/hyperlink" Target="https://crtc.gc.ca/eng/archive/2017/2017-200.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B4769E-B639-4038-B7DB-2A639C1B2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Pages>
  <Words>7154</Words>
  <Characters>39347</Characters>
  <Application>Microsoft Office Word</Application>
  <DocSecurity>0</DocSecurity>
  <Lines>327</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46409</CharactersWithSpaces>
  <SharedDoc>false</SharedDoc>
  <HLinks>
    <vt:vector size="30" baseType="variant">
      <vt:variant>
        <vt:i4>2424943</vt:i4>
      </vt:variant>
      <vt:variant>
        <vt:i4>6</vt:i4>
      </vt:variant>
      <vt:variant>
        <vt:i4>0</vt:i4>
      </vt:variant>
      <vt:variant>
        <vt:i4>5</vt:i4>
      </vt:variant>
      <vt:variant>
        <vt:lpwstr>http://tools.ietf.org/html/rfc4180</vt:lpwstr>
      </vt:variant>
      <vt:variant>
        <vt:lpwstr/>
      </vt:variant>
      <vt:variant>
        <vt:i4>2359395</vt:i4>
      </vt:variant>
      <vt:variant>
        <vt:i4>3</vt:i4>
      </vt:variant>
      <vt:variant>
        <vt:i4>0</vt:i4>
      </vt:variant>
      <vt:variant>
        <vt:i4>5</vt:i4>
      </vt:variant>
      <vt:variant>
        <vt:lpwstr>http://www.ift.org.mx/avisos-de-privacidad</vt:lpwstr>
      </vt:variant>
      <vt:variant>
        <vt:lpwstr/>
      </vt:variant>
      <vt:variant>
        <vt:i4>262204</vt:i4>
      </vt:variant>
      <vt:variant>
        <vt:i4>0</vt:i4>
      </vt:variant>
      <vt:variant>
        <vt:i4>0</vt:i4>
      </vt:variant>
      <vt:variant>
        <vt:i4>5</vt:i4>
      </vt:variant>
      <vt:variant>
        <vt:lpwstr>mailto:unidad.transparencia@ift.org.mx</vt:lpwstr>
      </vt:variant>
      <vt:variant>
        <vt:lpwstr/>
      </vt:variant>
      <vt:variant>
        <vt:i4>6291494</vt:i4>
      </vt:variant>
      <vt:variant>
        <vt:i4>3</vt:i4>
      </vt:variant>
      <vt:variant>
        <vt:i4>0</vt:i4>
      </vt:variant>
      <vt:variant>
        <vt:i4>5</vt:i4>
      </vt:variant>
      <vt:variant>
        <vt:lpwstr>https://www.bcn.cl/leychile/navegar?idNorma=1051179</vt:lpwstr>
      </vt:variant>
      <vt:variant>
        <vt:lpwstr/>
      </vt:variant>
      <vt:variant>
        <vt:i4>1769479</vt:i4>
      </vt:variant>
      <vt:variant>
        <vt:i4>0</vt:i4>
      </vt:variant>
      <vt:variant>
        <vt:i4>0</vt:i4>
      </vt:variant>
      <vt:variant>
        <vt:i4>5</vt:i4>
      </vt:variant>
      <vt:variant>
        <vt:lpwstr>https://crtc.gc.ca/eng/archive/2017/2017-200.pdf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Ignacio Reyes Sanchez</dc:creator>
  <cp:keywords/>
  <dc:description/>
  <cp:lastModifiedBy>Primitivo Ortiz Maldonado</cp:lastModifiedBy>
  <cp:revision>34</cp:revision>
  <cp:lastPrinted>2023-11-08T15:06:00Z</cp:lastPrinted>
  <dcterms:created xsi:type="dcterms:W3CDTF">2023-11-07T03:46:00Z</dcterms:created>
  <dcterms:modified xsi:type="dcterms:W3CDTF">2023-11-08T15:07:00Z</dcterms:modified>
</cp:coreProperties>
</file>