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7B87E" w14:textId="20B07DA9" w:rsidR="00071534" w:rsidRPr="00D77051" w:rsidRDefault="00C43624" w:rsidP="007E23CC">
      <w:pPr>
        <w:pStyle w:val="Default"/>
        <w:spacing w:line="276" w:lineRule="auto"/>
        <w:contextualSpacing/>
        <w:mirrorIndents/>
        <w:jc w:val="both"/>
        <w:rPr>
          <w:rFonts w:ascii="Arial" w:eastAsia="Times New Roman" w:hAnsi="Arial" w:cs="Arial"/>
          <w:b/>
          <w:bCs/>
          <w:sz w:val="26"/>
          <w:szCs w:val="26"/>
          <w:lang w:eastAsia="es-MX"/>
        </w:rPr>
      </w:pPr>
      <w:r>
        <w:rPr>
          <w:rFonts w:ascii="Arial" w:eastAsia="Times New Roman" w:hAnsi="Arial" w:cs="Arial"/>
          <w:b/>
          <w:bCs/>
          <w:sz w:val="26"/>
          <w:szCs w:val="26"/>
          <w:lang w:eastAsia="es-MX"/>
        </w:rPr>
        <w:t xml:space="preserve">Anteproyecto de </w:t>
      </w:r>
      <w:r w:rsidR="00071534" w:rsidRPr="00D77051">
        <w:rPr>
          <w:rFonts w:ascii="Arial" w:eastAsia="Times New Roman" w:hAnsi="Arial" w:cs="Arial"/>
          <w:b/>
          <w:bCs/>
          <w:sz w:val="26"/>
          <w:szCs w:val="26"/>
          <w:lang w:eastAsia="es-MX"/>
        </w:rPr>
        <w:t xml:space="preserve">Lineamientos para el </w:t>
      </w:r>
      <w:r w:rsidR="00296B9B" w:rsidRPr="00D77051">
        <w:rPr>
          <w:rFonts w:ascii="Arial" w:eastAsia="Times New Roman" w:hAnsi="Arial" w:cs="Arial"/>
          <w:b/>
          <w:bCs/>
          <w:sz w:val="26"/>
          <w:szCs w:val="26"/>
          <w:lang w:eastAsia="es-MX"/>
        </w:rPr>
        <w:t>d</w:t>
      </w:r>
      <w:r w:rsidR="00071534" w:rsidRPr="00D77051">
        <w:rPr>
          <w:rFonts w:ascii="Arial" w:eastAsia="Times New Roman" w:hAnsi="Arial" w:cs="Arial"/>
          <w:b/>
          <w:bCs/>
          <w:sz w:val="26"/>
          <w:szCs w:val="26"/>
          <w:lang w:eastAsia="es-MX"/>
        </w:rPr>
        <w:t>esbloqueo de Equipos Termina</w:t>
      </w:r>
      <w:bookmarkStart w:id="0" w:name="_GoBack"/>
      <w:bookmarkEnd w:id="0"/>
      <w:r w:rsidR="00071534" w:rsidRPr="00D77051">
        <w:rPr>
          <w:rFonts w:ascii="Arial" w:eastAsia="Times New Roman" w:hAnsi="Arial" w:cs="Arial"/>
          <w:b/>
          <w:bCs/>
          <w:sz w:val="26"/>
          <w:szCs w:val="26"/>
          <w:lang w:eastAsia="es-MX"/>
        </w:rPr>
        <w:t xml:space="preserve">les Móviles que deben observar </w:t>
      </w:r>
      <w:r w:rsidR="00E52679" w:rsidRPr="00D77051">
        <w:rPr>
          <w:rFonts w:ascii="Arial" w:eastAsia="Times New Roman" w:hAnsi="Arial" w:cs="Arial"/>
          <w:b/>
          <w:bCs/>
          <w:sz w:val="26"/>
          <w:szCs w:val="26"/>
          <w:lang w:eastAsia="es-MX"/>
        </w:rPr>
        <w:t>los prestadores del servicio móvil</w:t>
      </w:r>
      <w:r w:rsidR="00071534" w:rsidRPr="00D77051">
        <w:rPr>
          <w:rFonts w:ascii="Arial" w:eastAsia="Times New Roman" w:hAnsi="Arial" w:cs="Arial"/>
          <w:b/>
          <w:bCs/>
          <w:sz w:val="26"/>
          <w:szCs w:val="26"/>
          <w:lang w:eastAsia="es-MX"/>
        </w:rPr>
        <w:t>.</w:t>
      </w:r>
    </w:p>
    <w:p w14:paraId="284D5C9E" w14:textId="77777777" w:rsidR="00071534" w:rsidRPr="00D77051" w:rsidRDefault="00071534" w:rsidP="007E23CC">
      <w:pPr>
        <w:spacing w:after="0"/>
        <w:contextualSpacing/>
        <w:mirrorIndents/>
        <w:jc w:val="center"/>
        <w:rPr>
          <w:rFonts w:ascii="Arial" w:hAnsi="Arial" w:cs="Arial"/>
          <w:b/>
          <w:bCs/>
          <w:color w:val="000000"/>
          <w:sz w:val="26"/>
          <w:szCs w:val="26"/>
          <w:lang w:eastAsia="es-MX"/>
        </w:rPr>
      </w:pPr>
    </w:p>
    <w:p w14:paraId="3AE6DEA2" w14:textId="77777777" w:rsidR="00071534" w:rsidRPr="00D77051" w:rsidRDefault="00071534" w:rsidP="007E23CC">
      <w:pPr>
        <w:spacing w:after="0"/>
        <w:contextualSpacing/>
        <w:mirrorIndents/>
        <w:jc w:val="center"/>
        <w:rPr>
          <w:rFonts w:ascii="Arial" w:hAnsi="Arial" w:cs="Arial"/>
          <w:b/>
          <w:bCs/>
          <w:color w:val="000000"/>
          <w:lang w:eastAsia="es-MX"/>
        </w:rPr>
      </w:pPr>
      <w:r w:rsidRPr="00D77051">
        <w:rPr>
          <w:rFonts w:ascii="Arial" w:hAnsi="Arial" w:cs="Arial"/>
          <w:b/>
          <w:bCs/>
          <w:color w:val="000000"/>
          <w:lang w:eastAsia="es-MX"/>
        </w:rPr>
        <w:t>Capítulo I</w:t>
      </w:r>
    </w:p>
    <w:p w14:paraId="45F7C066" w14:textId="77777777" w:rsidR="00071534" w:rsidRPr="00D77051" w:rsidRDefault="00071534" w:rsidP="007E23CC">
      <w:pPr>
        <w:spacing w:after="0"/>
        <w:contextualSpacing/>
        <w:mirrorIndents/>
        <w:jc w:val="center"/>
        <w:rPr>
          <w:rFonts w:ascii="Arial" w:hAnsi="Arial" w:cs="Arial"/>
          <w:b/>
          <w:bCs/>
          <w:color w:val="000000"/>
          <w:lang w:eastAsia="es-MX"/>
        </w:rPr>
      </w:pPr>
      <w:r w:rsidRPr="00D77051">
        <w:rPr>
          <w:rFonts w:ascii="Arial" w:hAnsi="Arial" w:cs="Arial"/>
          <w:b/>
          <w:bCs/>
          <w:color w:val="000000"/>
          <w:lang w:eastAsia="es-MX"/>
        </w:rPr>
        <w:t>Disposiciones Generales</w:t>
      </w:r>
    </w:p>
    <w:p w14:paraId="4C9CD0D6" w14:textId="23E07F98" w:rsidR="00071534" w:rsidRPr="00D77051" w:rsidRDefault="00071534" w:rsidP="007E23CC">
      <w:pPr>
        <w:tabs>
          <w:tab w:val="left" w:pos="726"/>
        </w:tabs>
        <w:spacing w:after="0"/>
        <w:contextualSpacing/>
        <w:mirrorIndents/>
        <w:rPr>
          <w:rFonts w:ascii="Arial" w:hAnsi="Arial" w:cs="Arial"/>
          <w:b/>
          <w:bCs/>
          <w:color w:val="000000"/>
          <w:lang w:eastAsia="es-MX"/>
        </w:rPr>
      </w:pPr>
    </w:p>
    <w:p w14:paraId="37047C08" w14:textId="4487AB2C" w:rsidR="00071534" w:rsidRPr="00D77051" w:rsidRDefault="00071534" w:rsidP="007E23CC">
      <w:pPr>
        <w:spacing w:after="0"/>
        <w:contextualSpacing/>
        <w:mirrorIndents/>
        <w:jc w:val="both"/>
        <w:rPr>
          <w:rFonts w:ascii="Arial" w:hAnsi="Arial" w:cs="Arial"/>
        </w:rPr>
      </w:pPr>
      <w:proofErr w:type="gramStart"/>
      <w:r w:rsidRPr="00D77051">
        <w:rPr>
          <w:rFonts w:ascii="Arial" w:hAnsi="Arial" w:cs="Arial"/>
          <w:b/>
        </w:rPr>
        <w:t>Primero</w:t>
      </w:r>
      <w:r w:rsidRPr="005973EB">
        <w:rPr>
          <w:rFonts w:ascii="Arial" w:hAnsi="Arial" w:cs="Arial"/>
          <w:bCs/>
        </w:rPr>
        <w:t>.-</w:t>
      </w:r>
      <w:proofErr w:type="gramEnd"/>
      <w:r w:rsidRPr="005973EB">
        <w:rPr>
          <w:rFonts w:ascii="Arial" w:hAnsi="Arial" w:cs="Arial"/>
          <w:bCs/>
        </w:rPr>
        <w:t xml:space="preserve"> </w:t>
      </w:r>
      <w:r w:rsidRPr="00D77051">
        <w:rPr>
          <w:rFonts w:ascii="Arial" w:hAnsi="Arial" w:cs="Arial"/>
        </w:rPr>
        <w:t xml:space="preserve">Los presentes </w:t>
      </w:r>
      <w:r w:rsidR="00E54532" w:rsidRPr="00D77051">
        <w:rPr>
          <w:rFonts w:ascii="Arial" w:hAnsi="Arial" w:cs="Arial"/>
        </w:rPr>
        <w:t>L</w:t>
      </w:r>
      <w:r w:rsidRPr="00D77051">
        <w:rPr>
          <w:rFonts w:ascii="Arial" w:hAnsi="Arial" w:cs="Arial"/>
        </w:rPr>
        <w:t xml:space="preserve">ineamientos tienen por objeto establecer las obligaciones y plazos a los que deberán sujetarse los concesionarios y autorizados </w:t>
      </w:r>
      <w:r w:rsidR="00403B01">
        <w:rPr>
          <w:rFonts w:ascii="Arial" w:hAnsi="Arial" w:cs="Arial"/>
        </w:rPr>
        <w:t>que presten el</w:t>
      </w:r>
      <w:r w:rsidRPr="00D77051">
        <w:rPr>
          <w:rFonts w:ascii="Arial" w:hAnsi="Arial" w:cs="Arial"/>
        </w:rPr>
        <w:t xml:space="preserve"> Servicio Móvil </w:t>
      </w:r>
      <w:r w:rsidR="000A0E2A">
        <w:rPr>
          <w:rFonts w:ascii="Arial" w:hAnsi="Arial" w:cs="Arial"/>
        </w:rPr>
        <w:t>para realizar</w:t>
      </w:r>
      <w:r w:rsidRPr="00D77051">
        <w:rPr>
          <w:rFonts w:ascii="Arial" w:hAnsi="Arial" w:cs="Arial"/>
        </w:rPr>
        <w:t xml:space="preserve"> el desbloqueo de </w:t>
      </w:r>
      <w:r w:rsidR="000A0E2A">
        <w:rPr>
          <w:rFonts w:ascii="Arial" w:hAnsi="Arial" w:cs="Arial"/>
        </w:rPr>
        <w:t>los</w:t>
      </w:r>
      <w:r w:rsidRPr="00D77051">
        <w:rPr>
          <w:rFonts w:ascii="Arial" w:hAnsi="Arial" w:cs="Arial"/>
        </w:rPr>
        <w:t xml:space="preserve"> Equipos Terminales Móviles.</w:t>
      </w:r>
    </w:p>
    <w:p w14:paraId="42171406" w14:textId="77777777" w:rsidR="00071534" w:rsidRPr="00D77051" w:rsidRDefault="00071534" w:rsidP="007E23CC">
      <w:pPr>
        <w:spacing w:after="0"/>
        <w:contextualSpacing/>
        <w:mirrorIndents/>
        <w:jc w:val="both"/>
        <w:rPr>
          <w:rFonts w:ascii="Arial" w:hAnsi="Arial" w:cs="Arial"/>
        </w:rPr>
      </w:pPr>
    </w:p>
    <w:p w14:paraId="0A681136" w14:textId="23BE9B77" w:rsidR="00071534" w:rsidRPr="00D77051" w:rsidRDefault="00071534" w:rsidP="007E23CC">
      <w:pPr>
        <w:spacing w:after="0"/>
        <w:contextualSpacing/>
        <w:mirrorIndents/>
        <w:jc w:val="both"/>
        <w:rPr>
          <w:rFonts w:ascii="Arial" w:hAnsi="Arial" w:cs="Arial"/>
        </w:rPr>
      </w:pPr>
      <w:proofErr w:type="gramStart"/>
      <w:r w:rsidRPr="00D77051">
        <w:rPr>
          <w:rFonts w:ascii="Arial" w:hAnsi="Arial" w:cs="Arial"/>
          <w:b/>
          <w:bCs/>
        </w:rPr>
        <w:t>Segundo</w:t>
      </w:r>
      <w:r w:rsidRPr="00D77051">
        <w:rPr>
          <w:rFonts w:ascii="Arial" w:hAnsi="Arial" w:cs="Arial"/>
        </w:rPr>
        <w:t>.-</w:t>
      </w:r>
      <w:proofErr w:type="gramEnd"/>
      <w:r w:rsidRPr="00D77051">
        <w:rPr>
          <w:rFonts w:ascii="Arial" w:hAnsi="Arial" w:cs="Arial"/>
        </w:rPr>
        <w:t xml:space="preserve"> Los presentes Lineamientos son aplicables a los titulares de una Concesión Única o de una Concesión de Red Pública de Telecomunicaciones que les permita </w:t>
      </w:r>
      <w:r w:rsidR="000A0E2A">
        <w:rPr>
          <w:rFonts w:ascii="Arial" w:hAnsi="Arial" w:cs="Arial"/>
        </w:rPr>
        <w:t>la prestación del Servicio Móvil</w:t>
      </w:r>
      <w:r w:rsidRPr="00D77051">
        <w:rPr>
          <w:rFonts w:ascii="Arial" w:hAnsi="Arial" w:cs="Arial"/>
        </w:rPr>
        <w:t>, así como a los autorizados que presten, comercialicen o revendan Servicios Móviles, mediante el uso de capacidad de una o varias Redes Públicas de Telecomunicaciones, de conformidad con los términos y condiciones consignados en sus respectivos títulos habilitantes.</w:t>
      </w:r>
    </w:p>
    <w:p w14:paraId="5568EEBA" w14:textId="77777777" w:rsidR="00071534" w:rsidRPr="00D77051" w:rsidRDefault="00071534" w:rsidP="007E23CC">
      <w:pPr>
        <w:spacing w:after="0"/>
        <w:contextualSpacing/>
        <w:mirrorIndents/>
        <w:jc w:val="both"/>
        <w:rPr>
          <w:rFonts w:ascii="Arial" w:hAnsi="Arial" w:cs="Arial"/>
        </w:rPr>
      </w:pPr>
    </w:p>
    <w:p w14:paraId="359B328F" w14:textId="7444E681" w:rsidR="00071534" w:rsidRPr="00D77051" w:rsidRDefault="00071534" w:rsidP="007E23CC">
      <w:pPr>
        <w:spacing w:after="0"/>
        <w:contextualSpacing/>
        <w:mirrorIndents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D77051">
        <w:rPr>
          <w:rFonts w:ascii="Arial" w:hAnsi="Arial" w:cs="Arial"/>
          <w:b/>
        </w:rPr>
        <w:t>Tercero</w:t>
      </w:r>
      <w:r w:rsidRPr="005973EB">
        <w:rPr>
          <w:rFonts w:ascii="Arial" w:hAnsi="Arial" w:cs="Arial"/>
          <w:bCs/>
        </w:rPr>
        <w:t>.-</w:t>
      </w:r>
      <w:proofErr w:type="gramEnd"/>
      <w:r w:rsidRPr="005973EB">
        <w:rPr>
          <w:rFonts w:ascii="Arial" w:hAnsi="Arial" w:cs="Arial"/>
          <w:bCs/>
        </w:rPr>
        <w:t xml:space="preserve"> </w:t>
      </w:r>
      <w:r w:rsidR="009628A4">
        <w:rPr>
          <w:rFonts w:ascii="Arial" w:hAnsi="Arial" w:cs="Arial"/>
          <w:bCs/>
        </w:rPr>
        <w:t xml:space="preserve">Para efectos de los presentes Lineamientos, además de </w:t>
      </w:r>
      <w:r w:rsidRPr="00D77051">
        <w:rPr>
          <w:rFonts w:ascii="Arial" w:hAnsi="Arial" w:cs="Arial"/>
        </w:rPr>
        <w:t xml:space="preserve">las definiciones </w:t>
      </w:r>
      <w:r w:rsidR="009628A4">
        <w:rPr>
          <w:rFonts w:ascii="Arial" w:hAnsi="Arial" w:cs="Arial"/>
        </w:rPr>
        <w:t>previstas</w:t>
      </w:r>
      <w:r w:rsidRPr="00D77051">
        <w:rPr>
          <w:rFonts w:ascii="Arial" w:hAnsi="Arial" w:cs="Arial"/>
        </w:rPr>
        <w:t xml:space="preserve"> en la Ley Federal de Telecomunicaciones y Radiodifusión </w:t>
      </w:r>
      <w:r w:rsidR="009628A4">
        <w:rPr>
          <w:rFonts w:ascii="Arial" w:hAnsi="Arial" w:cs="Arial"/>
        </w:rPr>
        <w:t>serán aplicables las siguientes:</w:t>
      </w:r>
    </w:p>
    <w:p w14:paraId="1DEF5B63" w14:textId="77777777" w:rsidR="00071534" w:rsidRPr="00D77051" w:rsidRDefault="00071534" w:rsidP="007E23CC">
      <w:pPr>
        <w:spacing w:after="0"/>
        <w:contextualSpacing/>
        <w:mirrorIndents/>
        <w:jc w:val="both"/>
        <w:rPr>
          <w:rFonts w:ascii="Arial" w:hAnsi="Arial" w:cs="Arial"/>
          <w:sz w:val="20"/>
          <w:szCs w:val="20"/>
        </w:rPr>
      </w:pPr>
    </w:p>
    <w:p w14:paraId="4505C0BD" w14:textId="6E6B676A" w:rsidR="00181DDC" w:rsidRPr="00B003AE" w:rsidRDefault="00181DDC" w:rsidP="002A3456">
      <w:pPr>
        <w:pStyle w:val="Prrafodelista"/>
        <w:numPr>
          <w:ilvl w:val="0"/>
          <w:numId w:val="11"/>
        </w:numPr>
        <w:spacing w:line="276" w:lineRule="auto"/>
        <w:ind w:left="567" w:hanging="567"/>
        <w:contextualSpacing/>
        <w:mirrorIndents/>
        <w:jc w:val="both"/>
        <w:rPr>
          <w:rFonts w:eastAsiaTheme="minorEastAsia" w:cs="Arial"/>
          <w:sz w:val="22"/>
          <w:szCs w:val="22"/>
        </w:rPr>
      </w:pPr>
      <w:r w:rsidRPr="00B003AE">
        <w:rPr>
          <w:rFonts w:eastAsiaTheme="minorEastAsia" w:cs="Arial"/>
          <w:b/>
          <w:bCs/>
          <w:sz w:val="22"/>
          <w:szCs w:val="22"/>
        </w:rPr>
        <w:t>AEPT</w:t>
      </w:r>
      <w:r w:rsidRPr="005F1711">
        <w:rPr>
          <w:rFonts w:eastAsiaTheme="minorEastAsia" w:cs="Arial"/>
          <w:sz w:val="22"/>
          <w:szCs w:val="22"/>
        </w:rPr>
        <w:t xml:space="preserve">: </w:t>
      </w:r>
      <w:r w:rsidRPr="00B003AE">
        <w:rPr>
          <w:sz w:val="22"/>
          <w:szCs w:val="22"/>
        </w:rPr>
        <w:t>Agente económico preponderante en el sector de telecomunicaciones declarado mediante Acuerdo P/IFT/EXT/060314/76</w:t>
      </w:r>
      <w:r w:rsidR="00B53C5D">
        <w:rPr>
          <w:sz w:val="22"/>
          <w:szCs w:val="22"/>
        </w:rPr>
        <w:t>;</w:t>
      </w:r>
    </w:p>
    <w:p w14:paraId="294F592B" w14:textId="7759A46C" w:rsidR="00071534" w:rsidRPr="002A3456" w:rsidRDefault="00071534" w:rsidP="002A3456">
      <w:pPr>
        <w:pStyle w:val="Prrafodelista"/>
        <w:numPr>
          <w:ilvl w:val="0"/>
          <w:numId w:val="11"/>
        </w:numPr>
        <w:spacing w:line="276" w:lineRule="auto"/>
        <w:ind w:left="567" w:hanging="567"/>
        <w:contextualSpacing/>
        <w:mirrorIndents/>
        <w:jc w:val="both"/>
        <w:rPr>
          <w:rFonts w:eastAsiaTheme="minorEastAsia" w:cs="Arial"/>
          <w:sz w:val="22"/>
          <w:szCs w:val="22"/>
        </w:rPr>
      </w:pPr>
      <w:r w:rsidRPr="002A3456">
        <w:rPr>
          <w:rFonts w:cs="Arial"/>
          <w:b/>
          <w:bCs/>
          <w:sz w:val="22"/>
          <w:szCs w:val="22"/>
        </w:rPr>
        <w:t>Código de desbloqueo</w:t>
      </w:r>
      <w:r w:rsidRPr="002A3456">
        <w:rPr>
          <w:rFonts w:cs="Arial"/>
          <w:sz w:val="22"/>
          <w:szCs w:val="22"/>
        </w:rPr>
        <w:t xml:space="preserve">: Conjunto de dígitos </w:t>
      </w:r>
      <w:r w:rsidR="00E54532" w:rsidRPr="002A3456">
        <w:rPr>
          <w:rFonts w:cs="Arial"/>
          <w:sz w:val="22"/>
          <w:szCs w:val="22"/>
        </w:rPr>
        <w:t xml:space="preserve">necesario </w:t>
      </w:r>
      <w:r w:rsidRPr="002A3456">
        <w:rPr>
          <w:rFonts w:eastAsiaTheme="minorEastAsia" w:cs="Arial"/>
          <w:sz w:val="22"/>
          <w:szCs w:val="22"/>
        </w:rPr>
        <w:t xml:space="preserve">para el </w:t>
      </w:r>
      <w:r w:rsidR="00E54532" w:rsidRPr="002A3456">
        <w:rPr>
          <w:rFonts w:eastAsiaTheme="minorEastAsia" w:cs="Arial"/>
          <w:sz w:val="22"/>
          <w:szCs w:val="22"/>
        </w:rPr>
        <w:t xml:space="preserve">desbloqueo del </w:t>
      </w:r>
      <w:r w:rsidRPr="002A3456">
        <w:rPr>
          <w:rFonts w:eastAsiaTheme="minorEastAsia" w:cs="Arial"/>
          <w:sz w:val="22"/>
          <w:szCs w:val="22"/>
        </w:rPr>
        <w:t>Equipo Terminal Móvil;</w:t>
      </w:r>
    </w:p>
    <w:p w14:paraId="2F4BC559" w14:textId="02C914F5" w:rsidR="0000448E" w:rsidRPr="002A3456" w:rsidRDefault="0000448E" w:rsidP="002A3456">
      <w:pPr>
        <w:pStyle w:val="Prrafodelista"/>
        <w:numPr>
          <w:ilvl w:val="0"/>
          <w:numId w:val="11"/>
        </w:numPr>
        <w:spacing w:line="276" w:lineRule="auto"/>
        <w:ind w:left="567" w:hanging="567"/>
        <w:contextualSpacing/>
        <w:mirrorIndents/>
        <w:jc w:val="both"/>
        <w:rPr>
          <w:rFonts w:cs="Arial"/>
          <w:sz w:val="22"/>
          <w:szCs w:val="22"/>
        </w:rPr>
      </w:pPr>
      <w:r w:rsidRPr="002A3456">
        <w:rPr>
          <w:rFonts w:cs="Arial"/>
          <w:b/>
          <w:bCs/>
          <w:sz w:val="22"/>
          <w:szCs w:val="22"/>
        </w:rPr>
        <w:t>Concesionario</w:t>
      </w:r>
      <w:r w:rsidRPr="002A3456">
        <w:rPr>
          <w:rFonts w:cs="Arial"/>
          <w:sz w:val="22"/>
          <w:szCs w:val="22"/>
        </w:rPr>
        <w:t>:</w:t>
      </w:r>
      <w:r w:rsidR="009628A4" w:rsidRPr="002A3456">
        <w:rPr>
          <w:rFonts w:cs="Arial"/>
          <w:sz w:val="22"/>
          <w:szCs w:val="22"/>
        </w:rPr>
        <w:t xml:space="preserve"> </w:t>
      </w:r>
      <w:r w:rsidR="00E409A4" w:rsidRPr="002A3456">
        <w:rPr>
          <w:rFonts w:cs="Arial"/>
          <w:sz w:val="22"/>
          <w:szCs w:val="22"/>
        </w:rPr>
        <w:t>Persona física o moral, titular de una Concesión Única o de Red Pública de</w:t>
      </w:r>
      <w:r w:rsidR="009628A4" w:rsidRPr="002A3456">
        <w:rPr>
          <w:rFonts w:cs="Arial"/>
          <w:sz w:val="22"/>
          <w:szCs w:val="22"/>
        </w:rPr>
        <w:t xml:space="preserve"> </w:t>
      </w:r>
      <w:r w:rsidR="00E409A4" w:rsidRPr="002A3456">
        <w:rPr>
          <w:rFonts w:cs="Arial"/>
          <w:sz w:val="22"/>
          <w:szCs w:val="22"/>
        </w:rPr>
        <w:t>Telecomunicaciones que le permite prestar servicios públicos de telecomunicaciones</w:t>
      </w:r>
      <w:r w:rsidR="005502C7" w:rsidRPr="002A3456">
        <w:rPr>
          <w:rFonts w:cs="Arial"/>
          <w:sz w:val="22"/>
          <w:szCs w:val="22"/>
        </w:rPr>
        <w:t xml:space="preserve"> móviles</w:t>
      </w:r>
      <w:r w:rsidRPr="002A3456">
        <w:rPr>
          <w:rFonts w:cs="Arial"/>
          <w:sz w:val="22"/>
          <w:szCs w:val="22"/>
        </w:rPr>
        <w:t>;</w:t>
      </w:r>
    </w:p>
    <w:p w14:paraId="491AD1C2" w14:textId="6C45D8B4" w:rsidR="0094341C" w:rsidRPr="002A3456" w:rsidRDefault="0094341C" w:rsidP="002A3456">
      <w:pPr>
        <w:pStyle w:val="Prrafodelista"/>
        <w:numPr>
          <w:ilvl w:val="0"/>
          <w:numId w:val="11"/>
        </w:numPr>
        <w:spacing w:line="276" w:lineRule="auto"/>
        <w:ind w:left="567" w:hanging="567"/>
        <w:contextualSpacing/>
        <w:mirrorIndents/>
        <w:jc w:val="both"/>
        <w:rPr>
          <w:rFonts w:cs="Arial"/>
          <w:b/>
          <w:bCs/>
          <w:sz w:val="22"/>
          <w:szCs w:val="22"/>
        </w:rPr>
      </w:pPr>
      <w:r w:rsidRPr="002A3456">
        <w:rPr>
          <w:rFonts w:cs="Arial"/>
          <w:b/>
          <w:bCs/>
          <w:sz w:val="22"/>
          <w:szCs w:val="22"/>
        </w:rPr>
        <w:t>Concesionario Mayorista Móvil:</w:t>
      </w:r>
      <w:r w:rsidR="009628A4" w:rsidRPr="002A3456">
        <w:rPr>
          <w:rFonts w:cs="Arial"/>
          <w:b/>
          <w:bCs/>
          <w:sz w:val="22"/>
          <w:szCs w:val="22"/>
        </w:rPr>
        <w:t xml:space="preserve"> </w:t>
      </w:r>
      <w:r w:rsidRPr="002A3456">
        <w:rPr>
          <w:rFonts w:cs="Arial"/>
          <w:sz w:val="22"/>
          <w:szCs w:val="22"/>
        </w:rPr>
        <w:t>Titular de una concesión de las previstas en la Ley Federal</w:t>
      </w:r>
      <w:r w:rsidR="009628A4" w:rsidRPr="002A3456">
        <w:rPr>
          <w:rFonts w:cs="Arial"/>
          <w:sz w:val="22"/>
          <w:szCs w:val="22"/>
        </w:rPr>
        <w:t xml:space="preserve"> </w:t>
      </w:r>
      <w:r w:rsidRPr="002A3456">
        <w:rPr>
          <w:rFonts w:cs="Arial"/>
          <w:sz w:val="22"/>
          <w:szCs w:val="22"/>
        </w:rPr>
        <w:t>de</w:t>
      </w:r>
      <w:r w:rsidR="009628A4" w:rsidRPr="002A3456">
        <w:rPr>
          <w:rFonts w:cs="Arial"/>
          <w:sz w:val="22"/>
          <w:szCs w:val="22"/>
        </w:rPr>
        <w:t xml:space="preserve"> </w:t>
      </w:r>
      <w:r w:rsidRPr="002A3456">
        <w:rPr>
          <w:rFonts w:cs="Arial"/>
          <w:sz w:val="22"/>
          <w:szCs w:val="22"/>
        </w:rPr>
        <w:t>Telecomunicaciones y Radiodifusión y que ofrece servicios mayoristas de</w:t>
      </w:r>
      <w:r w:rsidR="009628A4" w:rsidRPr="002A3456">
        <w:rPr>
          <w:rFonts w:cs="Arial"/>
          <w:sz w:val="22"/>
          <w:szCs w:val="22"/>
        </w:rPr>
        <w:t xml:space="preserve"> </w:t>
      </w:r>
      <w:r w:rsidRPr="002A3456">
        <w:rPr>
          <w:rFonts w:cs="Arial"/>
          <w:sz w:val="22"/>
          <w:szCs w:val="22"/>
        </w:rPr>
        <w:t>telecomunicaciones móviles;</w:t>
      </w:r>
    </w:p>
    <w:p w14:paraId="641C97EB" w14:textId="13747D98" w:rsidR="00071534" w:rsidRPr="002A3456" w:rsidRDefault="00071534" w:rsidP="002A3456">
      <w:pPr>
        <w:pStyle w:val="Prrafodelista"/>
        <w:numPr>
          <w:ilvl w:val="0"/>
          <w:numId w:val="11"/>
        </w:numPr>
        <w:spacing w:line="276" w:lineRule="auto"/>
        <w:ind w:left="567" w:hanging="567"/>
        <w:contextualSpacing/>
        <w:mirrorIndents/>
        <w:jc w:val="both"/>
        <w:rPr>
          <w:rFonts w:eastAsiaTheme="minorEastAsia" w:cs="Arial"/>
          <w:b/>
          <w:bCs/>
          <w:sz w:val="22"/>
          <w:szCs w:val="22"/>
        </w:rPr>
      </w:pPr>
      <w:r w:rsidRPr="002A3456">
        <w:rPr>
          <w:rFonts w:cs="Arial"/>
          <w:b/>
          <w:bCs/>
          <w:sz w:val="22"/>
          <w:szCs w:val="22"/>
        </w:rPr>
        <w:t>Desbloqueo</w:t>
      </w:r>
      <w:r w:rsidRPr="002A3456">
        <w:rPr>
          <w:rFonts w:eastAsiaTheme="minorEastAsia" w:cs="Arial"/>
          <w:b/>
          <w:bCs/>
          <w:sz w:val="22"/>
          <w:szCs w:val="22"/>
        </w:rPr>
        <w:t xml:space="preserve">: </w:t>
      </w:r>
      <w:r w:rsidRPr="002A3456">
        <w:rPr>
          <w:rFonts w:eastAsiaTheme="minorEastAsia" w:cs="Arial"/>
          <w:sz w:val="22"/>
          <w:szCs w:val="22"/>
        </w:rPr>
        <w:t>Eliminación de la restricción técnica con la que cuentan los Equipos Terminales Móviles para que puedan ser utilizados en</w:t>
      </w:r>
      <w:r w:rsidR="00136D23" w:rsidRPr="002A3456">
        <w:rPr>
          <w:rFonts w:eastAsiaTheme="minorEastAsia" w:cs="Arial"/>
          <w:sz w:val="22"/>
          <w:szCs w:val="22"/>
        </w:rPr>
        <w:t xml:space="preserve"> cualquier </w:t>
      </w:r>
      <w:r w:rsidRPr="002A3456">
        <w:rPr>
          <w:rFonts w:eastAsiaTheme="minorEastAsia" w:cs="Arial"/>
          <w:sz w:val="22"/>
          <w:szCs w:val="22"/>
        </w:rPr>
        <w:t xml:space="preserve">red </w:t>
      </w:r>
      <w:r w:rsidR="00564657">
        <w:rPr>
          <w:rFonts w:eastAsiaTheme="minorEastAsia" w:cs="Arial"/>
          <w:sz w:val="22"/>
          <w:szCs w:val="22"/>
        </w:rPr>
        <w:t>pública de</w:t>
      </w:r>
      <w:r w:rsidR="00136D23" w:rsidRPr="002A3456">
        <w:rPr>
          <w:rFonts w:eastAsiaTheme="minorEastAsia" w:cs="Arial"/>
          <w:sz w:val="22"/>
          <w:szCs w:val="22"/>
        </w:rPr>
        <w:t xml:space="preserve"> telecomunicaciones técnicamente compatible</w:t>
      </w:r>
      <w:r w:rsidRPr="002A3456">
        <w:rPr>
          <w:rFonts w:eastAsiaTheme="minorEastAsia" w:cs="Arial"/>
          <w:sz w:val="22"/>
          <w:szCs w:val="22"/>
        </w:rPr>
        <w:t>;</w:t>
      </w:r>
    </w:p>
    <w:p w14:paraId="37FD0649" w14:textId="146F31CE" w:rsidR="00071534" w:rsidRPr="00AC79E4" w:rsidRDefault="00071534" w:rsidP="002A3456">
      <w:pPr>
        <w:pStyle w:val="Prrafodelista"/>
        <w:numPr>
          <w:ilvl w:val="0"/>
          <w:numId w:val="11"/>
        </w:numPr>
        <w:spacing w:line="276" w:lineRule="auto"/>
        <w:ind w:left="567" w:hanging="567"/>
        <w:contextualSpacing/>
        <w:mirrorIndents/>
        <w:jc w:val="both"/>
        <w:rPr>
          <w:rFonts w:eastAsiaTheme="minorEastAsia" w:cs="Arial"/>
          <w:b/>
          <w:bCs/>
          <w:sz w:val="22"/>
          <w:szCs w:val="22"/>
        </w:rPr>
      </w:pPr>
      <w:r w:rsidRPr="002A3456">
        <w:rPr>
          <w:rFonts w:cs="Arial"/>
          <w:b/>
          <w:bCs/>
          <w:sz w:val="22"/>
          <w:szCs w:val="22"/>
        </w:rPr>
        <w:t>Equipo Terminal Móvil</w:t>
      </w:r>
      <w:r w:rsidRPr="001555DF">
        <w:rPr>
          <w:rFonts w:cs="Arial"/>
          <w:b/>
          <w:bCs/>
          <w:sz w:val="22"/>
          <w:szCs w:val="22"/>
        </w:rPr>
        <w:t>:</w:t>
      </w:r>
      <w:r w:rsidRPr="002A3456">
        <w:rPr>
          <w:rFonts w:cs="Arial"/>
          <w:sz w:val="22"/>
          <w:szCs w:val="22"/>
        </w:rPr>
        <w:t xml:space="preserve"> Dispositivo móvil que utiliza el usuario para conectarse más allá del punto de conexión terminal de una red pública con el propósito de tener acceso y/o recibir uno o más servicios de telecomunicaciones;</w:t>
      </w:r>
    </w:p>
    <w:p w14:paraId="08D663F6" w14:textId="7702FB98" w:rsidR="001555DF" w:rsidRPr="005F1711" w:rsidRDefault="001555DF" w:rsidP="002A3456">
      <w:pPr>
        <w:pStyle w:val="Prrafodelista"/>
        <w:numPr>
          <w:ilvl w:val="0"/>
          <w:numId w:val="11"/>
        </w:numPr>
        <w:spacing w:line="276" w:lineRule="auto"/>
        <w:ind w:left="567" w:hanging="567"/>
        <w:contextualSpacing/>
        <w:mirrorIndents/>
        <w:jc w:val="both"/>
        <w:rPr>
          <w:rFonts w:eastAsiaTheme="minorEastAsia" w:cs="Arial"/>
          <w:b/>
          <w:bCs/>
          <w:sz w:val="22"/>
          <w:szCs w:val="22"/>
        </w:rPr>
      </w:pPr>
      <w:r w:rsidRPr="005F1711">
        <w:rPr>
          <w:rFonts w:eastAsiaTheme="minorEastAsia" w:cs="Arial"/>
          <w:b/>
          <w:bCs/>
          <w:sz w:val="22"/>
          <w:szCs w:val="22"/>
        </w:rPr>
        <w:t>Equipo Terminal Móvil Elegible:</w:t>
      </w:r>
      <w:r w:rsidRPr="005F1711">
        <w:rPr>
          <w:rFonts w:eastAsiaTheme="minorEastAsia" w:cs="Arial"/>
          <w:sz w:val="22"/>
          <w:szCs w:val="22"/>
        </w:rPr>
        <w:t xml:space="preserve"> Equipo Terminal Móvil </w:t>
      </w:r>
      <w:r w:rsidR="00BA77F6">
        <w:rPr>
          <w:rFonts w:eastAsiaTheme="minorEastAsia" w:cs="Arial"/>
          <w:sz w:val="22"/>
          <w:szCs w:val="22"/>
        </w:rPr>
        <w:t>que actualiza los supuestos a los</w:t>
      </w:r>
      <w:r w:rsidR="00704B0C">
        <w:rPr>
          <w:rFonts w:eastAsiaTheme="minorEastAsia" w:cs="Arial"/>
          <w:sz w:val="22"/>
          <w:szCs w:val="22"/>
        </w:rPr>
        <w:t xml:space="preserve"> </w:t>
      </w:r>
      <w:r w:rsidRPr="009A694F">
        <w:rPr>
          <w:rFonts w:eastAsiaTheme="minorEastAsia" w:cs="Arial"/>
          <w:sz w:val="22"/>
          <w:szCs w:val="22"/>
        </w:rPr>
        <w:t>que</w:t>
      </w:r>
      <w:r w:rsidR="00704B0C">
        <w:rPr>
          <w:rFonts w:eastAsiaTheme="minorEastAsia" w:cs="Arial"/>
          <w:sz w:val="22"/>
          <w:szCs w:val="22"/>
        </w:rPr>
        <w:t xml:space="preserve"> se refiere el Lineamiento Séptimo</w:t>
      </w:r>
      <w:r w:rsidR="00AE00E1">
        <w:rPr>
          <w:rFonts w:eastAsiaTheme="minorEastAsia" w:cs="Arial"/>
          <w:sz w:val="22"/>
          <w:szCs w:val="22"/>
        </w:rPr>
        <w:t xml:space="preserve"> y</w:t>
      </w:r>
      <w:r w:rsidR="0065021E">
        <w:rPr>
          <w:rFonts w:eastAsiaTheme="minorEastAsia" w:cs="Arial"/>
          <w:sz w:val="22"/>
          <w:szCs w:val="22"/>
        </w:rPr>
        <w:t xml:space="preserve"> que presenta una limitante técnica para su desbloqueo automático</w:t>
      </w:r>
      <w:r w:rsidR="00AD75D8">
        <w:rPr>
          <w:rFonts w:eastAsiaTheme="minorEastAsia" w:cs="Arial"/>
          <w:sz w:val="22"/>
          <w:szCs w:val="22"/>
        </w:rPr>
        <w:t>;</w:t>
      </w:r>
    </w:p>
    <w:p w14:paraId="00E6F84A" w14:textId="78E80A70" w:rsidR="00071534" w:rsidRPr="002A3456" w:rsidRDefault="00071534" w:rsidP="002A3456">
      <w:pPr>
        <w:pStyle w:val="Prrafodelista"/>
        <w:numPr>
          <w:ilvl w:val="0"/>
          <w:numId w:val="11"/>
        </w:numPr>
        <w:spacing w:line="276" w:lineRule="auto"/>
        <w:ind w:left="567" w:hanging="567"/>
        <w:contextualSpacing/>
        <w:mirrorIndents/>
        <w:jc w:val="both"/>
        <w:rPr>
          <w:rFonts w:cs="Arial"/>
          <w:b/>
          <w:bCs/>
          <w:sz w:val="22"/>
          <w:szCs w:val="22"/>
        </w:rPr>
      </w:pPr>
      <w:r w:rsidRPr="002A3456">
        <w:rPr>
          <w:rFonts w:cs="Arial"/>
          <w:b/>
          <w:bCs/>
          <w:sz w:val="22"/>
          <w:szCs w:val="22"/>
        </w:rPr>
        <w:t>IMEI:</w:t>
      </w:r>
      <w:r w:rsidRPr="002A3456">
        <w:rPr>
          <w:rFonts w:cs="Arial"/>
          <w:sz w:val="22"/>
          <w:szCs w:val="22"/>
        </w:rPr>
        <w:t xml:space="preserve"> Identificador Internacional del Equipo Terminal Móvil (</w:t>
      </w:r>
      <w:r w:rsidRPr="00AD75D8">
        <w:rPr>
          <w:rFonts w:cs="Arial"/>
          <w:i/>
          <w:iCs/>
          <w:sz w:val="22"/>
          <w:szCs w:val="22"/>
        </w:rPr>
        <w:t xml:space="preserve">International Mobile </w:t>
      </w:r>
      <w:proofErr w:type="spellStart"/>
      <w:r w:rsidRPr="00AD75D8">
        <w:rPr>
          <w:rFonts w:cs="Arial"/>
          <w:i/>
          <w:iCs/>
          <w:sz w:val="22"/>
          <w:szCs w:val="22"/>
        </w:rPr>
        <w:t>Equipment</w:t>
      </w:r>
      <w:proofErr w:type="spellEnd"/>
      <w:r w:rsidRPr="00AD75D8">
        <w:rPr>
          <w:rFonts w:cs="Arial"/>
          <w:i/>
          <w:iCs/>
          <w:sz w:val="22"/>
          <w:szCs w:val="22"/>
        </w:rPr>
        <w:t xml:space="preserve"> </w:t>
      </w:r>
      <w:proofErr w:type="spellStart"/>
      <w:r w:rsidRPr="00AD75D8">
        <w:rPr>
          <w:rFonts w:cs="Arial"/>
          <w:i/>
          <w:iCs/>
          <w:sz w:val="22"/>
          <w:szCs w:val="22"/>
        </w:rPr>
        <w:t>Identity</w:t>
      </w:r>
      <w:proofErr w:type="spellEnd"/>
      <w:r w:rsidRPr="002A3456">
        <w:rPr>
          <w:rFonts w:cs="Arial"/>
          <w:sz w:val="22"/>
          <w:szCs w:val="22"/>
        </w:rPr>
        <w:t>)</w:t>
      </w:r>
      <w:r w:rsidR="00AC2CD7" w:rsidRPr="002A3456">
        <w:rPr>
          <w:rFonts w:cs="Arial"/>
          <w:sz w:val="22"/>
          <w:szCs w:val="22"/>
        </w:rPr>
        <w:t>;</w:t>
      </w:r>
    </w:p>
    <w:p w14:paraId="23D57804" w14:textId="77777777" w:rsidR="002A3456" w:rsidRPr="002A3456" w:rsidRDefault="00071534" w:rsidP="002A3456">
      <w:pPr>
        <w:pStyle w:val="Prrafodelista"/>
        <w:numPr>
          <w:ilvl w:val="0"/>
          <w:numId w:val="11"/>
        </w:numPr>
        <w:spacing w:line="276" w:lineRule="auto"/>
        <w:ind w:left="567" w:hanging="567"/>
        <w:contextualSpacing/>
        <w:mirrorIndents/>
        <w:jc w:val="both"/>
        <w:rPr>
          <w:rFonts w:cs="Arial"/>
          <w:b/>
          <w:bCs/>
          <w:sz w:val="22"/>
          <w:szCs w:val="22"/>
        </w:rPr>
      </w:pPr>
      <w:r w:rsidRPr="002A3456">
        <w:rPr>
          <w:rFonts w:cs="Arial"/>
          <w:b/>
          <w:bCs/>
          <w:sz w:val="22"/>
          <w:szCs w:val="22"/>
        </w:rPr>
        <w:t>Instituto</w:t>
      </w:r>
      <w:r w:rsidRPr="002A3456">
        <w:rPr>
          <w:rFonts w:cs="Arial"/>
          <w:sz w:val="22"/>
          <w:szCs w:val="22"/>
        </w:rPr>
        <w:t>: Instituto Federal de Telecomunicaciones;</w:t>
      </w:r>
    </w:p>
    <w:p w14:paraId="4D3FB0A8" w14:textId="5C9A3AFA" w:rsidR="00071534" w:rsidRPr="002A3456" w:rsidRDefault="00071534" w:rsidP="002A3456">
      <w:pPr>
        <w:pStyle w:val="Prrafodelista"/>
        <w:numPr>
          <w:ilvl w:val="0"/>
          <w:numId w:val="11"/>
        </w:numPr>
        <w:spacing w:line="276" w:lineRule="auto"/>
        <w:ind w:left="567" w:hanging="567"/>
        <w:contextualSpacing/>
        <w:mirrorIndents/>
        <w:jc w:val="both"/>
        <w:rPr>
          <w:rFonts w:cs="Arial"/>
          <w:b/>
          <w:bCs/>
          <w:sz w:val="22"/>
          <w:szCs w:val="22"/>
        </w:rPr>
      </w:pPr>
      <w:r w:rsidRPr="002A3456">
        <w:rPr>
          <w:rFonts w:cs="Arial"/>
          <w:b/>
          <w:bCs/>
          <w:sz w:val="22"/>
          <w:szCs w:val="22"/>
        </w:rPr>
        <w:t>Ley</w:t>
      </w:r>
      <w:r w:rsidRPr="002A3456">
        <w:rPr>
          <w:rFonts w:cs="Arial"/>
          <w:sz w:val="22"/>
          <w:szCs w:val="22"/>
        </w:rPr>
        <w:t>: Ley Federal de Telecomunicaciones y Radiodifusión;</w:t>
      </w:r>
    </w:p>
    <w:p w14:paraId="4033DBBE" w14:textId="16ECB019" w:rsidR="002A3456" w:rsidRPr="002A3456" w:rsidRDefault="00071534" w:rsidP="002A3456">
      <w:pPr>
        <w:pStyle w:val="Prrafodelista"/>
        <w:numPr>
          <w:ilvl w:val="0"/>
          <w:numId w:val="11"/>
        </w:numPr>
        <w:spacing w:line="276" w:lineRule="auto"/>
        <w:ind w:left="567" w:hanging="567"/>
        <w:contextualSpacing/>
        <w:mirrorIndents/>
        <w:jc w:val="both"/>
        <w:rPr>
          <w:rFonts w:cs="Arial"/>
          <w:sz w:val="22"/>
          <w:szCs w:val="22"/>
        </w:rPr>
      </w:pPr>
      <w:r w:rsidRPr="002A3456">
        <w:rPr>
          <w:rFonts w:cs="Arial"/>
          <w:b/>
          <w:bCs/>
          <w:sz w:val="22"/>
          <w:szCs w:val="22"/>
        </w:rPr>
        <w:lastRenderedPageBreak/>
        <w:t>Lineamientos</w:t>
      </w:r>
      <w:r w:rsidRPr="002A3456">
        <w:rPr>
          <w:rFonts w:cs="Arial"/>
          <w:sz w:val="22"/>
          <w:szCs w:val="22"/>
        </w:rPr>
        <w:t>: Los presentes Lineamientos para el Desbloqueo de Equipos Terminales</w:t>
      </w:r>
      <w:r w:rsidR="00146C27" w:rsidRPr="002A3456">
        <w:rPr>
          <w:rFonts w:cs="Arial"/>
          <w:sz w:val="22"/>
          <w:szCs w:val="22"/>
        </w:rPr>
        <w:t xml:space="preserve"> Móviles</w:t>
      </w:r>
      <w:r w:rsidR="009C52CF" w:rsidRPr="002A3456">
        <w:rPr>
          <w:rFonts w:cs="Arial"/>
          <w:sz w:val="22"/>
          <w:szCs w:val="22"/>
        </w:rPr>
        <w:t xml:space="preserve"> </w:t>
      </w:r>
      <w:r w:rsidR="007C1880" w:rsidRPr="002A3456">
        <w:rPr>
          <w:rFonts w:cs="Arial"/>
          <w:sz w:val="22"/>
          <w:szCs w:val="22"/>
        </w:rPr>
        <w:t xml:space="preserve">que </w:t>
      </w:r>
      <w:r w:rsidR="009C52CF" w:rsidRPr="002A3456">
        <w:rPr>
          <w:rFonts w:cs="Arial"/>
          <w:sz w:val="22"/>
          <w:szCs w:val="22"/>
        </w:rPr>
        <w:t>deben observar los prestadores del servicio móvil</w:t>
      </w:r>
      <w:r w:rsidRPr="002A3456">
        <w:rPr>
          <w:rFonts w:cs="Arial"/>
          <w:sz w:val="22"/>
          <w:szCs w:val="22"/>
        </w:rPr>
        <w:t>;</w:t>
      </w:r>
    </w:p>
    <w:p w14:paraId="38AB2833" w14:textId="7A8E4D2E" w:rsidR="002A3456" w:rsidRPr="002A3456" w:rsidRDefault="0021129A" w:rsidP="002A3456">
      <w:pPr>
        <w:pStyle w:val="Prrafodelista"/>
        <w:numPr>
          <w:ilvl w:val="0"/>
          <w:numId w:val="11"/>
        </w:numPr>
        <w:spacing w:line="276" w:lineRule="auto"/>
        <w:ind w:left="567" w:hanging="567"/>
        <w:contextualSpacing/>
        <w:mirrorIndents/>
        <w:jc w:val="both"/>
        <w:rPr>
          <w:rFonts w:cs="Arial"/>
          <w:sz w:val="22"/>
          <w:szCs w:val="22"/>
        </w:rPr>
      </w:pPr>
      <w:r w:rsidRPr="002A3456">
        <w:rPr>
          <w:rFonts w:cs="Arial"/>
          <w:b/>
          <w:bCs/>
          <w:sz w:val="22"/>
          <w:szCs w:val="22"/>
        </w:rPr>
        <w:t>Operadores Móviles Virtuales</w:t>
      </w:r>
      <w:r w:rsidRPr="002A3456">
        <w:rPr>
          <w:rFonts w:cs="Arial"/>
          <w:sz w:val="22"/>
          <w:szCs w:val="22"/>
        </w:rPr>
        <w:t>:</w:t>
      </w:r>
      <w:r w:rsidR="009628A4" w:rsidRPr="002A3456">
        <w:rPr>
          <w:rFonts w:cs="Arial"/>
          <w:sz w:val="22"/>
          <w:szCs w:val="22"/>
        </w:rPr>
        <w:t xml:space="preserve"> </w:t>
      </w:r>
      <w:r w:rsidRPr="002A3456">
        <w:rPr>
          <w:rFonts w:cs="Arial"/>
          <w:sz w:val="22"/>
          <w:szCs w:val="22"/>
        </w:rPr>
        <w:t>Concesionario o autorizado que preste, comercialice o</w:t>
      </w:r>
      <w:r w:rsidR="009628A4" w:rsidRPr="002A3456">
        <w:rPr>
          <w:rFonts w:cs="Arial"/>
          <w:sz w:val="22"/>
          <w:szCs w:val="22"/>
        </w:rPr>
        <w:t xml:space="preserve"> </w:t>
      </w:r>
      <w:r w:rsidRPr="002A3456">
        <w:rPr>
          <w:rFonts w:cs="Arial"/>
          <w:sz w:val="22"/>
          <w:szCs w:val="22"/>
        </w:rPr>
        <w:t>revenda servicios móviles o capacidades que previamente haya contratado con algún</w:t>
      </w:r>
      <w:r w:rsidR="009628A4" w:rsidRPr="002A3456">
        <w:rPr>
          <w:rFonts w:cs="Arial"/>
          <w:sz w:val="22"/>
          <w:szCs w:val="22"/>
        </w:rPr>
        <w:t xml:space="preserve"> </w:t>
      </w:r>
      <w:r w:rsidRPr="002A3456">
        <w:rPr>
          <w:rFonts w:cs="Arial"/>
          <w:sz w:val="22"/>
          <w:szCs w:val="22"/>
        </w:rPr>
        <w:t>Concesionario Mayorista Móvil;</w:t>
      </w:r>
    </w:p>
    <w:p w14:paraId="492BD22C" w14:textId="77777777" w:rsidR="002A3456" w:rsidRPr="002A3456" w:rsidRDefault="00C27A1E" w:rsidP="002A3456">
      <w:pPr>
        <w:pStyle w:val="Prrafodelista"/>
        <w:numPr>
          <w:ilvl w:val="0"/>
          <w:numId w:val="11"/>
        </w:numPr>
        <w:spacing w:line="276" w:lineRule="auto"/>
        <w:ind w:left="567" w:hanging="567"/>
        <w:contextualSpacing/>
        <w:mirrorIndents/>
        <w:jc w:val="both"/>
        <w:rPr>
          <w:rFonts w:cs="Arial"/>
          <w:sz w:val="22"/>
          <w:szCs w:val="22"/>
        </w:rPr>
      </w:pPr>
      <w:r w:rsidRPr="002A3456">
        <w:rPr>
          <w:rFonts w:cs="Arial"/>
          <w:b/>
          <w:bCs/>
          <w:sz w:val="22"/>
          <w:szCs w:val="22"/>
        </w:rPr>
        <w:t xml:space="preserve">Plazo </w:t>
      </w:r>
      <w:r w:rsidR="005D3B79" w:rsidRPr="002A3456">
        <w:rPr>
          <w:rFonts w:cs="Arial"/>
          <w:b/>
          <w:bCs/>
          <w:sz w:val="22"/>
          <w:szCs w:val="22"/>
        </w:rPr>
        <w:t>inicial</w:t>
      </w:r>
      <w:r w:rsidRPr="002A3456">
        <w:rPr>
          <w:rFonts w:cs="Arial"/>
          <w:sz w:val="22"/>
          <w:szCs w:val="22"/>
        </w:rPr>
        <w:t>: Plazo determinado en el que se establece una vigencia mínima obligatoria para ambas partes para la prestación del servicio de telecomunicaciones;</w:t>
      </w:r>
    </w:p>
    <w:p w14:paraId="5BAFC337" w14:textId="77777777" w:rsidR="002A3456" w:rsidRPr="002A3456" w:rsidRDefault="00071534" w:rsidP="002A3456">
      <w:pPr>
        <w:pStyle w:val="Prrafodelista"/>
        <w:numPr>
          <w:ilvl w:val="0"/>
          <w:numId w:val="11"/>
        </w:numPr>
        <w:spacing w:line="276" w:lineRule="auto"/>
        <w:ind w:left="567" w:hanging="567"/>
        <w:contextualSpacing/>
        <w:mirrorIndents/>
        <w:jc w:val="both"/>
        <w:rPr>
          <w:rFonts w:cs="Arial"/>
          <w:sz w:val="22"/>
          <w:szCs w:val="22"/>
        </w:rPr>
      </w:pPr>
      <w:r w:rsidRPr="002A3456">
        <w:rPr>
          <w:rFonts w:cs="Arial"/>
          <w:b/>
          <w:bCs/>
          <w:sz w:val="22"/>
          <w:szCs w:val="22"/>
        </w:rPr>
        <w:t>Pospago</w:t>
      </w:r>
      <w:r w:rsidRPr="002A3456">
        <w:rPr>
          <w:rFonts w:cs="Arial"/>
          <w:sz w:val="22"/>
          <w:szCs w:val="22"/>
        </w:rPr>
        <w:t xml:space="preserve">: Esquema de contratación mediante el cual el Usuario paga </w:t>
      </w:r>
      <w:r w:rsidR="005702F6" w:rsidRPr="002A3456">
        <w:rPr>
          <w:rFonts w:cs="Arial"/>
          <w:sz w:val="22"/>
          <w:szCs w:val="22"/>
        </w:rPr>
        <w:t xml:space="preserve">los </w:t>
      </w:r>
      <w:r w:rsidRPr="002A3456">
        <w:rPr>
          <w:rFonts w:cs="Arial"/>
          <w:sz w:val="22"/>
          <w:szCs w:val="22"/>
        </w:rPr>
        <w:t>servicios de telecomunicaciones de manera posterior a la utilización de estos;</w:t>
      </w:r>
    </w:p>
    <w:p w14:paraId="2203A42D" w14:textId="77777777" w:rsidR="002A3456" w:rsidRPr="002A3456" w:rsidRDefault="00071534" w:rsidP="002A3456">
      <w:pPr>
        <w:pStyle w:val="Prrafodelista"/>
        <w:numPr>
          <w:ilvl w:val="0"/>
          <w:numId w:val="11"/>
        </w:numPr>
        <w:spacing w:line="276" w:lineRule="auto"/>
        <w:ind w:left="567" w:hanging="567"/>
        <w:contextualSpacing/>
        <w:mirrorIndents/>
        <w:jc w:val="both"/>
        <w:rPr>
          <w:rFonts w:cs="Arial"/>
          <w:sz w:val="22"/>
          <w:szCs w:val="22"/>
        </w:rPr>
      </w:pPr>
      <w:r w:rsidRPr="002A3456">
        <w:rPr>
          <w:rFonts w:cs="Arial"/>
          <w:b/>
          <w:bCs/>
          <w:sz w:val="22"/>
          <w:szCs w:val="22"/>
        </w:rPr>
        <w:t>Prepago</w:t>
      </w:r>
      <w:r w:rsidRPr="002A3456">
        <w:rPr>
          <w:rFonts w:cs="Arial"/>
          <w:sz w:val="22"/>
          <w:szCs w:val="22"/>
        </w:rPr>
        <w:t xml:space="preserve">: Esquema de contratación mediante el cual el Usuario paga </w:t>
      </w:r>
      <w:r w:rsidR="005702F6" w:rsidRPr="002A3456">
        <w:rPr>
          <w:rFonts w:cs="Arial"/>
          <w:sz w:val="22"/>
          <w:szCs w:val="22"/>
        </w:rPr>
        <w:t xml:space="preserve">los </w:t>
      </w:r>
      <w:r w:rsidRPr="002A3456">
        <w:rPr>
          <w:rFonts w:cs="Arial"/>
          <w:sz w:val="22"/>
          <w:szCs w:val="22"/>
        </w:rPr>
        <w:t>servicios de telecomunicaciones de manera anticipada a la utilización de estos;</w:t>
      </w:r>
    </w:p>
    <w:p w14:paraId="153993C4" w14:textId="77777777" w:rsidR="002A3456" w:rsidRPr="002A3456" w:rsidRDefault="00A01958" w:rsidP="002A3456">
      <w:pPr>
        <w:pStyle w:val="Prrafodelista"/>
        <w:numPr>
          <w:ilvl w:val="0"/>
          <w:numId w:val="11"/>
        </w:numPr>
        <w:spacing w:line="276" w:lineRule="auto"/>
        <w:ind w:left="567" w:hanging="567"/>
        <w:contextualSpacing/>
        <w:mirrorIndents/>
        <w:jc w:val="both"/>
        <w:rPr>
          <w:rFonts w:cs="Arial"/>
          <w:sz w:val="22"/>
          <w:szCs w:val="22"/>
        </w:rPr>
      </w:pPr>
      <w:r w:rsidRPr="002A3456">
        <w:rPr>
          <w:rFonts w:cs="Arial"/>
          <w:b/>
          <w:bCs/>
          <w:sz w:val="22"/>
          <w:szCs w:val="22"/>
        </w:rPr>
        <w:t>Prestadores del Servicio Móvil:</w:t>
      </w:r>
      <w:r w:rsidR="009628A4" w:rsidRPr="002A3456">
        <w:rPr>
          <w:rFonts w:cs="Arial"/>
          <w:sz w:val="22"/>
          <w:szCs w:val="22"/>
        </w:rPr>
        <w:t xml:space="preserve"> </w:t>
      </w:r>
      <w:r w:rsidR="001F1CEB" w:rsidRPr="002A3456">
        <w:rPr>
          <w:rFonts w:cs="Arial"/>
          <w:sz w:val="22"/>
          <w:szCs w:val="22"/>
        </w:rPr>
        <w:t>L</w:t>
      </w:r>
      <w:r w:rsidRPr="002A3456">
        <w:rPr>
          <w:rFonts w:cs="Arial"/>
          <w:sz w:val="22"/>
          <w:szCs w:val="22"/>
        </w:rPr>
        <w:t>os Concesionarios y Operadores Móviles Virtuales</w:t>
      </w:r>
      <w:r w:rsidR="009628A4" w:rsidRPr="002A3456">
        <w:rPr>
          <w:rFonts w:cs="Arial"/>
          <w:sz w:val="22"/>
          <w:szCs w:val="22"/>
        </w:rPr>
        <w:t xml:space="preserve"> </w:t>
      </w:r>
      <w:r w:rsidRPr="002A3456">
        <w:rPr>
          <w:rFonts w:cs="Arial"/>
          <w:sz w:val="22"/>
          <w:szCs w:val="22"/>
        </w:rPr>
        <w:t xml:space="preserve">que prestan el servicio </w:t>
      </w:r>
      <w:r w:rsidR="00F16C02" w:rsidRPr="002A3456">
        <w:rPr>
          <w:rFonts w:cs="Arial"/>
          <w:sz w:val="22"/>
          <w:szCs w:val="22"/>
        </w:rPr>
        <w:t>móvil</w:t>
      </w:r>
      <w:r w:rsidRPr="002A3456">
        <w:rPr>
          <w:rFonts w:cs="Arial"/>
          <w:b/>
          <w:bCs/>
          <w:sz w:val="22"/>
          <w:szCs w:val="22"/>
        </w:rPr>
        <w:t>;</w:t>
      </w:r>
    </w:p>
    <w:p w14:paraId="43083FE6" w14:textId="2EBFB0D4" w:rsidR="002A3456" w:rsidRPr="002A3456" w:rsidRDefault="00071534" w:rsidP="002A3456">
      <w:pPr>
        <w:pStyle w:val="Prrafodelista"/>
        <w:numPr>
          <w:ilvl w:val="0"/>
          <w:numId w:val="11"/>
        </w:numPr>
        <w:spacing w:line="276" w:lineRule="auto"/>
        <w:ind w:left="567" w:hanging="567"/>
        <w:contextualSpacing/>
        <w:mirrorIndents/>
        <w:jc w:val="both"/>
        <w:rPr>
          <w:rFonts w:cs="Arial"/>
          <w:sz w:val="22"/>
          <w:szCs w:val="22"/>
        </w:rPr>
      </w:pPr>
      <w:r w:rsidRPr="002A3456">
        <w:rPr>
          <w:rFonts w:cs="Arial"/>
          <w:b/>
          <w:bCs/>
          <w:sz w:val="22"/>
          <w:szCs w:val="22"/>
        </w:rPr>
        <w:t>Servicio Móvil</w:t>
      </w:r>
      <w:r w:rsidRPr="002A3456">
        <w:rPr>
          <w:rFonts w:cs="Arial"/>
          <w:sz w:val="22"/>
          <w:szCs w:val="22"/>
        </w:rPr>
        <w:t xml:space="preserve">: Servicio de telecomunicaciones prestado a usuarios finales móviles, que </w:t>
      </w:r>
      <w:r w:rsidR="001F3C97" w:rsidRPr="002A3456">
        <w:rPr>
          <w:rFonts w:cs="Arial"/>
          <w:sz w:val="22"/>
          <w:szCs w:val="22"/>
        </w:rPr>
        <w:t>de acuerdo con</w:t>
      </w:r>
      <w:r w:rsidRPr="002A3456">
        <w:rPr>
          <w:rFonts w:cs="Arial"/>
          <w:sz w:val="22"/>
          <w:szCs w:val="22"/>
        </w:rPr>
        <w:t xml:space="preserve"> los títulos de concesión y autorizaciones correspondientes se presta</w:t>
      </w:r>
      <w:r w:rsidR="0063135D" w:rsidRPr="002A3456">
        <w:rPr>
          <w:rFonts w:cs="Arial"/>
          <w:sz w:val="22"/>
          <w:szCs w:val="22"/>
        </w:rPr>
        <w:t xml:space="preserve"> </w:t>
      </w:r>
      <w:r w:rsidRPr="002A3456">
        <w:rPr>
          <w:rFonts w:cs="Arial"/>
          <w:sz w:val="22"/>
          <w:szCs w:val="22"/>
        </w:rPr>
        <w:t>a través de Equipos Terminales Móviles que no tienen una ubicación geográfica determinada</w:t>
      </w:r>
      <w:r w:rsidR="001A2230">
        <w:rPr>
          <w:rFonts w:cs="Arial"/>
          <w:sz w:val="22"/>
          <w:szCs w:val="22"/>
        </w:rPr>
        <w:t>, y</w:t>
      </w:r>
    </w:p>
    <w:p w14:paraId="1ADB44C2" w14:textId="01EED905" w:rsidR="00071534" w:rsidRPr="002A3456" w:rsidRDefault="00071534" w:rsidP="002A3456">
      <w:pPr>
        <w:pStyle w:val="Prrafodelista"/>
        <w:numPr>
          <w:ilvl w:val="0"/>
          <w:numId w:val="11"/>
        </w:numPr>
        <w:spacing w:line="276" w:lineRule="auto"/>
        <w:ind w:left="567" w:hanging="567"/>
        <w:contextualSpacing/>
        <w:mirrorIndents/>
        <w:jc w:val="both"/>
        <w:rPr>
          <w:rFonts w:cs="Arial"/>
          <w:sz w:val="22"/>
          <w:szCs w:val="22"/>
        </w:rPr>
      </w:pPr>
      <w:r w:rsidRPr="002A3456">
        <w:rPr>
          <w:rFonts w:cs="Arial"/>
          <w:b/>
          <w:bCs/>
          <w:sz w:val="22"/>
          <w:szCs w:val="22"/>
        </w:rPr>
        <w:t>Usuario</w:t>
      </w:r>
      <w:r w:rsidRPr="002A3456">
        <w:rPr>
          <w:rFonts w:cs="Arial"/>
          <w:sz w:val="22"/>
          <w:szCs w:val="22"/>
        </w:rPr>
        <w:t>: Persona física o moral que utiliza un Servicio Móvil como destinatario final.</w:t>
      </w:r>
    </w:p>
    <w:p w14:paraId="45B27730" w14:textId="77777777" w:rsidR="00407604" w:rsidRPr="002A3456" w:rsidRDefault="00407604" w:rsidP="002A3456">
      <w:pPr>
        <w:pStyle w:val="Prrafodelista"/>
        <w:spacing w:line="276" w:lineRule="auto"/>
        <w:ind w:left="709" w:hanging="513"/>
        <w:contextualSpacing/>
        <w:mirrorIndents/>
        <w:jc w:val="both"/>
        <w:rPr>
          <w:rFonts w:eastAsiaTheme="minorEastAsia" w:cs="Arial"/>
          <w:sz w:val="22"/>
          <w:szCs w:val="22"/>
        </w:rPr>
      </w:pPr>
    </w:p>
    <w:p w14:paraId="68E97CCC" w14:textId="77777777" w:rsidR="00071534" w:rsidRPr="00D77051" w:rsidRDefault="00071534" w:rsidP="007E23CC">
      <w:pPr>
        <w:spacing w:after="0"/>
        <w:contextualSpacing/>
        <w:mirrorIndents/>
        <w:jc w:val="both"/>
        <w:rPr>
          <w:rFonts w:ascii="Arial" w:hAnsi="Arial" w:cs="Arial"/>
        </w:rPr>
      </w:pPr>
      <w:r w:rsidRPr="00D77051">
        <w:rPr>
          <w:rFonts w:ascii="Arial" w:hAnsi="Arial" w:cs="Arial"/>
        </w:rPr>
        <w:t xml:space="preserve">Las definiciones comprendidas en la presente disposición pueden ser utilizadas indistintamente en singular o plural. </w:t>
      </w:r>
    </w:p>
    <w:p w14:paraId="60659265" w14:textId="77777777" w:rsidR="00071534" w:rsidRPr="00D77051" w:rsidRDefault="00071534" w:rsidP="007E23CC">
      <w:pPr>
        <w:spacing w:after="0"/>
        <w:contextualSpacing/>
        <w:mirrorIndents/>
        <w:jc w:val="both"/>
        <w:rPr>
          <w:rFonts w:ascii="Arial" w:hAnsi="Arial" w:cs="Arial"/>
        </w:rPr>
      </w:pPr>
    </w:p>
    <w:p w14:paraId="33AE294C" w14:textId="5839ECB4" w:rsidR="00071534" w:rsidRPr="00D77051" w:rsidRDefault="00410F99" w:rsidP="007E23CC">
      <w:pPr>
        <w:spacing w:after="0"/>
        <w:contextualSpacing/>
        <w:mirrorIndents/>
        <w:jc w:val="center"/>
        <w:rPr>
          <w:rFonts w:ascii="Arial" w:hAnsi="Arial" w:cs="Arial"/>
          <w:b/>
          <w:bCs/>
        </w:rPr>
      </w:pPr>
      <w:r w:rsidRPr="00D77051">
        <w:rPr>
          <w:rFonts w:ascii="Arial" w:hAnsi="Arial" w:cs="Arial"/>
          <w:b/>
          <w:bCs/>
        </w:rPr>
        <w:t>Capítulo</w:t>
      </w:r>
      <w:r w:rsidR="00071534" w:rsidRPr="00D77051">
        <w:rPr>
          <w:rFonts w:ascii="Arial" w:hAnsi="Arial" w:cs="Arial"/>
          <w:b/>
          <w:bCs/>
        </w:rPr>
        <w:t xml:space="preserve"> </w:t>
      </w:r>
      <w:r w:rsidR="00D15DCA" w:rsidRPr="00D77051">
        <w:rPr>
          <w:rFonts w:ascii="Arial" w:hAnsi="Arial" w:cs="Arial"/>
          <w:b/>
          <w:bCs/>
        </w:rPr>
        <w:t>II</w:t>
      </w:r>
    </w:p>
    <w:p w14:paraId="3B732512" w14:textId="233F999F" w:rsidR="00071534" w:rsidRPr="00D77051" w:rsidRDefault="00410F99" w:rsidP="007E23CC">
      <w:pPr>
        <w:spacing w:after="0"/>
        <w:contextualSpacing/>
        <w:mirrorIndents/>
        <w:jc w:val="center"/>
        <w:rPr>
          <w:rFonts w:ascii="Arial" w:hAnsi="Arial" w:cs="Arial"/>
          <w:b/>
          <w:bCs/>
        </w:rPr>
      </w:pPr>
      <w:r w:rsidRPr="00D77051">
        <w:rPr>
          <w:rFonts w:ascii="Arial" w:hAnsi="Arial" w:cs="Arial"/>
          <w:b/>
          <w:bCs/>
        </w:rPr>
        <w:t>De</w:t>
      </w:r>
      <w:r>
        <w:rPr>
          <w:rFonts w:ascii="Arial" w:hAnsi="Arial" w:cs="Arial"/>
          <w:b/>
          <w:bCs/>
        </w:rPr>
        <w:t>l</w:t>
      </w:r>
      <w:r w:rsidRPr="00D77051">
        <w:rPr>
          <w:rFonts w:ascii="Arial" w:hAnsi="Arial" w:cs="Arial"/>
          <w:b/>
          <w:bCs/>
        </w:rPr>
        <w:t xml:space="preserve"> Desbloqueo </w:t>
      </w:r>
      <w:r w:rsidR="00534E79">
        <w:rPr>
          <w:rFonts w:ascii="Arial" w:hAnsi="Arial" w:cs="Arial"/>
          <w:b/>
          <w:bCs/>
        </w:rPr>
        <w:t>d</w:t>
      </w:r>
      <w:r w:rsidRPr="00D77051">
        <w:rPr>
          <w:rFonts w:ascii="Arial" w:hAnsi="Arial" w:cs="Arial"/>
          <w:b/>
          <w:bCs/>
        </w:rPr>
        <w:t xml:space="preserve">e </w:t>
      </w:r>
      <w:r w:rsidR="00534E79">
        <w:rPr>
          <w:rFonts w:ascii="Arial" w:hAnsi="Arial" w:cs="Arial"/>
          <w:b/>
          <w:bCs/>
        </w:rPr>
        <w:t>l</w:t>
      </w:r>
      <w:r w:rsidRPr="00D77051">
        <w:rPr>
          <w:rFonts w:ascii="Arial" w:hAnsi="Arial" w:cs="Arial"/>
          <w:b/>
          <w:bCs/>
        </w:rPr>
        <w:t>os Equipos Terminales Móviles</w:t>
      </w:r>
    </w:p>
    <w:p w14:paraId="4B6202EC" w14:textId="27306331" w:rsidR="00071534" w:rsidRPr="00D77051" w:rsidRDefault="00071534" w:rsidP="007E23CC">
      <w:pPr>
        <w:spacing w:after="0"/>
        <w:contextualSpacing/>
        <w:mirrorIndents/>
        <w:jc w:val="both"/>
        <w:rPr>
          <w:rFonts w:ascii="Arial" w:hAnsi="Arial" w:cs="Arial"/>
          <w:bCs/>
        </w:rPr>
      </w:pPr>
    </w:p>
    <w:p w14:paraId="2090C71F" w14:textId="6E706B56" w:rsidR="000B7B28" w:rsidRDefault="0057201C" w:rsidP="007E23CC">
      <w:pPr>
        <w:spacing w:after="0"/>
        <w:contextualSpacing/>
        <w:mirrorIndents/>
        <w:jc w:val="both"/>
        <w:rPr>
          <w:rFonts w:ascii="Arial" w:hAnsi="Arial" w:cs="Arial"/>
          <w:bCs/>
        </w:rPr>
      </w:pPr>
      <w:proofErr w:type="gramStart"/>
      <w:r w:rsidRPr="00B10574">
        <w:rPr>
          <w:rFonts w:ascii="Arial" w:hAnsi="Arial" w:cs="Arial"/>
          <w:b/>
        </w:rPr>
        <w:t>Cuarto</w:t>
      </w:r>
      <w:r w:rsidR="00B44F2F" w:rsidRPr="00B10574">
        <w:rPr>
          <w:rFonts w:ascii="Arial" w:hAnsi="Arial" w:cs="Arial"/>
          <w:b/>
        </w:rPr>
        <w:t>.-</w:t>
      </w:r>
      <w:proofErr w:type="gramEnd"/>
      <w:r w:rsidR="00B44F2F" w:rsidRPr="00D77051">
        <w:rPr>
          <w:rFonts w:ascii="Arial" w:hAnsi="Arial" w:cs="Arial"/>
          <w:bCs/>
        </w:rPr>
        <w:t xml:space="preserve"> Los </w:t>
      </w:r>
      <w:r w:rsidR="001F1CEB">
        <w:rPr>
          <w:rFonts w:ascii="Arial" w:hAnsi="Arial" w:cs="Arial"/>
          <w:bCs/>
        </w:rPr>
        <w:t>P</w:t>
      </w:r>
      <w:r w:rsidR="00FD7B6D">
        <w:rPr>
          <w:rFonts w:ascii="Arial" w:hAnsi="Arial" w:cs="Arial"/>
          <w:bCs/>
        </w:rPr>
        <w:t xml:space="preserve">restadores del </w:t>
      </w:r>
      <w:r w:rsidR="001F1CEB">
        <w:rPr>
          <w:rFonts w:ascii="Arial" w:hAnsi="Arial" w:cs="Arial"/>
          <w:bCs/>
        </w:rPr>
        <w:t>S</w:t>
      </w:r>
      <w:r w:rsidR="00FD7B6D">
        <w:rPr>
          <w:rFonts w:ascii="Arial" w:hAnsi="Arial" w:cs="Arial"/>
          <w:bCs/>
        </w:rPr>
        <w:t xml:space="preserve">ervicio </w:t>
      </w:r>
      <w:r w:rsidR="001F1CEB">
        <w:rPr>
          <w:rFonts w:ascii="Arial" w:hAnsi="Arial" w:cs="Arial"/>
          <w:bCs/>
        </w:rPr>
        <w:t>M</w:t>
      </w:r>
      <w:r w:rsidR="00FD7B6D">
        <w:rPr>
          <w:rFonts w:ascii="Arial" w:hAnsi="Arial" w:cs="Arial"/>
          <w:bCs/>
        </w:rPr>
        <w:t>óvil</w:t>
      </w:r>
      <w:r w:rsidR="00B44F2F" w:rsidRPr="00D77051">
        <w:rPr>
          <w:rFonts w:ascii="Arial" w:hAnsi="Arial" w:cs="Arial"/>
          <w:bCs/>
        </w:rPr>
        <w:t xml:space="preserve"> están obligados a </w:t>
      </w:r>
      <w:r w:rsidR="004E6B86">
        <w:rPr>
          <w:rFonts w:ascii="Arial" w:hAnsi="Arial" w:cs="Arial"/>
          <w:bCs/>
        </w:rPr>
        <w:t>realizar</w:t>
      </w:r>
      <w:r w:rsidR="004E6B86" w:rsidRPr="00D77051">
        <w:rPr>
          <w:rFonts w:ascii="Arial" w:hAnsi="Arial" w:cs="Arial"/>
          <w:bCs/>
        </w:rPr>
        <w:t xml:space="preserve"> </w:t>
      </w:r>
      <w:r w:rsidR="00B905D4" w:rsidRPr="00D77051">
        <w:rPr>
          <w:rFonts w:ascii="Arial" w:hAnsi="Arial" w:cs="Arial"/>
          <w:bCs/>
        </w:rPr>
        <w:t xml:space="preserve">de forma gratuita </w:t>
      </w:r>
      <w:r w:rsidR="00B44F2F" w:rsidRPr="00D77051">
        <w:rPr>
          <w:rFonts w:ascii="Arial" w:hAnsi="Arial" w:cs="Arial"/>
          <w:bCs/>
        </w:rPr>
        <w:t xml:space="preserve">el </w:t>
      </w:r>
      <w:r w:rsidR="00C37ABD" w:rsidRPr="00D77051">
        <w:rPr>
          <w:rFonts w:ascii="Arial" w:hAnsi="Arial" w:cs="Arial"/>
          <w:bCs/>
        </w:rPr>
        <w:t>d</w:t>
      </w:r>
      <w:r w:rsidR="00B44F2F" w:rsidRPr="00D77051">
        <w:rPr>
          <w:rFonts w:ascii="Arial" w:hAnsi="Arial" w:cs="Arial"/>
          <w:bCs/>
        </w:rPr>
        <w:t xml:space="preserve">esbloqueo de los Equipos Terminales Móviles </w:t>
      </w:r>
      <w:r w:rsidR="000B7B28" w:rsidRPr="00D77051">
        <w:rPr>
          <w:rFonts w:ascii="Arial" w:hAnsi="Arial" w:cs="Arial"/>
          <w:bCs/>
        </w:rPr>
        <w:t>conforme a lo dispuesto en los presentes Lineamientos</w:t>
      </w:r>
      <w:r w:rsidR="00CD1C37">
        <w:rPr>
          <w:rFonts w:ascii="Arial" w:hAnsi="Arial" w:cs="Arial"/>
          <w:bCs/>
        </w:rPr>
        <w:t xml:space="preserve"> para lo cual deberán contar con los códigos de desbloqueo de los Equipos Terminales Móviles antes de su comercialización</w:t>
      </w:r>
      <w:r w:rsidR="00650609">
        <w:rPr>
          <w:rFonts w:ascii="Arial" w:hAnsi="Arial" w:cs="Arial"/>
          <w:bCs/>
        </w:rPr>
        <w:t>.</w:t>
      </w:r>
    </w:p>
    <w:p w14:paraId="372C0F56" w14:textId="4AAC2F63" w:rsidR="00DC2058" w:rsidRDefault="00DC2058" w:rsidP="00F557C8">
      <w:pPr>
        <w:spacing w:after="0"/>
        <w:contextualSpacing/>
        <w:mirrorIndents/>
        <w:jc w:val="both"/>
        <w:rPr>
          <w:rFonts w:ascii="Arial" w:eastAsia="ITC Avant Garde" w:hAnsi="Arial" w:cs="Arial"/>
        </w:rPr>
      </w:pPr>
    </w:p>
    <w:p w14:paraId="0778DAEA" w14:textId="51152C7B" w:rsidR="00BD44BD" w:rsidRDefault="00D428A4" w:rsidP="00554AF4">
      <w:pPr>
        <w:spacing w:after="0"/>
        <w:contextualSpacing/>
        <w:mirrorIndents/>
        <w:jc w:val="both"/>
        <w:rPr>
          <w:rFonts w:ascii="Arial" w:eastAsia="ITC Avant Garde" w:hAnsi="Arial" w:cs="Arial"/>
        </w:rPr>
      </w:pPr>
      <w:proofErr w:type="gramStart"/>
      <w:r w:rsidRPr="003173FD">
        <w:rPr>
          <w:rFonts w:ascii="Arial" w:hAnsi="Arial" w:cs="Arial"/>
          <w:b/>
        </w:rPr>
        <w:t>Quinto.-</w:t>
      </w:r>
      <w:proofErr w:type="gramEnd"/>
      <w:r w:rsidRPr="003173FD">
        <w:rPr>
          <w:rFonts w:ascii="Arial" w:hAnsi="Arial" w:cs="Arial"/>
          <w:bCs/>
        </w:rPr>
        <w:t xml:space="preserve"> Los Equipos Terminales </w:t>
      </w:r>
      <w:r w:rsidRPr="003173FD">
        <w:rPr>
          <w:rFonts w:ascii="Arial" w:eastAsia="ITC Avant Garde" w:hAnsi="Arial" w:cs="Arial"/>
        </w:rPr>
        <w:t xml:space="preserve">Móviles </w:t>
      </w:r>
      <w:r w:rsidR="00BD44BD" w:rsidRPr="003173FD">
        <w:rPr>
          <w:rFonts w:ascii="Arial" w:eastAsia="ITC Avant Garde" w:hAnsi="Arial" w:cs="Arial"/>
        </w:rPr>
        <w:t xml:space="preserve">pagados </w:t>
      </w:r>
      <w:r w:rsidR="006C4812">
        <w:rPr>
          <w:rFonts w:ascii="Arial" w:eastAsia="ITC Avant Garde" w:hAnsi="Arial" w:cs="Arial"/>
        </w:rPr>
        <w:t>de contado</w:t>
      </w:r>
      <w:r w:rsidR="00554AF4" w:rsidRPr="003173FD">
        <w:rPr>
          <w:rFonts w:ascii="Arial" w:eastAsia="ITC Avant Garde" w:hAnsi="Arial" w:cs="Arial"/>
        </w:rPr>
        <w:t xml:space="preserve"> </w:t>
      </w:r>
      <w:r w:rsidR="00BD44BD" w:rsidRPr="003173FD">
        <w:rPr>
          <w:rFonts w:ascii="Arial" w:eastAsia="ITC Avant Garde" w:hAnsi="Arial" w:cs="Arial"/>
        </w:rPr>
        <w:t xml:space="preserve">deberán encontrarse desbloqueados al momento de su </w:t>
      </w:r>
      <w:r w:rsidR="003173FD" w:rsidRPr="003173FD">
        <w:rPr>
          <w:rFonts w:ascii="Arial" w:eastAsia="ITC Avant Garde" w:hAnsi="Arial" w:cs="Arial"/>
        </w:rPr>
        <w:t xml:space="preserve">entrega </w:t>
      </w:r>
      <w:r w:rsidR="00BD44BD" w:rsidRPr="003173FD">
        <w:rPr>
          <w:rFonts w:ascii="Arial" w:eastAsia="ITC Avant Garde" w:hAnsi="Arial" w:cs="Arial"/>
        </w:rPr>
        <w:t>a los Usuarios</w:t>
      </w:r>
      <w:r w:rsidR="003173FD" w:rsidRPr="003173FD">
        <w:rPr>
          <w:rFonts w:ascii="Arial" w:eastAsia="ITC Avant Garde" w:hAnsi="Arial" w:cs="Arial"/>
        </w:rPr>
        <w:t xml:space="preserve"> en el esquema de Pospago y Prepago</w:t>
      </w:r>
      <w:r w:rsidR="00BD44BD" w:rsidRPr="003173FD">
        <w:rPr>
          <w:rFonts w:ascii="Arial" w:eastAsia="ITC Avant Garde" w:hAnsi="Arial" w:cs="Arial"/>
        </w:rPr>
        <w:t>.</w:t>
      </w:r>
    </w:p>
    <w:p w14:paraId="72C4EB04" w14:textId="77777777" w:rsidR="00BD44BD" w:rsidRPr="00D77051" w:rsidRDefault="00BD44BD" w:rsidP="00D428A4">
      <w:pPr>
        <w:spacing w:after="0"/>
        <w:contextualSpacing/>
        <w:mirrorIndents/>
        <w:jc w:val="both"/>
        <w:rPr>
          <w:rFonts w:ascii="Arial" w:eastAsia="ITC Avant Garde" w:hAnsi="Arial" w:cs="Arial"/>
        </w:rPr>
      </w:pPr>
    </w:p>
    <w:p w14:paraId="286DCE84" w14:textId="581763E4" w:rsidR="00F557C8" w:rsidRDefault="00DC2058" w:rsidP="00F557C8">
      <w:pPr>
        <w:spacing w:after="0"/>
        <w:contextualSpacing/>
        <w:mirrorIndents/>
        <w:jc w:val="both"/>
        <w:rPr>
          <w:rFonts w:ascii="Arial" w:eastAsia="ITC Avant Garde" w:hAnsi="Arial" w:cs="Arial"/>
        </w:rPr>
      </w:pPr>
      <w:proofErr w:type="gramStart"/>
      <w:r w:rsidRPr="00B10574">
        <w:rPr>
          <w:rFonts w:ascii="Arial" w:hAnsi="Arial" w:cs="Arial"/>
          <w:b/>
        </w:rPr>
        <w:t>Sexto.-</w:t>
      </w:r>
      <w:proofErr w:type="gramEnd"/>
      <w:r>
        <w:rPr>
          <w:rFonts w:ascii="Arial" w:hAnsi="Arial" w:cs="Arial"/>
          <w:bCs/>
        </w:rPr>
        <w:t xml:space="preserve"> </w:t>
      </w:r>
      <w:r w:rsidR="00FF791B">
        <w:rPr>
          <w:rFonts w:ascii="Arial" w:hAnsi="Arial" w:cs="Arial"/>
          <w:bCs/>
        </w:rPr>
        <w:t>Los Prestadores del Servicio Móvil</w:t>
      </w:r>
      <w:r w:rsidR="00FF791B" w:rsidRPr="00D77051">
        <w:rPr>
          <w:rFonts w:ascii="Arial" w:hAnsi="Arial" w:cs="Arial"/>
          <w:bCs/>
        </w:rPr>
        <w:t xml:space="preserve"> </w:t>
      </w:r>
      <w:r w:rsidR="00FF791B">
        <w:rPr>
          <w:rFonts w:ascii="Arial" w:eastAsia="ITC Avant Garde" w:hAnsi="Arial" w:cs="Arial"/>
        </w:rPr>
        <w:t>a</w:t>
      </w:r>
      <w:r w:rsidR="00FF791B" w:rsidRPr="00D77051">
        <w:rPr>
          <w:rFonts w:ascii="Arial" w:eastAsia="ITC Avant Garde" w:hAnsi="Arial" w:cs="Arial"/>
        </w:rPr>
        <w:t xml:space="preserve">l momento de </w:t>
      </w:r>
      <w:r w:rsidR="00FF791B">
        <w:rPr>
          <w:rFonts w:ascii="Arial" w:eastAsia="ITC Avant Garde" w:hAnsi="Arial" w:cs="Arial"/>
        </w:rPr>
        <w:t xml:space="preserve">comercializar </w:t>
      </w:r>
      <w:r w:rsidR="005702F6">
        <w:rPr>
          <w:rFonts w:ascii="Arial" w:eastAsia="ITC Avant Garde" w:hAnsi="Arial" w:cs="Arial"/>
        </w:rPr>
        <w:t xml:space="preserve">un Equipo Terminal Móvil a Usuarios en el </w:t>
      </w:r>
      <w:r w:rsidR="00FF791B" w:rsidRPr="00D77051">
        <w:rPr>
          <w:rFonts w:ascii="Arial" w:eastAsia="ITC Avant Garde" w:hAnsi="Arial" w:cs="Arial"/>
        </w:rPr>
        <w:t>esquema de Pospago deberán informar</w:t>
      </w:r>
      <w:r w:rsidR="005702F6">
        <w:rPr>
          <w:rFonts w:ascii="Arial" w:eastAsia="ITC Avant Garde" w:hAnsi="Arial" w:cs="Arial"/>
        </w:rPr>
        <w:t>le</w:t>
      </w:r>
      <w:r w:rsidR="00CE4F7E">
        <w:rPr>
          <w:rFonts w:ascii="Arial" w:eastAsia="ITC Avant Garde" w:hAnsi="Arial" w:cs="Arial"/>
        </w:rPr>
        <w:t>s</w:t>
      </w:r>
      <w:r w:rsidR="005702F6">
        <w:rPr>
          <w:rFonts w:ascii="Arial" w:eastAsia="ITC Avant Garde" w:hAnsi="Arial" w:cs="Arial"/>
        </w:rPr>
        <w:t xml:space="preserve"> </w:t>
      </w:r>
      <w:r w:rsidR="00FF791B" w:rsidRPr="00D77051">
        <w:rPr>
          <w:rFonts w:ascii="Arial" w:eastAsia="ITC Avant Garde" w:hAnsi="Arial" w:cs="Arial"/>
        </w:rPr>
        <w:t>si</w:t>
      </w:r>
      <w:r w:rsidR="00FF791B">
        <w:rPr>
          <w:rFonts w:ascii="Arial" w:eastAsia="ITC Avant Garde" w:hAnsi="Arial" w:cs="Arial"/>
        </w:rPr>
        <w:t xml:space="preserve"> </w:t>
      </w:r>
      <w:r w:rsidR="00FF791B" w:rsidRPr="00D77051">
        <w:rPr>
          <w:rFonts w:ascii="Arial" w:eastAsia="ITC Avant Garde" w:hAnsi="Arial" w:cs="Arial"/>
        </w:rPr>
        <w:t xml:space="preserve">se encuentra bloqueado y, en su caso, los requisitos y </w:t>
      </w:r>
      <w:r w:rsidR="00B10574">
        <w:rPr>
          <w:rFonts w:ascii="Arial" w:eastAsia="ITC Avant Garde" w:hAnsi="Arial" w:cs="Arial"/>
        </w:rPr>
        <w:t>procedimiento</w:t>
      </w:r>
      <w:r w:rsidR="00FF791B" w:rsidRPr="00D77051">
        <w:rPr>
          <w:rFonts w:ascii="Arial" w:eastAsia="ITC Avant Garde" w:hAnsi="Arial" w:cs="Arial"/>
        </w:rPr>
        <w:t xml:space="preserve"> para solicitar el desbloqueo del Equipo Terminal</w:t>
      </w:r>
      <w:r w:rsidR="00B10574">
        <w:rPr>
          <w:rFonts w:ascii="Arial" w:eastAsia="ITC Avant Garde" w:hAnsi="Arial" w:cs="Arial"/>
        </w:rPr>
        <w:t xml:space="preserve"> Móvil</w:t>
      </w:r>
      <w:r w:rsidR="00F557C8" w:rsidRPr="00D77051">
        <w:rPr>
          <w:rFonts w:ascii="Arial" w:eastAsia="ITC Avant Garde" w:hAnsi="Arial" w:cs="Arial"/>
        </w:rPr>
        <w:t>.</w:t>
      </w:r>
    </w:p>
    <w:p w14:paraId="1123F8ED" w14:textId="24C9A83C" w:rsidR="00EF0C4D" w:rsidRPr="004F7707" w:rsidRDefault="00EF0C4D" w:rsidP="00F557C8">
      <w:pPr>
        <w:spacing w:after="0"/>
        <w:contextualSpacing/>
        <w:mirrorIndents/>
        <w:jc w:val="both"/>
        <w:rPr>
          <w:rFonts w:ascii="Arial" w:eastAsia="ITC Avant Garde" w:hAnsi="Arial" w:cs="Arial"/>
        </w:rPr>
      </w:pPr>
    </w:p>
    <w:p w14:paraId="68956A28" w14:textId="75825507" w:rsidR="00EF0C4D" w:rsidRPr="004F7707" w:rsidRDefault="001D7299" w:rsidP="00EF0C4D">
      <w:pPr>
        <w:spacing w:after="0"/>
        <w:jc w:val="both"/>
        <w:rPr>
          <w:rFonts w:ascii="Arial" w:eastAsia="ITC Avant Garde" w:hAnsi="Arial" w:cs="Arial"/>
        </w:rPr>
      </w:pPr>
      <w:proofErr w:type="gramStart"/>
      <w:r w:rsidRPr="00B10574">
        <w:rPr>
          <w:rFonts w:ascii="Arial" w:eastAsia="ITC Avant Garde" w:hAnsi="Arial" w:cs="Arial"/>
          <w:b/>
          <w:bCs/>
        </w:rPr>
        <w:t>Séptimo</w:t>
      </w:r>
      <w:r w:rsidR="00EF0C4D" w:rsidRPr="00B10574">
        <w:rPr>
          <w:rFonts w:ascii="Arial" w:eastAsia="ITC Avant Garde" w:hAnsi="Arial" w:cs="Arial"/>
          <w:b/>
          <w:bCs/>
        </w:rPr>
        <w:t>.-</w:t>
      </w:r>
      <w:proofErr w:type="gramEnd"/>
      <w:r w:rsidR="00EF0C4D" w:rsidRPr="004F7707">
        <w:rPr>
          <w:rFonts w:ascii="Arial" w:eastAsia="ITC Avant Garde" w:hAnsi="Arial" w:cs="Arial"/>
          <w:b/>
          <w:bCs/>
        </w:rPr>
        <w:t xml:space="preserve"> </w:t>
      </w:r>
      <w:r w:rsidR="00EF0C4D" w:rsidRPr="004F7707">
        <w:rPr>
          <w:rFonts w:ascii="Arial" w:eastAsia="ITC Avant Garde" w:hAnsi="Arial" w:cs="Arial"/>
        </w:rPr>
        <w:t>El desbloque</w:t>
      </w:r>
      <w:r w:rsidR="007B52AA" w:rsidRPr="004F7707">
        <w:rPr>
          <w:rFonts w:ascii="Arial" w:eastAsia="ITC Avant Garde" w:hAnsi="Arial" w:cs="Arial"/>
        </w:rPr>
        <w:t>o</w:t>
      </w:r>
      <w:r w:rsidR="00EF0C4D" w:rsidRPr="004F7707">
        <w:rPr>
          <w:rFonts w:ascii="Arial" w:eastAsia="ITC Avant Garde" w:hAnsi="Arial" w:cs="Arial"/>
        </w:rPr>
        <w:t xml:space="preserve"> de los Equipos Terminales Móviles comercializados </w:t>
      </w:r>
      <w:r w:rsidR="005166FD">
        <w:rPr>
          <w:rFonts w:ascii="Arial" w:eastAsia="ITC Avant Garde" w:hAnsi="Arial" w:cs="Arial"/>
        </w:rPr>
        <w:t xml:space="preserve">a Usuarios en </w:t>
      </w:r>
      <w:r w:rsidR="00EF0C4D" w:rsidRPr="004F7707">
        <w:rPr>
          <w:rFonts w:ascii="Arial" w:eastAsia="ITC Avant Garde" w:hAnsi="Arial" w:cs="Arial"/>
        </w:rPr>
        <w:t>el esquema de Pospago se realizará:</w:t>
      </w:r>
    </w:p>
    <w:p w14:paraId="471681EF" w14:textId="77777777" w:rsidR="00EF0C4D" w:rsidRPr="004F7707" w:rsidRDefault="00EF0C4D" w:rsidP="00EF0C4D">
      <w:pPr>
        <w:spacing w:after="0"/>
        <w:jc w:val="both"/>
        <w:rPr>
          <w:rFonts w:ascii="Arial" w:eastAsia="ITC Avant Garde" w:hAnsi="Arial" w:cs="Arial"/>
        </w:rPr>
      </w:pPr>
    </w:p>
    <w:p w14:paraId="60350ABB" w14:textId="1353EC3D" w:rsidR="00EF0C4D" w:rsidRPr="004F7707" w:rsidRDefault="00EF0C4D" w:rsidP="00EF0C4D">
      <w:pPr>
        <w:pStyle w:val="Prrafodelista"/>
        <w:numPr>
          <w:ilvl w:val="0"/>
          <w:numId w:val="16"/>
        </w:numPr>
        <w:spacing w:line="276" w:lineRule="auto"/>
        <w:jc w:val="both"/>
        <w:rPr>
          <w:rFonts w:eastAsia="ITC Avant Garde" w:cs="Arial"/>
          <w:sz w:val="22"/>
          <w:szCs w:val="22"/>
        </w:rPr>
      </w:pPr>
      <w:r w:rsidRPr="004F7707">
        <w:rPr>
          <w:rFonts w:eastAsia="ITC Avant Garde" w:cs="Arial"/>
          <w:sz w:val="22"/>
          <w:szCs w:val="22"/>
        </w:rPr>
        <w:t>Cuando el Usuario haya liquida</w:t>
      </w:r>
      <w:r w:rsidR="00B10574">
        <w:rPr>
          <w:rFonts w:eastAsia="ITC Avant Garde" w:cs="Arial"/>
          <w:sz w:val="22"/>
          <w:szCs w:val="22"/>
        </w:rPr>
        <w:t>do</w:t>
      </w:r>
      <w:r w:rsidRPr="004F7707">
        <w:rPr>
          <w:rFonts w:eastAsia="ITC Avant Garde" w:cs="Arial"/>
          <w:sz w:val="22"/>
          <w:szCs w:val="22"/>
        </w:rPr>
        <w:t xml:space="preserve"> anticipada</w:t>
      </w:r>
      <w:r w:rsidR="00B10574">
        <w:rPr>
          <w:rFonts w:eastAsia="ITC Avant Garde" w:cs="Arial"/>
          <w:sz w:val="22"/>
          <w:szCs w:val="22"/>
        </w:rPr>
        <w:t>mente</w:t>
      </w:r>
      <w:r w:rsidRPr="004F7707">
        <w:rPr>
          <w:rFonts w:eastAsia="ITC Avant Garde" w:cs="Arial"/>
          <w:sz w:val="22"/>
          <w:szCs w:val="22"/>
        </w:rPr>
        <w:t xml:space="preserve"> el Equipo Terminal Móvil</w:t>
      </w:r>
      <w:r w:rsidR="00AE57B9">
        <w:rPr>
          <w:rFonts w:eastAsia="ITC Avant Garde" w:cs="Arial"/>
          <w:sz w:val="22"/>
          <w:szCs w:val="22"/>
        </w:rPr>
        <w:t>.</w:t>
      </w:r>
    </w:p>
    <w:p w14:paraId="6DE9A284" w14:textId="159AA446" w:rsidR="00EF0C4D" w:rsidRPr="004F7707" w:rsidRDefault="00EF0C4D" w:rsidP="00EF0C4D">
      <w:pPr>
        <w:pStyle w:val="Prrafodelista"/>
        <w:numPr>
          <w:ilvl w:val="0"/>
          <w:numId w:val="16"/>
        </w:numPr>
        <w:spacing w:line="276" w:lineRule="auto"/>
        <w:jc w:val="both"/>
        <w:rPr>
          <w:rFonts w:eastAsia="ITC Avant Garde" w:cs="Arial"/>
          <w:sz w:val="22"/>
          <w:szCs w:val="22"/>
        </w:rPr>
      </w:pPr>
      <w:r w:rsidRPr="004F7707">
        <w:rPr>
          <w:rFonts w:eastAsia="ITC Avant Garde" w:cs="Arial"/>
          <w:sz w:val="22"/>
          <w:szCs w:val="22"/>
        </w:rPr>
        <w:t>Una vez concluido el plazo inicial contratado y no existan adeudos por parte del Usuario</w:t>
      </w:r>
      <w:r w:rsidR="00AE57B9">
        <w:rPr>
          <w:rFonts w:eastAsia="ITC Avant Garde" w:cs="Arial"/>
          <w:sz w:val="22"/>
          <w:szCs w:val="22"/>
        </w:rPr>
        <w:t>.</w:t>
      </w:r>
    </w:p>
    <w:p w14:paraId="72AFAB07" w14:textId="77777777" w:rsidR="009F525E" w:rsidRPr="004F7707" w:rsidRDefault="009F525E" w:rsidP="009F525E">
      <w:pPr>
        <w:contextualSpacing/>
        <w:mirrorIndents/>
        <w:jc w:val="both"/>
        <w:rPr>
          <w:rFonts w:ascii="Arial" w:eastAsia="ITC Avant Garde" w:hAnsi="Arial" w:cs="Arial"/>
        </w:rPr>
      </w:pPr>
    </w:p>
    <w:p w14:paraId="65D35D17" w14:textId="42473AC8" w:rsidR="00A90976" w:rsidRPr="00D77051" w:rsidRDefault="009F525E" w:rsidP="00357B01">
      <w:pPr>
        <w:contextualSpacing/>
        <w:mirrorIndents/>
        <w:jc w:val="both"/>
        <w:rPr>
          <w:rFonts w:ascii="Arial" w:eastAsia="ITC Avant Garde" w:hAnsi="Arial" w:cs="Arial"/>
        </w:rPr>
      </w:pPr>
      <w:r w:rsidRPr="00CD7A9C">
        <w:rPr>
          <w:rFonts w:ascii="Arial" w:hAnsi="Arial" w:cs="Arial"/>
          <w:bCs/>
        </w:rPr>
        <w:lastRenderedPageBreak/>
        <w:t xml:space="preserve">Una vez actualizados los </w:t>
      </w:r>
      <w:r w:rsidR="00760818" w:rsidRPr="00CD7A9C">
        <w:rPr>
          <w:rFonts w:ascii="Arial" w:hAnsi="Arial" w:cs="Arial"/>
          <w:bCs/>
        </w:rPr>
        <w:t xml:space="preserve">supuestos </w:t>
      </w:r>
      <w:r w:rsidRPr="00CD7A9C">
        <w:rPr>
          <w:rFonts w:ascii="Arial" w:hAnsi="Arial" w:cs="Arial"/>
          <w:bCs/>
        </w:rPr>
        <w:t>anteriores</w:t>
      </w:r>
      <w:r w:rsidR="00C81FA4" w:rsidRPr="00CD7A9C">
        <w:rPr>
          <w:rFonts w:ascii="Arial" w:hAnsi="Arial" w:cs="Arial"/>
          <w:bCs/>
        </w:rPr>
        <w:t>,</w:t>
      </w:r>
      <w:r w:rsidRPr="00CD7A9C">
        <w:rPr>
          <w:rFonts w:ascii="Arial" w:hAnsi="Arial" w:cs="Arial"/>
          <w:bCs/>
        </w:rPr>
        <w:t xml:space="preserve"> dentro </w:t>
      </w:r>
      <w:r w:rsidR="00C81FA4" w:rsidRPr="00CD7A9C">
        <w:rPr>
          <w:rFonts w:ascii="Arial" w:hAnsi="Arial" w:cs="Arial"/>
          <w:bCs/>
        </w:rPr>
        <w:t>de las</w:t>
      </w:r>
      <w:r w:rsidRPr="00CD7A9C">
        <w:rPr>
          <w:rFonts w:ascii="Arial" w:hAnsi="Arial" w:cs="Arial"/>
          <w:bCs/>
        </w:rPr>
        <w:t xml:space="preserve"> 24 horas </w:t>
      </w:r>
      <w:r w:rsidR="00C81FA4" w:rsidRPr="00CD7A9C">
        <w:rPr>
          <w:rFonts w:ascii="Arial" w:hAnsi="Arial" w:cs="Arial"/>
          <w:bCs/>
        </w:rPr>
        <w:t>siguientes,</w:t>
      </w:r>
      <w:r w:rsidRPr="00CD7A9C">
        <w:rPr>
          <w:rFonts w:ascii="Arial" w:hAnsi="Arial" w:cs="Arial"/>
          <w:bCs/>
        </w:rPr>
        <w:t xml:space="preserve"> los </w:t>
      </w:r>
      <w:r w:rsidRPr="00B172DE">
        <w:rPr>
          <w:rFonts w:ascii="Arial" w:hAnsi="Arial" w:cs="Arial"/>
          <w:bCs/>
        </w:rPr>
        <w:t>Prestadores del Servicio Móvil</w:t>
      </w:r>
      <w:r w:rsidRPr="00CD7A9C">
        <w:rPr>
          <w:rFonts w:ascii="Arial" w:hAnsi="Arial" w:cs="Arial"/>
          <w:bCs/>
        </w:rPr>
        <w:t xml:space="preserve"> deberán desbloquear </w:t>
      </w:r>
      <w:r w:rsidR="002B1CFF" w:rsidRPr="00CD7A9C">
        <w:rPr>
          <w:rFonts w:ascii="Arial" w:hAnsi="Arial" w:cs="Arial"/>
          <w:bCs/>
        </w:rPr>
        <w:t>automáticamente</w:t>
      </w:r>
      <w:r w:rsidR="00137E61">
        <w:rPr>
          <w:rFonts w:ascii="Arial" w:hAnsi="Arial" w:cs="Arial"/>
          <w:bCs/>
        </w:rPr>
        <w:t>, sin que medie una solicitud de desbloqueo por parte del Usuario,</w:t>
      </w:r>
      <w:r w:rsidR="002B1CFF" w:rsidRPr="00CD7A9C">
        <w:rPr>
          <w:rFonts w:ascii="Arial" w:hAnsi="Arial" w:cs="Arial"/>
          <w:bCs/>
        </w:rPr>
        <w:t xml:space="preserve"> </w:t>
      </w:r>
      <w:r w:rsidRPr="00CD7A9C">
        <w:rPr>
          <w:rFonts w:ascii="Arial" w:hAnsi="Arial" w:cs="Arial"/>
          <w:bCs/>
        </w:rPr>
        <w:t>los Equipos Terminales Móviles</w:t>
      </w:r>
      <w:r w:rsidR="00A90976" w:rsidRPr="00CD7A9C">
        <w:rPr>
          <w:rFonts w:ascii="Arial" w:hAnsi="Arial" w:cs="Arial"/>
          <w:bCs/>
        </w:rPr>
        <w:t xml:space="preserve"> y notificarlo al Usuario</w:t>
      </w:r>
      <w:r w:rsidR="00B10574" w:rsidRPr="00CD7A9C">
        <w:rPr>
          <w:rFonts w:ascii="Arial" w:hAnsi="Arial" w:cs="Arial"/>
          <w:bCs/>
        </w:rPr>
        <w:t xml:space="preserve"> a través de un </w:t>
      </w:r>
      <w:r w:rsidR="00B10574" w:rsidRPr="00CD7A9C">
        <w:rPr>
          <w:rFonts w:ascii="Arial" w:eastAsia="ITC Avant Garde" w:hAnsi="Arial" w:cs="Arial"/>
        </w:rPr>
        <w:t>mensaje corto</w:t>
      </w:r>
      <w:r w:rsidR="00A90976" w:rsidRPr="00B10574">
        <w:rPr>
          <w:rFonts w:ascii="Arial" w:eastAsia="ITC Avant Garde" w:hAnsi="Arial" w:cs="Arial"/>
        </w:rPr>
        <w:t>.</w:t>
      </w:r>
    </w:p>
    <w:p w14:paraId="03CACBC5" w14:textId="30A1838E" w:rsidR="008E3425" w:rsidRDefault="008E3425" w:rsidP="00357B01">
      <w:pPr>
        <w:contextualSpacing/>
        <w:mirrorIndents/>
        <w:jc w:val="both"/>
        <w:rPr>
          <w:rFonts w:ascii="Arial" w:eastAsia="ITC Avant Garde" w:hAnsi="Arial" w:cs="Arial"/>
        </w:rPr>
      </w:pPr>
    </w:p>
    <w:p w14:paraId="370C8216" w14:textId="055B3BA2" w:rsidR="00EF0C4D" w:rsidRPr="004F7707" w:rsidRDefault="008E3425" w:rsidP="00871B71">
      <w:pPr>
        <w:contextualSpacing/>
        <w:mirrorIndents/>
        <w:jc w:val="both"/>
        <w:rPr>
          <w:rFonts w:ascii="Arial" w:eastAsia="ITC Avant Garde" w:hAnsi="Arial" w:cs="Arial"/>
        </w:rPr>
      </w:pPr>
      <w:r w:rsidRPr="004626EF">
        <w:rPr>
          <w:rFonts w:ascii="Arial" w:eastAsia="ITC Avant Garde" w:hAnsi="Arial" w:cs="Arial"/>
        </w:rPr>
        <w:t>E</w:t>
      </w:r>
      <w:r w:rsidR="009F525E" w:rsidRPr="004626EF">
        <w:rPr>
          <w:rFonts w:ascii="Arial" w:eastAsia="ITC Avant Garde" w:hAnsi="Arial" w:cs="Arial"/>
        </w:rPr>
        <w:t xml:space="preserve">n caso </w:t>
      </w:r>
      <w:r w:rsidRPr="004626EF">
        <w:rPr>
          <w:rFonts w:ascii="Arial" w:eastAsia="ITC Avant Garde" w:hAnsi="Arial" w:cs="Arial"/>
        </w:rPr>
        <w:t xml:space="preserve">de </w:t>
      </w:r>
      <w:r w:rsidR="00461D76">
        <w:rPr>
          <w:rFonts w:ascii="Arial" w:eastAsia="ITC Avant Garde" w:hAnsi="Arial" w:cs="Arial"/>
        </w:rPr>
        <w:t xml:space="preserve">existir una limitante técnica del </w:t>
      </w:r>
      <w:r w:rsidR="00461D76" w:rsidRPr="00001BA0">
        <w:rPr>
          <w:rFonts w:ascii="Arial" w:eastAsia="ITC Avant Garde" w:hAnsi="Arial" w:cs="Arial"/>
        </w:rPr>
        <w:t>Equipo Terminal Móvil</w:t>
      </w:r>
      <w:r w:rsidR="00461D76" w:rsidRPr="009979E5">
        <w:rPr>
          <w:rFonts w:ascii="Arial" w:eastAsia="ITC Avant Garde" w:hAnsi="Arial" w:cs="Arial"/>
        </w:rPr>
        <w:t xml:space="preserve"> </w:t>
      </w:r>
      <w:r w:rsidR="00461D76">
        <w:rPr>
          <w:rFonts w:ascii="Arial" w:eastAsia="ITC Avant Garde" w:hAnsi="Arial" w:cs="Arial"/>
        </w:rPr>
        <w:t>y</w:t>
      </w:r>
      <w:r w:rsidR="00461D76" w:rsidRPr="004626EF">
        <w:rPr>
          <w:rFonts w:ascii="Arial" w:eastAsia="ITC Avant Garde" w:hAnsi="Arial" w:cs="Arial"/>
        </w:rPr>
        <w:t xml:space="preserve"> </w:t>
      </w:r>
      <w:r w:rsidR="001C04D3" w:rsidRPr="004626EF">
        <w:rPr>
          <w:rFonts w:ascii="Arial" w:eastAsia="ITC Avant Garde" w:hAnsi="Arial" w:cs="Arial"/>
        </w:rPr>
        <w:t xml:space="preserve">no </w:t>
      </w:r>
      <w:r w:rsidR="00A00A27" w:rsidRPr="004626EF">
        <w:rPr>
          <w:rFonts w:ascii="Arial" w:eastAsia="ITC Avant Garde" w:hAnsi="Arial" w:cs="Arial"/>
        </w:rPr>
        <w:t>sea posible</w:t>
      </w:r>
      <w:r w:rsidR="00CD7A9C" w:rsidRPr="00CD7A9C">
        <w:rPr>
          <w:rFonts w:ascii="Arial" w:eastAsia="ITC Avant Garde" w:hAnsi="Arial" w:cs="Arial"/>
        </w:rPr>
        <w:t xml:space="preserve"> </w:t>
      </w:r>
      <w:r w:rsidR="00461D76">
        <w:rPr>
          <w:rFonts w:ascii="Arial" w:eastAsia="ITC Avant Garde" w:hAnsi="Arial" w:cs="Arial"/>
        </w:rPr>
        <w:t>su</w:t>
      </w:r>
      <w:r w:rsidR="00A00A27" w:rsidRPr="004626EF">
        <w:rPr>
          <w:rFonts w:ascii="Arial" w:eastAsia="ITC Avant Garde" w:hAnsi="Arial" w:cs="Arial"/>
        </w:rPr>
        <w:t xml:space="preserve"> </w:t>
      </w:r>
      <w:r w:rsidR="001C04D3" w:rsidRPr="004626EF">
        <w:rPr>
          <w:rFonts w:ascii="Arial" w:eastAsia="ITC Avant Garde" w:hAnsi="Arial" w:cs="Arial"/>
        </w:rPr>
        <w:t>desbloqu</w:t>
      </w:r>
      <w:r w:rsidR="00A00A27" w:rsidRPr="004626EF">
        <w:rPr>
          <w:rFonts w:ascii="Arial" w:eastAsia="ITC Avant Garde" w:hAnsi="Arial" w:cs="Arial"/>
        </w:rPr>
        <w:t>eo</w:t>
      </w:r>
      <w:r w:rsidR="001C04D3" w:rsidRPr="004626EF">
        <w:rPr>
          <w:rFonts w:ascii="Arial" w:eastAsia="ITC Avant Garde" w:hAnsi="Arial" w:cs="Arial"/>
        </w:rPr>
        <w:t xml:space="preserve"> automátic</w:t>
      </w:r>
      <w:r w:rsidR="00A00A27" w:rsidRPr="004626EF">
        <w:rPr>
          <w:rFonts w:ascii="Arial" w:eastAsia="ITC Avant Garde" w:hAnsi="Arial" w:cs="Arial"/>
        </w:rPr>
        <w:t>o</w:t>
      </w:r>
      <w:r w:rsidR="001C04D3" w:rsidRPr="00B172DE">
        <w:rPr>
          <w:rFonts w:ascii="Arial" w:eastAsia="ITC Avant Garde" w:hAnsi="Arial" w:cs="Arial"/>
        </w:rPr>
        <w:t xml:space="preserve"> los Prestadores del Servicio Móvil</w:t>
      </w:r>
      <w:r w:rsidR="009F525E" w:rsidRPr="003C5644">
        <w:rPr>
          <w:rFonts w:ascii="Arial" w:eastAsia="ITC Avant Garde" w:hAnsi="Arial" w:cs="Arial"/>
        </w:rPr>
        <w:t xml:space="preserve"> deberán notificar a los Usuarios </w:t>
      </w:r>
      <w:r w:rsidR="003C1771" w:rsidRPr="006F6B8C">
        <w:rPr>
          <w:rFonts w:ascii="Arial" w:eastAsia="ITC Avant Garde" w:hAnsi="Arial" w:cs="Arial"/>
        </w:rPr>
        <w:t>a través de un mensaje corto</w:t>
      </w:r>
      <w:r w:rsidR="001C1001">
        <w:rPr>
          <w:rFonts w:ascii="Arial" w:eastAsia="ITC Avant Garde" w:hAnsi="Arial" w:cs="Arial"/>
        </w:rPr>
        <w:t xml:space="preserve">, </w:t>
      </w:r>
      <w:r w:rsidR="001C1001" w:rsidRPr="00CD7A9C">
        <w:rPr>
          <w:rFonts w:ascii="Arial" w:hAnsi="Arial" w:cs="Arial"/>
          <w:bCs/>
        </w:rPr>
        <w:t>dentro de las 24 horas siguientes</w:t>
      </w:r>
      <w:r w:rsidR="001C1001">
        <w:rPr>
          <w:rFonts w:ascii="Arial" w:hAnsi="Arial" w:cs="Arial"/>
          <w:bCs/>
        </w:rPr>
        <w:t xml:space="preserve"> a la actualización de los supuestos</w:t>
      </w:r>
      <w:r w:rsidR="00131377">
        <w:rPr>
          <w:rFonts w:ascii="Arial" w:hAnsi="Arial" w:cs="Arial"/>
          <w:bCs/>
        </w:rPr>
        <w:t xml:space="preserve"> señalados en los incisos a) y b)</w:t>
      </w:r>
      <w:r w:rsidR="001C1001">
        <w:rPr>
          <w:rFonts w:ascii="Arial" w:hAnsi="Arial" w:cs="Arial"/>
          <w:bCs/>
        </w:rPr>
        <w:t xml:space="preserve"> anteriores,</w:t>
      </w:r>
      <w:r w:rsidR="003C1771" w:rsidRPr="006F6B8C">
        <w:rPr>
          <w:rFonts w:ascii="Arial" w:eastAsia="ITC Avant Garde" w:hAnsi="Arial" w:cs="Arial"/>
        </w:rPr>
        <w:t xml:space="preserve"> </w:t>
      </w:r>
      <w:r w:rsidR="009F525E" w:rsidRPr="006F6B8C">
        <w:rPr>
          <w:rFonts w:ascii="Arial" w:eastAsia="ITC Avant Garde" w:hAnsi="Arial" w:cs="Arial"/>
        </w:rPr>
        <w:t>que el Equipo Terminal</w:t>
      </w:r>
      <w:r w:rsidR="00AD6AF0" w:rsidRPr="006F6B8C">
        <w:rPr>
          <w:rFonts w:ascii="Arial" w:eastAsia="ITC Avant Garde" w:hAnsi="Arial" w:cs="Arial"/>
        </w:rPr>
        <w:t xml:space="preserve"> Móvil</w:t>
      </w:r>
      <w:r w:rsidR="009F525E" w:rsidRPr="006F6B8C">
        <w:rPr>
          <w:rFonts w:ascii="Arial" w:eastAsia="ITC Avant Garde" w:hAnsi="Arial" w:cs="Arial"/>
        </w:rPr>
        <w:t xml:space="preserve"> </w:t>
      </w:r>
      <w:r w:rsidR="009F525E" w:rsidRPr="00973E95">
        <w:rPr>
          <w:rFonts w:ascii="Arial" w:eastAsia="ITC Avant Garde" w:hAnsi="Arial" w:cs="Arial"/>
        </w:rPr>
        <w:t>es elegible para</w:t>
      </w:r>
      <w:r w:rsidR="009F525E" w:rsidRPr="00707F37">
        <w:rPr>
          <w:rFonts w:ascii="Arial" w:eastAsia="ITC Avant Garde" w:hAnsi="Arial" w:cs="Arial"/>
        </w:rPr>
        <w:t xml:space="preserve"> desbloquearse y </w:t>
      </w:r>
      <w:r w:rsidR="00544CA0">
        <w:rPr>
          <w:rFonts w:ascii="Arial" w:eastAsia="ITC Avant Garde" w:hAnsi="Arial" w:cs="Arial"/>
        </w:rPr>
        <w:t>el procedimiento</w:t>
      </w:r>
      <w:r w:rsidR="009F525E" w:rsidRPr="004626EF">
        <w:rPr>
          <w:rFonts w:ascii="Arial" w:eastAsia="ITC Avant Garde" w:hAnsi="Arial" w:cs="Arial"/>
          <w:color w:val="FF0000"/>
        </w:rPr>
        <w:t xml:space="preserve"> </w:t>
      </w:r>
      <w:r w:rsidR="009F525E" w:rsidRPr="00707F37">
        <w:rPr>
          <w:rFonts w:ascii="Arial" w:eastAsia="ITC Avant Garde" w:hAnsi="Arial" w:cs="Arial"/>
        </w:rPr>
        <w:t>para solicitarlo.</w:t>
      </w:r>
      <w:r w:rsidR="009F525E" w:rsidRPr="004F7707">
        <w:rPr>
          <w:rFonts w:ascii="Arial" w:eastAsia="ITC Avant Garde" w:hAnsi="Arial" w:cs="Arial"/>
        </w:rPr>
        <w:t xml:space="preserve"> </w:t>
      </w:r>
    </w:p>
    <w:p w14:paraId="4AAE4E12" w14:textId="77777777" w:rsidR="00E1420B" w:rsidRDefault="00E1420B" w:rsidP="00E1420B">
      <w:pPr>
        <w:spacing w:after="0"/>
        <w:contextualSpacing/>
        <w:mirrorIndents/>
        <w:jc w:val="both"/>
        <w:rPr>
          <w:rFonts w:ascii="Arial" w:eastAsia="ITC Avant Garde" w:hAnsi="Arial" w:cs="Arial"/>
          <w:b/>
          <w:bCs/>
        </w:rPr>
      </w:pPr>
    </w:p>
    <w:p w14:paraId="26B306B4" w14:textId="2D122D45" w:rsidR="00A506CE" w:rsidRPr="00A506CE" w:rsidRDefault="006A2849" w:rsidP="00E1420B">
      <w:pPr>
        <w:spacing w:after="0"/>
        <w:contextualSpacing/>
        <w:mirrorIndents/>
        <w:jc w:val="both"/>
        <w:rPr>
          <w:rFonts w:ascii="Arial" w:eastAsia="ITC Avant Garde" w:hAnsi="Arial" w:cs="Arial"/>
        </w:rPr>
      </w:pPr>
      <w:proofErr w:type="gramStart"/>
      <w:r w:rsidRPr="00A506CE">
        <w:rPr>
          <w:rFonts w:ascii="Arial" w:eastAsia="ITC Avant Garde" w:hAnsi="Arial" w:cs="Arial"/>
          <w:b/>
          <w:bCs/>
        </w:rPr>
        <w:t>Octavo</w:t>
      </w:r>
      <w:r w:rsidR="00E1420B" w:rsidRPr="00A506CE">
        <w:rPr>
          <w:rFonts w:ascii="Arial" w:eastAsia="ITC Avant Garde" w:hAnsi="Arial" w:cs="Arial"/>
          <w:b/>
          <w:bCs/>
        </w:rPr>
        <w:t>.-</w:t>
      </w:r>
      <w:proofErr w:type="gramEnd"/>
      <w:r w:rsidR="00E1420B" w:rsidRPr="00A506CE">
        <w:rPr>
          <w:rFonts w:ascii="Arial" w:eastAsia="ITC Avant Garde" w:hAnsi="Arial" w:cs="Arial"/>
        </w:rPr>
        <w:t xml:space="preserve"> Los </w:t>
      </w:r>
      <w:r w:rsidR="00E1420B" w:rsidRPr="00A506CE">
        <w:rPr>
          <w:rFonts w:ascii="Arial" w:hAnsi="Arial" w:cs="Arial"/>
          <w:bCs/>
        </w:rPr>
        <w:t>Prestadores del Servicio Móvil</w:t>
      </w:r>
      <w:r w:rsidR="00E1420B" w:rsidRPr="00A506CE">
        <w:rPr>
          <w:rFonts w:ascii="Arial" w:eastAsia="ITC Avant Garde" w:hAnsi="Arial" w:cs="Arial"/>
        </w:rPr>
        <w:t xml:space="preserve"> deberán publicar en sus sitios de Internet </w:t>
      </w:r>
      <w:r w:rsidR="00871B71" w:rsidRPr="00A506CE">
        <w:rPr>
          <w:rFonts w:ascii="Arial" w:eastAsia="ITC Avant Garde" w:hAnsi="Arial" w:cs="Arial"/>
        </w:rPr>
        <w:t>los requisitos</w:t>
      </w:r>
      <w:r w:rsidR="00871B71">
        <w:rPr>
          <w:rFonts w:ascii="Arial" w:eastAsia="ITC Avant Garde" w:hAnsi="Arial" w:cs="Arial"/>
        </w:rPr>
        <w:t>,</w:t>
      </w:r>
      <w:r w:rsidR="00871B71" w:rsidRPr="00A506CE">
        <w:rPr>
          <w:rFonts w:ascii="Arial" w:eastAsia="ITC Avant Garde" w:hAnsi="Arial" w:cs="Arial"/>
        </w:rPr>
        <w:t xml:space="preserve"> procedimiento </w:t>
      </w:r>
      <w:r w:rsidR="00871B71">
        <w:rPr>
          <w:rFonts w:ascii="Arial" w:eastAsia="ITC Avant Garde" w:hAnsi="Arial" w:cs="Arial"/>
        </w:rPr>
        <w:t xml:space="preserve">y </w:t>
      </w:r>
      <w:r w:rsidR="00871B71" w:rsidRPr="00A506CE">
        <w:rPr>
          <w:rFonts w:ascii="Arial" w:eastAsia="ITC Avant Garde" w:hAnsi="Arial" w:cs="Arial"/>
        </w:rPr>
        <w:t xml:space="preserve">manual de instrucciones </w:t>
      </w:r>
      <w:r w:rsidR="00E1420B" w:rsidRPr="00A506CE">
        <w:rPr>
          <w:rFonts w:ascii="Arial" w:eastAsia="ITC Avant Garde" w:hAnsi="Arial" w:cs="Arial"/>
        </w:rPr>
        <w:t xml:space="preserve">para </w:t>
      </w:r>
      <w:r w:rsidR="00871B71">
        <w:rPr>
          <w:rFonts w:ascii="Arial" w:eastAsia="ITC Avant Garde" w:hAnsi="Arial" w:cs="Arial"/>
        </w:rPr>
        <w:t>realizar</w:t>
      </w:r>
      <w:r w:rsidR="00871B71" w:rsidRPr="00A506CE">
        <w:rPr>
          <w:rFonts w:ascii="Arial" w:eastAsia="ITC Avant Garde" w:hAnsi="Arial" w:cs="Arial"/>
        </w:rPr>
        <w:t xml:space="preserve"> </w:t>
      </w:r>
      <w:r w:rsidR="00E1420B" w:rsidRPr="00A506CE">
        <w:rPr>
          <w:rFonts w:ascii="Arial" w:eastAsia="ITC Avant Garde" w:hAnsi="Arial" w:cs="Arial"/>
        </w:rPr>
        <w:t xml:space="preserve">el desbloqueo de </w:t>
      </w:r>
      <w:r w:rsidR="00FC05E7" w:rsidRPr="00A506CE">
        <w:rPr>
          <w:rFonts w:ascii="Arial" w:eastAsia="ITC Avant Garde" w:hAnsi="Arial" w:cs="Arial"/>
        </w:rPr>
        <w:t xml:space="preserve">los </w:t>
      </w:r>
      <w:r w:rsidR="00E1420B" w:rsidRPr="00A506CE">
        <w:rPr>
          <w:rFonts w:ascii="Arial" w:eastAsia="ITC Avant Garde" w:hAnsi="Arial" w:cs="Arial"/>
        </w:rPr>
        <w:t>Equipos Terminales Móviles</w:t>
      </w:r>
      <w:r w:rsidR="00871B71">
        <w:rPr>
          <w:rFonts w:ascii="Arial" w:eastAsia="ITC Avant Garde" w:hAnsi="Arial" w:cs="Arial"/>
        </w:rPr>
        <w:t>. Además</w:t>
      </w:r>
      <w:r w:rsidR="00D07159">
        <w:rPr>
          <w:rFonts w:ascii="Arial" w:eastAsia="ITC Avant Garde" w:hAnsi="Arial" w:cs="Arial"/>
        </w:rPr>
        <w:t>,</w:t>
      </w:r>
      <w:r w:rsidR="00A506CE" w:rsidRPr="00E64999">
        <w:rPr>
          <w:rFonts w:ascii="Arial" w:eastAsia="ITC Avant Garde" w:hAnsi="Arial" w:cs="Arial"/>
        </w:rPr>
        <w:t xml:space="preserve"> deberán contar con una sección para </w:t>
      </w:r>
      <w:r w:rsidR="00E64999">
        <w:rPr>
          <w:rFonts w:ascii="Arial" w:eastAsia="ITC Avant Garde" w:hAnsi="Arial" w:cs="Arial"/>
        </w:rPr>
        <w:t>solicitar</w:t>
      </w:r>
      <w:r w:rsidR="00A506CE" w:rsidRPr="00E64999">
        <w:rPr>
          <w:rFonts w:ascii="Arial" w:eastAsia="ITC Avant Garde" w:hAnsi="Arial" w:cs="Arial"/>
        </w:rPr>
        <w:t xml:space="preserve"> el</w:t>
      </w:r>
      <w:r w:rsidR="00E64999">
        <w:rPr>
          <w:rFonts w:ascii="Arial" w:eastAsia="ITC Avant Garde" w:hAnsi="Arial" w:cs="Arial"/>
        </w:rPr>
        <w:t xml:space="preserve"> envío del</w:t>
      </w:r>
      <w:r w:rsidR="00A506CE" w:rsidRPr="00E64999">
        <w:rPr>
          <w:rFonts w:ascii="Arial" w:eastAsia="ITC Avant Garde" w:hAnsi="Arial" w:cs="Arial"/>
        </w:rPr>
        <w:t xml:space="preserve"> Código de desbloqueo</w:t>
      </w:r>
      <w:r w:rsidR="00E64999">
        <w:rPr>
          <w:rFonts w:ascii="Arial" w:eastAsia="ITC Avant Garde" w:hAnsi="Arial" w:cs="Arial"/>
        </w:rPr>
        <w:t>.</w:t>
      </w:r>
      <w:r w:rsidR="00A506CE" w:rsidRPr="00E64999">
        <w:rPr>
          <w:rFonts w:ascii="Arial" w:eastAsia="ITC Avant Garde" w:hAnsi="Arial" w:cs="Arial"/>
        </w:rPr>
        <w:t xml:space="preserve"> </w:t>
      </w:r>
    </w:p>
    <w:p w14:paraId="6474DA60" w14:textId="77777777" w:rsidR="004F7707" w:rsidRPr="00A506CE" w:rsidRDefault="004F7707" w:rsidP="00B10574">
      <w:pPr>
        <w:spacing w:after="0"/>
        <w:jc w:val="both"/>
        <w:rPr>
          <w:rFonts w:ascii="Arial" w:eastAsia="ITC Avant Garde" w:hAnsi="Arial" w:cs="Arial"/>
        </w:rPr>
      </w:pPr>
    </w:p>
    <w:p w14:paraId="4E560435" w14:textId="3A43AF1A" w:rsidR="004A7B41" w:rsidRDefault="006A2849" w:rsidP="000B18A3">
      <w:pPr>
        <w:spacing w:after="0"/>
        <w:contextualSpacing/>
        <w:mirrorIndents/>
        <w:jc w:val="both"/>
        <w:rPr>
          <w:rFonts w:ascii="Arial" w:eastAsia="ITC Avant Garde" w:hAnsi="Arial" w:cs="Arial"/>
        </w:rPr>
      </w:pPr>
      <w:proofErr w:type="gramStart"/>
      <w:r w:rsidRPr="00A506CE">
        <w:rPr>
          <w:rFonts w:ascii="Arial" w:eastAsia="ITC Avant Garde" w:hAnsi="Arial" w:cs="Arial"/>
          <w:b/>
          <w:bCs/>
        </w:rPr>
        <w:t>Noveno</w:t>
      </w:r>
      <w:r w:rsidR="004424C8" w:rsidRPr="00A506CE">
        <w:rPr>
          <w:rFonts w:ascii="Arial" w:eastAsia="ITC Avant Garde" w:hAnsi="Arial" w:cs="Arial"/>
          <w:b/>
          <w:bCs/>
        </w:rPr>
        <w:t>.-</w:t>
      </w:r>
      <w:proofErr w:type="gramEnd"/>
      <w:r w:rsidR="00707F37" w:rsidRPr="00A506CE">
        <w:rPr>
          <w:rFonts w:ascii="Arial" w:eastAsia="ITC Avant Garde" w:hAnsi="Arial" w:cs="Arial"/>
        </w:rPr>
        <w:t xml:space="preserve"> </w:t>
      </w:r>
      <w:r w:rsidR="00957772">
        <w:rPr>
          <w:rFonts w:ascii="Arial" w:eastAsia="ITC Avant Garde" w:hAnsi="Arial" w:cs="Arial"/>
        </w:rPr>
        <w:t>E</w:t>
      </w:r>
      <w:r w:rsidR="00957772" w:rsidRPr="00A506CE">
        <w:rPr>
          <w:rFonts w:ascii="Arial" w:eastAsia="ITC Avant Garde" w:hAnsi="Arial" w:cs="Arial"/>
        </w:rPr>
        <w:t>l desbloqueo de los Equipos Terminales Móviles</w:t>
      </w:r>
      <w:r w:rsidR="00957772">
        <w:rPr>
          <w:rFonts w:ascii="Arial" w:eastAsia="ITC Avant Garde" w:hAnsi="Arial" w:cs="Arial"/>
        </w:rPr>
        <w:t xml:space="preserve"> </w:t>
      </w:r>
      <w:r w:rsidR="00F83232">
        <w:rPr>
          <w:rFonts w:ascii="Arial" w:eastAsia="ITC Avant Garde" w:hAnsi="Arial" w:cs="Arial"/>
        </w:rPr>
        <w:t>E</w:t>
      </w:r>
      <w:r w:rsidR="00957772">
        <w:rPr>
          <w:rFonts w:ascii="Arial" w:eastAsia="ITC Avant Garde" w:hAnsi="Arial" w:cs="Arial"/>
        </w:rPr>
        <w:t>legibles</w:t>
      </w:r>
      <w:r w:rsidR="00957772" w:rsidRPr="00A506CE">
        <w:rPr>
          <w:rFonts w:ascii="Arial" w:eastAsia="ITC Avant Garde" w:hAnsi="Arial" w:cs="Arial"/>
        </w:rPr>
        <w:t xml:space="preserve"> </w:t>
      </w:r>
      <w:r w:rsidR="000B18A3" w:rsidRPr="00A506CE">
        <w:rPr>
          <w:rFonts w:ascii="Arial" w:eastAsia="ITC Avant Garde" w:hAnsi="Arial" w:cs="Arial"/>
        </w:rPr>
        <w:t>podrá</w:t>
      </w:r>
      <w:r w:rsidR="004A7B41" w:rsidRPr="00A506CE">
        <w:rPr>
          <w:rFonts w:ascii="Arial" w:eastAsia="ITC Avant Garde" w:hAnsi="Arial" w:cs="Arial"/>
        </w:rPr>
        <w:t xml:space="preserve"> solicitarse</w:t>
      </w:r>
      <w:r w:rsidR="000B18A3" w:rsidRPr="00A506CE">
        <w:rPr>
          <w:rFonts w:ascii="Arial" w:eastAsia="ITC Avant Garde" w:hAnsi="Arial" w:cs="Arial"/>
        </w:rPr>
        <w:t xml:space="preserve"> </w:t>
      </w:r>
      <w:r w:rsidR="004A7B41" w:rsidRPr="00A506CE">
        <w:rPr>
          <w:rFonts w:ascii="Arial" w:eastAsia="ITC Avant Garde" w:hAnsi="Arial" w:cs="Arial"/>
        </w:rPr>
        <w:t>e</w:t>
      </w:r>
      <w:r w:rsidR="000B18A3" w:rsidRPr="00A506CE">
        <w:rPr>
          <w:rFonts w:ascii="Arial" w:eastAsia="ITC Avant Garde" w:hAnsi="Arial" w:cs="Arial"/>
        </w:rPr>
        <w:t>n el centro de atención a clientes</w:t>
      </w:r>
      <w:r w:rsidR="001F29C9">
        <w:rPr>
          <w:rFonts w:ascii="Arial" w:eastAsia="ITC Avant Garde" w:hAnsi="Arial" w:cs="Arial"/>
        </w:rPr>
        <w:t>, en el número telefónico de atención a clientes</w:t>
      </w:r>
      <w:r w:rsidR="000B18A3" w:rsidRPr="00A506CE">
        <w:rPr>
          <w:rFonts w:ascii="Arial" w:eastAsia="ITC Avant Garde" w:hAnsi="Arial" w:cs="Arial"/>
        </w:rPr>
        <w:t xml:space="preserve"> o </w:t>
      </w:r>
      <w:r w:rsidR="0010785E" w:rsidRPr="00A506CE">
        <w:rPr>
          <w:rFonts w:ascii="Arial" w:eastAsia="ITC Avant Garde" w:hAnsi="Arial" w:cs="Arial"/>
        </w:rPr>
        <w:t>a través</w:t>
      </w:r>
      <w:r w:rsidR="000B18A3" w:rsidRPr="00A506CE">
        <w:rPr>
          <w:rFonts w:ascii="Arial" w:eastAsia="ITC Avant Garde" w:hAnsi="Arial" w:cs="Arial"/>
        </w:rPr>
        <w:t xml:space="preserve"> </w:t>
      </w:r>
      <w:r w:rsidR="0010785E" w:rsidRPr="00A506CE">
        <w:rPr>
          <w:rFonts w:ascii="Arial" w:eastAsia="ITC Avant Garde" w:hAnsi="Arial" w:cs="Arial"/>
        </w:rPr>
        <w:t xml:space="preserve">de </w:t>
      </w:r>
      <w:r w:rsidR="00A06315">
        <w:rPr>
          <w:rFonts w:ascii="Arial" w:eastAsia="ITC Avant Garde" w:hAnsi="Arial" w:cs="Arial"/>
        </w:rPr>
        <w:t xml:space="preserve">los </w:t>
      </w:r>
      <w:r w:rsidR="0010785E" w:rsidRPr="00A506CE">
        <w:rPr>
          <w:rFonts w:ascii="Arial" w:eastAsia="ITC Avant Garde" w:hAnsi="Arial" w:cs="Arial"/>
        </w:rPr>
        <w:t>medios electrónicos</w:t>
      </w:r>
      <w:r w:rsidR="00A06315">
        <w:rPr>
          <w:rFonts w:ascii="Arial" w:eastAsia="ITC Avant Garde" w:hAnsi="Arial" w:cs="Arial"/>
        </w:rPr>
        <w:t xml:space="preserve"> </w:t>
      </w:r>
      <w:r w:rsidR="00E64999">
        <w:rPr>
          <w:rFonts w:ascii="Arial" w:eastAsia="ITC Avant Garde" w:hAnsi="Arial" w:cs="Arial"/>
        </w:rPr>
        <w:t>disponibles</w:t>
      </w:r>
      <w:r w:rsidR="00A06315">
        <w:rPr>
          <w:rFonts w:ascii="Arial" w:eastAsia="ITC Avant Garde" w:hAnsi="Arial" w:cs="Arial"/>
        </w:rPr>
        <w:t xml:space="preserve"> en el </w:t>
      </w:r>
      <w:r w:rsidR="00547F4D">
        <w:rPr>
          <w:rFonts w:ascii="Arial" w:eastAsia="ITC Avant Garde" w:hAnsi="Arial" w:cs="Arial"/>
        </w:rPr>
        <w:t>sitio</w:t>
      </w:r>
      <w:r w:rsidR="00547F4D" w:rsidRPr="00A506CE">
        <w:rPr>
          <w:rFonts w:ascii="Arial" w:eastAsia="ITC Avant Garde" w:hAnsi="Arial" w:cs="Arial"/>
        </w:rPr>
        <w:t xml:space="preserve"> de Internet</w:t>
      </w:r>
      <w:r w:rsidR="0010785E" w:rsidRPr="00A506CE">
        <w:rPr>
          <w:rFonts w:ascii="Arial" w:eastAsia="ITC Avant Garde" w:hAnsi="Arial" w:cs="Arial"/>
        </w:rPr>
        <w:t xml:space="preserve"> </w:t>
      </w:r>
      <w:r w:rsidR="00547F4D">
        <w:rPr>
          <w:rFonts w:ascii="Arial" w:eastAsia="ITC Avant Garde" w:hAnsi="Arial" w:cs="Arial"/>
        </w:rPr>
        <w:t xml:space="preserve">del </w:t>
      </w:r>
      <w:r w:rsidR="00547F4D" w:rsidRPr="00A506CE">
        <w:rPr>
          <w:rFonts w:ascii="Arial" w:hAnsi="Arial" w:cs="Arial"/>
          <w:bCs/>
        </w:rPr>
        <w:t>Prestador del Servicio Móvil</w:t>
      </w:r>
      <w:r w:rsidR="00547F4D">
        <w:rPr>
          <w:rFonts w:ascii="Arial" w:hAnsi="Arial" w:cs="Arial"/>
          <w:bCs/>
        </w:rPr>
        <w:t>.</w:t>
      </w:r>
    </w:p>
    <w:p w14:paraId="2A913B85" w14:textId="77777777" w:rsidR="002724FB" w:rsidRDefault="002724FB" w:rsidP="000B18A3">
      <w:pPr>
        <w:spacing w:after="0"/>
        <w:contextualSpacing/>
        <w:mirrorIndents/>
        <w:jc w:val="both"/>
        <w:rPr>
          <w:rFonts w:ascii="Arial" w:eastAsia="ITC Avant Garde" w:hAnsi="Arial" w:cs="Arial"/>
        </w:rPr>
      </w:pPr>
    </w:p>
    <w:p w14:paraId="7472848B" w14:textId="2D5F8663" w:rsidR="003C5644" w:rsidRDefault="00FE4051" w:rsidP="003C5644">
      <w:pPr>
        <w:spacing w:after="0"/>
        <w:contextualSpacing/>
        <w:mirrorIndents/>
        <w:jc w:val="both"/>
        <w:rPr>
          <w:rFonts w:ascii="Arial" w:eastAsia="ITC Avant Garde" w:hAnsi="Arial" w:cs="Arial"/>
        </w:rPr>
      </w:pPr>
      <w:r w:rsidRPr="00B44DB0">
        <w:rPr>
          <w:rFonts w:ascii="Arial" w:eastAsia="ITC Avant Garde" w:hAnsi="Arial" w:cs="Arial"/>
        </w:rPr>
        <w:t>El</w:t>
      </w:r>
      <w:r w:rsidR="003C5644" w:rsidRPr="00B44DB0">
        <w:rPr>
          <w:rFonts w:ascii="Arial" w:eastAsia="ITC Avant Garde" w:hAnsi="Arial" w:cs="Arial"/>
        </w:rPr>
        <w:t xml:space="preserve"> desbloqueo de los Equipos Terminales Móviles </w:t>
      </w:r>
      <w:r w:rsidR="00F83232">
        <w:rPr>
          <w:rFonts w:ascii="Arial" w:eastAsia="ITC Avant Garde" w:hAnsi="Arial" w:cs="Arial"/>
        </w:rPr>
        <w:t>E</w:t>
      </w:r>
      <w:r w:rsidR="00B44DB0">
        <w:rPr>
          <w:rFonts w:ascii="Arial" w:eastAsia="ITC Avant Garde" w:hAnsi="Arial" w:cs="Arial"/>
        </w:rPr>
        <w:t xml:space="preserve">legibles </w:t>
      </w:r>
      <w:r w:rsidR="003C5644" w:rsidRPr="00B44DB0">
        <w:rPr>
          <w:rFonts w:ascii="Arial" w:eastAsia="ITC Avant Garde" w:hAnsi="Arial" w:cs="Arial"/>
        </w:rPr>
        <w:t xml:space="preserve">en los centros de atención al </w:t>
      </w:r>
      <w:r w:rsidR="00947CD1" w:rsidRPr="00B44DB0">
        <w:rPr>
          <w:rFonts w:ascii="Arial" w:eastAsia="ITC Avant Garde" w:hAnsi="Arial" w:cs="Arial"/>
        </w:rPr>
        <w:t>cliente</w:t>
      </w:r>
      <w:r w:rsidR="001F29C9">
        <w:rPr>
          <w:rFonts w:ascii="Arial" w:eastAsia="ITC Avant Garde" w:hAnsi="Arial" w:cs="Arial"/>
        </w:rPr>
        <w:t xml:space="preserve"> </w:t>
      </w:r>
      <w:r w:rsidR="00947CD1">
        <w:rPr>
          <w:rFonts w:ascii="Arial" w:eastAsia="ITC Avant Garde" w:hAnsi="Arial" w:cs="Arial"/>
        </w:rPr>
        <w:t xml:space="preserve">será </w:t>
      </w:r>
      <w:r w:rsidR="007B5E1F">
        <w:rPr>
          <w:rFonts w:ascii="Arial" w:eastAsia="ITC Avant Garde" w:hAnsi="Arial" w:cs="Arial"/>
        </w:rPr>
        <w:t>inmediato</w:t>
      </w:r>
      <w:r w:rsidR="00777CA7">
        <w:rPr>
          <w:rFonts w:ascii="Arial" w:eastAsia="ITC Avant Garde" w:hAnsi="Arial" w:cs="Arial"/>
        </w:rPr>
        <w:t>.</w:t>
      </w:r>
      <w:r w:rsidR="00947CD1">
        <w:rPr>
          <w:rFonts w:ascii="Arial" w:eastAsia="ITC Avant Garde" w:hAnsi="Arial" w:cs="Arial"/>
        </w:rPr>
        <w:t xml:space="preserve"> </w:t>
      </w:r>
      <w:r w:rsidR="00EC6EC0">
        <w:rPr>
          <w:rFonts w:ascii="Arial" w:eastAsia="ITC Avant Garde" w:hAnsi="Arial" w:cs="Arial"/>
        </w:rPr>
        <w:t>El desbloqueo o l</w:t>
      </w:r>
      <w:r w:rsidR="00777CA7">
        <w:rPr>
          <w:rFonts w:ascii="Arial" w:eastAsia="ITC Avant Garde" w:hAnsi="Arial" w:cs="Arial"/>
        </w:rPr>
        <w:t>a</w:t>
      </w:r>
      <w:r w:rsidR="00E103CC" w:rsidRPr="00B44DB0">
        <w:rPr>
          <w:rFonts w:ascii="Arial" w:eastAsia="ITC Avant Garde" w:hAnsi="Arial" w:cs="Arial"/>
        </w:rPr>
        <w:t xml:space="preserve"> entrega del Código de desbloqueo </w:t>
      </w:r>
      <w:r w:rsidR="00AD28A4" w:rsidRPr="00B44DB0">
        <w:rPr>
          <w:rFonts w:ascii="Arial" w:eastAsia="ITC Avant Garde" w:hAnsi="Arial" w:cs="Arial"/>
        </w:rPr>
        <w:t xml:space="preserve">de </w:t>
      </w:r>
      <w:r w:rsidR="00AD28A4">
        <w:rPr>
          <w:rFonts w:ascii="Arial" w:eastAsia="ITC Avant Garde" w:hAnsi="Arial" w:cs="Arial"/>
        </w:rPr>
        <w:t>solicitudes realizadas a través del número telefónico de atención a clientes</w:t>
      </w:r>
      <w:r w:rsidR="00AD28A4" w:rsidRPr="00A506CE">
        <w:rPr>
          <w:rFonts w:ascii="Arial" w:eastAsia="ITC Avant Garde" w:hAnsi="Arial" w:cs="Arial"/>
        </w:rPr>
        <w:t xml:space="preserve"> o a través de medios electrónicos</w:t>
      </w:r>
      <w:r w:rsidR="00AD28A4">
        <w:rPr>
          <w:rFonts w:ascii="Arial" w:eastAsia="ITC Avant Garde" w:hAnsi="Arial" w:cs="Arial"/>
        </w:rPr>
        <w:t>,</w:t>
      </w:r>
      <w:r w:rsidR="00AD28A4" w:rsidRPr="00B44DB0" w:rsidDel="00AD28A4">
        <w:rPr>
          <w:rFonts w:ascii="Arial" w:eastAsia="ITC Avant Garde" w:hAnsi="Arial" w:cs="Arial"/>
        </w:rPr>
        <w:t xml:space="preserve"> </w:t>
      </w:r>
      <w:r w:rsidR="00777CA7">
        <w:rPr>
          <w:rFonts w:ascii="Arial" w:eastAsia="ITC Avant Garde" w:hAnsi="Arial" w:cs="Arial"/>
        </w:rPr>
        <w:t>no</w:t>
      </w:r>
      <w:r w:rsidR="00E103CC" w:rsidRPr="00B44DB0">
        <w:rPr>
          <w:rFonts w:ascii="Arial" w:eastAsia="ITC Avant Garde" w:hAnsi="Arial" w:cs="Arial"/>
        </w:rPr>
        <w:t xml:space="preserve"> podrá</w:t>
      </w:r>
      <w:r w:rsidR="003C5644" w:rsidRPr="00B44DB0">
        <w:rPr>
          <w:rFonts w:ascii="Arial" w:eastAsia="ITC Avant Garde" w:hAnsi="Arial" w:cs="Arial"/>
        </w:rPr>
        <w:t xml:space="preserve"> exceder de 24 horas contadas a partir de la solicitud del Usuario</w:t>
      </w:r>
      <w:r w:rsidR="00F4599D" w:rsidRPr="00B44DB0">
        <w:rPr>
          <w:rFonts w:ascii="Arial" w:hAnsi="Arial" w:cs="Arial"/>
          <w:bCs/>
        </w:rPr>
        <w:t>.</w:t>
      </w:r>
    </w:p>
    <w:p w14:paraId="45E31C07" w14:textId="77777777" w:rsidR="00FA5281" w:rsidRDefault="00FA5281" w:rsidP="002724FB">
      <w:pPr>
        <w:spacing w:after="0"/>
        <w:contextualSpacing/>
        <w:mirrorIndents/>
        <w:jc w:val="both"/>
        <w:rPr>
          <w:rFonts w:ascii="Arial" w:eastAsia="ITC Avant Garde" w:hAnsi="Arial" w:cs="Arial"/>
          <w:highlight w:val="yellow"/>
        </w:rPr>
      </w:pPr>
    </w:p>
    <w:p w14:paraId="0726B304" w14:textId="32D083DC" w:rsidR="00A90976" w:rsidRPr="00D77051" w:rsidRDefault="00A90976" w:rsidP="00A90976">
      <w:pPr>
        <w:spacing w:after="0"/>
        <w:jc w:val="both"/>
        <w:rPr>
          <w:rFonts w:ascii="Arial" w:eastAsia="ITC Avant Garde" w:hAnsi="Arial" w:cs="Arial"/>
        </w:rPr>
      </w:pPr>
      <w:proofErr w:type="gramStart"/>
      <w:r w:rsidRPr="00D77051">
        <w:rPr>
          <w:rFonts w:ascii="Arial" w:eastAsia="ITC Avant Garde" w:hAnsi="Arial" w:cs="Arial"/>
          <w:b/>
          <w:bCs/>
        </w:rPr>
        <w:t>Décimo.-</w:t>
      </w:r>
      <w:proofErr w:type="gramEnd"/>
      <w:r w:rsidRPr="00D77051">
        <w:rPr>
          <w:rFonts w:ascii="Arial" w:hAnsi="Arial" w:cs="Arial"/>
        </w:rPr>
        <w:t xml:space="preserve"> </w:t>
      </w:r>
      <w:r w:rsidRPr="00D77051">
        <w:rPr>
          <w:rFonts w:ascii="Arial" w:eastAsia="ITC Avant Garde" w:hAnsi="Arial" w:cs="Arial"/>
        </w:rPr>
        <w:t xml:space="preserve">Para </w:t>
      </w:r>
      <w:r w:rsidR="005973EB">
        <w:rPr>
          <w:rFonts w:ascii="Arial" w:eastAsia="ITC Avant Garde" w:hAnsi="Arial" w:cs="Arial"/>
        </w:rPr>
        <w:t xml:space="preserve">solicitar </w:t>
      </w:r>
      <w:r w:rsidRPr="00D77051">
        <w:rPr>
          <w:rFonts w:ascii="Arial" w:eastAsia="ITC Avant Garde" w:hAnsi="Arial" w:cs="Arial"/>
        </w:rPr>
        <w:t xml:space="preserve">el desbloqueo en los centros de atención a clientes </w:t>
      </w:r>
      <w:r w:rsidR="00335338">
        <w:rPr>
          <w:rFonts w:ascii="Arial" w:eastAsia="ITC Avant Garde" w:hAnsi="Arial" w:cs="Arial"/>
        </w:rPr>
        <w:t xml:space="preserve">únicamente </w:t>
      </w:r>
      <w:r>
        <w:rPr>
          <w:rFonts w:ascii="Arial" w:eastAsia="ITC Avant Garde" w:hAnsi="Arial" w:cs="Arial"/>
        </w:rPr>
        <w:t>será necesaria</w:t>
      </w:r>
      <w:r w:rsidRPr="00D77051">
        <w:rPr>
          <w:rFonts w:ascii="Arial" w:eastAsia="ITC Avant Garde" w:hAnsi="Arial" w:cs="Arial"/>
        </w:rPr>
        <w:t xml:space="preserve"> la presentación del Equipo Terminal Móvil</w:t>
      </w:r>
      <w:r w:rsidR="00B44DB0">
        <w:rPr>
          <w:rFonts w:ascii="Arial" w:eastAsia="ITC Avant Garde" w:hAnsi="Arial" w:cs="Arial"/>
        </w:rPr>
        <w:t xml:space="preserve"> </w:t>
      </w:r>
      <w:r w:rsidR="00F83232">
        <w:rPr>
          <w:rFonts w:ascii="Arial" w:eastAsia="ITC Avant Garde" w:hAnsi="Arial" w:cs="Arial"/>
        </w:rPr>
        <w:t>E</w:t>
      </w:r>
      <w:r w:rsidR="00B44DB0">
        <w:rPr>
          <w:rFonts w:ascii="Arial" w:eastAsia="ITC Avant Garde" w:hAnsi="Arial" w:cs="Arial"/>
        </w:rPr>
        <w:t>legible</w:t>
      </w:r>
      <w:r w:rsidRPr="00D77051">
        <w:rPr>
          <w:rFonts w:ascii="Arial" w:eastAsia="ITC Avant Garde" w:hAnsi="Arial" w:cs="Arial"/>
        </w:rPr>
        <w:t xml:space="preserve">. </w:t>
      </w:r>
    </w:p>
    <w:p w14:paraId="72AE4AC9" w14:textId="77777777" w:rsidR="00A90976" w:rsidRPr="00D77051" w:rsidRDefault="00A90976" w:rsidP="00A90976">
      <w:pPr>
        <w:spacing w:after="0"/>
        <w:jc w:val="both"/>
        <w:rPr>
          <w:rFonts w:ascii="Arial" w:eastAsia="ITC Avant Garde" w:hAnsi="Arial" w:cs="Arial"/>
          <w:b/>
          <w:bCs/>
        </w:rPr>
      </w:pPr>
    </w:p>
    <w:p w14:paraId="2377F2EA" w14:textId="2BD2AB2C" w:rsidR="00A90976" w:rsidRPr="00D77051" w:rsidRDefault="00A90976" w:rsidP="00A90976">
      <w:pPr>
        <w:spacing w:after="0"/>
        <w:contextualSpacing/>
        <w:mirrorIndents/>
        <w:jc w:val="both"/>
        <w:rPr>
          <w:rFonts w:ascii="Arial" w:hAnsi="Arial" w:cs="Arial"/>
          <w:b/>
          <w:bCs/>
        </w:rPr>
      </w:pPr>
      <w:r w:rsidRPr="002C3F21">
        <w:rPr>
          <w:rFonts w:ascii="Arial" w:eastAsia="ITC Avant Garde" w:hAnsi="Arial" w:cs="Arial"/>
        </w:rPr>
        <w:t xml:space="preserve">Para </w:t>
      </w:r>
      <w:r w:rsidR="003C5644" w:rsidRPr="002C3F21">
        <w:rPr>
          <w:rFonts w:ascii="Arial" w:eastAsia="ITC Avant Garde" w:hAnsi="Arial" w:cs="Arial"/>
        </w:rPr>
        <w:t xml:space="preserve">solicitar </w:t>
      </w:r>
      <w:r w:rsidRPr="002C3F21">
        <w:rPr>
          <w:rFonts w:ascii="Arial" w:eastAsia="ITC Avant Garde" w:hAnsi="Arial" w:cs="Arial"/>
        </w:rPr>
        <w:t xml:space="preserve">el desbloqueo o </w:t>
      </w:r>
      <w:r w:rsidR="005973EB" w:rsidRPr="002C3F21">
        <w:rPr>
          <w:rFonts w:ascii="Arial" w:eastAsia="ITC Avant Garde" w:hAnsi="Arial" w:cs="Arial"/>
        </w:rPr>
        <w:t>el envío</w:t>
      </w:r>
      <w:r w:rsidRPr="002C3F21">
        <w:rPr>
          <w:rFonts w:ascii="Arial" w:eastAsia="ITC Avant Garde" w:hAnsi="Arial" w:cs="Arial"/>
        </w:rPr>
        <w:t xml:space="preserve"> del Código de </w:t>
      </w:r>
      <w:r w:rsidR="00FC05E7" w:rsidRPr="002C3F21">
        <w:rPr>
          <w:rFonts w:ascii="Arial" w:eastAsia="ITC Avant Garde" w:hAnsi="Arial" w:cs="Arial"/>
        </w:rPr>
        <w:t>d</w:t>
      </w:r>
      <w:r w:rsidRPr="003C3D99">
        <w:rPr>
          <w:rFonts w:ascii="Arial" w:eastAsia="ITC Avant Garde" w:hAnsi="Arial" w:cs="Arial"/>
        </w:rPr>
        <w:t>esbloqueo</w:t>
      </w:r>
      <w:r w:rsidR="005973EB" w:rsidRPr="003C3D99">
        <w:rPr>
          <w:rFonts w:ascii="Arial" w:eastAsia="ITC Avant Garde" w:hAnsi="Arial" w:cs="Arial"/>
        </w:rPr>
        <w:t xml:space="preserve"> </w:t>
      </w:r>
      <w:r w:rsidR="00886A86">
        <w:rPr>
          <w:rFonts w:ascii="Arial" w:eastAsia="ITC Avant Garde" w:hAnsi="Arial" w:cs="Arial"/>
        </w:rPr>
        <w:t>a través del</w:t>
      </w:r>
      <w:r w:rsidR="002151C0">
        <w:rPr>
          <w:rFonts w:ascii="Arial" w:eastAsia="ITC Avant Garde" w:hAnsi="Arial" w:cs="Arial"/>
        </w:rPr>
        <w:t xml:space="preserve"> número telefónico de atención a clientes</w:t>
      </w:r>
      <w:r w:rsidR="002151C0" w:rsidRPr="00A506CE">
        <w:rPr>
          <w:rFonts w:ascii="Arial" w:eastAsia="ITC Avant Garde" w:hAnsi="Arial" w:cs="Arial"/>
        </w:rPr>
        <w:t xml:space="preserve"> o a través de medios electrónicos</w:t>
      </w:r>
      <w:r w:rsidR="00E67ED7">
        <w:rPr>
          <w:rFonts w:ascii="Arial" w:eastAsia="ITC Avant Garde" w:hAnsi="Arial" w:cs="Arial"/>
        </w:rPr>
        <w:t>,</w:t>
      </w:r>
      <w:r w:rsidR="002151C0" w:rsidRPr="003C3D99" w:rsidDel="002151C0">
        <w:rPr>
          <w:rFonts w:ascii="Arial" w:eastAsia="ITC Avant Garde" w:hAnsi="Arial" w:cs="Arial"/>
        </w:rPr>
        <w:t xml:space="preserve"> </w:t>
      </w:r>
      <w:r w:rsidR="005973EB" w:rsidRPr="00961ACF">
        <w:rPr>
          <w:rFonts w:ascii="Arial" w:eastAsia="ITC Avant Garde" w:hAnsi="Arial" w:cs="Arial"/>
        </w:rPr>
        <w:t xml:space="preserve">únicamente </w:t>
      </w:r>
      <w:r w:rsidRPr="00961ACF">
        <w:rPr>
          <w:rFonts w:ascii="Arial" w:eastAsia="ITC Avant Garde" w:hAnsi="Arial" w:cs="Arial"/>
        </w:rPr>
        <w:t>será necesario proporcionar el IMEI del Equipo Terminal Móvil</w:t>
      </w:r>
      <w:r w:rsidR="00B44DB0">
        <w:rPr>
          <w:rFonts w:ascii="Arial" w:eastAsia="ITC Avant Garde" w:hAnsi="Arial" w:cs="Arial"/>
        </w:rPr>
        <w:t xml:space="preserve"> </w:t>
      </w:r>
      <w:r w:rsidR="00F83232">
        <w:rPr>
          <w:rFonts w:ascii="Arial" w:eastAsia="ITC Avant Garde" w:hAnsi="Arial" w:cs="Arial"/>
        </w:rPr>
        <w:t>E</w:t>
      </w:r>
      <w:r w:rsidR="00B44DB0">
        <w:rPr>
          <w:rFonts w:ascii="Arial" w:eastAsia="ITC Avant Garde" w:hAnsi="Arial" w:cs="Arial"/>
        </w:rPr>
        <w:t>legible</w:t>
      </w:r>
      <w:r w:rsidR="003C3D99">
        <w:rPr>
          <w:rFonts w:ascii="Arial" w:eastAsia="ITC Avant Garde" w:hAnsi="Arial" w:cs="Arial"/>
        </w:rPr>
        <w:t xml:space="preserve"> y </w:t>
      </w:r>
      <w:r w:rsidR="001F509A">
        <w:rPr>
          <w:rFonts w:ascii="Arial" w:eastAsia="ITC Avant Garde" w:hAnsi="Arial" w:cs="Arial"/>
        </w:rPr>
        <w:t xml:space="preserve">el </w:t>
      </w:r>
      <w:r w:rsidR="003C3D99">
        <w:rPr>
          <w:rFonts w:ascii="Arial" w:eastAsia="ITC Avant Garde" w:hAnsi="Arial" w:cs="Arial"/>
        </w:rPr>
        <w:t xml:space="preserve">número </w:t>
      </w:r>
      <w:r w:rsidR="0013672C">
        <w:rPr>
          <w:rFonts w:ascii="Arial" w:eastAsia="ITC Avant Garde" w:hAnsi="Arial" w:cs="Arial"/>
        </w:rPr>
        <w:t>de</w:t>
      </w:r>
      <w:r w:rsidR="00961ACF">
        <w:rPr>
          <w:rFonts w:ascii="Arial" w:eastAsia="ITC Avant Garde" w:hAnsi="Arial" w:cs="Arial"/>
        </w:rPr>
        <w:t>l</w:t>
      </w:r>
      <w:r w:rsidR="0013672C">
        <w:rPr>
          <w:rFonts w:ascii="Arial" w:eastAsia="ITC Avant Garde" w:hAnsi="Arial" w:cs="Arial"/>
        </w:rPr>
        <w:t xml:space="preserve"> servicio </w:t>
      </w:r>
      <w:r w:rsidR="003C3D99">
        <w:rPr>
          <w:rFonts w:ascii="Arial" w:eastAsia="ITC Avant Garde" w:hAnsi="Arial" w:cs="Arial"/>
        </w:rPr>
        <w:t>móvil del Usuario</w:t>
      </w:r>
      <w:r w:rsidRPr="00961ACF">
        <w:rPr>
          <w:rFonts w:ascii="Arial" w:eastAsia="ITC Avant Garde" w:hAnsi="Arial" w:cs="Arial"/>
        </w:rPr>
        <w:t>.</w:t>
      </w:r>
    </w:p>
    <w:p w14:paraId="1FC296FA" w14:textId="77777777" w:rsidR="00A90976" w:rsidRDefault="00A90976" w:rsidP="00B10574">
      <w:pPr>
        <w:spacing w:after="0"/>
        <w:contextualSpacing/>
        <w:mirrorIndents/>
        <w:jc w:val="both"/>
        <w:rPr>
          <w:rFonts w:ascii="Arial" w:eastAsia="ITC Avant Garde" w:hAnsi="Arial" w:cs="Arial"/>
        </w:rPr>
      </w:pPr>
    </w:p>
    <w:p w14:paraId="65086377" w14:textId="5548B2C3" w:rsidR="00071534" w:rsidRPr="00D77051" w:rsidRDefault="006A2849" w:rsidP="00CD1C37">
      <w:pPr>
        <w:spacing w:after="0"/>
        <w:contextualSpacing/>
        <w:mirrorIndents/>
        <w:jc w:val="both"/>
        <w:rPr>
          <w:rFonts w:ascii="Arial" w:eastAsia="ITC Avant Garde" w:hAnsi="Arial" w:cs="Arial"/>
        </w:rPr>
      </w:pPr>
      <w:r>
        <w:rPr>
          <w:rFonts w:ascii="Arial" w:hAnsi="Arial" w:cs="Arial"/>
          <w:b/>
        </w:rPr>
        <w:t>Décimo</w:t>
      </w:r>
      <w:r w:rsidR="00A90976">
        <w:rPr>
          <w:rFonts w:ascii="Arial" w:hAnsi="Arial" w:cs="Arial"/>
          <w:b/>
        </w:rPr>
        <w:t xml:space="preserve"> </w:t>
      </w:r>
      <w:r w:rsidR="005973EB">
        <w:rPr>
          <w:rFonts w:ascii="Arial" w:hAnsi="Arial" w:cs="Arial"/>
          <w:b/>
        </w:rPr>
        <w:t>Primero</w:t>
      </w:r>
      <w:r w:rsidR="00071534" w:rsidRPr="00D77051">
        <w:rPr>
          <w:rFonts w:ascii="Arial" w:hAnsi="Arial" w:cs="Arial"/>
          <w:b/>
        </w:rPr>
        <w:t>.-</w:t>
      </w:r>
      <w:r w:rsidR="00071534" w:rsidRPr="00D77051">
        <w:rPr>
          <w:rFonts w:ascii="Arial" w:eastAsia="ITC Avant Garde" w:hAnsi="Arial" w:cs="Arial"/>
        </w:rPr>
        <w:t xml:space="preserve"> </w:t>
      </w:r>
      <w:r w:rsidR="00C833A0">
        <w:rPr>
          <w:rFonts w:ascii="Arial" w:eastAsia="ITC Avant Garde" w:hAnsi="Arial" w:cs="Arial"/>
        </w:rPr>
        <w:t xml:space="preserve">Los </w:t>
      </w:r>
      <w:r w:rsidR="001F1CEB">
        <w:rPr>
          <w:rFonts w:ascii="Arial" w:hAnsi="Arial" w:cs="Arial"/>
          <w:bCs/>
        </w:rPr>
        <w:t>P</w:t>
      </w:r>
      <w:r w:rsidR="00C833A0">
        <w:rPr>
          <w:rFonts w:ascii="Arial" w:hAnsi="Arial" w:cs="Arial"/>
          <w:bCs/>
        </w:rPr>
        <w:t xml:space="preserve">restadores del </w:t>
      </w:r>
      <w:r w:rsidR="001F1CEB">
        <w:rPr>
          <w:rFonts w:ascii="Arial" w:hAnsi="Arial" w:cs="Arial"/>
          <w:bCs/>
        </w:rPr>
        <w:t>S</w:t>
      </w:r>
      <w:r w:rsidR="00C833A0">
        <w:rPr>
          <w:rFonts w:ascii="Arial" w:hAnsi="Arial" w:cs="Arial"/>
          <w:bCs/>
        </w:rPr>
        <w:t xml:space="preserve">ervicio </w:t>
      </w:r>
      <w:r w:rsidR="001F1CEB">
        <w:rPr>
          <w:rFonts w:ascii="Arial" w:hAnsi="Arial" w:cs="Arial"/>
          <w:bCs/>
        </w:rPr>
        <w:t>M</w:t>
      </w:r>
      <w:r w:rsidR="00C833A0">
        <w:rPr>
          <w:rFonts w:ascii="Arial" w:hAnsi="Arial" w:cs="Arial"/>
          <w:bCs/>
        </w:rPr>
        <w:t>óvil</w:t>
      </w:r>
      <w:r w:rsidR="00C60903" w:rsidRPr="00D77051">
        <w:rPr>
          <w:rFonts w:ascii="Arial" w:hAnsi="Arial" w:cs="Arial"/>
          <w:bCs/>
        </w:rPr>
        <w:t xml:space="preserve"> </w:t>
      </w:r>
      <w:r w:rsidR="00071534" w:rsidRPr="00D77051">
        <w:rPr>
          <w:rFonts w:ascii="Arial" w:eastAsia="ITC Avant Garde" w:hAnsi="Arial" w:cs="Arial"/>
        </w:rPr>
        <w:t xml:space="preserve">no podrán establecer condiciones contractuales o prácticas comerciales que limiten directa o indirectamente el derecho al desbloqueo del Equipo Terminal Móvil </w:t>
      </w:r>
      <w:r w:rsidR="00CD1C37">
        <w:rPr>
          <w:rFonts w:ascii="Arial" w:eastAsia="ITC Avant Garde" w:hAnsi="Arial" w:cs="Arial"/>
        </w:rPr>
        <w:t>o e</w:t>
      </w:r>
      <w:r w:rsidR="00CD1C37" w:rsidRPr="00CD1C37">
        <w:rPr>
          <w:rFonts w:ascii="Arial" w:eastAsia="ITC Avant Garde" w:hAnsi="Arial" w:cs="Arial"/>
        </w:rPr>
        <w:t>stablecer barreras de cualquier naturaleza que impidan la conexión del equipo terminal del</w:t>
      </w:r>
      <w:r w:rsidR="00CD1C37">
        <w:rPr>
          <w:rFonts w:ascii="Arial" w:eastAsia="ITC Avant Garde" w:hAnsi="Arial" w:cs="Arial"/>
        </w:rPr>
        <w:t xml:space="preserve"> </w:t>
      </w:r>
      <w:r w:rsidR="00CD1C37" w:rsidRPr="00CD1C37">
        <w:rPr>
          <w:rFonts w:ascii="Arial" w:eastAsia="ITC Avant Garde" w:hAnsi="Arial" w:cs="Arial"/>
        </w:rPr>
        <w:t>usuario con otros concesionarios que operen redes de telecomunicaciones</w:t>
      </w:r>
      <w:r w:rsidR="00CD1C37" w:rsidRPr="00D77051">
        <w:rPr>
          <w:rFonts w:ascii="Arial" w:eastAsia="ITC Avant Garde" w:hAnsi="Arial" w:cs="Arial"/>
        </w:rPr>
        <w:t xml:space="preserve"> </w:t>
      </w:r>
      <w:r w:rsidR="00071534" w:rsidRPr="00D77051">
        <w:rPr>
          <w:rFonts w:ascii="Arial" w:eastAsia="ITC Avant Garde" w:hAnsi="Arial" w:cs="Arial"/>
        </w:rPr>
        <w:t>en términos de lo dispuesto en l</w:t>
      </w:r>
      <w:r w:rsidR="00CD1C37">
        <w:rPr>
          <w:rFonts w:ascii="Arial" w:eastAsia="ITC Avant Garde" w:hAnsi="Arial" w:cs="Arial"/>
        </w:rPr>
        <w:t>os</w:t>
      </w:r>
      <w:r w:rsidR="00071534" w:rsidRPr="00D77051">
        <w:rPr>
          <w:rFonts w:ascii="Arial" w:eastAsia="ITC Avant Garde" w:hAnsi="Arial" w:cs="Arial"/>
        </w:rPr>
        <w:t xml:space="preserve"> artículo</w:t>
      </w:r>
      <w:r w:rsidR="00CD1C37">
        <w:rPr>
          <w:rFonts w:ascii="Arial" w:eastAsia="ITC Avant Garde" w:hAnsi="Arial" w:cs="Arial"/>
        </w:rPr>
        <w:t>s</w:t>
      </w:r>
      <w:r w:rsidR="00071534" w:rsidRPr="00D77051">
        <w:rPr>
          <w:rFonts w:ascii="Arial" w:eastAsia="ITC Avant Garde" w:hAnsi="Arial" w:cs="Arial"/>
        </w:rPr>
        <w:t xml:space="preserve"> 191</w:t>
      </w:r>
      <w:r w:rsidR="00CD1C37">
        <w:rPr>
          <w:rFonts w:ascii="Arial" w:eastAsia="ITC Avant Garde" w:hAnsi="Arial" w:cs="Arial"/>
        </w:rPr>
        <w:t xml:space="preserve"> fracciones XI y </w:t>
      </w:r>
      <w:r w:rsidR="00D47A61">
        <w:rPr>
          <w:rFonts w:ascii="Arial" w:eastAsia="ITC Avant Garde" w:hAnsi="Arial" w:cs="Arial"/>
        </w:rPr>
        <w:t>XII</w:t>
      </w:r>
      <w:r w:rsidR="00D47A61" w:rsidRPr="00D77051">
        <w:rPr>
          <w:rFonts w:ascii="Arial" w:eastAsia="ITC Avant Garde" w:hAnsi="Arial" w:cs="Arial"/>
        </w:rPr>
        <w:t xml:space="preserve"> </w:t>
      </w:r>
      <w:r w:rsidR="00CD1C37">
        <w:rPr>
          <w:rFonts w:ascii="Arial" w:eastAsia="ITC Avant Garde" w:hAnsi="Arial" w:cs="Arial"/>
        </w:rPr>
        <w:t xml:space="preserve">y 298 inciso C) fracción IV </w:t>
      </w:r>
      <w:r w:rsidR="00071534" w:rsidRPr="00D77051">
        <w:rPr>
          <w:rFonts w:ascii="Arial" w:eastAsia="ITC Avant Garde" w:hAnsi="Arial" w:cs="Arial"/>
        </w:rPr>
        <w:t>de la Ley Federal de Telecomunicaciones y Radiodifusión.</w:t>
      </w:r>
    </w:p>
    <w:p w14:paraId="37F1D5E9" w14:textId="35B84170" w:rsidR="00071534" w:rsidRPr="00D77051" w:rsidRDefault="00071534" w:rsidP="007E23CC">
      <w:pPr>
        <w:spacing w:after="0"/>
        <w:contextualSpacing/>
        <w:mirrorIndents/>
        <w:jc w:val="both"/>
        <w:rPr>
          <w:rFonts w:ascii="Arial" w:eastAsia="ITC Avant Garde" w:hAnsi="Arial" w:cs="Arial"/>
        </w:rPr>
      </w:pPr>
    </w:p>
    <w:p w14:paraId="54E7058C" w14:textId="01DBD778" w:rsidR="00071534" w:rsidRPr="00D77051" w:rsidRDefault="00AC138E" w:rsidP="007E23CC">
      <w:pPr>
        <w:spacing w:after="0"/>
        <w:contextualSpacing/>
        <w:mirrorIndents/>
        <w:jc w:val="both"/>
        <w:rPr>
          <w:rFonts w:ascii="Arial" w:eastAsia="ITC Avant Garde" w:hAnsi="Arial" w:cs="Arial"/>
        </w:rPr>
      </w:pPr>
      <w:r>
        <w:rPr>
          <w:rFonts w:ascii="Arial" w:eastAsia="ITC Avant Garde" w:hAnsi="Arial" w:cs="Arial"/>
          <w:b/>
          <w:bCs/>
        </w:rPr>
        <w:t xml:space="preserve">Décimo </w:t>
      </w:r>
      <w:proofErr w:type="gramStart"/>
      <w:r w:rsidR="005973EB">
        <w:rPr>
          <w:rFonts w:ascii="Arial" w:eastAsia="ITC Avant Garde" w:hAnsi="Arial" w:cs="Arial"/>
          <w:b/>
          <w:bCs/>
        </w:rPr>
        <w:t>Segundo</w:t>
      </w:r>
      <w:r w:rsidR="00071534" w:rsidRPr="00D77051">
        <w:rPr>
          <w:rFonts w:ascii="Arial" w:eastAsia="ITC Avant Garde" w:hAnsi="Arial" w:cs="Arial"/>
          <w:b/>
          <w:bCs/>
        </w:rPr>
        <w:t>.</w:t>
      </w:r>
      <w:r w:rsidR="00FA1490" w:rsidRPr="00D77051">
        <w:rPr>
          <w:rFonts w:ascii="Arial" w:eastAsia="ITC Avant Garde" w:hAnsi="Arial" w:cs="Arial"/>
          <w:b/>
          <w:bCs/>
        </w:rPr>
        <w:t>-</w:t>
      </w:r>
      <w:proofErr w:type="gramEnd"/>
      <w:r w:rsidR="002866AE" w:rsidRPr="00D77051">
        <w:rPr>
          <w:rFonts w:ascii="Arial" w:eastAsia="ITC Avant Garde" w:hAnsi="Arial" w:cs="Arial"/>
          <w:b/>
          <w:bCs/>
        </w:rPr>
        <w:t xml:space="preserve"> </w:t>
      </w:r>
      <w:r w:rsidR="00071534" w:rsidRPr="00D77051">
        <w:rPr>
          <w:rFonts w:ascii="Arial" w:eastAsia="ITC Avant Garde" w:hAnsi="Arial" w:cs="Arial"/>
        </w:rPr>
        <w:t xml:space="preserve">El </w:t>
      </w:r>
      <w:r w:rsidR="005F1711">
        <w:rPr>
          <w:rFonts w:ascii="Arial" w:eastAsia="ITC Avant Garde" w:hAnsi="Arial" w:cs="Arial"/>
        </w:rPr>
        <w:t>AEPT</w:t>
      </w:r>
      <w:r w:rsidR="00071534" w:rsidRPr="00D77051">
        <w:rPr>
          <w:rFonts w:ascii="Arial" w:eastAsia="ITC Avant Garde" w:hAnsi="Arial" w:cs="Arial"/>
        </w:rPr>
        <w:t xml:space="preserve"> estará sujeto a lo establecido en los presentes </w:t>
      </w:r>
      <w:r w:rsidR="00973B2F" w:rsidRPr="00D77051">
        <w:rPr>
          <w:rFonts w:ascii="Arial" w:eastAsia="ITC Avant Garde" w:hAnsi="Arial" w:cs="Arial"/>
        </w:rPr>
        <w:t>L</w:t>
      </w:r>
      <w:r w:rsidR="00071534" w:rsidRPr="00D77051">
        <w:rPr>
          <w:rFonts w:ascii="Arial" w:eastAsia="ITC Avant Garde" w:hAnsi="Arial" w:cs="Arial"/>
        </w:rPr>
        <w:t xml:space="preserve">ineamientos en lo que no se contraponga con las </w:t>
      </w:r>
      <w:r w:rsidR="004F2383">
        <w:rPr>
          <w:rFonts w:ascii="Arial" w:eastAsia="ITC Avant Garde" w:hAnsi="Arial" w:cs="Arial"/>
        </w:rPr>
        <w:t>medidas</w:t>
      </w:r>
      <w:r w:rsidR="004F2383" w:rsidRPr="00D77051">
        <w:rPr>
          <w:rFonts w:ascii="Arial" w:hAnsi="Arial" w:cs="Arial"/>
        </w:rPr>
        <w:t xml:space="preserve"> </w:t>
      </w:r>
      <w:r w:rsidR="00071534" w:rsidRPr="00D77051">
        <w:rPr>
          <w:rFonts w:ascii="Arial" w:eastAsia="ITC Avant Garde" w:hAnsi="Arial" w:cs="Arial"/>
        </w:rPr>
        <w:t>que al efecto el Instituto le ha impuesto a través del régimen de preponderancia</w:t>
      </w:r>
      <w:r w:rsidR="000E0987" w:rsidRPr="00D77051">
        <w:rPr>
          <w:rFonts w:ascii="Arial" w:eastAsia="ITC Avant Garde" w:hAnsi="Arial" w:cs="Arial"/>
        </w:rPr>
        <w:t>.</w:t>
      </w:r>
    </w:p>
    <w:p w14:paraId="547FA79C" w14:textId="77777777" w:rsidR="00B83070" w:rsidRPr="00D77051" w:rsidRDefault="00B83070" w:rsidP="007E23CC">
      <w:pPr>
        <w:spacing w:after="0"/>
        <w:contextualSpacing/>
        <w:mirrorIndents/>
        <w:jc w:val="both"/>
        <w:rPr>
          <w:rFonts w:ascii="Arial" w:hAnsi="Arial" w:cs="Arial"/>
          <w:b/>
          <w:bCs/>
        </w:rPr>
      </w:pPr>
    </w:p>
    <w:p w14:paraId="1CD72CD1" w14:textId="6C9709D5" w:rsidR="00071534" w:rsidRDefault="00587D76" w:rsidP="007E23CC">
      <w:pPr>
        <w:spacing w:after="0"/>
        <w:contextualSpacing/>
        <w:mirrorIndents/>
        <w:jc w:val="both"/>
        <w:rPr>
          <w:rFonts w:ascii="Arial" w:hAnsi="Arial" w:cs="Arial"/>
        </w:rPr>
      </w:pPr>
      <w:r w:rsidRPr="00D77051">
        <w:rPr>
          <w:rFonts w:ascii="Arial" w:hAnsi="Arial" w:cs="Arial"/>
          <w:b/>
          <w:bCs/>
        </w:rPr>
        <w:lastRenderedPageBreak/>
        <w:t>Décimo</w:t>
      </w:r>
      <w:r w:rsidR="00071534" w:rsidRPr="00D77051">
        <w:rPr>
          <w:rFonts w:ascii="Arial" w:hAnsi="Arial" w:cs="Arial"/>
          <w:b/>
          <w:bCs/>
        </w:rPr>
        <w:t xml:space="preserve"> </w:t>
      </w:r>
      <w:proofErr w:type="gramStart"/>
      <w:r w:rsidR="005973EB">
        <w:rPr>
          <w:rFonts w:ascii="Arial" w:hAnsi="Arial" w:cs="Arial"/>
          <w:b/>
          <w:bCs/>
        </w:rPr>
        <w:t>Tercero</w:t>
      </w:r>
      <w:r w:rsidRPr="00D77051">
        <w:rPr>
          <w:rFonts w:ascii="Arial" w:hAnsi="Arial" w:cs="Arial"/>
          <w:b/>
          <w:bCs/>
        </w:rPr>
        <w:t>.-</w:t>
      </w:r>
      <w:proofErr w:type="gramEnd"/>
      <w:r w:rsidR="00071534" w:rsidRPr="00D77051">
        <w:rPr>
          <w:rFonts w:ascii="Arial" w:hAnsi="Arial" w:cs="Arial"/>
          <w:b/>
          <w:bCs/>
        </w:rPr>
        <w:t xml:space="preserve"> </w:t>
      </w:r>
      <w:r w:rsidR="003F7D54" w:rsidRPr="00D77051">
        <w:rPr>
          <w:rFonts w:ascii="Arial" w:hAnsi="Arial" w:cs="Arial"/>
          <w:bCs/>
        </w:rPr>
        <w:t xml:space="preserve">Los </w:t>
      </w:r>
      <w:r w:rsidR="001F1CEB">
        <w:rPr>
          <w:rFonts w:ascii="Arial" w:hAnsi="Arial" w:cs="Arial"/>
          <w:bCs/>
        </w:rPr>
        <w:t>P</w:t>
      </w:r>
      <w:r w:rsidR="00597857">
        <w:rPr>
          <w:rFonts w:ascii="Arial" w:hAnsi="Arial" w:cs="Arial"/>
          <w:bCs/>
        </w:rPr>
        <w:t xml:space="preserve">restadores del </w:t>
      </w:r>
      <w:r w:rsidR="001F1CEB">
        <w:rPr>
          <w:rFonts w:ascii="Arial" w:hAnsi="Arial" w:cs="Arial"/>
          <w:bCs/>
        </w:rPr>
        <w:t>S</w:t>
      </w:r>
      <w:r w:rsidR="00597857">
        <w:rPr>
          <w:rFonts w:ascii="Arial" w:hAnsi="Arial" w:cs="Arial"/>
          <w:bCs/>
        </w:rPr>
        <w:t xml:space="preserve">ervicio </w:t>
      </w:r>
      <w:r w:rsidR="001F1CEB">
        <w:rPr>
          <w:rFonts w:ascii="Arial" w:hAnsi="Arial" w:cs="Arial"/>
          <w:bCs/>
        </w:rPr>
        <w:t>M</w:t>
      </w:r>
      <w:r w:rsidR="00597857">
        <w:rPr>
          <w:rFonts w:ascii="Arial" w:hAnsi="Arial" w:cs="Arial"/>
          <w:bCs/>
        </w:rPr>
        <w:t>óvil</w:t>
      </w:r>
      <w:r w:rsidR="003F7D54" w:rsidRPr="00D77051">
        <w:rPr>
          <w:rFonts w:ascii="Arial" w:hAnsi="Arial" w:cs="Arial"/>
          <w:bCs/>
        </w:rPr>
        <w:t xml:space="preserve"> </w:t>
      </w:r>
      <w:r w:rsidR="00071534" w:rsidRPr="00D77051">
        <w:rPr>
          <w:rFonts w:ascii="Arial" w:hAnsi="Arial" w:cs="Arial"/>
        </w:rPr>
        <w:t>no deberán desbloquear o entregar el Código</w:t>
      </w:r>
      <w:r w:rsidR="00A77356">
        <w:rPr>
          <w:rFonts w:ascii="Arial" w:hAnsi="Arial" w:cs="Arial"/>
        </w:rPr>
        <w:t xml:space="preserve"> </w:t>
      </w:r>
      <w:r w:rsidR="00071534" w:rsidRPr="00D77051">
        <w:rPr>
          <w:rFonts w:ascii="Arial" w:hAnsi="Arial" w:cs="Arial"/>
        </w:rPr>
        <w:t>de</w:t>
      </w:r>
      <w:r w:rsidR="00A77356">
        <w:rPr>
          <w:rFonts w:ascii="Arial" w:hAnsi="Arial" w:cs="Arial"/>
        </w:rPr>
        <w:t xml:space="preserve"> </w:t>
      </w:r>
      <w:r w:rsidR="00A05AA9" w:rsidRPr="00D77051">
        <w:rPr>
          <w:rFonts w:ascii="Arial" w:hAnsi="Arial" w:cs="Arial"/>
        </w:rPr>
        <w:t>d</w:t>
      </w:r>
      <w:r w:rsidR="00071534" w:rsidRPr="00D77051">
        <w:rPr>
          <w:rFonts w:ascii="Arial" w:hAnsi="Arial" w:cs="Arial"/>
        </w:rPr>
        <w:t>esbloqueo de los Equipos Terminales Móviles reportado</w:t>
      </w:r>
      <w:r w:rsidR="00B86E6D" w:rsidRPr="00D77051">
        <w:rPr>
          <w:rFonts w:ascii="Arial" w:hAnsi="Arial" w:cs="Arial"/>
        </w:rPr>
        <w:t>s</w:t>
      </w:r>
      <w:r w:rsidR="00071534" w:rsidRPr="00D77051">
        <w:rPr>
          <w:rFonts w:ascii="Arial" w:hAnsi="Arial" w:cs="Arial"/>
        </w:rPr>
        <w:t xml:space="preserve"> como robado</w:t>
      </w:r>
      <w:r w:rsidR="00B86E6D" w:rsidRPr="00D77051">
        <w:rPr>
          <w:rFonts w:ascii="Arial" w:hAnsi="Arial" w:cs="Arial"/>
        </w:rPr>
        <w:t>s</w:t>
      </w:r>
      <w:r w:rsidR="008D7C7C" w:rsidRPr="00D77051">
        <w:rPr>
          <w:rFonts w:ascii="Arial" w:hAnsi="Arial" w:cs="Arial"/>
        </w:rPr>
        <w:t xml:space="preserve"> o extraviado</w:t>
      </w:r>
      <w:r w:rsidR="00B86E6D" w:rsidRPr="00D77051">
        <w:rPr>
          <w:rFonts w:ascii="Arial" w:hAnsi="Arial" w:cs="Arial"/>
        </w:rPr>
        <w:t>s</w:t>
      </w:r>
      <w:r w:rsidR="00071534" w:rsidRPr="00D77051">
        <w:rPr>
          <w:rFonts w:ascii="Arial" w:hAnsi="Arial" w:cs="Arial"/>
        </w:rPr>
        <w:t>.</w:t>
      </w:r>
    </w:p>
    <w:p w14:paraId="79612929" w14:textId="1F75029B" w:rsidR="008F29A5" w:rsidRPr="005F345C" w:rsidRDefault="008F29A5" w:rsidP="007E23CC">
      <w:pPr>
        <w:spacing w:after="0"/>
        <w:contextualSpacing/>
        <w:mirrorIndents/>
        <w:jc w:val="both"/>
        <w:rPr>
          <w:rFonts w:ascii="Arial" w:hAnsi="Arial" w:cs="Arial"/>
          <w:b/>
        </w:rPr>
      </w:pPr>
    </w:p>
    <w:p w14:paraId="6356724E" w14:textId="1D942A24" w:rsidR="008F29A5" w:rsidRPr="005F345C" w:rsidRDefault="007B6244" w:rsidP="005F345C">
      <w:pPr>
        <w:spacing w:after="0"/>
        <w:contextualSpacing/>
        <w:mirrorIndents/>
        <w:jc w:val="both"/>
        <w:rPr>
          <w:rFonts w:ascii="Arial" w:hAnsi="Arial" w:cs="Arial"/>
          <w:b/>
        </w:rPr>
      </w:pPr>
      <w:r w:rsidRPr="007B6244">
        <w:rPr>
          <w:rFonts w:ascii="Arial" w:hAnsi="Arial" w:cs="Arial"/>
          <w:b/>
        </w:rPr>
        <w:t>Décimo</w:t>
      </w:r>
      <w:r w:rsidRPr="004C55B1">
        <w:rPr>
          <w:rFonts w:ascii="Arial" w:hAnsi="Arial" w:cs="Arial"/>
          <w:b/>
        </w:rPr>
        <w:t xml:space="preserve"> </w:t>
      </w:r>
      <w:proofErr w:type="gramStart"/>
      <w:r w:rsidRPr="004C55B1">
        <w:rPr>
          <w:rFonts w:ascii="Arial" w:hAnsi="Arial" w:cs="Arial"/>
          <w:b/>
        </w:rPr>
        <w:t>Cuarto.-</w:t>
      </w:r>
      <w:proofErr w:type="gramEnd"/>
      <w:r w:rsidRPr="005F345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Los</w:t>
      </w:r>
      <w:r w:rsidR="008F29A5" w:rsidRPr="004C55B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Prestadores del Servicio Móvil</w:t>
      </w:r>
      <w:r w:rsidRPr="00D77051">
        <w:rPr>
          <w:rFonts w:ascii="Arial" w:hAnsi="Arial" w:cs="Arial"/>
          <w:bCs/>
        </w:rPr>
        <w:t xml:space="preserve"> </w:t>
      </w:r>
      <w:r w:rsidR="008F29A5" w:rsidRPr="005F345C">
        <w:rPr>
          <w:rFonts w:ascii="Arial" w:hAnsi="Arial" w:cs="Arial"/>
          <w:bCs/>
        </w:rPr>
        <w:t xml:space="preserve"> deberán </w:t>
      </w:r>
      <w:r>
        <w:rPr>
          <w:rFonts w:ascii="Arial" w:hAnsi="Arial" w:cs="Arial"/>
          <w:bCs/>
        </w:rPr>
        <w:t>brindar atención oportuna, eficiente y respetuosa a los usuarios con discapacidad que requieran efectuar el desbloqueo de los Equipos Terminales Móviles,</w:t>
      </w:r>
      <w:r w:rsidRPr="004C55B1">
        <w:rPr>
          <w:rFonts w:ascii="Arial" w:hAnsi="Arial" w:cs="Arial"/>
          <w:bCs/>
        </w:rPr>
        <w:t xml:space="preserve"> </w:t>
      </w:r>
      <w:r w:rsidR="008F29A5" w:rsidRPr="005F345C">
        <w:rPr>
          <w:rFonts w:ascii="Arial" w:hAnsi="Arial" w:cs="Arial"/>
          <w:bCs/>
        </w:rPr>
        <w:t>de conformidad con los Lineamientos Generales de Accesibilidad a Servicios de Telecomunicaciones para los Usuarios con Discapacidad, publicados en el DOF el 23 de diciembre de 2016.</w:t>
      </w:r>
    </w:p>
    <w:p w14:paraId="66F1BFC2" w14:textId="77777777" w:rsidR="008F29A5" w:rsidRPr="00D77051" w:rsidRDefault="008F29A5" w:rsidP="007E23CC">
      <w:pPr>
        <w:spacing w:after="0"/>
        <w:contextualSpacing/>
        <w:mirrorIndents/>
        <w:jc w:val="both"/>
        <w:rPr>
          <w:rFonts w:ascii="Arial" w:hAnsi="Arial" w:cs="Arial"/>
        </w:rPr>
      </w:pPr>
    </w:p>
    <w:p w14:paraId="05DF14E3" w14:textId="77777777" w:rsidR="00071534" w:rsidRPr="00D77051" w:rsidRDefault="00071534" w:rsidP="007E23CC">
      <w:pPr>
        <w:tabs>
          <w:tab w:val="left" w:pos="7317"/>
        </w:tabs>
        <w:spacing w:after="0"/>
        <w:contextualSpacing/>
        <w:mirrorIndents/>
        <w:rPr>
          <w:rFonts w:ascii="Arial" w:hAnsi="Arial" w:cs="Arial"/>
          <w:b/>
          <w:bCs/>
        </w:rPr>
      </w:pPr>
      <w:r w:rsidRPr="00D77051">
        <w:rPr>
          <w:rFonts w:ascii="Arial" w:hAnsi="Arial" w:cs="Arial"/>
          <w:b/>
          <w:bCs/>
        </w:rPr>
        <w:tab/>
      </w:r>
    </w:p>
    <w:p w14:paraId="5A30FC77" w14:textId="3B0AFA67" w:rsidR="00071534" w:rsidRPr="00D77051" w:rsidRDefault="00410F99" w:rsidP="007E23CC">
      <w:pPr>
        <w:spacing w:after="0"/>
        <w:contextualSpacing/>
        <w:mirrorIndents/>
        <w:jc w:val="center"/>
        <w:rPr>
          <w:rFonts w:ascii="Arial" w:hAnsi="Arial" w:cs="Arial"/>
          <w:b/>
          <w:bCs/>
          <w:color w:val="000000"/>
          <w:lang w:eastAsia="es-MX"/>
        </w:rPr>
      </w:pPr>
      <w:r w:rsidRPr="00D77051">
        <w:rPr>
          <w:rFonts w:ascii="Arial" w:hAnsi="Arial" w:cs="Arial"/>
          <w:b/>
          <w:bCs/>
          <w:color w:val="000000"/>
          <w:lang w:eastAsia="es-MX"/>
        </w:rPr>
        <w:t>Capítulo</w:t>
      </w:r>
      <w:r w:rsidR="00071534" w:rsidRPr="00D77051">
        <w:rPr>
          <w:rFonts w:ascii="Arial" w:hAnsi="Arial" w:cs="Arial"/>
          <w:b/>
          <w:bCs/>
          <w:color w:val="000000"/>
          <w:lang w:eastAsia="es-MX"/>
        </w:rPr>
        <w:t xml:space="preserve"> </w:t>
      </w:r>
      <w:r w:rsidR="00D15DCA" w:rsidRPr="00D77051">
        <w:rPr>
          <w:rFonts w:ascii="Arial" w:hAnsi="Arial" w:cs="Arial"/>
          <w:b/>
          <w:bCs/>
          <w:color w:val="000000"/>
          <w:lang w:eastAsia="es-MX"/>
        </w:rPr>
        <w:t>I</w:t>
      </w:r>
      <w:r w:rsidR="005973EB">
        <w:rPr>
          <w:rFonts w:ascii="Arial" w:hAnsi="Arial" w:cs="Arial"/>
          <w:b/>
          <w:bCs/>
          <w:color w:val="000000"/>
          <w:lang w:eastAsia="es-MX"/>
        </w:rPr>
        <w:t>II</w:t>
      </w:r>
    </w:p>
    <w:p w14:paraId="24523D52" w14:textId="1FC30E6C" w:rsidR="00071534" w:rsidRPr="00D77051" w:rsidRDefault="00410F99" w:rsidP="007E23CC">
      <w:pPr>
        <w:spacing w:after="0"/>
        <w:contextualSpacing/>
        <w:mirrorIndents/>
        <w:jc w:val="center"/>
        <w:rPr>
          <w:rFonts w:ascii="Arial" w:hAnsi="Arial" w:cs="Arial"/>
          <w:b/>
          <w:bCs/>
          <w:color w:val="000000"/>
          <w:lang w:eastAsia="es-MX"/>
        </w:rPr>
      </w:pPr>
      <w:r w:rsidRPr="00D77051">
        <w:rPr>
          <w:rFonts w:ascii="Arial" w:hAnsi="Arial" w:cs="Arial"/>
          <w:b/>
          <w:bCs/>
          <w:color w:val="000000"/>
          <w:lang w:eastAsia="es-MX"/>
        </w:rPr>
        <w:t>Del Cumplimiento</w:t>
      </w:r>
    </w:p>
    <w:p w14:paraId="02072F56" w14:textId="1FA48253" w:rsidR="00071534" w:rsidRDefault="00071534" w:rsidP="007E23CC">
      <w:pPr>
        <w:spacing w:after="0"/>
        <w:contextualSpacing/>
        <w:mirrorIndents/>
        <w:jc w:val="center"/>
        <w:rPr>
          <w:rFonts w:ascii="Arial" w:hAnsi="Arial" w:cs="Arial"/>
          <w:b/>
          <w:bCs/>
        </w:rPr>
      </w:pPr>
    </w:p>
    <w:p w14:paraId="2A146C18" w14:textId="14F1B05C" w:rsidR="006C2B31" w:rsidRDefault="006C2B31" w:rsidP="006C2B31">
      <w:pPr>
        <w:spacing w:after="0"/>
        <w:contextualSpacing/>
        <w:mirrorIndents/>
        <w:jc w:val="both"/>
        <w:rPr>
          <w:rFonts w:ascii="Arial" w:eastAsia="ITC Avant Garde" w:hAnsi="Arial" w:cs="Arial"/>
        </w:rPr>
      </w:pPr>
      <w:r w:rsidRPr="00D236F8">
        <w:rPr>
          <w:rFonts w:ascii="Arial" w:eastAsia="ITC Avant Garde" w:hAnsi="Arial" w:cs="Arial"/>
          <w:b/>
          <w:bCs/>
        </w:rPr>
        <w:t xml:space="preserve">Décimo </w:t>
      </w:r>
      <w:proofErr w:type="gramStart"/>
      <w:r w:rsidR="00282A18">
        <w:rPr>
          <w:rFonts w:ascii="Arial" w:eastAsia="ITC Avant Garde" w:hAnsi="Arial" w:cs="Arial"/>
          <w:b/>
          <w:bCs/>
        </w:rPr>
        <w:t>Quinto</w:t>
      </w:r>
      <w:r w:rsidRPr="00D236F8">
        <w:rPr>
          <w:rFonts w:ascii="Arial" w:eastAsia="ITC Avant Garde" w:hAnsi="Arial" w:cs="Arial"/>
          <w:b/>
          <w:bCs/>
        </w:rPr>
        <w:t>.-</w:t>
      </w:r>
      <w:proofErr w:type="gramEnd"/>
      <w:r w:rsidRPr="00D236F8">
        <w:rPr>
          <w:rFonts w:ascii="Arial" w:eastAsia="ITC Avant Garde" w:hAnsi="Arial" w:cs="Arial"/>
        </w:rPr>
        <w:t xml:space="preserve"> Los Prestadores del Servicio Móvil deberán entregar en forma electrónica, dentro de los primeros </w:t>
      </w:r>
      <w:r w:rsidR="00282A18">
        <w:rPr>
          <w:rFonts w:ascii="Arial" w:eastAsia="ITC Avant Garde" w:hAnsi="Arial" w:cs="Arial"/>
        </w:rPr>
        <w:t>10 (</w:t>
      </w:r>
      <w:r w:rsidRPr="00D236F8">
        <w:rPr>
          <w:rFonts w:ascii="Arial" w:eastAsia="ITC Avant Garde" w:hAnsi="Arial" w:cs="Arial"/>
        </w:rPr>
        <w:t>diez</w:t>
      </w:r>
      <w:r w:rsidR="00282A18">
        <w:rPr>
          <w:rFonts w:ascii="Arial" w:eastAsia="ITC Avant Garde" w:hAnsi="Arial" w:cs="Arial"/>
        </w:rPr>
        <w:t>)</w:t>
      </w:r>
      <w:r w:rsidRPr="00D236F8">
        <w:rPr>
          <w:rFonts w:ascii="Arial" w:eastAsia="ITC Avant Garde" w:hAnsi="Arial" w:cs="Arial"/>
        </w:rPr>
        <w:t xml:space="preserve"> días hábiles de cada trimestre calendario, un reporte de</w:t>
      </w:r>
      <w:r>
        <w:rPr>
          <w:rFonts w:ascii="Arial" w:eastAsia="ITC Avant Garde" w:hAnsi="Arial" w:cs="Arial"/>
        </w:rPr>
        <w:t xml:space="preserve"> la información a la que se refiere el Lineamiento Décimo </w:t>
      </w:r>
      <w:r w:rsidR="00282A18">
        <w:rPr>
          <w:rFonts w:ascii="Arial" w:eastAsia="ITC Avant Garde" w:hAnsi="Arial" w:cs="Arial"/>
        </w:rPr>
        <w:t xml:space="preserve">Sexto </w:t>
      </w:r>
      <w:r>
        <w:rPr>
          <w:rFonts w:ascii="Arial" w:eastAsia="ITC Avant Garde" w:hAnsi="Arial" w:cs="Arial"/>
        </w:rPr>
        <w:t xml:space="preserve">de </w:t>
      </w:r>
      <w:r w:rsidRPr="00D236F8">
        <w:rPr>
          <w:rFonts w:ascii="Arial" w:eastAsia="ITC Avant Garde" w:hAnsi="Arial" w:cs="Arial"/>
        </w:rPr>
        <w:t xml:space="preserve">conformidad con lo establecido en el Anexo I de los presentes Lineamientos. </w:t>
      </w:r>
    </w:p>
    <w:p w14:paraId="12D7F51B" w14:textId="77777777" w:rsidR="006C2B31" w:rsidRPr="00D236F8" w:rsidRDefault="006C2B31" w:rsidP="006C2B31">
      <w:pPr>
        <w:spacing w:after="0"/>
        <w:contextualSpacing/>
        <w:mirrorIndents/>
        <w:jc w:val="both"/>
        <w:rPr>
          <w:rFonts w:ascii="Arial" w:eastAsia="ITC Avant Garde" w:hAnsi="Arial" w:cs="Arial"/>
        </w:rPr>
      </w:pPr>
    </w:p>
    <w:p w14:paraId="4C04AA8B" w14:textId="170785A0" w:rsidR="00D76D2E" w:rsidRDefault="00357B01" w:rsidP="00880785">
      <w:pPr>
        <w:spacing w:after="0"/>
        <w:contextualSpacing/>
        <w:mirrorIndents/>
        <w:jc w:val="both"/>
        <w:rPr>
          <w:rFonts w:ascii="Arial" w:hAnsi="Arial" w:cs="Arial"/>
          <w:bCs/>
        </w:rPr>
      </w:pPr>
      <w:r w:rsidRPr="00D77051">
        <w:rPr>
          <w:rFonts w:ascii="Arial" w:hAnsi="Arial" w:cs="Arial"/>
          <w:b/>
          <w:bCs/>
        </w:rPr>
        <w:t xml:space="preserve">Décimo </w:t>
      </w:r>
      <w:proofErr w:type="gramStart"/>
      <w:r w:rsidR="00282A18">
        <w:rPr>
          <w:rFonts w:ascii="Arial" w:hAnsi="Arial" w:cs="Arial"/>
          <w:b/>
          <w:bCs/>
        </w:rPr>
        <w:t>Sexto</w:t>
      </w:r>
      <w:r w:rsidRPr="00D77051">
        <w:rPr>
          <w:rFonts w:ascii="Arial" w:hAnsi="Arial" w:cs="Arial"/>
          <w:b/>
          <w:bCs/>
        </w:rPr>
        <w:t>.-</w:t>
      </w:r>
      <w:proofErr w:type="gramEnd"/>
      <w:r w:rsidR="00545AC6">
        <w:rPr>
          <w:rFonts w:ascii="Arial" w:hAnsi="Arial" w:cs="Arial"/>
          <w:b/>
          <w:bCs/>
        </w:rPr>
        <w:t xml:space="preserve"> </w:t>
      </w:r>
      <w:r w:rsidR="00545AC6">
        <w:rPr>
          <w:rFonts w:ascii="Arial" w:eastAsia="ITC Avant Garde" w:hAnsi="Arial" w:cs="Arial"/>
        </w:rPr>
        <w:t xml:space="preserve">Los </w:t>
      </w:r>
      <w:r w:rsidR="00545AC6">
        <w:rPr>
          <w:rFonts w:ascii="Arial" w:hAnsi="Arial" w:cs="Arial"/>
          <w:bCs/>
        </w:rPr>
        <w:t xml:space="preserve">Prestadores del Servicio Móvil deberán reportar el total de </w:t>
      </w:r>
      <w:r w:rsidR="00D76D2E">
        <w:rPr>
          <w:rFonts w:ascii="Arial" w:hAnsi="Arial" w:cs="Arial"/>
          <w:bCs/>
        </w:rPr>
        <w:t>Equipos Terminales Móviles</w:t>
      </w:r>
      <w:r w:rsidR="00880785">
        <w:rPr>
          <w:rFonts w:ascii="Arial" w:hAnsi="Arial" w:cs="Arial"/>
          <w:bCs/>
        </w:rPr>
        <w:t xml:space="preserve"> desbloquead</w:t>
      </w:r>
      <w:r w:rsidR="00D76D2E">
        <w:rPr>
          <w:rFonts w:ascii="Arial" w:hAnsi="Arial" w:cs="Arial"/>
          <w:bCs/>
        </w:rPr>
        <w:t>o</w:t>
      </w:r>
      <w:r w:rsidR="00880785">
        <w:rPr>
          <w:rFonts w:ascii="Arial" w:hAnsi="Arial" w:cs="Arial"/>
          <w:bCs/>
        </w:rPr>
        <w:t>s automáticamente</w:t>
      </w:r>
      <w:r w:rsidR="00EC2A50">
        <w:rPr>
          <w:rFonts w:ascii="Arial" w:hAnsi="Arial" w:cs="Arial"/>
          <w:bCs/>
        </w:rPr>
        <w:t>,</w:t>
      </w:r>
      <w:r w:rsidR="00D76D2E">
        <w:rPr>
          <w:rFonts w:ascii="Arial" w:hAnsi="Arial" w:cs="Arial"/>
          <w:bCs/>
        </w:rPr>
        <w:t xml:space="preserve"> indicando</w:t>
      </w:r>
      <w:r w:rsidR="00560A16">
        <w:rPr>
          <w:rFonts w:ascii="Arial" w:hAnsi="Arial" w:cs="Arial"/>
          <w:bCs/>
        </w:rPr>
        <w:t xml:space="preserve"> la</w:t>
      </w:r>
      <w:r w:rsidR="00D76D2E">
        <w:rPr>
          <w:rFonts w:ascii="Arial" w:hAnsi="Arial" w:cs="Arial"/>
          <w:bCs/>
        </w:rPr>
        <w:t xml:space="preserve"> </w:t>
      </w:r>
      <w:r w:rsidR="00EC2A50">
        <w:rPr>
          <w:rFonts w:ascii="Arial" w:hAnsi="Arial" w:cs="Arial"/>
          <w:bCs/>
        </w:rPr>
        <w:t xml:space="preserve">fecha y hora en la que se </w:t>
      </w:r>
      <w:r w:rsidR="00481E7D">
        <w:rPr>
          <w:rFonts w:ascii="Arial" w:hAnsi="Arial" w:cs="Arial"/>
          <w:bCs/>
        </w:rPr>
        <w:t>actualizaron</w:t>
      </w:r>
      <w:r w:rsidR="00EC2A50">
        <w:rPr>
          <w:rFonts w:ascii="Arial" w:hAnsi="Arial" w:cs="Arial"/>
          <w:bCs/>
        </w:rPr>
        <w:t xml:space="preserve"> los </w:t>
      </w:r>
      <w:r w:rsidR="00EC2A50" w:rsidRPr="00E64999">
        <w:rPr>
          <w:rFonts w:ascii="Arial" w:hAnsi="Arial" w:cs="Arial"/>
          <w:bCs/>
        </w:rPr>
        <w:t>supuestos</w:t>
      </w:r>
      <w:r w:rsidR="00EC2A50">
        <w:rPr>
          <w:rFonts w:ascii="Arial" w:hAnsi="Arial" w:cs="Arial"/>
          <w:bCs/>
        </w:rPr>
        <w:t xml:space="preserve"> señalados en </w:t>
      </w:r>
      <w:r w:rsidR="006C2B31">
        <w:rPr>
          <w:rFonts w:ascii="Arial" w:hAnsi="Arial" w:cs="Arial"/>
          <w:bCs/>
        </w:rPr>
        <w:t>los</w:t>
      </w:r>
      <w:r w:rsidR="00EC2A50">
        <w:rPr>
          <w:rFonts w:ascii="Arial" w:hAnsi="Arial" w:cs="Arial"/>
          <w:bCs/>
        </w:rPr>
        <w:t xml:space="preserve"> inciso</w:t>
      </w:r>
      <w:r w:rsidR="006C2B31">
        <w:rPr>
          <w:rFonts w:ascii="Arial" w:hAnsi="Arial" w:cs="Arial"/>
          <w:bCs/>
        </w:rPr>
        <w:t>s</w:t>
      </w:r>
      <w:r w:rsidR="00EC2A50">
        <w:rPr>
          <w:rFonts w:ascii="Arial" w:hAnsi="Arial" w:cs="Arial"/>
          <w:bCs/>
        </w:rPr>
        <w:t xml:space="preserve"> a) y b) del Lineamiento Séptimo, </w:t>
      </w:r>
      <w:r w:rsidR="00D76D2E">
        <w:rPr>
          <w:rFonts w:ascii="Arial" w:hAnsi="Arial" w:cs="Arial"/>
          <w:bCs/>
        </w:rPr>
        <w:t>fecha y hora del desbloqueo</w:t>
      </w:r>
      <w:r w:rsidR="007D066A">
        <w:rPr>
          <w:rFonts w:ascii="Arial" w:hAnsi="Arial" w:cs="Arial"/>
          <w:bCs/>
        </w:rPr>
        <w:t xml:space="preserve"> automático</w:t>
      </w:r>
      <w:r w:rsidR="00EC2A50">
        <w:rPr>
          <w:rFonts w:ascii="Arial" w:hAnsi="Arial" w:cs="Arial"/>
          <w:bCs/>
        </w:rPr>
        <w:t xml:space="preserve"> y el IMEI del Equipo Terminal Móvil.</w:t>
      </w:r>
    </w:p>
    <w:p w14:paraId="7D6DB32E" w14:textId="77777777" w:rsidR="00D76D2E" w:rsidRDefault="00D76D2E" w:rsidP="00880785">
      <w:pPr>
        <w:spacing w:after="0"/>
        <w:contextualSpacing/>
        <w:mirrorIndents/>
        <w:jc w:val="both"/>
        <w:rPr>
          <w:rFonts w:ascii="Arial" w:hAnsi="Arial" w:cs="Arial"/>
          <w:bCs/>
        </w:rPr>
      </w:pPr>
    </w:p>
    <w:p w14:paraId="52F4046F" w14:textId="357DCAD4" w:rsidR="008A2BC9" w:rsidRDefault="004756B8" w:rsidP="008A2BC9">
      <w:pPr>
        <w:spacing w:after="0"/>
        <w:contextualSpacing/>
        <w:mirrorIndents/>
        <w:jc w:val="both"/>
        <w:rPr>
          <w:rFonts w:ascii="Arial" w:hAnsi="Arial" w:cs="Arial"/>
          <w:bCs/>
        </w:rPr>
      </w:pPr>
      <w:r w:rsidRPr="00B17A2A">
        <w:rPr>
          <w:rFonts w:ascii="Arial" w:eastAsia="ITC Avant Garde" w:hAnsi="Arial" w:cs="Arial"/>
        </w:rPr>
        <w:t xml:space="preserve">Para el caso de los Equipos Terminales Móviles cuyo desbloqueo no </w:t>
      </w:r>
      <w:r w:rsidR="00D564BE" w:rsidRPr="00B17A2A">
        <w:rPr>
          <w:rFonts w:ascii="Arial" w:eastAsia="ITC Avant Garde" w:hAnsi="Arial" w:cs="Arial"/>
        </w:rPr>
        <w:t>se realice</w:t>
      </w:r>
      <w:r w:rsidRPr="0025304E">
        <w:rPr>
          <w:rFonts w:ascii="Arial" w:eastAsia="ITC Avant Garde" w:hAnsi="Arial" w:cs="Arial"/>
        </w:rPr>
        <w:t xml:space="preserve"> de manera automática </w:t>
      </w:r>
      <w:r w:rsidR="008A2BC9" w:rsidRPr="00D07159">
        <w:rPr>
          <w:rFonts w:ascii="Arial" w:eastAsia="ITC Avant Garde" w:hAnsi="Arial" w:cs="Arial"/>
        </w:rPr>
        <w:t xml:space="preserve">los </w:t>
      </w:r>
      <w:r w:rsidR="008A2BC9" w:rsidRPr="00D07159">
        <w:rPr>
          <w:rFonts w:ascii="Arial" w:hAnsi="Arial" w:cs="Arial"/>
          <w:bCs/>
        </w:rPr>
        <w:t>Prestadores del Servicio Móvil deberán reportar al Instituto</w:t>
      </w:r>
      <w:r w:rsidR="00F301EC" w:rsidRPr="00D07159">
        <w:rPr>
          <w:rFonts w:ascii="Arial" w:hAnsi="Arial" w:cs="Arial"/>
          <w:bCs/>
        </w:rPr>
        <w:t xml:space="preserve"> </w:t>
      </w:r>
      <w:r w:rsidR="00560A16">
        <w:rPr>
          <w:rFonts w:ascii="Arial" w:hAnsi="Arial" w:cs="Arial"/>
          <w:bCs/>
        </w:rPr>
        <w:t xml:space="preserve">la </w:t>
      </w:r>
      <w:r w:rsidR="00F301EC" w:rsidRPr="00D07159">
        <w:rPr>
          <w:rFonts w:ascii="Arial" w:hAnsi="Arial" w:cs="Arial"/>
          <w:bCs/>
        </w:rPr>
        <w:t xml:space="preserve">fecha y hora en la que se actualizan los </w:t>
      </w:r>
      <w:r w:rsidR="00F301EC" w:rsidRPr="00E64999">
        <w:rPr>
          <w:rFonts w:ascii="Arial" w:hAnsi="Arial" w:cs="Arial"/>
          <w:bCs/>
        </w:rPr>
        <w:t>supuestos</w:t>
      </w:r>
      <w:r w:rsidR="00F301EC" w:rsidRPr="00B17A2A">
        <w:rPr>
          <w:rFonts w:ascii="Arial" w:hAnsi="Arial" w:cs="Arial"/>
          <w:bCs/>
        </w:rPr>
        <w:t xml:space="preserve"> señalados en </w:t>
      </w:r>
      <w:r w:rsidR="006C2B31" w:rsidRPr="0025304E">
        <w:rPr>
          <w:rFonts w:ascii="Arial" w:hAnsi="Arial" w:cs="Arial"/>
          <w:bCs/>
        </w:rPr>
        <w:t>los</w:t>
      </w:r>
      <w:r w:rsidR="00F301EC" w:rsidRPr="0025304E">
        <w:rPr>
          <w:rFonts w:ascii="Arial" w:hAnsi="Arial" w:cs="Arial"/>
          <w:bCs/>
        </w:rPr>
        <w:t xml:space="preserve"> inciso</w:t>
      </w:r>
      <w:r w:rsidR="006C2B31" w:rsidRPr="0025304E">
        <w:rPr>
          <w:rFonts w:ascii="Arial" w:hAnsi="Arial" w:cs="Arial"/>
          <w:bCs/>
        </w:rPr>
        <w:t>s</w:t>
      </w:r>
      <w:r w:rsidR="00F301EC" w:rsidRPr="0025304E">
        <w:rPr>
          <w:rFonts w:ascii="Arial" w:hAnsi="Arial" w:cs="Arial"/>
          <w:bCs/>
        </w:rPr>
        <w:t xml:space="preserve"> a) y b) del Lineamiento Séptimo,</w:t>
      </w:r>
      <w:r w:rsidR="00974E6C" w:rsidRPr="0025304E">
        <w:rPr>
          <w:rFonts w:ascii="Arial" w:hAnsi="Arial" w:cs="Arial"/>
          <w:bCs/>
        </w:rPr>
        <w:t xml:space="preserve"> </w:t>
      </w:r>
      <w:r w:rsidR="008A2BC9" w:rsidRPr="00582C24">
        <w:rPr>
          <w:rFonts w:ascii="Arial" w:hAnsi="Arial" w:cs="Arial"/>
          <w:bCs/>
        </w:rPr>
        <w:t xml:space="preserve">fecha y hora del </w:t>
      </w:r>
      <w:r w:rsidR="0038376D" w:rsidRPr="00D07159">
        <w:rPr>
          <w:rFonts w:ascii="Arial" w:hAnsi="Arial" w:cs="Arial"/>
          <w:bCs/>
        </w:rPr>
        <w:t>envío del mensaje corto dirigido al Usuario indicando la elegibilidad del Equipo Terminal Móvil para desbloquearse</w:t>
      </w:r>
      <w:r w:rsidR="00C96114" w:rsidRPr="00B17A2A">
        <w:rPr>
          <w:rFonts w:ascii="Arial" w:hAnsi="Arial" w:cs="Arial"/>
          <w:bCs/>
        </w:rPr>
        <w:t xml:space="preserve"> y </w:t>
      </w:r>
      <w:r w:rsidR="00A9416D" w:rsidRPr="00B17A2A">
        <w:rPr>
          <w:rFonts w:ascii="Arial" w:hAnsi="Arial" w:cs="Arial"/>
          <w:bCs/>
        </w:rPr>
        <w:t>el</w:t>
      </w:r>
      <w:r w:rsidR="00C96114" w:rsidRPr="00B17A2A">
        <w:rPr>
          <w:rFonts w:ascii="Arial" w:hAnsi="Arial" w:cs="Arial"/>
          <w:bCs/>
        </w:rPr>
        <w:t xml:space="preserve"> IMEI</w:t>
      </w:r>
      <w:r w:rsidR="007E780E" w:rsidRPr="00B17A2A">
        <w:rPr>
          <w:rFonts w:ascii="Arial" w:hAnsi="Arial" w:cs="Arial"/>
          <w:bCs/>
        </w:rPr>
        <w:t xml:space="preserve"> del </w:t>
      </w:r>
      <w:r w:rsidR="00C157F2" w:rsidRPr="00B17A2A">
        <w:rPr>
          <w:rFonts w:ascii="Arial" w:hAnsi="Arial" w:cs="Arial"/>
          <w:bCs/>
        </w:rPr>
        <w:t>Equipo Terminal Móvil</w:t>
      </w:r>
      <w:r w:rsidR="00C96114" w:rsidRPr="00B17A2A">
        <w:rPr>
          <w:rFonts w:ascii="Arial" w:hAnsi="Arial" w:cs="Arial"/>
          <w:bCs/>
        </w:rPr>
        <w:t>.</w:t>
      </w:r>
    </w:p>
    <w:p w14:paraId="3FA923BE" w14:textId="765AFE66" w:rsidR="004756B8" w:rsidRPr="00BA263C" w:rsidRDefault="004756B8" w:rsidP="00880785">
      <w:pPr>
        <w:spacing w:after="0"/>
        <w:contextualSpacing/>
        <w:mirrorIndents/>
        <w:jc w:val="both"/>
        <w:rPr>
          <w:rFonts w:ascii="Arial" w:eastAsia="ITC Avant Garde" w:hAnsi="Arial" w:cs="Arial"/>
        </w:rPr>
      </w:pPr>
    </w:p>
    <w:p w14:paraId="05285CF6" w14:textId="2D27553A" w:rsidR="00357B01" w:rsidRDefault="002841FF">
      <w:pPr>
        <w:spacing w:after="0"/>
        <w:contextualSpacing/>
        <w:mirrorIndents/>
        <w:jc w:val="both"/>
        <w:rPr>
          <w:rFonts w:ascii="Arial" w:hAnsi="Arial" w:cs="Arial"/>
          <w:bCs/>
        </w:rPr>
      </w:pPr>
      <w:r>
        <w:rPr>
          <w:rFonts w:ascii="Arial" w:eastAsia="ITC Avant Garde" w:hAnsi="Arial" w:cs="Arial"/>
        </w:rPr>
        <w:t xml:space="preserve">Los </w:t>
      </w:r>
      <w:r>
        <w:rPr>
          <w:rFonts w:ascii="Arial" w:hAnsi="Arial" w:cs="Arial"/>
          <w:bCs/>
        </w:rPr>
        <w:t xml:space="preserve">Prestadores del Servicio Móvil deberán reportar </w:t>
      </w:r>
      <w:r w:rsidR="00D84664">
        <w:rPr>
          <w:rFonts w:ascii="Arial" w:hAnsi="Arial" w:cs="Arial"/>
          <w:bCs/>
        </w:rPr>
        <w:t xml:space="preserve">el total de </w:t>
      </w:r>
      <w:r w:rsidR="00545AC6">
        <w:rPr>
          <w:rFonts w:ascii="Arial" w:hAnsi="Arial" w:cs="Arial"/>
          <w:bCs/>
        </w:rPr>
        <w:t>solicitudes de desbloqueo recibidas</w:t>
      </w:r>
      <w:r w:rsidR="00D84664">
        <w:rPr>
          <w:rFonts w:ascii="Arial" w:hAnsi="Arial" w:cs="Arial"/>
          <w:bCs/>
        </w:rPr>
        <w:t xml:space="preserve"> en los centros de atención a clientes y </w:t>
      </w:r>
      <w:r w:rsidR="006C2B31">
        <w:rPr>
          <w:rFonts w:ascii="Arial" w:hAnsi="Arial" w:cs="Arial"/>
          <w:bCs/>
        </w:rPr>
        <w:t xml:space="preserve">a través de </w:t>
      </w:r>
      <w:r w:rsidR="00D84664">
        <w:rPr>
          <w:rFonts w:ascii="Arial" w:hAnsi="Arial" w:cs="Arial"/>
          <w:bCs/>
        </w:rPr>
        <w:t xml:space="preserve">los medios electrónicos </w:t>
      </w:r>
      <w:r w:rsidR="00502BDB">
        <w:rPr>
          <w:rFonts w:ascii="Arial" w:hAnsi="Arial" w:cs="Arial"/>
          <w:bCs/>
        </w:rPr>
        <w:t>que</w:t>
      </w:r>
      <w:r w:rsidR="00D84664">
        <w:rPr>
          <w:rFonts w:ascii="Arial" w:hAnsi="Arial" w:cs="Arial"/>
          <w:bCs/>
        </w:rPr>
        <w:t xml:space="preserve"> para tal efecto</w:t>
      </w:r>
      <w:r w:rsidR="00502BDB">
        <w:rPr>
          <w:rFonts w:ascii="Arial" w:hAnsi="Arial" w:cs="Arial"/>
          <w:bCs/>
        </w:rPr>
        <w:t xml:space="preserve"> haya</w:t>
      </w:r>
      <w:r w:rsidR="00FE3293">
        <w:rPr>
          <w:rFonts w:ascii="Arial" w:hAnsi="Arial" w:cs="Arial"/>
          <w:bCs/>
        </w:rPr>
        <w:t>n</w:t>
      </w:r>
      <w:r w:rsidR="00502BDB">
        <w:rPr>
          <w:rFonts w:ascii="Arial" w:hAnsi="Arial" w:cs="Arial"/>
          <w:bCs/>
        </w:rPr>
        <w:t xml:space="preserve"> establecido</w:t>
      </w:r>
      <w:r w:rsidR="00D84664">
        <w:rPr>
          <w:rFonts w:ascii="Arial" w:hAnsi="Arial" w:cs="Arial"/>
          <w:bCs/>
        </w:rPr>
        <w:t xml:space="preserve">, </w:t>
      </w:r>
      <w:r w:rsidR="00545AC6">
        <w:rPr>
          <w:rFonts w:ascii="Arial" w:hAnsi="Arial" w:cs="Arial"/>
          <w:bCs/>
        </w:rPr>
        <w:t xml:space="preserve">indicando </w:t>
      </w:r>
      <w:r w:rsidR="00560A16">
        <w:rPr>
          <w:rFonts w:ascii="Arial" w:hAnsi="Arial" w:cs="Arial"/>
          <w:bCs/>
        </w:rPr>
        <w:t xml:space="preserve">la </w:t>
      </w:r>
      <w:r w:rsidR="00BE4527">
        <w:rPr>
          <w:rFonts w:ascii="Arial" w:hAnsi="Arial" w:cs="Arial"/>
          <w:bCs/>
        </w:rPr>
        <w:t>fecha y hora de</w:t>
      </w:r>
      <w:r w:rsidR="00502BDB">
        <w:rPr>
          <w:rFonts w:ascii="Arial" w:hAnsi="Arial" w:cs="Arial"/>
          <w:bCs/>
        </w:rPr>
        <w:t xml:space="preserve"> recepción de</w:t>
      </w:r>
      <w:r w:rsidR="00BE4527">
        <w:rPr>
          <w:rFonts w:ascii="Arial" w:hAnsi="Arial" w:cs="Arial"/>
          <w:bCs/>
        </w:rPr>
        <w:t xml:space="preserve"> la solicitud</w:t>
      </w:r>
      <w:r w:rsidR="007E780E">
        <w:rPr>
          <w:rFonts w:ascii="Arial" w:hAnsi="Arial" w:cs="Arial"/>
          <w:bCs/>
        </w:rPr>
        <w:t xml:space="preserve"> de desbloqueo</w:t>
      </w:r>
      <w:r w:rsidR="00BE4527">
        <w:rPr>
          <w:rFonts w:ascii="Arial" w:hAnsi="Arial" w:cs="Arial"/>
          <w:bCs/>
        </w:rPr>
        <w:t>,</w:t>
      </w:r>
      <w:r w:rsidR="00880785">
        <w:rPr>
          <w:rFonts w:ascii="Arial" w:hAnsi="Arial" w:cs="Arial"/>
          <w:bCs/>
        </w:rPr>
        <w:t xml:space="preserve"> </w:t>
      </w:r>
      <w:r w:rsidR="00BF670A">
        <w:rPr>
          <w:rFonts w:ascii="Arial" w:hAnsi="Arial" w:cs="Arial"/>
          <w:bCs/>
        </w:rPr>
        <w:t xml:space="preserve">fecha y hora </w:t>
      </w:r>
      <w:r w:rsidR="00880785">
        <w:rPr>
          <w:rFonts w:ascii="Arial" w:hAnsi="Arial" w:cs="Arial"/>
          <w:bCs/>
        </w:rPr>
        <w:t>de</w:t>
      </w:r>
      <w:r w:rsidR="00BF670A">
        <w:rPr>
          <w:rFonts w:ascii="Arial" w:hAnsi="Arial" w:cs="Arial"/>
          <w:bCs/>
        </w:rPr>
        <w:t>l</w:t>
      </w:r>
      <w:r w:rsidR="00880785">
        <w:rPr>
          <w:rFonts w:ascii="Arial" w:hAnsi="Arial" w:cs="Arial"/>
          <w:bCs/>
        </w:rPr>
        <w:t xml:space="preserve"> desbloqueo</w:t>
      </w:r>
      <w:r w:rsidR="00502BDB">
        <w:rPr>
          <w:rFonts w:ascii="Arial" w:hAnsi="Arial" w:cs="Arial"/>
          <w:bCs/>
        </w:rPr>
        <w:t xml:space="preserve"> o </w:t>
      </w:r>
      <w:r w:rsidR="00FE3293">
        <w:rPr>
          <w:rFonts w:ascii="Arial" w:hAnsi="Arial" w:cs="Arial"/>
          <w:bCs/>
        </w:rPr>
        <w:t xml:space="preserve">de </w:t>
      </w:r>
      <w:r w:rsidR="00502BDB">
        <w:rPr>
          <w:rFonts w:ascii="Arial" w:hAnsi="Arial" w:cs="Arial"/>
          <w:bCs/>
        </w:rPr>
        <w:t>entrega del Código de desbloqueo</w:t>
      </w:r>
      <w:r w:rsidR="00880785">
        <w:rPr>
          <w:rFonts w:ascii="Arial" w:hAnsi="Arial" w:cs="Arial"/>
          <w:bCs/>
        </w:rPr>
        <w:t xml:space="preserve">, </w:t>
      </w:r>
      <w:r w:rsidR="002A43F0">
        <w:rPr>
          <w:rFonts w:ascii="Arial" w:hAnsi="Arial" w:cs="Arial"/>
          <w:bCs/>
        </w:rPr>
        <w:t xml:space="preserve">el IMEI del Equipo Terminal Móvil </w:t>
      </w:r>
      <w:r w:rsidR="00880785">
        <w:rPr>
          <w:rFonts w:ascii="Arial" w:hAnsi="Arial" w:cs="Arial"/>
          <w:bCs/>
        </w:rPr>
        <w:t xml:space="preserve">y en su caso, </w:t>
      </w:r>
      <w:r w:rsidR="00545AC6">
        <w:rPr>
          <w:rFonts w:ascii="Arial" w:hAnsi="Arial" w:cs="Arial"/>
          <w:bCs/>
        </w:rPr>
        <w:t>la justificación técnica que</w:t>
      </w:r>
      <w:r w:rsidR="00BE4527">
        <w:rPr>
          <w:rFonts w:ascii="Arial" w:hAnsi="Arial" w:cs="Arial"/>
          <w:bCs/>
        </w:rPr>
        <w:t xml:space="preserve"> </w:t>
      </w:r>
      <w:r w:rsidR="004216A3">
        <w:rPr>
          <w:rFonts w:ascii="Arial" w:hAnsi="Arial" w:cs="Arial"/>
          <w:bCs/>
        </w:rPr>
        <w:t>describa</w:t>
      </w:r>
      <w:r w:rsidR="00BE4527">
        <w:rPr>
          <w:rFonts w:ascii="Arial" w:hAnsi="Arial" w:cs="Arial"/>
          <w:bCs/>
        </w:rPr>
        <w:t xml:space="preserve"> la imposibilidad de desbloqueo </w:t>
      </w:r>
      <w:r w:rsidR="004626EF">
        <w:rPr>
          <w:rFonts w:ascii="Arial" w:hAnsi="Arial" w:cs="Arial"/>
          <w:bCs/>
        </w:rPr>
        <w:t xml:space="preserve">automático </w:t>
      </w:r>
      <w:r w:rsidR="00BE4527">
        <w:rPr>
          <w:rFonts w:ascii="Arial" w:hAnsi="Arial" w:cs="Arial"/>
          <w:bCs/>
        </w:rPr>
        <w:t>del Equipo Terminal Móvil.</w:t>
      </w:r>
      <w:r w:rsidR="00545AC6">
        <w:rPr>
          <w:rFonts w:ascii="Arial" w:hAnsi="Arial" w:cs="Arial"/>
          <w:bCs/>
        </w:rPr>
        <w:t xml:space="preserve"> </w:t>
      </w:r>
    </w:p>
    <w:p w14:paraId="2154373E" w14:textId="77777777" w:rsidR="008B11A4" w:rsidRDefault="008B11A4">
      <w:pPr>
        <w:spacing w:after="0"/>
        <w:contextualSpacing/>
        <w:mirrorIndents/>
        <w:jc w:val="both"/>
        <w:rPr>
          <w:rFonts w:ascii="Arial" w:hAnsi="Arial" w:cs="Arial"/>
          <w:b/>
          <w:bCs/>
        </w:rPr>
      </w:pPr>
    </w:p>
    <w:p w14:paraId="48EBADB6" w14:textId="6C418BCD" w:rsidR="00B10F2C" w:rsidRPr="00757F87" w:rsidRDefault="00B10F2C">
      <w:pPr>
        <w:spacing w:after="0"/>
        <w:contextualSpacing/>
        <w:mirrorIndents/>
        <w:jc w:val="both"/>
        <w:rPr>
          <w:rFonts w:ascii="Arial" w:hAnsi="Arial" w:cs="Arial"/>
        </w:rPr>
      </w:pPr>
      <w:r w:rsidRPr="00757F87">
        <w:rPr>
          <w:rFonts w:ascii="Arial" w:hAnsi="Arial" w:cs="Arial"/>
          <w:b/>
          <w:bCs/>
        </w:rPr>
        <w:t xml:space="preserve">Décimo </w:t>
      </w:r>
      <w:proofErr w:type="gramStart"/>
      <w:r w:rsidR="00282A18" w:rsidRPr="00757F87">
        <w:rPr>
          <w:rFonts w:ascii="Arial" w:hAnsi="Arial" w:cs="Arial"/>
          <w:b/>
          <w:bCs/>
        </w:rPr>
        <w:t>Séptimo</w:t>
      </w:r>
      <w:r w:rsidRPr="00757F87">
        <w:rPr>
          <w:rFonts w:ascii="Arial" w:hAnsi="Arial" w:cs="Arial"/>
          <w:b/>
          <w:bCs/>
        </w:rPr>
        <w:t>.-</w:t>
      </w:r>
      <w:proofErr w:type="gramEnd"/>
      <w:r w:rsidR="00FB7A41" w:rsidRPr="00757F87">
        <w:rPr>
          <w:rFonts w:ascii="Arial" w:hAnsi="Arial" w:cs="Arial"/>
          <w:b/>
          <w:bCs/>
        </w:rPr>
        <w:t xml:space="preserve"> </w:t>
      </w:r>
      <w:r w:rsidR="00F0662F" w:rsidRPr="00757F87">
        <w:rPr>
          <w:rFonts w:ascii="Arial" w:hAnsi="Arial" w:cs="Arial"/>
        </w:rPr>
        <w:t xml:space="preserve">El Instituto verificará el cumplimiento de las obligaciones contenidas en los Lineamientos Séptimo y Noveno </w:t>
      </w:r>
      <w:r w:rsidR="00AE6D48" w:rsidRPr="00757F87">
        <w:rPr>
          <w:rFonts w:ascii="Arial" w:hAnsi="Arial" w:cs="Arial"/>
        </w:rPr>
        <w:t xml:space="preserve">mensualmente de </w:t>
      </w:r>
      <w:r w:rsidR="00F0662F" w:rsidRPr="00757F87">
        <w:rPr>
          <w:rFonts w:ascii="Arial" w:hAnsi="Arial" w:cs="Arial"/>
        </w:rPr>
        <w:t>acuerdo con los siguientes parámetros:</w:t>
      </w:r>
    </w:p>
    <w:p w14:paraId="3EEA13BD" w14:textId="77777777" w:rsidR="00850D27" w:rsidRPr="00757F87" w:rsidRDefault="00850D27" w:rsidP="009E01FC">
      <w:pPr>
        <w:spacing w:after="0"/>
        <w:contextualSpacing/>
        <w:mirrorIndents/>
        <w:jc w:val="both"/>
        <w:rPr>
          <w:rFonts w:ascii="Arial" w:hAnsi="Arial" w:cs="Arial"/>
        </w:rPr>
      </w:pPr>
    </w:p>
    <w:p w14:paraId="28BEFA67" w14:textId="77777777" w:rsidR="00757F87" w:rsidRPr="00757F87" w:rsidRDefault="00EC7E5E" w:rsidP="009E01FC">
      <w:pPr>
        <w:pStyle w:val="Prrafodelista"/>
        <w:numPr>
          <w:ilvl w:val="0"/>
          <w:numId w:val="20"/>
        </w:numPr>
        <w:spacing w:line="276" w:lineRule="auto"/>
        <w:ind w:left="567" w:hanging="567"/>
        <w:mirrorIndents/>
        <w:jc w:val="both"/>
        <w:rPr>
          <w:rFonts w:cs="Arial"/>
          <w:sz w:val="22"/>
          <w:szCs w:val="22"/>
        </w:rPr>
      </w:pPr>
      <w:r w:rsidRPr="00757F87">
        <w:rPr>
          <w:rFonts w:cs="Arial"/>
          <w:sz w:val="22"/>
          <w:szCs w:val="22"/>
        </w:rPr>
        <w:t>Proporción</w:t>
      </w:r>
      <w:r w:rsidR="00FB7A41" w:rsidRPr="00757F87">
        <w:rPr>
          <w:rFonts w:cs="Arial"/>
          <w:sz w:val="22"/>
          <w:szCs w:val="22"/>
        </w:rPr>
        <w:t xml:space="preserve"> de Equipos Terminales Móviles desbloqueados automáticamente</w:t>
      </w:r>
      <w:r w:rsidR="000D6CF2" w:rsidRPr="00757F87">
        <w:rPr>
          <w:rFonts w:cs="Arial"/>
          <w:sz w:val="22"/>
          <w:szCs w:val="22"/>
        </w:rPr>
        <w:t xml:space="preserve"> en </w:t>
      </w:r>
      <w:r w:rsidR="0060382F" w:rsidRPr="00757F87">
        <w:rPr>
          <w:rFonts w:cs="Arial"/>
          <w:sz w:val="22"/>
          <w:szCs w:val="22"/>
        </w:rPr>
        <w:t xml:space="preserve">un máximo de </w:t>
      </w:r>
      <w:r w:rsidR="000D6CF2" w:rsidRPr="00757F87">
        <w:rPr>
          <w:rFonts w:cs="Arial"/>
          <w:sz w:val="22"/>
          <w:szCs w:val="22"/>
        </w:rPr>
        <w:t>24 horas:</w:t>
      </w:r>
      <w:r w:rsidR="00FB7A41" w:rsidRPr="00757F87">
        <w:rPr>
          <w:rFonts w:cs="Arial"/>
          <w:sz w:val="22"/>
          <w:szCs w:val="22"/>
        </w:rPr>
        <w:t xml:space="preserve"> </w:t>
      </w:r>
      <w:r w:rsidR="000C3DA9" w:rsidRPr="00757F87">
        <w:rPr>
          <w:rFonts w:cs="Arial"/>
          <w:color w:val="000000"/>
          <w:sz w:val="22"/>
          <w:szCs w:val="22"/>
          <w:shd w:val="clear" w:color="auto" w:fill="FFFFFF"/>
        </w:rPr>
        <w:t>mayor o igual al</w:t>
      </w:r>
      <w:r w:rsidR="00FB7A41" w:rsidRPr="00757F87">
        <w:rPr>
          <w:rFonts w:cs="Arial"/>
          <w:color w:val="000000"/>
          <w:sz w:val="22"/>
          <w:szCs w:val="22"/>
          <w:shd w:val="clear" w:color="auto" w:fill="FFFFFF"/>
        </w:rPr>
        <w:t xml:space="preserve"> </w:t>
      </w:r>
      <w:r w:rsidR="008D6449" w:rsidRPr="00757F87">
        <w:rPr>
          <w:rFonts w:cs="Arial"/>
          <w:color w:val="000000"/>
          <w:sz w:val="22"/>
          <w:szCs w:val="22"/>
          <w:shd w:val="clear" w:color="auto" w:fill="FFFFFF"/>
          <w:lang w:eastAsia="es-MX"/>
        </w:rPr>
        <w:t>97</w:t>
      </w:r>
      <w:r w:rsidR="00FB7A41" w:rsidRPr="00757F87">
        <w:rPr>
          <w:rFonts w:cs="Arial"/>
          <w:color w:val="000000"/>
          <w:sz w:val="22"/>
          <w:szCs w:val="22"/>
          <w:shd w:val="clear" w:color="auto" w:fill="FFFFFF"/>
          <w:lang w:eastAsia="es-MX"/>
        </w:rPr>
        <w:t>%</w:t>
      </w:r>
      <w:r w:rsidR="000C3DA9" w:rsidRPr="00757F87">
        <w:rPr>
          <w:rFonts w:cs="Arial"/>
          <w:color w:val="000000"/>
          <w:sz w:val="22"/>
          <w:szCs w:val="22"/>
          <w:shd w:val="clear" w:color="auto" w:fill="FFFFFF"/>
          <w:lang w:eastAsia="es-MX"/>
        </w:rPr>
        <w:t>.</w:t>
      </w:r>
    </w:p>
    <w:p w14:paraId="3B6B7329" w14:textId="715A3D80" w:rsidR="00F24D80" w:rsidRDefault="00F24D80" w:rsidP="009E01FC">
      <w:pPr>
        <w:pStyle w:val="Prrafodelista"/>
        <w:spacing w:line="276" w:lineRule="auto"/>
        <w:ind w:left="567" w:firstLine="567"/>
        <w:mirrorIndents/>
        <w:jc w:val="both"/>
        <w:rPr>
          <w:rFonts w:cs="Arial"/>
          <w:sz w:val="22"/>
          <w:szCs w:val="22"/>
        </w:rPr>
      </w:pPr>
      <w:r w:rsidRPr="00757F87">
        <w:rPr>
          <w:rFonts w:cs="Arial"/>
          <w:sz w:val="22"/>
          <w:szCs w:val="22"/>
        </w:rPr>
        <w:t>Para determinar el cumplimiento de este índice se utilizará la siguiente fórmula:</w:t>
      </w:r>
    </w:p>
    <w:p w14:paraId="5B566B2D" w14:textId="1AD7BE6F" w:rsidR="00E23B51" w:rsidRPr="0061691A" w:rsidRDefault="00E23B51" w:rsidP="009E01FC">
      <w:pPr>
        <w:pStyle w:val="Normal1"/>
        <w:ind w:left="720"/>
        <w:contextualSpacing/>
        <w:jc w:val="both"/>
        <w:rPr>
          <w:rFonts w:eastAsia="Times New Roman"/>
          <w:color w:val="auto"/>
          <w:szCs w:val="22"/>
          <w:lang w:val="es-ES"/>
        </w:rPr>
      </w:pPr>
      <m:oMathPara>
        <m:oMath>
          <m:r>
            <w:rPr>
              <w:rFonts w:ascii="Cambria Math" w:eastAsia="Times New Roman" w:hAnsi="Cambria Math"/>
              <w:color w:val="auto"/>
              <w:szCs w:val="22"/>
              <w:lang w:val="es-ES"/>
            </w:rPr>
            <w:lastRenderedPageBreak/>
            <m:t>Proporci</m:t>
          </m:r>
          <m:r>
            <m:rPr>
              <m:sty m:val="p"/>
            </m:rPr>
            <w:rPr>
              <w:rFonts w:ascii="Cambria Math" w:eastAsia="Times New Roman" w:hAnsi="Cambria Math"/>
              <w:color w:val="auto"/>
              <w:szCs w:val="22"/>
              <w:lang w:val="es-ES"/>
            </w:rPr>
            <m:t>ó</m:t>
          </m:r>
          <m:r>
            <w:rPr>
              <w:rFonts w:ascii="Cambria Math" w:eastAsia="Times New Roman" w:hAnsi="Cambria Math"/>
              <w:color w:val="auto"/>
              <w:szCs w:val="22"/>
              <w:lang w:val="es-ES"/>
            </w:rPr>
            <m:t>n</m:t>
          </m:r>
          <m:r>
            <m:rPr>
              <m:sty m:val="p"/>
            </m:rPr>
            <w:rPr>
              <w:rFonts w:ascii="Cambria Math" w:eastAsia="Times New Roman" w:hAnsi="Cambria Math"/>
              <w:color w:val="auto"/>
              <w:szCs w:val="22"/>
              <w:lang w:val="es-ES"/>
            </w:rPr>
            <m:t xml:space="preserve"> </m:t>
          </m:r>
          <m:r>
            <w:rPr>
              <w:rFonts w:ascii="Cambria Math" w:eastAsia="Times New Roman" w:hAnsi="Cambria Math"/>
              <w:color w:val="auto"/>
              <w:szCs w:val="22"/>
              <w:lang w:val="es-ES"/>
            </w:rPr>
            <m:t>de</m:t>
          </m:r>
          <m:r>
            <m:rPr>
              <m:sty m:val="p"/>
            </m:rPr>
            <w:rPr>
              <w:rFonts w:ascii="Cambria Math" w:eastAsia="Times New Roman" w:hAnsi="Cambria Math"/>
              <w:color w:val="auto"/>
              <w:szCs w:val="22"/>
              <w:lang w:val="es-ES"/>
            </w:rPr>
            <m:t xml:space="preserve"> </m:t>
          </m:r>
          <m:r>
            <w:rPr>
              <w:rFonts w:ascii="Cambria Math" w:eastAsia="Times New Roman" w:hAnsi="Cambria Math"/>
              <w:color w:val="auto"/>
              <w:szCs w:val="22"/>
              <w:lang w:val="es-ES"/>
            </w:rPr>
            <m:t>ETM</m:t>
          </m:r>
          <m:r>
            <m:rPr>
              <m:sty m:val="p"/>
            </m:rPr>
            <w:rPr>
              <w:rFonts w:ascii="Cambria Math" w:eastAsia="Times New Roman" w:hAnsi="Cambria Math"/>
              <w:color w:val="auto"/>
              <w:szCs w:val="22"/>
              <w:lang w:val="es-ES"/>
            </w:rPr>
            <m:t xml:space="preserve"> </m:t>
          </m:r>
          <m:r>
            <w:rPr>
              <w:rFonts w:ascii="Cambria Math" w:eastAsia="Times New Roman" w:hAnsi="Cambria Math"/>
              <w:color w:val="auto"/>
              <w:szCs w:val="22"/>
              <w:lang w:val="es-ES"/>
            </w:rPr>
            <m:t>desbloqueados</m:t>
          </m:r>
          <m:r>
            <m:rPr>
              <m:sty m:val="p"/>
            </m:rPr>
            <w:rPr>
              <w:rFonts w:ascii="Cambria Math" w:eastAsia="Times New Roman" w:hAnsi="Cambria Math"/>
              <w:color w:val="auto"/>
              <w:szCs w:val="22"/>
              <w:lang w:val="es-ES"/>
            </w:rPr>
            <m:t xml:space="preserve"> </m:t>
          </m:r>
          <m:r>
            <w:rPr>
              <w:rFonts w:ascii="Cambria Math" w:eastAsia="Times New Roman" w:hAnsi="Cambria Math"/>
              <w:color w:val="auto"/>
              <w:szCs w:val="22"/>
              <w:lang w:val="es-ES"/>
            </w:rPr>
            <m:t>autom</m:t>
          </m:r>
          <m:r>
            <m:rPr>
              <m:sty m:val="p"/>
            </m:rPr>
            <w:rPr>
              <w:rFonts w:ascii="Cambria Math" w:eastAsia="Times New Roman" w:hAnsi="Cambria Math"/>
              <w:color w:val="auto"/>
              <w:szCs w:val="22"/>
              <w:lang w:val="es-ES"/>
            </w:rPr>
            <m:t>á</m:t>
          </m:r>
          <m:r>
            <w:rPr>
              <w:rFonts w:ascii="Cambria Math" w:eastAsia="Times New Roman" w:hAnsi="Cambria Math"/>
              <w:color w:val="auto"/>
              <w:szCs w:val="22"/>
              <w:lang w:val="es-ES"/>
            </w:rPr>
            <m:t>ticamente</m:t>
          </m:r>
          <m:r>
            <m:rPr>
              <m:sty m:val="p"/>
            </m:rPr>
            <w:rPr>
              <w:rFonts w:ascii="Cambria Math" w:eastAsia="Times New Roman" w:hAnsi="Cambria Math"/>
              <w:color w:val="auto"/>
              <w:szCs w:val="22"/>
              <w:lang w:val="es-ES"/>
            </w:rPr>
            <m:t>=</m:t>
          </m:r>
          <m:f>
            <m:fPr>
              <m:ctrlPr>
                <w:rPr>
                  <w:rFonts w:ascii="Cambria Math" w:eastAsia="Times New Roman" w:hAnsi="Cambria Math"/>
                  <w:color w:val="auto"/>
                  <w:szCs w:val="22"/>
                  <w:lang w:val="es-ES"/>
                </w:rPr>
              </m:ctrlPr>
            </m:fPr>
            <m:num>
              <m:r>
                <w:rPr>
                  <w:rFonts w:ascii="Cambria Math" w:eastAsia="Times New Roman" w:hAnsi="Cambria Math"/>
                  <w:color w:val="auto"/>
                  <w:szCs w:val="22"/>
                  <w:lang w:val="es-ES"/>
                </w:rPr>
                <m:t>ETM DA</m:t>
              </m:r>
            </m:num>
            <m:den>
              <m:r>
                <w:rPr>
                  <w:rFonts w:ascii="Cambria Math" w:eastAsia="Times New Roman" w:hAnsi="Cambria Math"/>
                  <w:color w:val="auto"/>
                  <w:szCs w:val="22"/>
                  <w:lang w:val="es-ES"/>
                </w:rPr>
                <m:t>ETM A</m:t>
              </m:r>
            </m:den>
          </m:f>
          <m:r>
            <w:rPr>
              <w:rFonts w:ascii="Cambria Math" w:eastAsia="Times New Roman" w:hAnsi="Cambria Math"/>
              <w:color w:val="auto"/>
              <w:szCs w:val="22"/>
              <w:lang w:val="es-ES"/>
            </w:rPr>
            <m:t>x100[%]</m:t>
          </m:r>
        </m:oMath>
      </m:oMathPara>
    </w:p>
    <w:p w14:paraId="1D5A9696" w14:textId="77777777" w:rsidR="00E23B51" w:rsidRPr="0061691A" w:rsidRDefault="00E23B51" w:rsidP="009E01FC">
      <w:pPr>
        <w:pStyle w:val="Normal1"/>
        <w:rPr>
          <w:rFonts w:eastAsia="Times New Roman"/>
          <w:color w:val="auto"/>
          <w:szCs w:val="22"/>
          <w:lang w:val="es-ES"/>
        </w:rPr>
      </w:pPr>
    </w:p>
    <w:p w14:paraId="374FA7EC" w14:textId="234358C4" w:rsidR="00E23B51" w:rsidRPr="003D1520" w:rsidRDefault="00E23B51" w:rsidP="009E01FC">
      <w:pPr>
        <w:pStyle w:val="Normal1"/>
        <w:ind w:firstLine="720"/>
        <w:outlineLvl w:val="0"/>
        <w:rPr>
          <w:rFonts w:eastAsia="Times New Roman"/>
          <w:color w:val="auto"/>
          <w:szCs w:val="22"/>
          <w:lang w:val="es-ES"/>
        </w:rPr>
      </w:pPr>
      <w:r w:rsidRPr="003D1520">
        <w:rPr>
          <w:rFonts w:eastAsia="Times New Roman"/>
          <w:color w:val="auto"/>
          <w:szCs w:val="22"/>
          <w:lang w:val="es-ES"/>
        </w:rPr>
        <w:t>Donde</w:t>
      </w:r>
      <w:r w:rsidR="008A2002">
        <w:rPr>
          <w:rFonts w:eastAsia="Times New Roman"/>
          <w:color w:val="auto"/>
          <w:szCs w:val="22"/>
          <w:lang w:val="es-ES"/>
        </w:rPr>
        <w:t>,</w:t>
      </w:r>
    </w:p>
    <w:p w14:paraId="3036921B" w14:textId="6F8301DC" w:rsidR="004515A3" w:rsidRPr="00033638" w:rsidRDefault="00E23B51" w:rsidP="009E01FC">
      <w:pPr>
        <w:pStyle w:val="Normal1"/>
        <w:ind w:left="720"/>
        <w:jc w:val="both"/>
        <w:rPr>
          <w:rFonts w:eastAsia="ITC Avant Garde"/>
          <w:szCs w:val="22"/>
        </w:rPr>
      </w:pPr>
      <w:r w:rsidRPr="00DA0414">
        <w:rPr>
          <w:rFonts w:eastAsia="Times New Roman"/>
          <w:i/>
          <w:iCs/>
          <w:color w:val="auto"/>
          <w:szCs w:val="22"/>
          <w:lang w:val="es-ES"/>
        </w:rPr>
        <w:t>ETM DA</w:t>
      </w:r>
      <w:r w:rsidRPr="003D1520">
        <w:rPr>
          <w:rFonts w:eastAsia="Times New Roman"/>
          <w:color w:val="auto"/>
          <w:szCs w:val="22"/>
          <w:lang w:val="es-ES"/>
        </w:rPr>
        <w:t xml:space="preserve">, es </w:t>
      </w:r>
      <w:r w:rsidRPr="009E01FC">
        <w:rPr>
          <w:rFonts w:eastAsia="Times New Roman"/>
          <w:color w:val="auto"/>
          <w:szCs w:val="22"/>
          <w:lang w:val="es-ES"/>
        </w:rPr>
        <w:t xml:space="preserve">el total de </w:t>
      </w:r>
      <w:r w:rsidRPr="009E01FC">
        <w:rPr>
          <w:rFonts w:eastAsia="ITC Avant Garde"/>
          <w:szCs w:val="22"/>
        </w:rPr>
        <w:t>Equipos Terminales Móviles desbloq</w:t>
      </w:r>
      <w:r w:rsidRPr="00E67E92">
        <w:rPr>
          <w:rFonts w:eastAsia="ITC Avant Garde"/>
          <w:szCs w:val="22"/>
        </w:rPr>
        <w:t>ueados automáticamente en un máximo de 24 h</w:t>
      </w:r>
      <w:r w:rsidR="004515A3" w:rsidRPr="00033638">
        <w:rPr>
          <w:rFonts w:eastAsia="ITC Avant Garde"/>
          <w:szCs w:val="22"/>
        </w:rPr>
        <w:t>oras y,</w:t>
      </w:r>
    </w:p>
    <w:p w14:paraId="0FEB3BA7" w14:textId="4F7441D2" w:rsidR="004515A3" w:rsidRPr="003D1520" w:rsidRDefault="00971E80" w:rsidP="009E01FC">
      <w:pPr>
        <w:pStyle w:val="Normal1"/>
        <w:ind w:left="720"/>
        <w:jc w:val="both"/>
        <w:rPr>
          <w:rFonts w:eastAsia="ITC Avant Garde"/>
          <w:szCs w:val="22"/>
        </w:rPr>
      </w:pPr>
      <w:r w:rsidRPr="00DA0414">
        <w:rPr>
          <w:rFonts w:eastAsia="Times New Roman"/>
          <w:i/>
          <w:iCs/>
          <w:szCs w:val="22"/>
          <w:lang w:eastAsia="es-MX"/>
        </w:rPr>
        <w:t xml:space="preserve">ETM </w:t>
      </w:r>
      <w:r w:rsidR="009E01FC">
        <w:rPr>
          <w:rFonts w:eastAsia="Times New Roman"/>
          <w:i/>
          <w:iCs/>
          <w:szCs w:val="22"/>
          <w:lang w:eastAsia="es-MX"/>
        </w:rPr>
        <w:t>A</w:t>
      </w:r>
      <w:r w:rsidRPr="00DA0414">
        <w:rPr>
          <w:rFonts w:eastAsia="Times New Roman"/>
          <w:szCs w:val="22"/>
          <w:lang w:eastAsia="es-MX"/>
        </w:rPr>
        <w:t xml:space="preserve">, es el total </w:t>
      </w:r>
      <w:r>
        <w:rPr>
          <w:rFonts w:eastAsia="Times New Roman"/>
          <w:szCs w:val="22"/>
          <w:lang w:eastAsia="es-MX"/>
        </w:rPr>
        <w:t>de Equipos Terminales Móviles</w:t>
      </w:r>
      <w:r w:rsidR="000404A2">
        <w:rPr>
          <w:rFonts w:eastAsia="Times New Roman"/>
          <w:szCs w:val="22"/>
          <w:lang w:eastAsia="es-MX"/>
        </w:rPr>
        <w:t xml:space="preserve"> </w:t>
      </w:r>
      <w:r w:rsidR="00DA0414">
        <w:rPr>
          <w:rFonts w:eastAsia="Times New Roman"/>
          <w:szCs w:val="22"/>
          <w:lang w:eastAsia="es-MX"/>
        </w:rPr>
        <w:t xml:space="preserve">que cumplen </w:t>
      </w:r>
      <w:r w:rsidR="00A61DB7">
        <w:rPr>
          <w:rFonts w:eastAsia="Times New Roman"/>
          <w:szCs w:val="22"/>
          <w:lang w:eastAsia="es-MX"/>
        </w:rPr>
        <w:t xml:space="preserve">durante el mes analizado </w:t>
      </w:r>
      <w:r w:rsidR="00DA0414">
        <w:rPr>
          <w:rFonts w:eastAsia="Times New Roman"/>
          <w:szCs w:val="22"/>
          <w:lang w:eastAsia="es-MX"/>
        </w:rPr>
        <w:t xml:space="preserve">los criterios establecidos </w:t>
      </w:r>
      <w:r w:rsidR="00DA0414" w:rsidRPr="00DA0414">
        <w:rPr>
          <w:rFonts w:eastAsia="Times New Roman"/>
          <w:szCs w:val="22"/>
          <w:lang w:eastAsia="es-MX"/>
        </w:rPr>
        <w:t>en el Lineamiento Séptimo</w:t>
      </w:r>
      <w:r w:rsidR="00DA0414">
        <w:rPr>
          <w:rFonts w:eastAsia="Times New Roman"/>
          <w:szCs w:val="22"/>
          <w:lang w:eastAsia="es-MX"/>
        </w:rPr>
        <w:t xml:space="preserve"> </w:t>
      </w:r>
      <w:r w:rsidR="00A61DB7">
        <w:rPr>
          <w:rFonts w:eastAsia="Times New Roman"/>
          <w:szCs w:val="22"/>
          <w:lang w:eastAsia="es-MX"/>
        </w:rPr>
        <w:t>para el</w:t>
      </w:r>
      <w:r>
        <w:rPr>
          <w:rFonts w:eastAsia="Times New Roman"/>
          <w:szCs w:val="22"/>
          <w:lang w:eastAsia="es-MX"/>
        </w:rPr>
        <w:t xml:space="preserve"> desbloqueo automático</w:t>
      </w:r>
    </w:p>
    <w:p w14:paraId="26A5B93C" w14:textId="77777777" w:rsidR="00F24D80" w:rsidRPr="00757F87" w:rsidRDefault="00F24D80" w:rsidP="009E01FC">
      <w:pPr>
        <w:spacing w:after="0"/>
        <w:mirrorIndents/>
        <w:jc w:val="both"/>
        <w:rPr>
          <w:rFonts w:cs="Arial"/>
        </w:rPr>
      </w:pPr>
    </w:p>
    <w:p w14:paraId="2B8DF00B" w14:textId="77777777" w:rsidR="00F24D80" w:rsidRPr="00757F87" w:rsidRDefault="000D6CF2" w:rsidP="009E01FC">
      <w:pPr>
        <w:pStyle w:val="Prrafodelista"/>
        <w:numPr>
          <w:ilvl w:val="0"/>
          <w:numId w:val="20"/>
        </w:numPr>
        <w:spacing w:line="276" w:lineRule="auto"/>
        <w:ind w:left="567" w:hanging="567"/>
        <w:mirrorIndents/>
        <w:jc w:val="both"/>
        <w:rPr>
          <w:rFonts w:cs="Arial"/>
          <w:sz w:val="22"/>
          <w:szCs w:val="22"/>
        </w:rPr>
      </w:pPr>
      <w:r w:rsidRPr="00757F87">
        <w:rPr>
          <w:rFonts w:cs="Arial"/>
          <w:sz w:val="22"/>
          <w:szCs w:val="22"/>
        </w:rPr>
        <w:t>Proporción de n</w:t>
      </w:r>
      <w:r w:rsidR="00FB7A41" w:rsidRPr="00757F87">
        <w:rPr>
          <w:rFonts w:cs="Arial"/>
          <w:sz w:val="22"/>
          <w:szCs w:val="22"/>
        </w:rPr>
        <w:t xml:space="preserve">otificaciones de elegibilidad </w:t>
      </w:r>
      <w:r w:rsidR="00F04DD9" w:rsidRPr="00757F87">
        <w:rPr>
          <w:rFonts w:cs="Arial"/>
          <w:sz w:val="22"/>
          <w:szCs w:val="22"/>
        </w:rPr>
        <w:t xml:space="preserve">de Equipos Terminales Móviles </w:t>
      </w:r>
      <w:r w:rsidRPr="00757F87">
        <w:rPr>
          <w:rFonts w:cs="Arial"/>
          <w:sz w:val="22"/>
          <w:szCs w:val="22"/>
        </w:rPr>
        <w:t xml:space="preserve">enviadas en </w:t>
      </w:r>
      <w:r w:rsidR="00F04DD9" w:rsidRPr="00757F87">
        <w:rPr>
          <w:rFonts w:cs="Arial"/>
          <w:sz w:val="22"/>
          <w:szCs w:val="22"/>
        </w:rPr>
        <w:t xml:space="preserve">un máximo de </w:t>
      </w:r>
      <w:r w:rsidRPr="00757F87">
        <w:rPr>
          <w:rFonts w:cs="Arial"/>
          <w:sz w:val="22"/>
          <w:szCs w:val="22"/>
        </w:rPr>
        <w:t xml:space="preserve">24 horas: </w:t>
      </w:r>
      <w:r w:rsidR="000C3DA9" w:rsidRPr="00757F87">
        <w:rPr>
          <w:rFonts w:cs="Arial"/>
          <w:color w:val="000000"/>
          <w:sz w:val="22"/>
          <w:szCs w:val="22"/>
          <w:shd w:val="clear" w:color="auto" w:fill="FFFFFF"/>
        </w:rPr>
        <w:t xml:space="preserve">mayor o igual al </w:t>
      </w:r>
      <w:r w:rsidR="008D6449" w:rsidRPr="00757F87">
        <w:rPr>
          <w:rFonts w:cs="Arial"/>
          <w:color w:val="000000"/>
          <w:sz w:val="22"/>
          <w:szCs w:val="22"/>
          <w:shd w:val="clear" w:color="auto" w:fill="FFFFFF"/>
          <w:lang w:eastAsia="es-MX"/>
        </w:rPr>
        <w:t>97</w:t>
      </w:r>
      <w:r w:rsidR="000C3DA9" w:rsidRPr="00757F87">
        <w:rPr>
          <w:rFonts w:cs="Arial"/>
          <w:color w:val="000000"/>
          <w:sz w:val="22"/>
          <w:szCs w:val="22"/>
          <w:shd w:val="clear" w:color="auto" w:fill="FFFFFF"/>
          <w:lang w:eastAsia="es-MX"/>
        </w:rPr>
        <w:t>%.</w:t>
      </w:r>
    </w:p>
    <w:p w14:paraId="49702F2E" w14:textId="09461B3C" w:rsidR="00F24D80" w:rsidRDefault="00F24D80" w:rsidP="009E01FC">
      <w:pPr>
        <w:pStyle w:val="Prrafodelista"/>
        <w:spacing w:line="276" w:lineRule="auto"/>
        <w:ind w:left="567"/>
        <w:mirrorIndents/>
        <w:jc w:val="both"/>
        <w:rPr>
          <w:rFonts w:cs="Arial"/>
          <w:sz w:val="22"/>
          <w:szCs w:val="22"/>
        </w:rPr>
      </w:pPr>
      <w:r w:rsidRPr="00757F87">
        <w:rPr>
          <w:rFonts w:cs="Arial"/>
          <w:sz w:val="22"/>
          <w:szCs w:val="22"/>
        </w:rPr>
        <w:t>Para determinar el cumplimiento de este índice se utilizará la siguiente fórmula:</w:t>
      </w:r>
    </w:p>
    <w:p w14:paraId="618F7E19" w14:textId="58E572DA" w:rsidR="00BE33BB" w:rsidRDefault="00BE33BB" w:rsidP="009E01FC">
      <w:pPr>
        <w:pStyle w:val="Prrafodelista"/>
        <w:spacing w:line="276" w:lineRule="auto"/>
        <w:ind w:left="567"/>
        <w:mirrorIndents/>
        <w:jc w:val="both"/>
        <w:rPr>
          <w:rFonts w:cs="Arial"/>
          <w:sz w:val="22"/>
          <w:szCs w:val="22"/>
        </w:rPr>
      </w:pPr>
    </w:p>
    <w:p w14:paraId="7C3E5715" w14:textId="797A610C" w:rsidR="00BE33BB" w:rsidRPr="0061691A" w:rsidRDefault="00BE33BB" w:rsidP="009E01FC">
      <w:pPr>
        <w:pStyle w:val="Normal1"/>
        <w:ind w:left="720"/>
        <w:contextualSpacing/>
        <w:jc w:val="both"/>
        <w:rPr>
          <w:rFonts w:eastAsia="Times New Roman"/>
          <w:color w:val="auto"/>
          <w:szCs w:val="22"/>
          <w:lang w:val="es-ES"/>
        </w:rPr>
      </w:pPr>
      <m:oMathPara>
        <m:oMath>
          <m:r>
            <w:rPr>
              <w:rFonts w:ascii="Cambria Math" w:eastAsia="Times New Roman" w:hAnsi="Cambria Math"/>
              <w:color w:val="auto"/>
              <w:szCs w:val="22"/>
              <w:lang w:val="es-ES"/>
            </w:rPr>
            <m:t>Proporci</m:t>
          </m:r>
          <m:r>
            <m:rPr>
              <m:sty m:val="p"/>
            </m:rPr>
            <w:rPr>
              <w:rFonts w:ascii="Cambria Math" w:eastAsia="Times New Roman" w:hAnsi="Cambria Math"/>
              <w:color w:val="auto"/>
              <w:szCs w:val="22"/>
              <w:lang w:val="es-ES"/>
            </w:rPr>
            <m:t>ó</m:t>
          </m:r>
          <m:r>
            <w:rPr>
              <w:rFonts w:ascii="Cambria Math" w:eastAsia="Times New Roman" w:hAnsi="Cambria Math"/>
              <w:color w:val="auto"/>
              <w:szCs w:val="22"/>
              <w:lang w:val="es-ES"/>
            </w:rPr>
            <m:t>n de notificaciones de Elegibilidad</m:t>
          </m:r>
          <m:r>
            <m:rPr>
              <m:sty m:val="p"/>
            </m:rPr>
            <w:rPr>
              <w:rFonts w:ascii="Cambria Math" w:eastAsia="Times New Roman" w:hAnsi="Cambria Math"/>
              <w:color w:val="auto"/>
              <w:szCs w:val="22"/>
              <w:lang w:val="es-ES"/>
            </w:rPr>
            <m:t>=</m:t>
          </m:r>
          <m:f>
            <m:fPr>
              <m:ctrlPr>
                <w:rPr>
                  <w:rFonts w:ascii="Cambria Math" w:eastAsia="Times New Roman" w:hAnsi="Cambria Math"/>
                  <w:color w:val="auto"/>
                  <w:szCs w:val="22"/>
                  <w:lang w:val="es-ES"/>
                </w:rPr>
              </m:ctrlPr>
            </m:fPr>
            <m:num>
              <m:r>
                <w:rPr>
                  <w:rFonts w:ascii="Cambria Math" w:eastAsia="Times New Roman" w:hAnsi="Cambria Math"/>
                  <w:color w:val="auto"/>
                  <w:szCs w:val="22"/>
                  <w:lang w:val="es-ES"/>
                </w:rPr>
                <m:t>NE</m:t>
              </m:r>
            </m:num>
            <m:den>
              <m:r>
                <w:rPr>
                  <w:rFonts w:ascii="Cambria Math" w:eastAsia="Times New Roman" w:hAnsi="Cambria Math"/>
                  <w:color w:val="auto"/>
                  <w:szCs w:val="22"/>
                  <w:lang w:val="es-ES"/>
                </w:rPr>
                <m:t>ETM E</m:t>
              </m:r>
            </m:den>
          </m:f>
          <m:r>
            <w:rPr>
              <w:rFonts w:ascii="Cambria Math" w:eastAsia="Times New Roman" w:hAnsi="Cambria Math"/>
              <w:color w:val="auto"/>
              <w:szCs w:val="22"/>
              <w:lang w:val="es-ES"/>
            </w:rPr>
            <m:t>x100[%]</m:t>
          </m:r>
        </m:oMath>
      </m:oMathPara>
    </w:p>
    <w:p w14:paraId="7E9FCC38" w14:textId="77777777" w:rsidR="00BE33BB" w:rsidRPr="0061691A" w:rsidRDefault="00BE33BB" w:rsidP="009E01FC">
      <w:pPr>
        <w:pStyle w:val="Normal1"/>
        <w:rPr>
          <w:rFonts w:eastAsia="Times New Roman"/>
          <w:color w:val="auto"/>
          <w:szCs w:val="22"/>
          <w:lang w:val="es-ES"/>
        </w:rPr>
      </w:pPr>
    </w:p>
    <w:p w14:paraId="536A6978" w14:textId="69B12953" w:rsidR="00BE33BB" w:rsidRPr="0061691A" w:rsidRDefault="00BE33BB" w:rsidP="009E01FC">
      <w:pPr>
        <w:pStyle w:val="Normal1"/>
        <w:ind w:firstLine="720"/>
        <w:outlineLvl w:val="0"/>
        <w:rPr>
          <w:rFonts w:eastAsia="Times New Roman"/>
          <w:color w:val="auto"/>
          <w:szCs w:val="22"/>
          <w:lang w:val="es-ES"/>
        </w:rPr>
      </w:pPr>
      <w:r w:rsidRPr="0061691A">
        <w:rPr>
          <w:rFonts w:eastAsia="Times New Roman"/>
          <w:color w:val="auto"/>
          <w:szCs w:val="22"/>
          <w:lang w:val="es-ES"/>
        </w:rPr>
        <w:t>Donde</w:t>
      </w:r>
      <w:r w:rsidR="008A2002">
        <w:rPr>
          <w:rFonts w:eastAsia="Times New Roman"/>
          <w:color w:val="auto"/>
          <w:szCs w:val="22"/>
          <w:lang w:val="es-ES"/>
        </w:rPr>
        <w:t>,</w:t>
      </w:r>
    </w:p>
    <w:p w14:paraId="345CF471" w14:textId="7AF4C686" w:rsidR="00BE33BB" w:rsidRPr="0061691A" w:rsidRDefault="00BE33BB" w:rsidP="009E01FC">
      <w:pPr>
        <w:pStyle w:val="Normal1"/>
        <w:ind w:left="720"/>
        <w:jc w:val="both"/>
        <w:rPr>
          <w:rFonts w:eastAsia="ITC Avant Garde"/>
          <w:szCs w:val="22"/>
        </w:rPr>
      </w:pPr>
      <w:r>
        <w:rPr>
          <w:rFonts w:eastAsia="Times New Roman"/>
          <w:i/>
          <w:iCs/>
          <w:color w:val="auto"/>
          <w:szCs w:val="22"/>
          <w:lang w:val="es-ES"/>
        </w:rPr>
        <w:t>NE</w:t>
      </w:r>
      <w:r w:rsidRPr="0061691A">
        <w:rPr>
          <w:rFonts w:eastAsia="Times New Roman"/>
          <w:color w:val="auto"/>
          <w:szCs w:val="22"/>
          <w:lang w:val="es-ES"/>
        </w:rPr>
        <w:t xml:space="preserve">, es el total de </w:t>
      </w:r>
      <w:r>
        <w:rPr>
          <w:rFonts w:eastAsia="ITC Avant Garde"/>
          <w:szCs w:val="22"/>
        </w:rPr>
        <w:t>notificaciones</w:t>
      </w:r>
      <w:r w:rsidR="008A2002">
        <w:rPr>
          <w:rFonts w:eastAsia="ITC Avant Garde"/>
          <w:szCs w:val="22"/>
        </w:rPr>
        <w:t xml:space="preserve"> </w:t>
      </w:r>
      <w:r w:rsidR="00E253FE">
        <w:rPr>
          <w:rFonts w:eastAsia="ITC Avant Garde"/>
          <w:szCs w:val="22"/>
        </w:rPr>
        <w:t xml:space="preserve">de elegibilidad de </w:t>
      </w:r>
      <w:r w:rsidR="008A2002" w:rsidRPr="006F6B8C">
        <w:rPr>
          <w:rFonts w:eastAsia="ITC Avant Garde"/>
        </w:rPr>
        <w:t>Equipo</w:t>
      </w:r>
      <w:r w:rsidR="00E253FE">
        <w:rPr>
          <w:rFonts w:eastAsia="ITC Avant Garde"/>
        </w:rPr>
        <w:t>s</w:t>
      </w:r>
      <w:r w:rsidR="008A2002" w:rsidRPr="006F6B8C">
        <w:rPr>
          <w:rFonts w:eastAsia="ITC Avant Garde"/>
        </w:rPr>
        <w:t xml:space="preserve"> Terminal</w:t>
      </w:r>
      <w:r w:rsidR="00E253FE">
        <w:rPr>
          <w:rFonts w:eastAsia="ITC Avant Garde"/>
        </w:rPr>
        <w:t>es</w:t>
      </w:r>
      <w:r w:rsidR="008A2002" w:rsidRPr="006F6B8C">
        <w:rPr>
          <w:rFonts w:eastAsia="ITC Avant Garde"/>
        </w:rPr>
        <w:t xml:space="preserve"> Móvil</w:t>
      </w:r>
      <w:r w:rsidR="00E253FE">
        <w:rPr>
          <w:rFonts w:eastAsia="ITC Avant Garde"/>
        </w:rPr>
        <w:t>es</w:t>
      </w:r>
      <w:r w:rsidR="008A2002" w:rsidRPr="006F6B8C">
        <w:rPr>
          <w:rFonts w:eastAsia="ITC Avant Garde"/>
        </w:rPr>
        <w:t xml:space="preserve"> </w:t>
      </w:r>
      <w:r w:rsidR="008A2002">
        <w:rPr>
          <w:rFonts w:eastAsia="ITC Avant Garde"/>
          <w:szCs w:val="22"/>
        </w:rPr>
        <w:t xml:space="preserve">enviadas </w:t>
      </w:r>
      <w:r w:rsidRPr="0061691A">
        <w:rPr>
          <w:rFonts w:eastAsia="ITC Avant Garde"/>
          <w:szCs w:val="22"/>
        </w:rPr>
        <w:t>en un máximo de 24 horas y,</w:t>
      </w:r>
    </w:p>
    <w:p w14:paraId="6D1A5057" w14:textId="46EB9082" w:rsidR="00BE33BB" w:rsidRPr="0061691A" w:rsidRDefault="00BE33BB" w:rsidP="009E01FC">
      <w:pPr>
        <w:pStyle w:val="Normal1"/>
        <w:ind w:left="720"/>
        <w:jc w:val="both"/>
        <w:rPr>
          <w:rFonts w:eastAsia="ITC Avant Garde"/>
          <w:szCs w:val="22"/>
        </w:rPr>
      </w:pPr>
      <w:r w:rsidRPr="0061691A">
        <w:rPr>
          <w:rFonts w:eastAsia="Times New Roman"/>
          <w:i/>
          <w:iCs/>
          <w:szCs w:val="22"/>
          <w:lang w:eastAsia="es-MX"/>
        </w:rPr>
        <w:t xml:space="preserve">ETM </w:t>
      </w:r>
      <w:r w:rsidR="00E253FE">
        <w:rPr>
          <w:rFonts w:eastAsia="Times New Roman"/>
          <w:i/>
          <w:iCs/>
          <w:szCs w:val="22"/>
          <w:lang w:eastAsia="es-MX"/>
        </w:rPr>
        <w:t>E</w:t>
      </w:r>
      <w:r w:rsidRPr="0061691A">
        <w:rPr>
          <w:rFonts w:eastAsia="Times New Roman"/>
          <w:szCs w:val="22"/>
          <w:lang w:eastAsia="es-MX"/>
        </w:rPr>
        <w:t xml:space="preserve">, es el total </w:t>
      </w:r>
      <w:r>
        <w:rPr>
          <w:rFonts w:eastAsia="Times New Roman"/>
          <w:szCs w:val="22"/>
          <w:lang w:eastAsia="es-MX"/>
        </w:rPr>
        <w:t xml:space="preserve">de Equipos Terminales </w:t>
      </w:r>
      <w:r w:rsidR="0099577B">
        <w:rPr>
          <w:rFonts w:eastAsia="Times New Roman"/>
          <w:szCs w:val="22"/>
          <w:lang w:eastAsia="es-MX"/>
        </w:rPr>
        <w:t>E</w:t>
      </w:r>
      <w:r w:rsidR="00B015AF">
        <w:rPr>
          <w:rFonts w:eastAsia="Times New Roman"/>
          <w:szCs w:val="22"/>
          <w:lang w:eastAsia="es-MX"/>
        </w:rPr>
        <w:t xml:space="preserve">legibles para desbloqueo </w:t>
      </w:r>
      <w:r w:rsidR="004D5C8C">
        <w:rPr>
          <w:rFonts w:eastAsia="Times New Roman"/>
          <w:szCs w:val="22"/>
          <w:lang w:eastAsia="es-MX"/>
        </w:rPr>
        <w:t xml:space="preserve">que cumplen durante el mes analizado los criterios </w:t>
      </w:r>
      <w:r w:rsidRPr="0061691A">
        <w:rPr>
          <w:rFonts w:eastAsia="Times New Roman"/>
          <w:szCs w:val="22"/>
          <w:lang w:eastAsia="es-MX"/>
        </w:rPr>
        <w:t>establecido</w:t>
      </w:r>
      <w:r w:rsidR="004D5C8C">
        <w:rPr>
          <w:rFonts w:eastAsia="Times New Roman"/>
          <w:szCs w:val="22"/>
          <w:lang w:eastAsia="es-MX"/>
        </w:rPr>
        <w:t>s</w:t>
      </w:r>
      <w:r w:rsidRPr="0061691A">
        <w:rPr>
          <w:rFonts w:eastAsia="Times New Roman"/>
          <w:szCs w:val="22"/>
          <w:lang w:eastAsia="es-MX"/>
        </w:rPr>
        <w:t xml:space="preserve"> en el Lineamiento Séptimo</w:t>
      </w:r>
    </w:p>
    <w:p w14:paraId="539D025B" w14:textId="77777777" w:rsidR="00F24D80" w:rsidRPr="00757F87" w:rsidRDefault="00F24D80" w:rsidP="009E01FC">
      <w:pPr>
        <w:pStyle w:val="Prrafodelista"/>
        <w:spacing w:line="276" w:lineRule="auto"/>
        <w:ind w:left="567"/>
        <w:mirrorIndents/>
        <w:jc w:val="both"/>
        <w:rPr>
          <w:rFonts w:cs="Arial"/>
          <w:sz w:val="22"/>
          <w:szCs w:val="22"/>
        </w:rPr>
      </w:pPr>
    </w:p>
    <w:p w14:paraId="19A80600" w14:textId="50E2FD7E" w:rsidR="002F48C4" w:rsidRPr="00757F87" w:rsidRDefault="006F673F" w:rsidP="009E01FC">
      <w:pPr>
        <w:pStyle w:val="Prrafodelista"/>
        <w:numPr>
          <w:ilvl w:val="0"/>
          <w:numId w:val="20"/>
        </w:numPr>
        <w:spacing w:line="276" w:lineRule="auto"/>
        <w:ind w:left="567" w:hanging="567"/>
        <w:mirrorIndents/>
        <w:jc w:val="both"/>
        <w:rPr>
          <w:rFonts w:cs="Arial"/>
          <w:sz w:val="22"/>
          <w:szCs w:val="22"/>
          <w:lang w:eastAsia="en-US"/>
        </w:rPr>
      </w:pPr>
      <w:r w:rsidRPr="00757F87">
        <w:rPr>
          <w:rFonts w:cs="Arial"/>
          <w:sz w:val="22"/>
          <w:szCs w:val="22"/>
        </w:rPr>
        <w:t xml:space="preserve">Proporción de </w:t>
      </w:r>
      <w:r w:rsidR="00FB7A41" w:rsidRPr="00757F87">
        <w:rPr>
          <w:rFonts w:cs="Arial"/>
          <w:sz w:val="22"/>
          <w:szCs w:val="22"/>
        </w:rPr>
        <w:t xml:space="preserve">Equipos Terminales Móviles desbloqueados en el </w:t>
      </w:r>
      <w:r w:rsidR="007F0997">
        <w:rPr>
          <w:rFonts w:cs="Arial"/>
          <w:sz w:val="22"/>
          <w:szCs w:val="22"/>
        </w:rPr>
        <w:t>c</w:t>
      </w:r>
      <w:r w:rsidR="00FB7A41" w:rsidRPr="00757F87">
        <w:rPr>
          <w:rFonts w:cs="Arial"/>
          <w:sz w:val="22"/>
          <w:szCs w:val="22"/>
        </w:rPr>
        <w:t xml:space="preserve">entro de </w:t>
      </w:r>
      <w:r w:rsidR="007F0997">
        <w:rPr>
          <w:rFonts w:cs="Arial"/>
          <w:sz w:val="22"/>
          <w:szCs w:val="22"/>
        </w:rPr>
        <w:t>a</w:t>
      </w:r>
      <w:r w:rsidR="00FB7A41" w:rsidRPr="00757F87">
        <w:rPr>
          <w:rFonts w:cs="Arial"/>
          <w:sz w:val="22"/>
          <w:szCs w:val="22"/>
        </w:rPr>
        <w:t xml:space="preserve">tención a </w:t>
      </w:r>
      <w:r w:rsidR="007F0997">
        <w:rPr>
          <w:rFonts w:cs="Arial"/>
          <w:sz w:val="22"/>
          <w:szCs w:val="22"/>
        </w:rPr>
        <w:t>c</w:t>
      </w:r>
      <w:r w:rsidR="00FB7A41" w:rsidRPr="00757F87">
        <w:rPr>
          <w:rFonts w:cs="Arial"/>
          <w:sz w:val="22"/>
          <w:szCs w:val="22"/>
        </w:rPr>
        <w:t>lientes</w:t>
      </w:r>
      <w:r w:rsidR="000D6CF2" w:rsidRPr="00757F87">
        <w:rPr>
          <w:rFonts w:cs="Arial"/>
          <w:sz w:val="22"/>
          <w:szCs w:val="22"/>
        </w:rPr>
        <w:t xml:space="preserve"> </w:t>
      </w:r>
      <w:r w:rsidR="00127C1C" w:rsidRPr="00757F87">
        <w:rPr>
          <w:rFonts w:cs="Arial"/>
          <w:sz w:val="22"/>
          <w:szCs w:val="22"/>
        </w:rPr>
        <w:t>de manera inmediata</w:t>
      </w:r>
      <w:r w:rsidR="000D6CF2" w:rsidRPr="00757F87">
        <w:rPr>
          <w:rFonts w:cs="Arial"/>
          <w:sz w:val="22"/>
          <w:szCs w:val="22"/>
        </w:rPr>
        <w:t xml:space="preserve">: </w:t>
      </w:r>
      <w:r w:rsidR="000C3DA9" w:rsidRPr="00757F87">
        <w:rPr>
          <w:rFonts w:cs="Arial"/>
          <w:color w:val="000000"/>
          <w:sz w:val="22"/>
          <w:szCs w:val="22"/>
          <w:shd w:val="clear" w:color="auto" w:fill="FFFFFF"/>
        </w:rPr>
        <w:t xml:space="preserve">mayor o igual al </w:t>
      </w:r>
      <w:r w:rsidR="008D6449" w:rsidRPr="00757F87">
        <w:rPr>
          <w:rFonts w:cs="Arial"/>
          <w:color w:val="000000"/>
          <w:sz w:val="22"/>
          <w:szCs w:val="22"/>
          <w:shd w:val="clear" w:color="auto" w:fill="FFFFFF"/>
          <w:lang w:eastAsia="es-MX"/>
        </w:rPr>
        <w:t>97</w:t>
      </w:r>
      <w:r w:rsidR="000C3DA9" w:rsidRPr="00757F87">
        <w:rPr>
          <w:rFonts w:cs="Arial"/>
          <w:color w:val="000000"/>
          <w:sz w:val="22"/>
          <w:szCs w:val="22"/>
          <w:shd w:val="clear" w:color="auto" w:fill="FFFFFF"/>
          <w:lang w:eastAsia="es-MX"/>
        </w:rPr>
        <w:t>%.</w:t>
      </w:r>
    </w:p>
    <w:p w14:paraId="699FD002" w14:textId="77777777" w:rsidR="00757F87" w:rsidRPr="00757F87" w:rsidRDefault="00757F87" w:rsidP="009E01FC">
      <w:pPr>
        <w:pStyle w:val="Prrafodelista"/>
        <w:spacing w:line="276" w:lineRule="auto"/>
        <w:ind w:left="567"/>
        <w:mirrorIndents/>
        <w:jc w:val="both"/>
        <w:rPr>
          <w:rFonts w:cs="Arial"/>
          <w:sz w:val="22"/>
          <w:szCs w:val="22"/>
        </w:rPr>
      </w:pPr>
      <w:r w:rsidRPr="00757F87">
        <w:rPr>
          <w:rFonts w:cs="Arial"/>
          <w:sz w:val="22"/>
          <w:szCs w:val="22"/>
        </w:rPr>
        <w:t>Para determinar el cumplimiento de este índice se utilizará la siguiente fórmula:</w:t>
      </w:r>
    </w:p>
    <w:p w14:paraId="73E33397" w14:textId="382531F8" w:rsidR="00757F87" w:rsidRDefault="00757F87" w:rsidP="009E01FC">
      <w:pPr>
        <w:pStyle w:val="Prrafodelista"/>
        <w:spacing w:line="276" w:lineRule="auto"/>
        <w:ind w:left="567"/>
        <w:mirrorIndents/>
        <w:jc w:val="both"/>
        <w:rPr>
          <w:rFonts w:cs="Arial"/>
          <w:sz w:val="22"/>
          <w:szCs w:val="22"/>
          <w:lang w:eastAsia="en-US"/>
        </w:rPr>
      </w:pPr>
    </w:p>
    <w:p w14:paraId="0181BA42" w14:textId="3AFB8A8A" w:rsidR="004F2A06" w:rsidRPr="0061691A" w:rsidRDefault="004F2A06" w:rsidP="009E01FC">
      <w:pPr>
        <w:pStyle w:val="Normal1"/>
        <w:ind w:left="720"/>
        <w:contextualSpacing/>
        <w:jc w:val="both"/>
        <w:rPr>
          <w:rFonts w:eastAsia="Times New Roman"/>
          <w:color w:val="auto"/>
          <w:szCs w:val="22"/>
          <w:lang w:val="es-ES"/>
        </w:rPr>
      </w:pPr>
      <m:oMathPara>
        <m:oMath>
          <m:r>
            <w:rPr>
              <w:rFonts w:ascii="Cambria Math" w:eastAsia="Times New Roman" w:hAnsi="Cambria Math"/>
              <w:color w:val="auto"/>
              <w:szCs w:val="22"/>
              <w:lang w:val="es-ES"/>
            </w:rPr>
            <m:t>Proporci</m:t>
          </m:r>
          <m:r>
            <m:rPr>
              <m:sty m:val="p"/>
            </m:rPr>
            <w:rPr>
              <w:rFonts w:ascii="Cambria Math" w:eastAsia="Times New Roman" w:hAnsi="Cambria Math"/>
              <w:color w:val="auto"/>
              <w:szCs w:val="22"/>
              <w:lang w:val="es-ES"/>
            </w:rPr>
            <m:t>ó</m:t>
          </m:r>
          <m:r>
            <w:rPr>
              <w:rFonts w:ascii="Cambria Math" w:eastAsia="Times New Roman" w:hAnsi="Cambria Math"/>
              <w:color w:val="auto"/>
              <w:szCs w:val="22"/>
              <w:lang w:val="es-ES"/>
            </w:rPr>
            <m:t>n de ETM desbloqueados en CAC</m:t>
          </m:r>
          <m:r>
            <m:rPr>
              <m:sty m:val="p"/>
            </m:rPr>
            <w:rPr>
              <w:rFonts w:ascii="Cambria Math" w:eastAsia="Times New Roman" w:hAnsi="Cambria Math"/>
              <w:color w:val="auto"/>
              <w:szCs w:val="22"/>
              <w:lang w:val="es-ES"/>
            </w:rPr>
            <m:t>=</m:t>
          </m:r>
          <m:f>
            <m:fPr>
              <m:ctrlPr>
                <w:rPr>
                  <w:rFonts w:ascii="Cambria Math" w:eastAsia="Times New Roman" w:hAnsi="Cambria Math"/>
                  <w:color w:val="auto"/>
                  <w:szCs w:val="22"/>
                  <w:lang w:val="es-ES"/>
                </w:rPr>
              </m:ctrlPr>
            </m:fPr>
            <m:num>
              <m:r>
                <w:rPr>
                  <w:rFonts w:ascii="Cambria Math" w:eastAsia="Times New Roman" w:hAnsi="Cambria Math"/>
                  <w:color w:val="auto"/>
                  <w:szCs w:val="22"/>
                  <w:lang w:val="es-ES"/>
                </w:rPr>
                <m:t>ETM DCA</m:t>
              </m:r>
            </m:num>
            <m:den>
              <m:r>
                <w:rPr>
                  <w:rFonts w:ascii="Cambria Math" w:eastAsia="Times New Roman" w:hAnsi="Cambria Math"/>
                  <w:color w:val="auto"/>
                  <w:szCs w:val="22"/>
                  <w:lang w:val="es-ES"/>
                </w:rPr>
                <m:t>SD CA</m:t>
              </m:r>
            </m:den>
          </m:f>
          <m:r>
            <w:rPr>
              <w:rFonts w:ascii="Cambria Math" w:eastAsia="Times New Roman" w:hAnsi="Cambria Math"/>
              <w:color w:val="auto"/>
              <w:szCs w:val="22"/>
              <w:lang w:val="es-ES"/>
            </w:rPr>
            <m:t>x100[%]</m:t>
          </m:r>
        </m:oMath>
      </m:oMathPara>
    </w:p>
    <w:p w14:paraId="68D33A16" w14:textId="77777777" w:rsidR="004F2A06" w:rsidRPr="0061691A" w:rsidRDefault="004F2A06" w:rsidP="009E01FC">
      <w:pPr>
        <w:pStyle w:val="Normal1"/>
        <w:rPr>
          <w:rFonts w:eastAsia="Times New Roman"/>
          <w:color w:val="auto"/>
          <w:szCs w:val="22"/>
          <w:lang w:val="es-ES"/>
        </w:rPr>
      </w:pPr>
    </w:p>
    <w:p w14:paraId="0A683C1B" w14:textId="77777777" w:rsidR="004F2A06" w:rsidRPr="0061691A" w:rsidRDefault="004F2A06" w:rsidP="009E01FC">
      <w:pPr>
        <w:pStyle w:val="Normal1"/>
        <w:ind w:firstLine="720"/>
        <w:outlineLvl w:val="0"/>
        <w:rPr>
          <w:rFonts w:eastAsia="Times New Roman"/>
          <w:color w:val="auto"/>
          <w:szCs w:val="22"/>
          <w:lang w:val="es-ES"/>
        </w:rPr>
      </w:pPr>
      <w:r w:rsidRPr="0061691A">
        <w:rPr>
          <w:rFonts w:eastAsia="Times New Roman"/>
          <w:color w:val="auto"/>
          <w:szCs w:val="22"/>
          <w:lang w:val="es-ES"/>
        </w:rPr>
        <w:t>Donde</w:t>
      </w:r>
      <w:r>
        <w:rPr>
          <w:rFonts w:eastAsia="Times New Roman"/>
          <w:color w:val="auto"/>
          <w:szCs w:val="22"/>
          <w:lang w:val="es-ES"/>
        </w:rPr>
        <w:t>,</w:t>
      </w:r>
    </w:p>
    <w:p w14:paraId="5BD69C24" w14:textId="62E520F7" w:rsidR="004F2A06" w:rsidRPr="0061691A" w:rsidRDefault="004F2A06" w:rsidP="009E01FC">
      <w:pPr>
        <w:pStyle w:val="Normal1"/>
        <w:ind w:left="720"/>
        <w:jc w:val="both"/>
        <w:rPr>
          <w:rFonts w:eastAsia="ITC Avant Garde"/>
          <w:szCs w:val="22"/>
        </w:rPr>
      </w:pPr>
      <w:r>
        <w:rPr>
          <w:rFonts w:eastAsia="Times New Roman"/>
          <w:i/>
          <w:iCs/>
          <w:color w:val="auto"/>
          <w:szCs w:val="22"/>
          <w:lang w:val="es-ES"/>
        </w:rPr>
        <w:t>ETM DCA</w:t>
      </w:r>
      <w:r w:rsidRPr="0061691A">
        <w:rPr>
          <w:rFonts w:eastAsia="Times New Roman"/>
          <w:color w:val="auto"/>
          <w:szCs w:val="22"/>
          <w:lang w:val="es-ES"/>
        </w:rPr>
        <w:t>, es el total de</w:t>
      </w:r>
      <w:r>
        <w:rPr>
          <w:rFonts w:eastAsia="ITC Avant Garde"/>
          <w:szCs w:val="22"/>
        </w:rPr>
        <w:t xml:space="preserve"> </w:t>
      </w:r>
      <w:r w:rsidRPr="006F6B8C">
        <w:rPr>
          <w:rFonts w:eastAsia="ITC Avant Garde"/>
        </w:rPr>
        <w:t>Equipo</w:t>
      </w:r>
      <w:r>
        <w:rPr>
          <w:rFonts w:eastAsia="ITC Avant Garde"/>
        </w:rPr>
        <w:t>s</w:t>
      </w:r>
      <w:r w:rsidRPr="006F6B8C">
        <w:rPr>
          <w:rFonts w:eastAsia="ITC Avant Garde"/>
        </w:rPr>
        <w:t xml:space="preserve"> Terminal</w:t>
      </w:r>
      <w:r>
        <w:rPr>
          <w:rFonts w:eastAsia="ITC Avant Garde"/>
        </w:rPr>
        <w:t>es</w:t>
      </w:r>
      <w:r w:rsidRPr="006F6B8C">
        <w:rPr>
          <w:rFonts w:eastAsia="ITC Avant Garde"/>
        </w:rPr>
        <w:t xml:space="preserve"> Móvil</w:t>
      </w:r>
      <w:r>
        <w:rPr>
          <w:rFonts w:eastAsia="ITC Avant Garde"/>
        </w:rPr>
        <w:t>es</w:t>
      </w:r>
      <w:r w:rsidRPr="006F6B8C">
        <w:rPr>
          <w:rFonts w:eastAsia="ITC Avant Garde"/>
        </w:rPr>
        <w:t xml:space="preserve"> </w:t>
      </w:r>
      <w:r>
        <w:rPr>
          <w:rFonts w:eastAsia="ITC Avant Garde"/>
        </w:rPr>
        <w:t>desbloqueados</w:t>
      </w:r>
      <w:r w:rsidR="00E67E92">
        <w:rPr>
          <w:rFonts w:eastAsia="ITC Avant Garde"/>
        </w:rPr>
        <w:t xml:space="preserve"> en</w:t>
      </w:r>
      <w:r>
        <w:rPr>
          <w:rFonts w:eastAsia="ITC Avant Garde"/>
        </w:rPr>
        <w:t xml:space="preserve"> </w:t>
      </w:r>
      <w:r w:rsidR="00092B4A">
        <w:rPr>
          <w:rFonts w:eastAsia="ITC Avant Garde"/>
          <w:szCs w:val="22"/>
        </w:rPr>
        <w:t>los cen</w:t>
      </w:r>
      <w:r>
        <w:rPr>
          <w:rFonts w:eastAsia="ITC Avant Garde"/>
          <w:szCs w:val="22"/>
        </w:rPr>
        <w:t>tro</w:t>
      </w:r>
      <w:r w:rsidR="00092B4A">
        <w:rPr>
          <w:rFonts w:eastAsia="ITC Avant Garde"/>
          <w:szCs w:val="22"/>
        </w:rPr>
        <w:t>s</w:t>
      </w:r>
      <w:r>
        <w:rPr>
          <w:rFonts w:eastAsia="ITC Avant Garde"/>
          <w:szCs w:val="22"/>
        </w:rPr>
        <w:t xml:space="preserve"> de </w:t>
      </w:r>
      <w:r w:rsidR="00092B4A">
        <w:rPr>
          <w:rFonts w:eastAsia="ITC Avant Garde"/>
          <w:szCs w:val="22"/>
        </w:rPr>
        <w:t>a</w:t>
      </w:r>
      <w:r>
        <w:rPr>
          <w:rFonts w:eastAsia="ITC Avant Garde"/>
          <w:szCs w:val="22"/>
        </w:rPr>
        <w:t xml:space="preserve">tención a </w:t>
      </w:r>
      <w:r w:rsidR="00092B4A">
        <w:rPr>
          <w:rFonts w:eastAsia="ITC Avant Garde"/>
          <w:szCs w:val="22"/>
        </w:rPr>
        <w:t>c</w:t>
      </w:r>
      <w:r>
        <w:rPr>
          <w:rFonts w:eastAsia="ITC Avant Garde"/>
          <w:szCs w:val="22"/>
        </w:rPr>
        <w:t>lientes</w:t>
      </w:r>
      <w:r w:rsidR="0099577B">
        <w:rPr>
          <w:rFonts w:eastAsia="ITC Avant Garde"/>
          <w:szCs w:val="22"/>
        </w:rPr>
        <w:t xml:space="preserve"> del</w:t>
      </w:r>
      <w:r>
        <w:rPr>
          <w:rFonts w:eastAsia="ITC Avant Garde"/>
          <w:szCs w:val="22"/>
        </w:rPr>
        <w:t xml:space="preserve"> </w:t>
      </w:r>
      <w:r w:rsidR="0099577B">
        <w:rPr>
          <w:rFonts w:eastAsia="Times New Roman"/>
          <w:szCs w:val="22"/>
          <w:lang w:eastAsia="es-MX"/>
        </w:rPr>
        <w:t>Prestador de Servicio Móvil</w:t>
      </w:r>
      <w:r w:rsidR="0099577B">
        <w:rPr>
          <w:rFonts w:eastAsia="ITC Avant Garde"/>
          <w:szCs w:val="22"/>
        </w:rPr>
        <w:t xml:space="preserve"> </w:t>
      </w:r>
      <w:r>
        <w:rPr>
          <w:rFonts w:eastAsia="ITC Avant Garde"/>
          <w:szCs w:val="22"/>
        </w:rPr>
        <w:t>de manera inmediata y</w:t>
      </w:r>
      <w:r w:rsidRPr="0061691A">
        <w:rPr>
          <w:rFonts w:eastAsia="ITC Avant Garde"/>
          <w:szCs w:val="22"/>
        </w:rPr>
        <w:t>,</w:t>
      </w:r>
    </w:p>
    <w:p w14:paraId="53310418" w14:textId="248C6C86" w:rsidR="004F2A06" w:rsidRPr="0061691A" w:rsidRDefault="007C02A9" w:rsidP="009E01FC">
      <w:pPr>
        <w:pStyle w:val="Normal1"/>
        <w:ind w:left="720"/>
        <w:jc w:val="both"/>
        <w:rPr>
          <w:rFonts w:eastAsia="ITC Avant Garde"/>
          <w:szCs w:val="22"/>
        </w:rPr>
      </w:pPr>
      <w:r>
        <w:rPr>
          <w:rFonts w:eastAsia="Times New Roman"/>
          <w:i/>
          <w:iCs/>
          <w:szCs w:val="22"/>
          <w:lang w:eastAsia="es-MX"/>
        </w:rPr>
        <w:t>SD CA</w:t>
      </w:r>
      <w:r w:rsidR="004F2A06" w:rsidRPr="0061691A">
        <w:rPr>
          <w:rFonts w:eastAsia="Times New Roman"/>
          <w:szCs w:val="22"/>
          <w:lang w:eastAsia="es-MX"/>
        </w:rPr>
        <w:t xml:space="preserve">, es el total </w:t>
      </w:r>
      <w:r w:rsidR="004F2A06">
        <w:rPr>
          <w:rFonts w:eastAsia="Times New Roman"/>
          <w:szCs w:val="22"/>
          <w:lang w:eastAsia="es-MX"/>
        </w:rPr>
        <w:t xml:space="preserve">de </w:t>
      </w:r>
      <w:r>
        <w:rPr>
          <w:rFonts w:eastAsia="Times New Roman"/>
          <w:szCs w:val="22"/>
          <w:lang w:eastAsia="es-MX"/>
        </w:rPr>
        <w:t>solicitudes de desbloqueo</w:t>
      </w:r>
      <w:r w:rsidR="00092B4A">
        <w:rPr>
          <w:rFonts w:eastAsia="Times New Roman"/>
          <w:szCs w:val="22"/>
          <w:lang w:eastAsia="es-MX"/>
        </w:rPr>
        <w:t xml:space="preserve"> recibidas en los centros de atención a clientes del Prestador de Servicio Móvil</w:t>
      </w:r>
      <w:r>
        <w:rPr>
          <w:rFonts w:eastAsia="Times New Roman"/>
          <w:szCs w:val="22"/>
          <w:lang w:eastAsia="es-MX"/>
        </w:rPr>
        <w:t>.</w:t>
      </w:r>
    </w:p>
    <w:p w14:paraId="05FACC71" w14:textId="77777777" w:rsidR="004F2A06" w:rsidRPr="00A8704D" w:rsidRDefault="004F2A06" w:rsidP="009E01FC">
      <w:pPr>
        <w:pStyle w:val="Prrafodelista"/>
        <w:spacing w:line="276" w:lineRule="auto"/>
        <w:ind w:left="567"/>
        <w:mirrorIndents/>
        <w:jc w:val="both"/>
        <w:rPr>
          <w:rFonts w:cs="Arial"/>
          <w:sz w:val="22"/>
          <w:szCs w:val="22"/>
          <w:lang w:val="es-MX" w:eastAsia="en-US"/>
        </w:rPr>
      </w:pPr>
    </w:p>
    <w:p w14:paraId="2EB06954" w14:textId="2EB735EB" w:rsidR="00FB7A41" w:rsidRPr="00757F87" w:rsidRDefault="006F673F" w:rsidP="009E01FC">
      <w:pPr>
        <w:pStyle w:val="Prrafodelista"/>
        <w:numPr>
          <w:ilvl w:val="0"/>
          <w:numId w:val="20"/>
        </w:numPr>
        <w:spacing w:line="276" w:lineRule="auto"/>
        <w:ind w:left="567" w:hanging="567"/>
        <w:mirrorIndents/>
        <w:jc w:val="both"/>
        <w:rPr>
          <w:rFonts w:cs="Arial"/>
          <w:sz w:val="22"/>
          <w:szCs w:val="22"/>
        </w:rPr>
      </w:pPr>
      <w:r w:rsidRPr="00757F87">
        <w:rPr>
          <w:rFonts w:cs="Arial"/>
          <w:sz w:val="22"/>
          <w:szCs w:val="22"/>
        </w:rPr>
        <w:t xml:space="preserve">Proporción de </w:t>
      </w:r>
      <w:r w:rsidR="00FB7A41" w:rsidRPr="00757F87">
        <w:rPr>
          <w:rFonts w:cs="Arial"/>
          <w:sz w:val="22"/>
          <w:szCs w:val="22"/>
        </w:rPr>
        <w:t xml:space="preserve">Códigos de Desbloqueo enviados </w:t>
      </w:r>
      <w:r w:rsidRPr="00757F87">
        <w:rPr>
          <w:rFonts w:cs="Arial"/>
          <w:sz w:val="22"/>
          <w:szCs w:val="22"/>
        </w:rPr>
        <w:t xml:space="preserve">en un máximo de </w:t>
      </w:r>
      <w:r w:rsidR="000D6CF2" w:rsidRPr="00757F87">
        <w:rPr>
          <w:rFonts w:cs="Arial"/>
          <w:sz w:val="22"/>
          <w:szCs w:val="22"/>
        </w:rPr>
        <w:t xml:space="preserve">24 horas: </w:t>
      </w:r>
      <w:r w:rsidR="000C3DA9" w:rsidRPr="00757F87">
        <w:rPr>
          <w:rFonts w:cs="Arial"/>
          <w:color w:val="000000"/>
          <w:sz w:val="22"/>
          <w:szCs w:val="22"/>
          <w:shd w:val="clear" w:color="auto" w:fill="FFFFFF"/>
        </w:rPr>
        <w:t xml:space="preserve">mayor o igual al </w:t>
      </w:r>
      <w:r w:rsidR="008D6449" w:rsidRPr="00757F87">
        <w:rPr>
          <w:rFonts w:cs="Arial"/>
          <w:color w:val="000000"/>
          <w:sz w:val="22"/>
          <w:szCs w:val="22"/>
          <w:shd w:val="clear" w:color="auto" w:fill="FFFFFF"/>
          <w:lang w:eastAsia="es-MX"/>
        </w:rPr>
        <w:t>97</w:t>
      </w:r>
      <w:r w:rsidR="000C3DA9" w:rsidRPr="00757F87">
        <w:rPr>
          <w:rFonts w:cs="Arial"/>
          <w:color w:val="000000"/>
          <w:sz w:val="22"/>
          <w:szCs w:val="22"/>
          <w:shd w:val="clear" w:color="auto" w:fill="FFFFFF"/>
          <w:lang w:eastAsia="es-MX"/>
        </w:rPr>
        <w:t>%.</w:t>
      </w:r>
    </w:p>
    <w:p w14:paraId="2B8FC439" w14:textId="49DB70C9" w:rsidR="00757F87" w:rsidRDefault="00757F87" w:rsidP="009E01FC">
      <w:pPr>
        <w:pStyle w:val="Prrafodelista"/>
        <w:spacing w:line="276" w:lineRule="auto"/>
        <w:ind w:left="567"/>
        <w:mirrorIndents/>
        <w:jc w:val="both"/>
        <w:rPr>
          <w:rFonts w:cs="Arial"/>
          <w:sz w:val="22"/>
          <w:szCs w:val="22"/>
        </w:rPr>
      </w:pPr>
      <w:r w:rsidRPr="00757F87">
        <w:rPr>
          <w:rFonts w:cs="Arial"/>
          <w:sz w:val="22"/>
          <w:szCs w:val="22"/>
        </w:rPr>
        <w:t>Para determinar el cumplimiento de este índice se utilizará la siguiente fórmula:</w:t>
      </w:r>
    </w:p>
    <w:p w14:paraId="6BB41926" w14:textId="77777777" w:rsidR="00B01E93" w:rsidRDefault="00B01E93" w:rsidP="009E01FC">
      <w:pPr>
        <w:pStyle w:val="Prrafodelista"/>
        <w:spacing w:line="276" w:lineRule="auto"/>
        <w:ind w:left="567"/>
        <w:mirrorIndents/>
        <w:jc w:val="both"/>
        <w:rPr>
          <w:rFonts w:cs="Arial"/>
          <w:sz w:val="22"/>
          <w:szCs w:val="22"/>
          <w:lang w:eastAsia="en-US"/>
        </w:rPr>
      </w:pPr>
    </w:p>
    <w:p w14:paraId="7735BAF1" w14:textId="14323BED" w:rsidR="00B01E93" w:rsidRPr="0061691A" w:rsidRDefault="00B01E93" w:rsidP="009E01FC">
      <w:pPr>
        <w:pStyle w:val="Normal1"/>
        <w:ind w:left="720"/>
        <w:contextualSpacing/>
        <w:jc w:val="both"/>
        <w:rPr>
          <w:rFonts w:eastAsia="Times New Roman"/>
          <w:color w:val="auto"/>
          <w:szCs w:val="22"/>
          <w:lang w:val="es-ES"/>
        </w:rPr>
      </w:pPr>
      <m:oMathPara>
        <m:oMath>
          <m:r>
            <w:rPr>
              <w:rFonts w:ascii="Cambria Math" w:eastAsia="Times New Roman" w:hAnsi="Cambria Math"/>
              <w:color w:val="auto"/>
              <w:szCs w:val="22"/>
              <w:lang w:val="es-ES"/>
            </w:rPr>
            <m:t>Proporci</m:t>
          </m:r>
          <m:r>
            <m:rPr>
              <m:sty m:val="p"/>
            </m:rPr>
            <w:rPr>
              <w:rFonts w:ascii="Cambria Math" w:eastAsia="Times New Roman" w:hAnsi="Cambria Math"/>
              <w:color w:val="auto"/>
              <w:szCs w:val="22"/>
              <w:lang w:val="es-ES"/>
            </w:rPr>
            <m:t>ó</m:t>
          </m:r>
          <m:r>
            <w:rPr>
              <w:rFonts w:ascii="Cambria Math" w:eastAsia="Times New Roman" w:hAnsi="Cambria Math"/>
              <w:color w:val="auto"/>
              <w:szCs w:val="22"/>
              <w:lang w:val="es-ES"/>
            </w:rPr>
            <m:t>n de Códigos de desbloqueo enviados</m:t>
          </m:r>
          <m:r>
            <m:rPr>
              <m:sty m:val="p"/>
            </m:rPr>
            <w:rPr>
              <w:rFonts w:ascii="Cambria Math" w:eastAsia="Times New Roman" w:hAnsi="Cambria Math"/>
              <w:color w:val="auto"/>
              <w:szCs w:val="22"/>
              <w:lang w:val="es-ES"/>
            </w:rPr>
            <m:t>=</m:t>
          </m:r>
          <m:f>
            <m:fPr>
              <m:ctrlPr>
                <w:rPr>
                  <w:rFonts w:ascii="Cambria Math" w:eastAsia="Times New Roman" w:hAnsi="Cambria Math"/>
                  <w:color w:val="auto"/>
                  <w:szCs w:val="22"/>
                  <w:lang w:val="es-ES"/>
                </w:rPr>
              </m:ctrlPr>
            </m:fPr>
            <m:num>
              <m:r>
                <w:rPr>
                  <w:rFonts w:ascii="Cambria Math" w:eastAsia="Times New Roman" w:hAnsi="Cambria Math"/>
                  <w:color w:val="auto"/>
                  <w:szCs w:val="22"/>
                  <w:lang w:val="es-ES"/>
                </w:rPr>
                <m:t xml:space="preserve">CD </m:t>
              </m:r>
            </m:num>
            <m:den>
              <m:r>
                <w:rPr>
                  <w:rFonts w:ascii="Cambria Math" w:eastAsia="Times New Roman" w:hAnsi="Cambria Math"/>
                  <w:color w:val="auto"/>
                  <w:szCs w:val="22"/>
                  <w:lang w:val="es-ES"/>
                </w:rPr>
                <m:t>SD ME</m:t>
              </m:r>
            </m:den>
          </m:f>
          <m:r>
            <w:rPr>
              <w:rFonts w:ascii="Cambria Math" w:eastAsia="Times New Roman" w:hAnsi="Cambria Math"/>
              <w:color w:val="auto"/>
              <w:szCs w:val="22"/>
              <w:lang w:val="es-ES"/>
            </w:rPr>
            <m:t>x100[%]</m:t>
          </m:r>
        </m:oMath>
      </m:oMathPara>
    </w:p>
    <w:p w14:paraId="6351B54C" w14:textId="77777777" w:rsidR="00B01E93" w:rsidRPr="0061691A" w:rsidRDefault="00B01E93" w:rsidP="009E01FC">
      <w:pPr>
        <w:pStyle w:val="Normal1"/>
        <w:rPr>
          <w:rFonts w:eastAsia="Times New Roman"/>
          <w:color w:val="auto"/>
          <w:szCs w:val="22"/>
          <w:lang w:val="es-ES"/>
        </w:rPr>
      </w:pPr>
    </w:p>
    <w:p w14:paraId="50A5074A" w14:textId="77777777" w:rsidR="00B01E93" w:rsidRPr="0061691A" w:rsidRDefault="00B01E93" w:rsidP="009E01FC">
      <w:pPr>
        <w:pStyle w:val="Normal1"/>
        <w:ind w:firstLine="720"/>
        <w:outlineLvl w:val="0"/>
        <w:rPr>
          <w:rFonts w:eastAsia="Times New Roman"/>
          <w:color w:val="auto"/>
          <w:szCs w:val="22"/>
          <w:lang w:val="es-ES"/>
        </w:rPr>
      </w:pPr>
      <w:r w:rsidRPr="0061691A">
        <w:rPr>
          <w:rFonts w:eastAsia="Times New Roman"/>
          <w:color w:val="auto"/>
          <w:szCs w:val="22"/>
          <w:lang w:val="es-ES"/>
        </w:rPr>
        <w:t>Donde</w:t>
      </w:r>
      <w:r>
        <w:rPr>
          <w:rFonts w:eastAsia="Times New Roman"/>
          <w:color w:val="auto"/>
          <w:szCs w:val="22"/>
          <w:lang w:val="es-ES"/>
        </w:rPr>
        <w:t>,</w:t>
      </w:r>
    </w:p>
    <w:p w14:paraId="66158430" w14:textId="1DC49008" w:rsidR="00B01E93" w:rsidRPr="0061691A" w:rsidRDefault="0039531C" w:rsidP="009E01FC">
      <w:pPr>
        <w:pStyle w:val="Normal1"/>
        <w:ind w:left="720"/>
        <w:jc w:val="both"/>
        <w:rPr>
          <w:rFonts w:eastAsia="ITC Avant Garde"/>
          <w:szCs w:val="22"/>
        </w:rPr>
      </w:pPr>
      <w:r>
        <w:rPr>
          <w:rFonts w:eastAsia="Times New Roman"/>
          <w:i/>
          <w:iCs/>
          <w:color w:val="auto"/>
          <w:szCs w:val="22"/>
          <w:lang w:val="es-ES"/>
        </w:rPr>
        <w:t>CD</w:t>
      </w:r>
      <w:r w:rsidR="00B01E93" w:rsidRPr="0061691A">
        <w:rPr>
          <w:rFonts w:eastAsia="Times New Roman"/>
          <w:color w:val="auto"/>
          <w:szCs w:val="22"/>
          <w:lang w:val="es-ES"/>
        </w:rPr>
        <w:t>, es el total de</w:t>
      </w:r>
      <w:r w:rsidR="00B01E93">
        <w:rPr>
          <w:rFonts w:eastAsia="ITC Avant Garde"/>
          <w:szCs w:val="22"/>
        </w:rPr>
        <w:t xml:space="preserve"> </w:t>
      </w:r>
      <w:r>
        <w:rPr>
          <w:rFonts w:eastAsia="ITC Avant Garde"/>
          <w:szCs w:val="22"/>
        </w:rPr>
        <w:t>Códigos de desbloqueo enviados en un máximo de 24 horas y,</w:t>
      </w:r>
    </w:p>
    <w:p w14:paraId="627D0B43" w14:textId="73CBCB42" w:rsidR="00B01E93" w:rsidRPr="0061691A" w:rsidRDefault="00B01E93" w:rsidP="009E01FC">
      <w:pPr>
        <w:pStyle w:val="Normal1"/>
        <w:ind w:left="720"/>
        <w:jc w:val="both"/>
        <w:rPr>
          <w:rFonts w:eastAsia="ITC Avant Garde"/>
          <w:szCs w:val="22"/>
        </w:rPr>
      </w:pPr>
      <w:r>
        <w:rPr>
          <w:rFonts w:eastAsia="Times New Roman"/>
          <w:i/>
          <w:iCs/>
          <w:szCs w:val="22"/>
          <w:lang w:eastAsia="es-MX"/>
        </w:rPr>
        <w:lastRenderedPageBreak/>
        <w:t xml:space="preserve">SD </w:t>
      </w:r>
      <w:r w:rsidR="0039531C">
        <w:rPr>
          <w:rFonts w:eastAsia="Times New Roman"/>
          <w:i/>
          <w:iCs/>
          <w:szCs w:val="22"/>
          <w:lang w:eastAsia="es-MX"/>
        </w:rPr>
        <w:t>ME</w:t>
      </w:r>
      <w:r w:rsidRPr="0061691A">
        <w:rPr>
          <w:rFonts w:eastAsia="Times New Roman"/>
          <w:szCs w:val="22"/>
          <w:lang w:eastAsia="es-MX"/>
        </w:rPr>
        <w:t xml:space="preserve">, es el total </w:t>
      </w:r>
      <w:r>
        <w:rPr>
          <w:rFonts w:eastAsia="Times New Roman"/>
          <w:szCs w:val="22"/>
          <w:lang w:eastAsia="es-MX"/>
        </w:rPr>
        <w:t xml:space="preserve">de solicitudes de desbloqueo recibidas </w:t>
      </w:r>
      <w:r w:rsidR="0039531C">
        <w:rPr>
          <w:rFonts w:eastAsia="Times New Roman"/>
          <w:color w:val="2F2F2F"/>
          <w:lang w:eastAsia="es-MX"/>
        </w:rPr>
        <w:t xml:space="preserve">a través </w:t>
      </w:r>
      <w:r w:rsidR="0039531C">
        <w:rPr>
          <w:rFonts w:eastAsia="ITC Avant Garde"/>
        </w:rPr>
        <w:t>del número telefónico de atención a clientes</w:t>
      </w:r>
      <w:r w:rsidR="0039531C" w:rsidRPr="00A506CE">
        <w:rPr>
          <w:rFonts w:eastAsia="ITC Avant Garde"/>
        </w:rPr>
        <w:t xml:space="preserve"> </w:t>
      </w:r>
      <w:r w:rsidR="0039531C">
        <w:rPr>
          <w:rFonts w:eastAsia="ITC Avant Garde"/>
        </w:rPr>
        <w:t>o</w:t>
      </w:r>
      <w:r w:rsidR="0039531C">
        <w:rPr>
          <w:rFonts w:eastAsia="Times New Roman"/>
          <w:color w:val="2F2F2F"/>
          <w:lang w:eastAsia="es-MX"/>
        </w:rPr>
        <w:t xml:space="preserve"> medios electrónicos</w:t>
      </w:r>
      <w:r w:rsidR="003A0378">
        <w:rPr>
          <w:rFonts w:eastAsia="Times New Roman"/>
          <w:color w:val="2F2F2F"/>
          <w:lang w:eastAsia="es-MX"/>
        </w:rPr>
        <w:t xml:space="preserve"> </w:t>
      </w:r>
      <w:r w:rsidR="003A0378">
        <w:rPr>
          <w:rFonts w:eastAsia="Times New Roman"/>
          <w:szCs w:val="22"/>
          <w:lang w:eastAsia="es-MX"/>
        </w:rPr>
        <w:t>del Prestador de Servicio Móvil</w:t>
      </w:r>
      <w:r>
        <w:rPr>
          <w:rFonts w:eastAsia="Times New Roman"/>
          <w:szCs w:val="22"/>
          <w:lang w:eastAsia="es-MX"/>
        </w:rPr>
        <w:t>.</w:t>
      </w:r>
    </w:p>
    <w:p w14:paraId="0282B706" w14:textId="77777777" w:rsidR="00B01E93" w:rsidRPr="00A8704D" w:rsidRDefault="00B01E93" w:rsidP="00757F87">
      <w:pPr>
        <w:pStyle w:val="Prrafodelista"/>
        <w:spacing w:line="276" w:lineRule="auto"/>
        <w:ind w:left="567"/>
        <w:mirrorIndents/>
        <w:jc w:val="both"/>
        <w:rPr>
          <w:rFonts w:cs="Arial"/>
          <w:sz w:val="22"/>
          <w:szCs w:val="22"/>
          <w:lang w:val="es-MX"/>
        </w:rPr>
      </w:pPr>
    </w:p>
    <w:p w14:paraId="68AFA0B9" w14:textId="79399582" w:rsidR="00071534" w:rsidRPr="00757F87" w:rsidRDefault="00587D76" w:rsidP="007E23CC">
      <w:pPr>
        <w:spacing w:after="0"/>
        <w:contextualSpacing/>
        <w:mirrorIndents/>
        <w:jc w:val="both"/>
        <w:rPr>
          <w:rFonts w:ascii="Arial" w:eastAsia="ITC Avant Garde" w:hAnsi="Arial" w:cs="Arial"/>
        </w:rPr>
      </w:pPr>
      <w:r w:rsidRPr="00757F87">
        <w:rPr>
          <w:rFonts w:ascii="Arial" w:hAnsi="Arial" w:cs="Arial"/>
          <w:b/>
          <w:bCs/>
        </w:rPr>
        <w:t>Décimo</w:t>
      </w:r>
      <w:r w:rsidR="00071534" w:rsidRPr="00757F87">
        <w:rPr>
          <w:rFonts w:ascii="Arial" w:hAnsi="Arial" w:cs="Arial"/>
          <w:b/>
          <w:bCs/>
        </w:rPr>
        <w:t xml:space="preserve"> </w:t>
      </w:r>
      <w:proofErr w:type="gramStart"/>
      <w:r w:rsidR="00282A18" w:rsidRPr="00757F87">
        <w:rPr>
          <w:rFonts w:ascii="Arial" w:hAnsi="Arial" w:cs="Arial"/>
          <w:b/>
          <w:bCs/>
        </w:rPr>
        <w:t>Octavo</w:t>
      </w:r>
      <w:r w:rsidRPr="00757F87">
        <w:rPr>
          <w:rFonts w:ascii="Arial" w:hAnsi="Arial" w:cs="Arial"/>
          <w:b/>
          <w:bCs/>
        </w:rPr>
        <w:t>.-</w:t>
      </w:r>
      <w:proofErr w:type="gramEnd"/>
      <w:r w:rsidRPr="00757F87">
        <w:rPr>
          <w:rFonts w:ascii="Arial" w:hAnsi="Arial" w:cs="Arial"/>
          <w:b/>
          <w:bCs/>
        </w:rPr>
        <w:t xml:space="preserve"> </w:t>
      </w:r>
      <w:r w:rsidR="00071534" w:rsidRPr="00757F87">
        <w:rPr>
          <w:rFonts w:ascii="Arial" w:eastAsia="ITC Avant Garde" w:hAnsi="Arial" w:cs="Arial"/>
        </w:rPr>
        <w:t>El Instituto verificará y supervisará el cumplimiento de las obligaciones establecidas en los Lineamientos de conformidad con lo dispuesto en el Título Décimo Cuarto de la Ley.</w:t>
      </w:r>
    </w:p>
    <w:p w14:paraId="34B5D90A" w14:textId="77777777" w:rsidR="00071534" w:rsidRPr="00D77051" w:rsidRDefault="00071534" w:rsidP="007E23CC">
      <w:pPr>
        <w:spacing w:after="0"/>
        <w:contextualSpacing/>
        <w:mirrorIndents/>
        <w:jc w:val="both"/>
        <w:rPr>
          <w:rFonts w:ascii="Arial" w:eastAsia="ITC Avant Garde" w:hAnsi="Arial" w:cs="Arial"/>
        </w:rPr>
      </w:pPr>
    </w:p>
    <w:p w14:paraId="3F541A77" w14:textId="60576F01" w:rsidR="003173FD" w:rsidRDefault="00587D76" w:rsidP="007E23CC">
      <w:pPr>
        <w:spacing w:after="0"/>
        <w:contextualSpacing/>
        <w:mirrorIndents/>
        <w:jc w:val="both"/>
        <w:rPr>
          <w:rFonts w:ascii="Arial" w:eastAsia="ITC Avant Garde" w:hAnsi="Arial" w:cs="Arial"/>
        </w:rPr>
      </w:pPr>
      <w:r w:rsidRPr="00D77051">
        <w:rPr>
          <w:rFonts w:ascii="Arial" w:eastAsia="ITC Avant Garde" w:hAnsi="Arial" w:cs="Arial"/>
          <w:b/>
          <w:bCs/>
        </w:rPr>
        <w:t xml:space="preserve">Décimo </w:t>
      </w:r>
      <w:proofErr w:type="gramStart"/>
      <w:r w:rsidR="00282A18">
        <w:rPr>
          <w:rFonts w:ascii="Arial" w:eastAsia="ITC Avant Garde" w:hAnsi="Arial" w:cs="Arial"/>
          <w:b/>
          <w:bCs/>
        </w:rPr>
        <w:t>Noveno</w:t>
      </w:r>
      <w:r w:rsidRPr="00D77051">
        <w:rPr>
          <w:rFonts w:ascii="Arial" w:eastAsia="ITC Avant Garde" w:hAnsi="Arial" w:cs="Arial"/>
        </w:rPr>
        <w:t>.-</w:t>
      </w:r>
      <w:proofErr w:type="gramEnd"/>
      <w:r w:rsidR="00071534" w:rsidRPr="00D77051">
        <w:rPr>
          <w:rFonts w:ascii="Arial" w:eastAsia="ITC Avant Garde" w:hAnsi="Arial" w:cs="Arial"/>
          <w:b/>
          <w:bCs/>
        </w:rPr>
        <w:t xml:space="preserve"> </w:t>
      </w:r>
      <w:r w:rsidR="00071534" w:rsidRPr="00D77051">
        <w:rPr>
          <w:rFonts w:ascii="Arial" w:eastAsia="ITC Avant Garde" w:hAnsi="Arial" w:cs="Arial"/>
        </w:rPr>
        <w:t xml:space="preserve">El incumplimiento a lo dispuesto en los presentes Lineamientos será sancionado por el Instituto en términos de lo establecido en la Ley, sin perjuicio de la competencia que tengan otras autoridades.  </w:t>
      </w:r>
    </w:p>
    <w:p w14:paraId="544019F5" w14:textId="77777777" w:rsidR="003173FD" w:rsidRDefault="003173FD">
      <w:pPr>
        <w:spacing w:after="160" w:line="259" w:lineRule="auto"/>
        <w:rPr>
          <w:rFonts w:ascii="Arial" w:eastAsia="ITC Avant Garde" w:hAnsi="Arial" w:cs="Arial"/>
        </w:rPr>
      </w:pPr>
      <w:r>
        <w:rPr>
          <w:rFonts w:ascii="Arial" w:eastAsia="ITC Avant Garde" w:hAnsi="Arial" w:cs="Arial"/>
        </w:rPr>
        <w:br w:type="page"/>
      </w:r>
    </w:p>
    <w:p w14:paraId="3B12EE12" w14:textId="259F2266" w:rsidR="00071534" w:rsidRPr="00F85B39" w:rsidRDefault="00410F99" w:rsidP="007E23CC">
      <w:pPr>
        <w:spacing w:after="0"/>
        <w:contextualSpacing/>
        <w:mirrorIndents/>
        <w:jc w:val="center"/>
        <w:rPr>
          <w:rFonts w:ascii="Arial" w:hAnsi="Arial" w:cs="Arial"/>
          <w:b/>
          <w:bCs/>
          <w:color w:val="000000"/>
          <w:lang w:eastAsia="es-MX"/>
        </w:rPr>
      </w:pPr>
      <w:r w:rsidRPr="00F85B39">
        <w:rPr>
          <w:rFonts w:ascii="Arial" w:hAnsi="Arial" w:cs="Arial"/>
          <w:b/>
          <w:bCs/>
          <w:color w:val="000000"/>
          <w:lang w:eastAsia="es-MX"/>
        </w:rPr>
        <w:lastRenderedPageBreak/>
        <w:t>Transitorios</w:t>
      </w:r>
    </w:p>
    <w:p w14:paraId="604405D3" w14:textId="77777777" w:rsidR="00071534" w:rsidRPr="00D77051" w:rsidRDefault="00071534" w:rsidP="007E23CC">
      <w:pPr>
        <w:spacing w:after="0"/>
        <w:contextualSpacing/>
        <w:mirrorIndents/>
        <w:jc w:val="center"/>
        <w:rPr>
          <w:rFonts w:ascii="Arial" w:hAnsi="Arial" w:cs="Arial"/>
          <w:b/>
          <w:bCs/>
          <w:color w:val="000000"/>
          <w:sz w:val="26"/>
          <w:szCs w:val="26"/>
          <w:lang w:eastAsia="es-MX"/>
        </w:rPr>
      </w:pPr>
      <w:r w:rsidRPr="00D77051">
        <w:rPr>
          <w:rFonts w:ascii="Arial" w:hAnsi="Arial" w:cs="Arial"/>
          <w:b/>
          <w:bCs/>
          <w:color w:val="000000"/>
          <w:sz w:val="26"/>
          <w:szCs w:val="26"/>
          <w:lang w:eastAsia="es-MX"/>
        </w:rPr>
        <w:t xml:space="preserve"> </w:t>
      </w:r>
    </w:p>
    <w:p w14:paraId="2CA04EF6" w14:textId="3A4992FE" w:rsidR="00071534" w:rsidRPr="00D77051" w:rsidRDefault="00EA1CEE" w:rsidP="007E23CC">
      <w:pPr>
        <w:spacing w:after="0"/>
        <w:contextualSpacing/>
        <w:mirrorIndents/>
        <w:jc w:val="both"/>
        <w:rPr>
          <w:rFonts w:ascii="Arial" w:eastAsia="ITC Avant Garde" w:hAnsi="Arial" w:cs="Arial"/>
        </w:rPr>
      </w:pPr>
      <w:proofErr w:type="gramStart"/>
      <w:r w:rsidRPr="00D77051">
        <w:rPr>
          <w:rFonts w:ascii="Arial" w:eastAsia="ITC Avant Garde" w:hAnsi="Arial" w:cs="Arial"/>
          <w:b/>
        </w:rPr>
        <w:t>Primero</w:t>
      </w:r>
      <w:r w:rsidR="00071534" w:rsidRPr="00D77051">
        <w:rPr>
          <w:rFonts w:ascii="Arial" w:eastAsia="ITC Avant Garde" w:hAnsi="Arial" w:cs="Arial"/>
          <w:b/>
        </w:rPr>
        <w:t>.-</w:t>
      </w:r>
      <w:proofErr w:type="gramEnd"/>
      <w:r w:rsidR="00071534" w:rsidRPr="00D77051">
        <w:rPr>
          <w:rFonts w:ascii="Arial" w:eastAsia="ITC Avant Garde" w:hAnsi="Arial" w:cs="Arial"/>
        </w:rPr>
        <w:t xml:space="preserve"> El presente Acuerdo entrará en vigor a los 30 (treinta) días naturales siguientes al de su publicación en el Diario Oficial de la Federación.</w:t>
      </w:r>
    </w:p>
    <w:p w14:paraId="7B8278DE" w14:textId="77777777" w:rsidR="005D4C14" w:rsidRPr="00D77051" w:rsidRDefault="005D4C14" w:rsidP="007E23CC">
      <w:pPr>
        <w:spacing w:after="0"/>
        <w:contextualSpacing/>
        <w:mirrorIndents/>
        <w:jc w:val="both"/>
        <w:rPr>
          <w:rFonts w:ascii="Arial" w:eastAsia="ITC Avant Garde" w:hAnsi="Arial" w:cs="Arial"/>
          <w:b/>
        </w:rPr>
      </w:pPr>
    </w:p>
    <w:p w14:paraId="5374F7DA" w14:textId="154A603E" w:rsidR="003173FD" w:rsidRDefault="00AA5BC9" w:rsidP="003173FD">
      <w:pPr>
        <w:spacing w:after="0"/>
        <w:contextualSpacing/>
        <w:mirrorIndents/>
        <w:jc w:val="both"/>
        <w:rPr>
          <w:rFonts w:ascii="Arial" w:eastAsia="ITC Avant Garde" w:hAnsi="Arial" w:cs="Arial"/>
        </w:rPr>
      </w:pPr>
      <w:proofErr w:type="gramStart"/>
      <w:r w:rsidRPr="00BC2DB7">
        <w:rPr>
          <w:rFonts w:ascii="Arial" w:eastAsia="ITC Avant Garde" w:hAnsi="Arial" w:cs="Arial"/>
          <w:b/>
        </w:rPr>
        <w:t>Segundo.-</w:t>
      </w:r>
      <w:proofErr w:type="gramEnd"/>
      <w:r w:rsidRPr="00BC2DB7">
        <w:rPr>
          <w:rFonts w:ascii="Arial" w:eastAsia="ITC Avant Garde" w:hAnsi="Arial" w:cs="Arial"/>
        </w:rPr>
        <w:t xml:space="preserve"> Los</w:t>
      </w:r>
      <w:r w:rsidR="00DF7C05">
        <w:rPr>
          <w:rFonts w:ascii="Arial" w:eastAsia="ITC Avant Garde" w:hAnsi="Arial" w:cs="Arial"/>
        </w:rPr>
        <w:t xml:space="preserve"> </w:t>
      </w:r>
      <w:r w:rsidR="00DF7C05" w:rsidRPr="00A506CE">
        <w:rPr>
          <w:rFonts w:ascii="Arial" w:hAnsi="Arial" w:cs="Arial"/>
          <w:bCs/>
        </w:rPr>
        <w:t>Prestadores del Servicio Móvil</w:t>
      </w:r>
      <w:r w:rsidR="006C6827" w:rsidRPr="00950568">
        <w:rPr>
          <w:rFonts w:ascii="Arial" w:eastAsia="ITC Avant Garde" w:hAnsi="Arial" w:cs="Arial"/>
        </w:rPr>
        <w:t xml:space="preserve"> </w:t>
      </w:r>
      <w:r w:rsidR="003173FD">
        <w:rPr>
          <w:rFonts w:ascii="Arial" w:eastAsia="ITC Avant Garde" w:hAnsi="Arial" w:cs="Arial"/>
        </w:rPr>
        <w:t xml:space="preserve">deberán desbloquear los </w:t>
      </w:r>
      <w:r w:rsidR="006C6827" w:rsidRPr="00950568">
        <w:rPr>
          <w:rFonts w:ascii="Arial" w:eastAsia="ITC Avant Garde" w:hAnsi="Arial" w:cs="Arial"/>
        </w:rPr>
        <w:t xml:space="preserve">Equipos Terminales Móviles </w:t>
      </w:r>
      <w:r w:rsidR="00A92990">
        <w:rPr>
          <w:rFonts w:ascii="Arial" w:eastAsia="ITC Avant Garde" w:hAnsi="Arial" w:cs="Arial"/>
        </w:rPr>
        <w:t xml:space="preserve">a los que se refieren los Lineamientos </w:t>
      </w:r>
      <w:r w:rsidR="009A694F">
        <w:rPr>
          <w:rFonts w:ascii="Arial" w:eastAsia="ITC Avant Garde" w:hAnsi="Arial" w:cs="Arial"/>
        </w:rPr>
        <w:t xml:space="preserve">Quinto </w:t>
      </w:r>
      <w:r w:rsidR="00A92990">
        <w:rPr>
          <w:rFonts w:ascii="Arial" w:eastAsia="ITC Avant Garde" w:hAnsi="Arial" w:cs="Arial"/>
        </w:rPr>
        <w:t xml:space="preserve">y Séptimo y </w:t>
      </w:r>
      <w:r w:rsidR="003173FD">
        <w:rPr>
          <w:rFonts w:ascii="Arial" w:eastAsia="ITC Avant Garde" w:hAnsi="Arial" w:cs="Arial"/>
        </w:rPr>
        <w:t xml:space="preserve">que hayan sido comercializados a </w:t>
      </w:r>
      <w:r w:rsidR="002E267D">
        <w:rPr>
          <w:rFonts w:ascii="Arial" w:eastAsia="ITC Avant Garde" w:hAnsi="Arial" w:cs="Arial"/>
        </w:rPr>
        <w:t xml:space="preserve">sus </w:t>
      </w:r>
      <w:r w:rsidR="003173FD">
        <w:rPr>
          <w:rFonts w:ascii="Arial" w:eastAsia="ITC Avant Garde" w:hAnsi="Arial" w:cs="Arial"/>
        </w:rPr>
        <w:t xml:space="preserve">Usuarios en el esquema de Prepago </w:t>
      </w:r>
      <w:r w:rsidR="00D0304E">
        <w:rPr>
          <w:rFonts w:ascii="Arial" w:eastAsia="ITC Avant Garde" w:hAnsi="Arial" w:cs="Arial"/>
        </w:rPr>
        <w:t>o</w:t>
      </w:r>
      <w:r w:rsidR="003173FD">
        <w:rPr>
          <w:rFonts w:ascii="Arial" w:eastAsia="ITC Avant Garde" w:hAnsi="Arial" w:cs="Arial"/>
        </w:rPr>
        <w:t xml:space="preserve"> Pospago en los 5 (cinco) años </w:t>
      </w:r>
      <w:r w:rsidR="003173FD" w:rsidRPr="00950568">
        <w:rPr>
          <w:rFonts w:ascii="Arial" w:eastAsia="ITC Avant Garde" w:hAnsi="Arial" w:cs="Arial"/>
        </w:rPr>
        <w:t>previ</w:t>
      </w:r>
      <w:r w:rsidR="003173FD">
        <w:rPr>
          <w:rFonts w:ascii="Arial" w:eastAsia="ITC Avant Garde" w:hAnsi="Arial" w:cs="Arial"/>
        </w:rPr>
        <w:t xml:space="preserve">os </w:t>
      </w:r>
      <w:r w:rsidR="003173FD" w:rsidRPr="00950568">
        <w:rPr>
          <w:rFonts w:ascii="Arial" w:eastAsia="ITC Avant Garde" w:hAnsi="Arial" w:cs="Arial"/>
        </w:rPr>
        <w:t>a la entrada en vigor de los presentes Lineamientos</w:t>
      </w:r>
      <w:r w:rsidR="003173FD" w:rsidRPr="00950568" w:rsidDel="003173FD">
        <w:rPr>
          <w:rFonts w:ascii="Arial" w:eastAsia="ITC Avant Garde" w:hAnsi="Arial" w:cs="Arial"/>
        </w:rPr>
        <w:t xml:space="preserve"> </w:t>
      </w:r>
      <w:r w:rsidR="00417FCD">
        <w:rPr>
          <w:rFonts w:ascii="Arial" w:eastAsia="ITC Avant Garde" w:hAnsi="Arial" w:cs="Arial"/>
        </w:rPr>
        <w:t>o notificar su elegibilidad</w:t>
      </w:r>
      <w:r w:rsidR="00282A18">
        <w:rPr>
          <w:rFonts w:ascii="Arial" w:eastAsia="ITC Avant Garde" w:hAnsi="Arial" w:cs="Arial"/>
        </w:rPr>
        <w:t>,</w:t>
      </w:r>
      <w:r w:rsidR="00417FCD">
        <w:rPr>
          <w:rFonts w:ascii="Arial" w:eastAsia="ITC Avant Garde" w:hAnsi="Arial" w:cs="Arial"/>
        </w:rPr>
        <w:t xml:space="preserve"> </w:t>
      </w:r>
      <w:r w:rsidR="00A92990">
        <w:rPr>
          <w:rFonts w:ascii="Arial" w:eastAsia="ITC Avant Garde" w:hAnsi="Arial" w:cs="Arial"/>
        </w:rPr>
        <w:t>dentro</w:t>
      </w:r>
      <w:r w:rsidR="00417FCD">
        <w:rPr>
          <w:rFonts w:ascii="Arial" w:eastAsia="ITC Avant Garde" w:hAnsi="Arial" w:cs="Arial"/>
        </w:rPr>
        <w:t xml:space="preserve"> de </w:t>
      </w:r>
      <w:r w:rsidR="00A92990">
        <w:rPr>
          <w:rFonts w:ascii="Arial" w:eastAsia="ITC Avant Garde" w:hAnsi="Arial" w:cs="Arial"/>
        </w:rPr>
        <w:t xml:space="preserve">los </w:t>
      </w:r>
      <w:r w:rsidR="00417FCD">
        <w:rPr>
          <w:rFonts w:ascii="Arial" w:eastAsia="ITC Avant Garde" w:hAnsi="Arial" w:cs="Arial"/>
        </w:rPr>
        <w:t>120 (ciento veinte) días hábiles</w:t>
      </w:r>
      <w:r w:rsidR="00A92990">
        <w:rPr>
          <w:rFonts w:ascii="Arial" w:eastAsia="ITC Avant Garde" w:hAnsi="Arial" w:cs="Arial"/>
        </w:rPr>
        <w:t xml:space="preserve"> siguientes</w:t>
      </w:r>
      <w:r w:rsidR="003173FD" w:rsidRPr="008D63E4">
        <w:rPr>
          <w:rFonts w:ascii="Arial" w:eastAsia="ITC Avant Garde" w:hAnsi="Arial" w:cs="Arial"/>
        </w:rPr>
        <w:t>.</w:t>
      </w:r>
    </w:p>
    <w:p w14:paraId="1F368363" w14:textId="7BAEBC56" w:rsidR="00065DA5" w:rsidRDefault="00065DA5">
      <w:pPr>
        <w:spacing w:after="160" w:line="259" w:lineRule="auto"/>
        <w:rPr>
          <w:rFonts w:ascii="Arial" w:eastAsia="ITC Avant Garde" w:hAnsi="Arial" w:cs="Arial"/>
        </w:rPr>
      </w:pPr>
      <w:r>
        <w:rPr>
          <w:rFonts w:ascii="Arial" w:eastAsia="ITC Avant Garde" w:hAnsi="Arial" w:cs="Arial"/>
        </w:rPr>
        <w:br w:type="page"/>
      </w:r>
    </w:p>
    <w:p w14:paraId="54BB7777" w14:textId="77777777" w:rsidR="00954349" w:rsidRPr="00065DA5" w:rsidRDefault="00954349" w:rsidP="00954349">
      <w:pPr>
        <w:spacing w:after="101" w:line="240" w:lineRule="auto"/>
        <w:jc w:val="center"/>
        <w:rPr>
          <w:rFonts w:ascii="Arial" w:eastAsia="Times New Roman" w:hAnsi="Arial" w:cs="Arial"/>
          <w:color w:val="2F2F2F"/>
          <w:lang w:val="es-MX" w:eastAsia="es-MX"/>
        </w:rPr>
      </w:pPr>
      <w:r w:rsidRPr="00065DA5">
        <w:rPr>
          <w:rFonts w:ascii="Arial" w:eastAsia="Times New Roman" w:hAnsi="Arial" w:cs="Arial"/>
          <w:b/>
          <w:bCs/>
          <w:color w:val="2F2F2F"/>
          <w:lang w:val="es-MX" w:eastAsia="es-MX"/>
        </w:rPr>
        <w:lastRenderedPageBreak/>
        <w:t>ANEXO I</w:t>
      </w:r>
    </w:p>
    <w:p w14:paraId="3E66F95A" w14:textId="77777777" w:rsidR="00954349" w:rsidRDefault="00954349" w:rsidP="00954349">
      <w:pPr>
        <w:spacing w:after="0"/>
        <w:contextualSpacing/>
        <w:mirrorIndents/>
        <w:jc w:val="center"/>
        <w:rPr>
          <w:rFonts w:ascii="Arial" w:eastAsia="Times New Roman" w:hAnsi="Arial" w:cs="Arial"/>
          <w:b/>
          <w:bCs/>
          <w:color w:val="2F2F2F"/>
          <w:lang w:val="es-MX" w:eastAsia="es-MX"/>
        </w:rPr>
      </w:pPr>
      <w:r w:rsidRPr="00065DA5">
        <w:rPr>
          <w:rFonts w:ascii="Arial" w:eastAsia="Times New Roman" w:hAnsi="Arial" w:cs="Arial"/>
          <w:b/>
          <w:bCs/>
          <w:color w:val="2F2F2F"/>
          <w:lang w:val="es-MX" w:eastAsia="es-MX"/>
        </w:rPr>
        <w:t>Reporte estadístico de desbloqueo de Equipos Terminales Móviles</w:t>
      </w:r>
    </w:p>
    <w:p w14:paraId="28E88FA6" w14:textId="77777777" w:rsidR="00954349" w:rsidRDefault="00954349" w:rsidP="00954349">
      <w:pPr>
        <w:spacing w:after="0"/>
        <w:contextualSpacing/>
        <w:mirrorIndents/>
        <w:jc w:val="center"/>
        <w:rPr>
          <w:rFonts w:ascii="Arial" w:eastAsia="Times New Roman" w:hAnsi="Arial" w:cs="Arial"/>
          <w:b/>
          <w:bCs/>
          <w:color w:val="2F2F2F"/>
          <w:lang w:val="es-MX" w:eastAsia="es-MX"/>
        </w:rPr>
      </w:pPr>
    </w:p>
    <w:p w14:paraId="0A15EFB7" w14:textId="0F78D0A2" w:rsidR="00954349" w:rsidRPr="00065DA5" w:rsidRDefault="00954349" w:rsidP="00065DA5">
      <w:pPr>
        <w:spacing w:after="0"/>
        <w:contextualSpacing/>
        <w:mirrorIndents/>
        <w:jc w:val="both"/>
        <w:rPr>
          <w:rFonts w:ascii="Arial" w:eastAsia="Times New Roman" w:hAnsi="Arial" w:cs="Arial"/>
          <w:b/>
          <w:bCs/>
          <w:color w:val="2F2F2F"/>
          <w:lang w:val="es-MX" w:eastAsia="es-MX"/>
        </w:rPr>
      </w:pPr>
      <w:r w:rsidRPr="00065DA5">
        <w:rPr>
          <w:rFonts w:ascii="Arial" w:eastAsia="Times New Roman" w:hAnsi="Arial" w:cs="Arial"/>
          <w:color w:val="2F2F2F"/>
          <w:lang w:val="es-MX" w:eastAsia="es-MX"/>
        </w:rPr>
        <w:t>Los datos personales recabados serán protegidos y tratados en términos de la Ley General de Protección de Datos Personales en Posesión de Sujetos Obligados, los artículos 68, 116 y 120 de la Ley General de Transparencia y Acceso a la Información Pública, así como 16, 113, fracción I, y 117 de la Ley Federal de Transparencia y Acceso a la Información Pública y demás disposiciones aplicables en materia de protección de datos personales.</w:t>
      </w:r>
    </w:p>
    <w:p w14:paraId="32F3BCF9" w14:textId="77777777" w:rsidR="00663DAB" w:rsidRPr="00065DA5" w:rsidRDefault="00663DAB" w:rsidP="00663DAB">
      <w:pPr>
        <w:spacing w:after="54" w:line="240" w:lineRule="auto"/>
        <w:jc w:val="both"/>
        <w:rPr>
          <w:rFonts w:ascii="Arial" w:eastAsia="Times New Roman" w:hAnsi="Arial" w:cs="Arial"/>
          <w:b/>
          <w:bCs/>
          <w:color w:val="2F2F2F"/>
          <w:lang w:val="es-MX" w:eastAsia="es-MX"/>
        </w:rPr>
      </w:pPr>
    </w:p>
    <w:p w14:paraId="35383BFB" w14:textId="3A515F5F" w:rsidR="00663DAB" w:rsidRPr="00065DA5" w:rsidRDefault="00663DAB" w:rsidP="00065DA5">
      <w:pPr>
        <w:spacing w:after="54" w:line="240" w:lineRule="auto"/>
        <w:jc w:val="both"/>
        <w:rPr>
          <w:rFonts w:ascii="Arial" w:eastAsia="Times New Roman" w:hAnsi="Arial" w:cs="Arial"/>
          <w:b/>
          <w:bCs/>
          <w:color w:val="2F2F2F"/>
          <w:lang w:val="es-MX" w:eastAsia="es-MX"/>
        </w:rPr>
      </w:pPr>
      <w:r>
        <w:rPr>
          <w:rFonts w:ascii="Arial" w:eastAsia="Times New Roman" w:hAnsi="Arial" w:cs="Arial"/>
          <w:b/>
          <w:bCs/>
          <w:color w:val="2F2F2F"/>
          <w:lang w:val="es-MX" w:eastAsia="es-MX"/>
        </w:rPr>
        <w:t>Datos Generales</w:t>
      </w:r>
      <w:r w:rsidR="00954349" w:rsidRPr="00065DA5">
        <w:rPr>
          <w:rFonts w:ascii="Arial" w:eastAsia="Times New Roman" w:hAnsi="Arial" w:cs="Arial"/>
          <w:b/>
          <w:bCs/>
          <w:color w:val="2F2F2F"/>
          <w:lang w:val="es-MX" w:eastAsia="es-MX"/>
        </w:rPr>
        <w:t>:</w:t>
      </w:r>
    </w:p>
    <w:p w14:paraId="59659E4E" w14:textId="77777777" w:rsidR="00663DAB" w:rsidRDefault="00663DAB" w:rsidP="00BA263C">
      <w:pPr>
        <w:spacing w:after="0"/>
        <w:jc w:val="both"/>
        <w:rPr>
          <w:rFonts w:ascii="Arial" w:eastAsia="Times New Roman" w:hAnsi="Arial" w:cs="Arial"/>
          <w:color w:val="2F2F2F"/>
          <w:lang w:val="es-MX" w:eastAsia="es-MX"/>
        </w:rPr>
      </w:pPr>
    </w:p>
    <w:p w14:paraId="5A46FB78" w14:textId="4067639F" w:rsidR="00954349" w:rsidRPr="00065DA5" w:rsidRDefault="00954349" w:rsidP="00BA263C">
      <w:pPr>
        <w:spacing w:after="0"/>
        <w:jc w:val="both"/>
        <w:rPr>
          <w:rFonts w:ascii="Arial" w:eastAsia="Times New Roman" w:hAnsi="Arial" w:cs="Arial"/>
          <w:color w:val="2F2F2F"/>
          <w:lang w:val="es-MX" w:eastAsia="es-MX"/>
        </w:rPr>
      </w:pPr>
      <w:r w:rsidRPr="00065DA5">
        <w:rPr>
          <w:rFonts w:ascii="Arial" w:eastAsia="Times New Roman" w:hAnsi="Arial" w:cs="Arial"/>
          <w:color w:val="2F2F2F"/>
          <w:lang w:val="es-MX" w:eastAsia="es-MX"/>
        </w:rPr>
        <w:t>Este Instructivo establece y describe los elementos que componen el formato determinado por el Instituto para la entrega de la información indicada en dicho formato.</w:t>
      </w:r>
    </w:p>
    <w:p w14:paraId="702A0FAB" w14:textId="77777777" w:rsidR="00954349" w:rsidRPr="00065DA5" w:rsidRDefault="00954349" w:rsidP="00BA263C">
      <w:pPr>
        <w:spacing w:after="0"/>
        <w:ind w:hanging="432"/>
        <w:jc w:val="both"/>
        <w:rPr>
          <w:rFonts w:ascii="Arial" w:eastAsia="Times New Roman" w:hAnsi="Arial" w:cs="Arial"/>
          <w:color w:val="2F2F2F"/>
          <w:lang w:val="es-MX" w:eastAsia="es-MX"/>
        </w:rPr>
      </w:pPr>
      <w:r w:rsidRPr="00065DA5">
        <w:rPr>
          <w:rFonts w:ascii="Arial" w:eastAsia="Times New Roman" w:hAnsi="Arial" w:cs="Arial"/>
          <w:color w:val="2F2F2F"/>
          <w:lang w:val="es-MX" w:eastAsia="es-MX"/>
        </w:rPr>
        <w:t> </w:t>
      </w:r>
    </w:p>
    <w:p w14:paraId="18A8149A" w14:textId="60438CBF" w:rsidR="00954349" w:rsidRPr="00065DA5" w:rsidRDefault="00954349" w:rsidP="00065DA5">
      <w:pPr>
        <w:pStyle w:val="Prrafodelista"/>
        <w:numPr>
          <w:ilvl w:val="0"/>
          <w:numId w:val="21"/>
        </w:numPr>
        <w:spacing w:after="54"/>
        <w:jc w:val="both"/>
        <w:rPr>
          <w:rFonts w:cs="Arial"/>
          <w:b/>
          <w:bCs/>
          <w:color w:val="2F2F2F"/>
          <w:szCs w:val="18"/>
          <w:lang w:val="es-MX" w:eastAsia="es-MX"/>
        </w:rPr>
      </w:pPr>
      <w:r w:rsidRPr="00065DA5">
        <w:rPr>
          <w:rFonts w:cs="Arial"/>
          <w:b/>
          <w:bCs/>
          <w:color w:val="2F2F2F"/>
          <w:sz w:val="22"/>
          <w:szCs w:val="18"/>
          <w:lang w:val="es-MX" w:eastAsia="es-MX"/>
        </w:rPr>
        <w:t>Disposición aplicable a este Formato de Información y Métricas:</w:t>
      </w:r>
    </w:p>
    <w:p w14:paraId="722013D1" w14:textId="77777777" w:rsidR="00663DAB" w:rsidRPr="00065DA5" w:rsidRDefault="00663DAB" w:rsidP="00954349">
      <w:pPr>
        <w:spacing w:after="54" w:line="240" w:lineRule="auto"/>
        <w:ind w:hanging="432"/>
        <w:jc w:val="both"/>
        <w:rPr>
          <w:rFonts w:ascii="Arial" w:eastAsia="Times New Roman" w:hAnsi="Arial" w:cs="Arial"/>
          <w:color w:val="2F2F2F"/>
          <w:lang w:val="es-MX" w:eastAsia="es-MX"/>
        </w:rPr>
      </w:pPr>
    </w:p>
    <w:p w14:paraId="032B06A1" w14:textId="05682D56" w:rsidR="00954349" w:rsidRPr="00D56D88" w:rsidRDefault="003E4FFA" w:rsidP="00AA1919">
      <w:pPr>
        <w:spacing w:after="54" w:line="240" w:lineRule="auto"/>
        <w:jc w:val="both"/>
        <w:rPr>
          <w:rFonts w:ascii="Arial" w:eastAsia="Times New Roman" w:hAnsi="Arial" w:cs="Arial"/>
          <w:color w:val="2F2F2F"/>
          <w:lang w:val="es-MX" w:eastAsia="es-MX"/>
        </w:rPr>
      </w:pPr>
      <w:r w:rsidRPr="00D56D88">
        <w:rPr>
          <w:rFonts w:ascii="Arial" w:eastAsia="Times New Roman" w:hAnsi="Arial" w:cs="Arial"/>
          <w:color w:val="2F2F2F"/>
          <w:lang w:val="es-MX" w:eastAsia="es-MX"/>
        </w:rPr>
        <w:t>Los Prestadores del Servicio M</w:t>
      </w:r>
      <w:r w:rsidRPr="00CE7B20">
        <w:rPr>
          <w:rFonts w:ascii="Arial" w:eastAsia="Times New Roman" w:hAnsi="Arial" w:cs="Arial"/>
          <w:color w:val="2F2F2F"/>
          <w:lang w:val="es-MX" w:eastAsia="es-MX"/>
        </w:rPr>
        <w:t>óvil</w:t>
      </w:r>
      <w:r w:rsidR="00954349" w:rsidRPr="00065DA5">
        <w:rPr>
          <w:rFonts w:ascii="Arial" w:eastAsia="Times New Roman" w:hAnsi="Arial" w:cs="Arial"/>
          <w:color w:val="2F2F2F"/>
          <w:lang w:val="es-MX" w:eastAsia="es-MX"/>
        </w:rPr>
        <w:t xml:space="preserve"> deben entregar la siguiente información de acuerdo con las</w:t>
      </w:r>
      <w:r w:rsidR="00AA1919">
        <w:rPr>
          <w:rFonts w:ascii="Arial" w:eastAsia="Times New Roman" w:hAnsi="Arial" w:cs="Arial"/>
          <w:color w:val="2F2F2F"/>
          <w:lang w:val="es-MX" w:eastAsia="es-MX"/>
        </w:rPr>
        <w:t xml:space="preserve"> </w:t>
      </w:r>
      <w:r w:rsidR="00954349" w:rsidRPr="00065DA5">
        <w:rPr>
          <w:rFonts w:ascii="Arial" w:eastAsia="Times New Roman" w:hAnsi="Arial" w:cs="Arial"/>
          <w:color w:val="2F2F2F"/>
          <w:lang w:val="es-MX" w:eastAsia="es-MX"/>
        </w:rPr>
        <w:t>definiciones, criterios e indicaciones establecidos en los "</w:t>
      </w:r>
      <w:r w:rsidRPr="00065DA5">
        <w:rPr>
          <w:rFonts w:ascii="Arial" w:eastAsia="Times New Roman" w:hAnsi="Arial" w:cs="Arial"/>
          <w:b/>
          <w:bCs/>
          <w:lang w:eastAsia="es-MX"/>
        </w:rPr>
        <w:t>Lineamientos para el desbloqueo de Equipos Terminales Móviles que deben observar los prestadores del Servicio Móvil</w:t>
      </w:r>
      <w:r w:rsidR="00954349" w:rsidRPr="00065DA5">
        <w:rPr>
          <w:rFonts w:ascii="Arial" w:eastAsia="Times New Roman" w:hAnsi="Arial" w:cs="Arial"/>
          <w:color w:val="2F2F2F"/>
          <w:lang w:val="es-MX" w:eastAsia="es-MX"/>
        </w:rPr>
        <w:t>".</w:t>
      </w:r>
    </w:p>
    <w:p w14:paraId="0493387B" w14:textId="77777777" w:rsidR="00663DAB" w:rsidRPr="00065DA5" w:rsidRDefault="00663DAB" w:rsidP="00954349">
      <w:pPr>
        <w:spacing w:after="54" w:line="240" w:lineRule="auto"/>
        <w:ind w:hanging="432"/>
        <w:jc w:val="both"/>
        <w:rPr>
          <w:rFonts w:ascii="Arial" w:eastAsia="Times New Roman" w:hAnsi="Arial" w:cs="Arial"/>
          <w:color w:val="2F2F2F"/>
          <w:lang w:val="es-MX" w:eastAsia="es-MX"/>
        </w:rPr>
      </w:pPr>
    </w:p>
    <w:p w14:paraId="0C1E0D95" w14:textId="77777777" w:rsidR="009523D9" w:rsidRPr="00065DA5" w:rsidRDefault="00954349" w:rsidP="00EF3BAA">
      <w:pPr>
        <w:pStyle w:val="Prrafodelista"/>
        <w:numPr>
          <w:ilvl w:val="0"/>
          <w:numId w:val="21"/>
        </w:numPr>
        <w:ind w:hanging="432"/>
        <w:contextualSpacing/>
        <w:mirrorIndents/>
        <w:jc w:val="both"/>
        <w:rPr>
          <w:rFonts w:cs="Arial"/>
          <w:color w:val="2F2F2F"/>
          <w:sz w:val="22"/>
          <w:szCs w:val="22"/>
          <w:lang w:val="es-MX" w:eastAsia="es-MX"/>
        </w:rPr>
      </w:pPr>
      <w:r w:rsidRPr="00065DA5">
        <w:rPr>
          <w:rFonts w:cs="Arial"/>
          <w:b/>
          <w:bCs/>
          <w:color w:val="2F2F2F"/>
          <w:sz w:val="22"/>
          <w:szCs w:val="18"/>
          <w:lang w:val="es-MX" w:eastAsia="es-MX"/>
        </w:rPr>
        <w:t>Reglas para llenar el formato de las hojas de información de este instructivo:</w:t>
      </w:r>
    </w:p>
    <w:p w14:paraId="6927D7B2" w14:textId="77777777" w:rsidR="009523D9" w:rsidRDefault="00954349" w:rsidP="009523D9">
      <w:pPr>
        <w:pStyle w:val="Prrafodelista"/>
        <w:ind w:left="720"/>
        <w:contextualSpacing/>
        <w:mirrorIndents/>
        <w:jc w:val="both"/>
        <w:rPr>
          <w:rFonts w:cs="Arial"/>
          <w:color w:val="2F2F2F"/>
          <w:sz w:val="22"/>
          <w:szCs w:val="22"/>
          <w:lang w:val="es-MX" w:eastAsia="es-MX"/>
        </w:rPr>
      </w:pPr>
      <w:r w:rsidRPr="00065DA5">
        <w:rPr>
          <w:rFonts w:cs="Arial"/>
          <w:color w:val="2F2F2F"/>
          <w:sz w:val="22"/>
          <w:szCs w:val="22"/>
          <w:lang w:val="es-MX" w:eastAsia="es-MX"/>
        </w:rPr>
        <w:t>El formato se enviará a través del sistema electrónico que el Instituto establezca para tales efectos.</w:t>
      </w:r>
    </w:p>
    <w:p w14:paraId="3C28A398" w14:textId="77777777" w:rsidR="009523D9" w:rsidRDefault="009523D9" w:rsidP="009523D9">
      <w:pPr>
        <w:pStyle w:val="Prrafodelista"/>
        <w:ind w:left="720"/>
        <w:contextualSpacing/>
        <w:mirrorIndents/>
        <w:jc w:val="both"/>
        <w:rPr>
          <w:rFonts w:cs="Arial"/>
          <w:color w:val="2F2F2F"/>
          <w:sz w:val="22"/>
          <w:szCs w:val="22"/>
          <w:lang w:val="es-MX" w:eastAsia="es-MX"/>
        </w:rPr>
      </w:pPr>
    </w:p>
    <w:p w14:paraId="2DE0DEBD" w14:textId="7E18C326" w:rsidR="00954349" w:rsidRDefault="00954349" w:rsidP="009523D9">
      <w:pPr>
        <w:pStyle w:val="Prrafodelista"/>
        <w:ind w:left="720"/>
        <w:contextualSpacing/>
        <w:mirrorIndents/>
        <w:jc w:val="both"/>
        <w:rPr>
          <w:rFonts w:cs="Arial"/>
          <w:color w:val="2F2F2F"/>
          <w:sz w:val="22"/>
          <w:szCs w:val="22"/>
          <w:lang w:val="es-MX" w:eastAsia="es-MX"/>
        </w:rPr>
      </w:pPr>
      <w:r w:rsidRPr="00065DA5">
        <w:rPr>
          <w:rFonts w:cs="Arial"/>
          <w:color w:val="2F2F2F"/>
          <w:sz w:val="22"/>
          <w:szCs w:val="22"/>
          <w:lang w:val="es-MX" w:eastAsia="es-MX"/>
        </w:rPr>
        <w:t>La información se entregará mediante un archivo CSV por cada hoja de información incluida en el presente reporte. Los archivos CSV son un tipo de documento abierto y sencillo para presentar datos en forma de tabla, con las siguientes características:</w:t>
      </w:r>
    </w:p>
    <w:p w14:paraId="17038D35" w14:textId="77777777" w:rsidR="009523D9" w:rsidRPr="00065DA5" w:rsidRDefault="009523D9" w:rsidP="00065DA5">
      <w:pPr>
        <w:pStyle w:val="Prrafodelista"/>
        <w:ind w:left="720"/>
        <w:contextualSpacing/>
        <w:mirrorIndents/>
        <w:jc w:val="both"/>
        <w:rPr>
          <w:rFonts w:cs="Arial"/>
          <w:color w:val="2F2F2F"/>
          <w:sz w:val="22"/>
          <w:szCs w:val="22"/>
          <w:lang w:val="es-MX" w:eastAsia="es-MX"/>
        </w:rPr>
      </w:pPr>
    </w:p>
    <w:p w14:paraId="26CDB68E" w14:textId="6624399B" w:rsidR="00954349" w:rsidRPr="00065DA5" w:rsidRDefault="00954349" w:rsidP="00065DA5">
      <w:pPr>
        <w:pStyle w:val="Prrafodelista"/>
        <w:numPr>
          <w:ilvl w:val="1"/>
          <w:numId w:val="21"/>
        </w:numPr>
        <w:contextualSpacing/>
        <w:mirrorIndents/>
        <w:jc w:val="both"/>
        <w:rPr>
          <w:rFonts w:cs="Arial"/>
          <w:color w:val="2F2F2F"/>
          <w:sz w:val="22"/>
          <w:szCs w:val="22"/>
          <w:lang w:val="es-MX" w:eastAsia="es-MX"/>
        </w:rPr>
      </w:pPr>
      <w:r w:rsidRPr="00065DA5">
        <w:rPr>
          <w:rFonts w:cs="Arial"/>
          <w:color w:val="2F2F2F"/>
          <w:sz w:val="22"/>
          <w:szCs w:val="22"/>
          <w:lang w:val="es-MX" w:eastAsia="es-MX"/>
        </w:rPr>
        <w:t>Las columnas se separan por el carácter de coma (,).</w:t>
      </w:r>
    </w:p>
    <w:p w14:paraId="3CE11A69" w14:textId="6E282830" w:rsidR="00954349" w:rsidRPr="00065DA5" w:rsidRDefault="00954349" w:rsidP="00065DA5">
      <w:pPr>
        <w:pStyle w:val="Prrafodelista"/>
        <w:numPr>
          <w:ilvl w:val="1"/>
          <w:numId w:val="21"/>
        </w:numPr>
        <w:contextualSpacing/>
        <w:mirrorIndents/>
        <w:jc w:val="both"/>
        <w:rPr>
          <w:rFonts w:cs="Arial"/>
          <w:color w:val="2F2F2F"/>
          <w:sz w:val="22"/>
          <w:szCs w:val="22"/>
          <w:lang w:val="es-MX" w:eastAsia="es-MX"/>
        </w:rPr>
      </w:pPr>
      <w:r w:rsidRPr="00065DA5">
        <w:rPr>
          <w:rFonts w:cs="Arial"/>
          <w:color w:val="2F2F2F"/>
          <w:sz w:val="22"/>
          <w:szCs w:val="22"/>
          <w:lang w:val="es-MX" w:eastAsia="es-MX"/>
        </w:rPr>
        <w:t>Las filas se separan por saltos de línea (Carácter CRLF).</w:t>
      </w:r>
    </w:p>
    <w:p w14:paraId="22BF0A29" w14:textId="37AE1A36" w:rsidR="00954349" w:rsidRPr="00065DA5" w:rsidRDefault="00954349" w:rsidP="00065DA5">
      <w:pPr>
        <w:pStyle w:val="Prrafodelista"/>
        <w:numPr>
          <w:ilvl w:val="1"/>
          <w:numId w:val="21"/>
        </w:numPr>
        <w:contextualSpacing/>
        <w:mirrorIndents/>
        <w:jc w:val="both"/>
        <w:rPr>
          <w:rFonts w:cs="Arial"/>
          <w:color w:val="2F2F2F"/>
          <w:sz w:val="22"/>
          <w:szCs w:val="22"/>
          <w:lang w:val="es-MX" w:eastAsia="es-MX"/>
        </w:rPr>
      </w:pPr>
      <w:r w:rsidRPr="00065DA5">
        <w:rPr>
          <w:rFonts w:cs="Arial"/>
          <w:color w:val="2F2F2F"/>
          <w:sz w:val="22"/>
          <w:szCs w:val="22"/>
          <w:lang w:val="es-MX" w:eastAsia="es-MX"/>
        </w:rPr>
        <w:t>La última fila del archivo puede terminar o no con el carácter de fin de línea.</w:t>
      </w:r>
    </w:p>
    <w:p w14:paraId="15F57C79" w14:textId="645EDD4D" w:rsidR="00954349" w:rsidRPr="00065DA5" w:rsidRDefault="00954349" w:rsidP="00065DA5">
      <w:pPr>
        <w:pStyle w:val="Prrafodelista"/>
        <w:numPr>
          <w:ilvl w:val="1"/>
          <w:numId w:val="21"/>
        </w:numPr>
        <w:contextualSpacing/>
        <w:mirrorIndents/>
        <w:jc w:val="both"/>
        <w:rPr>
          <w:rFonts w:cs="Arial"/>
          <w:color w:val="2F2F2F"/>
          <w:sz w:val="22"/>
          <w:szCs w:val="22"/>
          <w:lang w:val="es-MX" w:eastAsia="es-MX"/>
        </w:rPr>
      </w:pPr>
      <w:r w:rsidRPr="00065DA5">
        <w:rPr>
          <w:rFonts w:cs="Arial"/>
          <w:color w:val="2F2F2F"/>
          <w:sz w:val="22"/>
          <w:szCs w:val="22"/>
          <w:lang w:val="es-MX" w:eastAsia="es-MX"/>
        </w:rPr>
        <w:t>Los campos que contengan una coma, un salto de línea, una comilla doble, un espacio o los caracteres de fin de línea (CR, LF o ambos a la vez), deben ser encerrados entre comillas dobles.</w:t>
      </w:r>
    </w:p>
    <w:p w14:paraId="05B4DC91" w14:textId="0AE713E2" w:rsidR="00954349" w:rsidRPr="00065DA5" w:rsidRDefault="00954349" w:rsidP="00065DA5">
      <w:pPr>
        <w:pStyle w:val="Prrafodelista"/>
        <w:numPr>
          <w:ilvl w:val="1"/>
          <w:numId w:val="21"/>
        </w:numPr>
        <w:contextualSpacing/>
        <w:mirrorIndents/>
        <w:jc w:val="both"/>
        <w:rPr>
          <w:rFonts w:cs="Arial"/>
          <w:color w:val="2F2F2F"/>
          <w:sz w:val="22"/>
          <w:szCs w:val="22"/>
          <w:lang w:val="es-MX" w:eastAsia="es-MX"/>
        </w:rPr>
      </w:pPr>
      <w:r w:rsidRPr="00065DA5">
        <w:rPr>
          <w:rFonts w:cs="Arial"/>
          <w:color w:val="2F2F2F"/>
          <w:sz w:val="22"/>
          <w:szCs w:val="22"/>
          <w:lang w:val="es-MX" w:eastAsia="es-MX"/>
        </w:rPr>
        <w:t>El archivo CSV puede contener tantas líneas como sean necesarias para la entrega de la información correspondiente. No debe contener líneas vacías.</w:t>
      </w:r>
    </w:p>
    <w:p w14:paraId="067E5968" w14:textId="48712C27" w:rsidR="00954349" w:rsidRPr="00065DA5" w:rsidRDefault="00954349" w:rsidP="00065DA5">
      <w:pPr>
        <w:pStyle w:val="Prrafodelista"/>
        <w:numPr>
          <w:ilvl w:val="1"/>
          <w:numId w:val="21"/>
        </w:numPr>
        <w:contextualSpacing/>
        <w:mirrorIndents/>
        <w:jc w:val="both"/>
        <w:rPr>
          <w:rFonts w:cs="Arial"/>
          <w:color w:val="2F2F2F"/>
          <w:sz w:val="22"/>
          <w:szCs w:val="22"/>
          <w:lang w:val="es-MX" w:eastAsia="es-MX"/>
        </w:rPr>
      </w:pPr>
      <w:r w:rsidRPr="00065DA5">
        <w:rPr>
          <w:rFonts w:cs="Arial"/>
          <w:color w:val="2F2F2F"/>
          <w:sz w:val="22"/>
          <w:szCs w:val="22"/>
          <w:lang w:val="es-MX" w:eastAsia="es-MX"/>
        </w:rPr>
        <w:t>Cada fila debe contener siempre el mismo número de campos.</w:t>
      </w:r>
    </w:p>
    <w:p w14:paraId="38389D22" w14:textId="2AF4B932" w:rsidR="00954349" w:rsidRPr="00065DA5" w:rsidRDefault="00954349" w:rsidP="00065DA5">
      <w:pPr>
        <w:pStyle w:val="Prrafodelista"/>
        <w:numPr>
          <w:ilvl w:val="1"/>
          <w:numId w:val="21"/>
        </w:numPr>
        <w:contextualSpacing/>
        <w:mirrorIndents/>
        <w:jc w:val="both"/>
        <w:rPr>
          <w:rFonts w:cs="Arial"/>
          <w:color w:val="2F2F2F"/>
          <w:sz w:val="22"/>
          <w:szCs w:val="22"/>
          <w:lang w:val="es-MX" w:eastAsia="es-MX"/>
        </w:rPr>
      </w:pPr>
      <w:r w:rsidRPr="00065DA5">
        <w:rPr>
          <w:rFonts w:cs="Arial"/>
          <w:color w:val="2F2F2F"/>
          <w:sz w:val="22"/>
          <w:szCs w:val="22"/>
          <w:lang w:val="es-MX" w:eastAsia="es-MX"/>
        </w:rPr>
        <w:t>La primera fila del archivo contendrá los campos correspondientes a los nombres de las columnas.</w:t>
      </w:r>
    </w:p>
    <w:p w14:paraId="6EF0FD96" w14:textId="1CD586FC" w:rsidR="00954349" w:rsidRPr="00065DA5" w:rsidRDefault="00954349" w:rsidP="00065DA5">
      <w:pPr>
        <w:pStyle w:val="Prrafodelista"/>
        <w:numPr>
          <w:ilvl w:val="1"/>
          <w:numId w:val="21"/>
        </w:numPr>
        <w:contextualSpacing/>
        <w:mirrorIndents/>
        <w:jc w:val="both"/>
        <w:rPr>
          <w:rFonts w:cs="Arial"/>
          <w:color w:val="2F2F2F"/>
          <w:sz w:val="22"/>
          <w:szCs w:val="22"/>
          <w:lang w:val="es-MX" w:eastAsia="es-MX"/>
        </w:rPr>
      </w:pPr>
      <w:r w:rsidRPr="00065DA5">
        <w:rPr>
          <w:rFonts w:cs="Arial"/>
          <w:color w:val="2F2F2F"/>
          <w:sz w:val="22"/>
          <w:szCs w:val="22"/>
          <w:lang w:val="es-MX" w:eastAsia="es-MX"/>
        </w:rPr>
        <w:t>El Instituto podrá a disposición de los sujetos obligados e interesados las plantillas de los archivos CSV que deben ser llenados.</w:t>
      </w:r>
    </w:p>
    <w:p w14:paraId="013E5BF1" w14:textId="77777777" w:rsidR="009523D9" w:rsidRDefault="009523D9" w:rsidP="009523D9">
      <w:pPr>
        <w:pStyle w:val="Prrafodelista"/>
        <w:ind w:left="720"/>
        <w:contextualSpacing/>
        <w:mirrorIndents/>
        <w:jc w:val="both"/>
        <w:rPr>
          <w:rFonts w:cs="Arial"/>
          <w:color w:val="2F2F2F"/>
          <w:sz w:val="22"/>
          <w:szCs w:val="22"/>
          <w:lang w:val="es-MX" w:eastAsia="es-MX"/>
        </w:rPr>
      </w:pPr>
    </w:p>
    <w:p w14:paraId="2E3D5456" w14:textId="11DA0548" w:rsidR="00954349" w:rsidRDefault="00954349" w:rsidP="009523D9">
      <w:pPr>
        <w:pStyle w:val="Prrafodelista"/>
        <w:ind w:left="720"/>
        <w:contextualSpacing/>
        <w:mirrorIndents/>
        <w:jc w:val="both"/>
        <w:rPr>
          <w:rFonts w:cs="Arial"/>
          <w:color w:val="2F2F2F"/>
          <w:sz w:val="22"/>
          <w:szCs w:val="22"/>
          <w:lang w:val="es-MX" w:eastAsia="es-MX"/>
        </w:rPr>
      </w:pPr>
      <w:r w:rsidRPr="00065DA5">
        <w:rPr>
          <w:rFonts w:cs="Arial"/>
          <w:color w:val="2F2F2F"/>
          <w:sz w:val="22"/>
          <w:szCs w:val="22"/>
          <w:lang w:val="es-MX" w:eastAsia="es-MX"/>
        </w:rPr>
        <w:t xml:space="preserve">El archivo CVS se guiará por lo dispuesto en </w:t>
      </w:r>
      <w:hyperlink r:id="rId8" w:history="1">
        <w:r w:rsidR="00871907" w:rsidRPr="00065DA5">
          <w:rPr>
            <w:rStyle w:val="Hipervnculo"/>
            <w:sz w:val="22"/>
            <w:szCs w:val="22"/>
          </w:rPr>
          <w:t>http://tools.ietf.org/html/rfc4180</w:t>
        </w:r>
      </w:hyperlink>
    </w:p>
    <w:p w14:paraId="2922DC4D" w14:textId="77777777" w:rsidR="00871907" w:rsidRPr="00065DA5" w:rsidRDefault="00871907" w:rsidP="00065DA5">
      <w:pPr>
        <w:pStyle w:val="Prrafodelista"/>
        <w:ind w:left="720"/>
        <w:contextualSpacing/>
        <w:mirrorIndents/>
        <w:jc w:val="both"/>
        <w:rPr>
          <w:rFonts w:cs="Arial"/>
          <w:color w:val="2F2F2F"/>
          <w:sz w:val="22"/>
          <w:szCs w:val="22"/>
          <w:lang w:val="es-MX" w:eastAsia="es-MX"/>
        </w:rPr>
      </w:pPr>
    </w:p>
    <w:p w14:paraId="01D93000" w14:textId="6144FD2F" w:rsidR="00954349" w:rsidRPr="00E64999" w:rsidRDefault="00954349" w:rsidP="00065DA5">
      <w:pPr>
        <w:pStyle w:val="Prrafodelista"/>
        <w:numPr>
          <w:ilvl w:val="0"/>
          <w:numId w:val="21"/>
        </w:numPr>
        <w:spacing w:after="54"/>
        <w:jc w:val="both"/>
        <w:rPr>
          <w:rFonts w:cs="Arial"/>
          <w:color w:val="2F2F2F"/>
          <w:sz w:val="22"/>
          <w:szCs w:val="18"/>
          <w:lang w:val="es-MX" w:eastAsia="es-MX"/>
        </w:rPr>
      </w:pPr>
      <w:r w:rsidRPr="00E64999">
        <w:rPr>
          <w:rFonts w:cs="Arial"/>
          <w:b/>
          <w:bCs/>
          <w:color w:val="2F2F2F"/>
          <w:sz w:val="22"/>
          <w:szCs w:val="18"/>
          <w:lang w:val="es-MX" w:eastAsia="es-MX"/>
        </w:rPr>
        <w:t>Dirección de contacto</w:t>
      </w:r>
      <w:r w:rsidRPr="00E64999">
        <w:rPr>
          <w:rFonts w:cs="Arial"/>
          <w:color w:val="2F2F2F"/>
          <w:sz w:val="22"/>
          <w:szCs w:val="18"/>
          <w:lang w:val="es-MX" w:eastAsia="es-MX"/>
        </w:rPr>
        <w:t>:</w:t>
      </w:r>
    </w:p>
    <w:p w14:paraId="041331CB" w14:textId="54B30D51" w:rsidR="00954349" w:rsidRPr="00065DA5" w:rsidRDefault="00954349" w:rsidP="00065DA5">
      <w:pPr>
        <w:spacing w:after="54" w:line="240" w:lineRule="auto"/>
        <w:ind w:left="709"/>
        <w:jc w:val="both"/>
        <w:rPr>
          <w:rFonts w:ascii="Arial" w:eastAsia="Times New Roman" w:hAnsi="Arial" w:cs="Arial"/>
          <w:color w:val="2F2F2F"/>
          <w:lang w:val="es-MX" w:eastAsia="es-MX"/>
        </w:rPr>
      </w:pPr>
      <w:r w:rsidRPr="00065DA5">
        <w:rPr>
          <w:rFonts w:ascii="Arial" w:eastAsia="Times New Roman" w:hAnsi="Arial" w:cs="Arial"/>
          <w:color w:val="2F2F2F"/>
          <w:lang w:val="es-MX" w:eastAsia="es-MX"/>
        </w:rPr>
        <w:lastRenderedPageBreak/>
        <w:t>En caso de dudas sobre cualquiera de los elementos contenidos en este formato, por favor contactar al siguiente correo electrónico:</w:t>
      </w:r>
    </w:p>
    <w:p w14:paraId="6F69D84A" w14:textId="2D679B6A" w:rsidR="00954349" w:rsidRPr="00065DA5" w:rsidRDefault="00AA56FC" w:rsidP="00954349">
      <w:pPr>
        <w:spacing w:after="54" w:line="240" w:lineRule="auto"/>
        <w:ind w:hanging="432"/>
        <w:jc w:val="both"/>
        <w:rPr>
          <w:rFonts w:ascii="Arial" w:eastAsia="Times New Roman" w:hAnsi="Arial" w:cs="Arial"/>
          <w:color w:val="2F2F2F"/>
          <w:lang w:val="es-MX" w:eastAsia="es-MX"/>
        </w:rPr>
      </w:pPr>
      <w:r>
        <w:rPr>
          <w:rFonts w:ascii="Arial" w:eastAsia="Times New Roman" w:hAnsi="Arial" w:cs="Arial"/>
          <w:color w:val="2F2F2F"/>
          <w:lang w:val="es-MX" w:eastAsia="es-MX"/>
        </w:rPr>
        <w:tab/>
      </w:r>
      <w:r w:rsidR="00952D4C">
        <w:rPr>
          <w:rFonts w:ascii="Arial" w:eastAsia="Times New Roman" w:hAnsi="Arial" w:cs="Arial"/>
          <w:color w:val="2F2F2F"/>
          <w:lang w:val="es-MX" w:eastAsia="es-MX"/>
        </w:rPr>
        <w:tab/>
      </w:r>
      <w:r w:rsidR="00954349" w:rsidRPr="00BA263C">
        <w:rPr>
          <w:rFonts w:ascii="Arial" w:eastAsia="Times New Roman" w:hAnsi="Arial" w:cs="Arial"/>
          <w:color w:val="2F2F2F"/>
          <w:lang w:val="es-MX" w:eastAsia="es-MX"/>
        </w:rPr>
        <w:t>reporte.</w:t>
      </w:r>
      <w:r w:rsidR="00952D4C" w:rsidRPr="00BA263C">
        <w:rPr>
          <w:rFonts w:ascii="Arial" w:eastAsia="Times New Roman" w:hAnsi="Arial" w:cs="Arial"/>
          <w:color w:val="2F2F2F"/>
          <w:lang w:val="es-MX" w:eastAsia="es-MX"/>
        </w:rPr>
        <w:t>desbloqueo</w:t>
      </w:r>
      <w:r w:rsidR="00913E46" w:rsidRPr="00BA263C">
        <w:rPr>
          <w:rFonts w:ascii="Arial" w:eastAsia="Times New Roman" w:hAnsi="Arial" w:cs="Arial"/>
          <w:color w:val="2F2F2F"/>
          <w:lang w:val="es-MX" w:eastAsia="es-MX"/>
        </w:rPr>
        <w:t>.etm</w:t>
      </w:r>
      <w:r w:rsidR="00954349" w:rsidRPr="00BA263C">
        <w:rPr>
          <w:rFonts w:ascii="Arial" w:eastAsia="Times New Roman" w:hAnsi="Arial" w:cs="Arial"/>
          <w:color w:val="2F2F2F"/>
          <w:lang w:val="es-MX" w:eastAsia="es-MX"/>
        </w:rPr>
        <w:t>@ift.org.mx</w:t>
      </w:r>
    </w:p>
    <w:p w14:paraId="76CDCA5D" w14:textId="77777777" w:rsidR="00633A5E" w:rsidRPr="00065DA5" w:rsidRDefault="00633A5E" w:rsidP="00065DA5">
      <w:pPr>
        <w:pStyle w:val="Prrafodelista"/>
        <w:spacing w:after="54"/>
        <w:ind w:left="720"/>
        <w:jc w:val="both"/>
        <w:rPr>
          <w:rFonts w:cs="Arial"/>
          <w:color w:val="2F2F2F"/>
          <w:lang w:val="es-MX" w:eastAsia="es-MX"/>
        </w:rPr>
      </w:pPr>
    </w:p>
    <w:p w14:paraId="4A9B91C6" w14:textId="63881656" w:rsidR="00954349" w:rsidRPr="00E64999" w:rsidRDefault="00954349" w:rsidP="00952D4C">
      <w:pPr>
        <w:pStyle w:val="Prrafodelista"/>
        <w:numPr>
          <w:ilvl w:val="0"/>
          <w:numId w:val="21"/>
        </w:numPr>
        <w:spacing w:after="54"/>
        <w:jc w:val="both"/>
        <w:rPr>
          <w:rFonts w:cs="Arial"/>
          <w:color w:val="2F2F2F"/>
          <w:sz w:val="22"/>
          <w:szCs w:val="18"/>
          <w:lang w:val="es-MX" w:eastAsia="es-MX"/>
        </w:rPr>
      </w:pPr>
      <w:r w:rsidRPr="00E64999">
        <w:rPr>
          <w:rFonts w:cs="Arial"/>
          <w:b/>
          <w:bCs/>
          <w:color w:val="2F2F2F"/>
          <w:sz w:val="22"/>
          <w:szCs w:val="18"/>
          <w:lang w:val="es-MX" w:eastAsia="es-MX"/>
        </w:rPr>
        <w:t>Parámetros Generales:</w:t>
      </w:r>
    </w:p>
    <w:p w14:paraId="4D343012" w14:textId="2C288241" w:rsidR="00954349" w:rsidRPr="00065DA5" w:rsidRDefault="00954349" w:rsidP="00065DA5">
      <w:pPr>
        <w:spacing w:after="54" w:line="240" w:lineRule="auto"/>
        <w:ind w:left="360" w:firstLine="360"/>
        <w:jc w:val="both"/>
        <w:rPr>
          <w:rFonts w:ascii="Arial" w:eastAsia="Times New Roman" w:hAnsi="Arial" w:cs="Arial"/>
          <w:color w:val="2F2F2F"/>
          <w:lang w:val="es-MX" w:eastAsia="es-MX"/>
        </w:rPr>
      </w:pPr>
      <w:r w:rsidRPr="00065DA5">
        <w:rPr>
          <w:rFonts w:ascii="Arial" w:eastAsia="Times New Roman" w:hAnsi="Arial" w:cs="Arial"/>
          <w:color w:val="2F2F2F"/>
          <w:lang w:val="es-MX" w:eastAsia="es-MX"/>
        </w:rPr>
        <w:t>o    </w:t>
      </w:r>
      <w:r w:rsidRPr="00065DA5">
        <w:rPr>
          <w:rFonts w:ascii="Arial" w:eastAsia="Times New Roman" w:hAnsi="Arial" w:cs="Arial"/>
          <w:i/>
          <w:iCs/>
          <w:color w:val="2F2F2F"/>
          <w:u w:val="single"/>
          <w:lang w:val="es-MX" w:eastAsia="es-MX"/>
        </w:rPr>
        <w:t>Periodo para la entrega de información</w:t>
      </w:r>
      <w:r w:rsidRPr="00065DA5">
        <w:rPr>
          <w:rFonts w:ascii="Arial" w:eastAsia="Times New Roman" w:hAnsi="Arial" w:cs="Arial"/>
          <w:i/>
          <w:iCs/>
          <w:color w:val="2F2F2F"/>
          <w:lang w:val="es-MX" w:eastAsia="es-MX"/>
        </w:rPr>
        <w:t>:</w:t>
      </w:r>
    </w:p>
    <w:p w14:paraId="662505E4" w14:textId="5FC8A285" w:rsidR="00954349" w:rsidRPr="00065DA5" w:rsidRDefault="00952D4C" w:rsidP="00065DA5">
      <w:pPr>
        <w:spacing w:after="54" w:line="240" w:lineRule="auto"/>
        <w:ind w:left="1069"/>
        <w:jc w:val="both"/>
        <w:rPr>
          <w:rFonts w:ascii="Arial" w:eastAsia="Times New Roman" w:hAnsi="Arial" w:cs="Arial"/>
          <w:b/>
          <w:bCs/>
          <w:color w:val="2F2F2F"/>
          <w:lang w:val="es-MX" w:eastAsia="es-MX"/>
        </w:rPr>
      </w:pPr>
      <w:r w:rsidRPr="00065DA5">
        <w:rPr>
          <w:rFonts w:ascii="Arial" w:eastAsia="Times New Roman" w:hAnsi="Arial" w:cs="Arial"/>
          <w:b/>
          <w:bCs/>
          <w:color w:val="2F2F2F"/>
          <w:lang w:val="es-MX" w:eastAsia="es-MX"/>
        </w:rPr>
        <w:t xml:space="preserve">Dentro de los primeros </w:t>
      </w:r>
      <w:r w:rsidRPr="00D56D88">
        <w:rPr>
          <w:rFonts w:ascii="Arial" w:eastAsia="Times New Roman" w:hAnsi="Arial" w:cs="Arial"/>
          <w:b/>
          <w:bCs/>
          <w:color w:val="2F2F2F"/>
          <w:lang w:val="es-MX" w:eastAsia="es-MX"/>
        </w:rPr>
        <w:t xml:space="preserve">10 días hábiles de </w:t>
      </w:r>
      <w:r w:rsidR="00954349" w:rsidRPr="00065DA5">
        <w:rPr>
          <w:rFonts w:ascii="Arial" w:eastAsia="Times New Roman" w:hAnsi="Arial" w:cs="Arial"/>
          <w:b/>
          <w:bCs/>
          <w:color w:val="2F2F2F"/>
          <w:lang w:val="es-MX" w:eastAsia="es-MX"/>
        </w:rPr>
        <w:t xml:space="preserve">cada trimestre calendario. </w:t>
      </w:r>
    </w:p>
    <w:p w14:paraId="3D7FDA26" w14:textId="058271DF" w:rsidR="00954349" w:rsidRPr="00065DA5" w:rsidRDefault="00954349" w:rsidP="00065DA5">
      <w:pPr>
        <w:spacing w:after="54" w:line="240" w:lineRule="auto"/>
        <w:ind w:left="360" w:firstLine="360"/>
        <w:jc w:val="both"/>
        <w:rPr>
          <w:rFonts w:ascii="Arial" w:eastAsia="Times New Roman" w:hAnsi="Arial" w:cs="Arial"/>
          <w:i/>
          <w:iCs/>
          <w:color w:val="2F2F2F"/>
          <w:u w:val="single"/>
          <w:lang w:val="es-MX" w:eastAsia="es-MX"/>
        </w:rPr>
      </w:pPr>
      <w:r w:rsidRPr="00065DA5">
        <w:rPr>
          <w:rFonts w:ascii="Arial" w:eastAsia="Times New Roman" w:hAnsi="Arial" w:cs="Arial"/>
          <w:color w:val="2F2F2F"/>
          <w:lang w:val="es-MX" w:eastAsia="es-MX"/>
        </w:rPr>
        <w:t>o</w:t>
      </w:r>
      <w:r w:rsidRPr="00065DA5">
        <w:rPr>
          <w:rFonts w:ascii="Arial" w:eastAsia="Times New Roman" w:hAnsi="Arial" w:cs="Arial"/>
          <w:i/>
          <w:iCs/>
          <w:color w:val="2F2F2F"/>
          <w:lang w:val="es-MX" w:eastAsia="es-MX"/>
        </w:rPr>
        <w:t>   </w:t>
      </w:r>
      <w:r w:rsidR="00633A5E">
        <w:rPr>
          <w:rFonts w:ascii="Arial" w:eastAsia="Times New Roman" w:hAnsi="Arial" w:cs="Arial"/>
          <w:i/>
          <w:iCs/>
          <w:color w:val="2F2F2F"/>
          <w:lang w:val="es-MX" w:eastAsia="es-MX"/>
        </w:rPr>
        <w:t xml:space="preserve"> </w:t>
      </w:r>
      <w:r w:rsidRPr="00065DA5">
        <w:rPr>
          <w:rFonts w:ascii="Arial" w:eastAsia="Times New Roman" w:hAnsi="Arial" w:cs="Arial"/>
          <w:i/>
          <w:iCs/>
          <w:color w:val="2F2F2F"/>
          <w:u w:val="single"/>
          <w:lang w:val="es-MX" w:eastAsia="es-MX"/>
        </w:rPr>
        <w:t>Periodo que debe abarcar la información requerida:</w:t>
      </w:r>
    </w:p>
    <w:p w14:paraId="6CE0BB3E" w14:textId="5D5F4A21" w:rsidR="00954349" w:rsidRPr="00065DA5" w:rsidRDefault="00954349" w:rsidP="00065DA5">
      <w:pPr>
        <w:spacing w:after="54" w:line="240" w:lineRule="auto"/>
        <w:ind w:left="1069"/>
        <w:jc w:val="both"/>
        <w:rPr>
          <w:rFonts w:ascii="Arial" w:eastAsia="Times New Roman" w:hAnsi="Arial" w:cs="Arial"/>
          <w:b/>
          <w:bCs/>
          <w:color w:val="2F2F2F"/>
          <w:lang w:val="es-MX" w:eastAsia="es-MX"/>
        </w:rPr>
      </w:pPr>
      <w:r w:rsidRPr="00065DA5">
        <w:rPr>
          <w:rFonts w:ascii="Arial" w:eastAsia="Times New Roman" w:hAnsi="Arial" w:cs="Arial"/>
          <w:b/>
          <w:bCs/>
          <w:color w:val="2F2F2F"/>
          <w:lang w:val="es-MX" w:eastAsia="es-MX"/>
        </w:rPr>
        <w:t xml:space="preserve">El trimestre calendario inmediato anterior al </w:t>
      </w:r>
      <w:r w:rsidR="00952D4C">
        <w:rPr>
          <w:rFonts w:ascii="Arial" w:eastAsia="Times New Roman" w:hAnsi="Arial" w:cs="Arial"/>
          <w:b/>
          <w:bCs/>
          <w:color w:val="2F2F2F"/>
          <w:lang w:val="es-MX" w:eastAsia="es-MX"/>
        </w:rPr>
        <w:t>i</w:t>
      </w:r>
      <w:r w:rsidRPr="00065DA5">
        <w:rPr>
          <w:rFonts w:ascii="Arial" w:eastAsia="Times New Roman" w:hAnsi="Arial" w:cs="Arial"/>
          <w:b/>
          <w:bCs/>
          <w:color w:val="2F2F2F"/>
          <w:lang w:val="es-MX" w:eastAsia="es-MX"/>
        </w:rPr>
        <w:t>nicio de</w:t>
      </w:r>
      <w:r w:rsidR="001B08AB">
        <w:rPr>
          <w:rFonts w:ascii="Arial" w:eastAsia="Times New Roman" w:hAnsi="Arial" w:cs="Arial"/>
          <w:b/>
          <w:bCs/>
          <w:color w:val="2F2F2F"/>
          <w:lang w:val="es-MX" w:eastAsia="es-MX"/>
        </w:rPr>
        <w:t>l</w:t>
      </w:r>
      <w:r w:rsidRPr="00065DA5">
        <w:rPr>
          <w:rFonts w:ascii="Arial" w:eastAsia="Times New Roman" w:hAnsi="Arial" w:cs="Arial"/>
          <w:b/>
          <w:bCs/>
          <w:color w:val="2F2F2F"/>
          <w:lang w:val="es-MX" w:eastAsia="es-MX"/>
        </w:rPr>
        <w:t xml:space="preserve"> </w:t>
      </w:r>
      <w:r w:rsidR="001B08AB">
        <w:rPr>
          <w:rFonts w:ascii="Arial" w:eastAsia="Times New Roman" w:hAnsi="Arial" w:cs="Arial"/>
          <w:b/>
          <w:bCs/>
          <w:color w:val="2F2F2F"/>
          <w:lang w:val="es-MX" w:eastAsia="es-MX"/>
        </w:rPr>
        <w:t>p</w:t>
      </w:r>
      <w:r w:rsidRPr="00065DA5">
        <w:rPr>
          <w:rFonts w:ascii="Arial" w:eastAsia="Times New Roman" w:hAnsi="Arial" w:cs="Arial"/>
          <w:b/>
          <w:bCs/>
          <w:color w:val="2F2F2F"/>
          <w:lang w:val="es-MX" w:eastAsia="es-MX"/>
        </w:rPr>
        <w:t>eriodo para la entrega de información.</w:t>
      </w:r>
    </w:p>
    <w:p w14:paraId="79A6F628" w14:textId="7CB86A3C" w:rsidR="00954349" w:rsidRPr="00065DA5" w:rsidRDefault="00954349" w:rsidP="00065DA5">
      <w:pPr>
        <w:spacing w:after="54" w:line="240" w:lineRule="auto"/>
        <w:ind w:left="360" w:firstLine="360"/>
        <w:jc w:val="both"/>
        <w:rPr>
          <w:rFonts w:ascii="Arial" w:eastAsia="Times New Roman" w:hAnsi="Arial" w:cs="Arial"/>
          <w:color w:val="2F2F2F"/>
          <w:lang w:val="es-MX" w:eastAsia="es-MX"/>
        </w:rPr>
      </w:pPr>
      <w:r w:rsidRPr="00065DA5">
        <w:rPr>
          <w:rFonts w:ascii="Arial" w:eastAsia="Times New Roman" w:hAnsi="Arial" w:cs="Arial"/>
          <w:color w:val="2F2F2F"/>
          <w:lang w:val="es-MX" w:eastAsia="es-MX"/>
        </w:rPr>
        <w:t>o    </w:t>
      </w:r>
      <w:r w:rsidRPr="00065DA5">
        <w:rPr>
          <w:rFonts w:ascii="Arial" w:eastAsia="Times New Roman" w:hAnsi="Arial" w:cs="Arial"/>
          <w:i/>
          <w:iCs/>
          <w:color w:val="2F2F2F"/>
          <w:u w:val="single"/>
          <w:lang w:val="es-MX" w:eastAsia="es-MX"/>
        </w:rPr>
        <w:t>Plazo para formular una aclaración por parte del IFT:</w:t>
      </w:r>
    </w:p>
    <w:p w14:paraId="153E4728" w14:textId="46FA21BC" w:rsidR="00954349" w:rsidRPr="00065DA5" w:rsidRDefault="00954349" w:rsidP="00065DA5">
      <w:pPr>
        <w:spacing w:after="101" w:line="240" w:lineRule="auto"/>
        <w:ind w:left="1224" w:hanging="432"/>
        <w:rPr>
          <w:rFonts w:ascii="Arial" w:eastAsia="Times New Roman" w:hAnsi="Arial" w:cs="Arial"/>
          <w:color w:val="2F2F2F"/>
          <w:lang w:val="es-MX" w:eastAsia="es-MX"/>
        </w:rPr>
      </w:pPr>
      <w:r w:rsidRPr="00065DA5">
        <w:rPr>
          <w:rFonts w:ascii="Arial" w:eastAsia="Times New Roman" w:hAnsi="Arial" w:cs="Arial"/>
          <w:color w:val="2F2F2F"/>
          <w:lang w:val="es-MX" w:eastAsia="es-MX"/>
        </w:rPr>
        <w:t>     </w:t>
      </w:r>
      <w:r w:rsidRPr="00065DA5">
        <w:rPr>
          <w:rFonts w:ascii="Arial" w:eastAsia="Times New Roman" w:hAnsi="Arial" w:cs="Arial"/>
          <w:b/>
          <w:bCs/>
          <w:color w:val="2F2F2F"/>
          <w:lang w:val="es-MX" w:eastAsia="es-MX"/>
        </w:rPr>
        <w:t>Dentro de los 5 días hábiles desde la presentación de la información</w:t>
      </w:r>
      <w:r w:rsidR="001D1124">
        <w:rPr>
          <w:rFonts w:ascii="Arial" w:eastAsia="Times New Roman" w:hAnsi="Arial" w:cs="Arial"/>
          <w:b/>
          <w:bCs/>
          <w:color w:val="2F2F2F"/>
          <w:lang w:val="es-MX" w:eastAsia="es-MX"/>
        </w:rPr>
        <w:t>.</w:t>
      </w:r>
    </w:p>
    <w:p w14:paraId="113C8F4B" w14:textId="5A53E83D" w:rsidR="00954349" w:rsidRPr="00065DA5" w:rsidRDefault="00954349" w:rsidP="00065DA5">
      <w:pPr>
        <w:spacing w:after="54" w:line="240" w:lineRule="auto"/>
        <w:ind w:left="360" w:firstLine="360"/>
        <w:jc w:val="both"/>
        <w:rPr>
          <w:rFonts w:ascii="Arial" w:eastAsia="Times New Roman" w:hAnsi="Arial" w:cs="Arial"/>
          <w:i/>
          <w:iCs/>
          <w:color w:val="2F2F2F"/>
          <w:u w:val="single"/>
          <w:lang w:val="es-MX" w:eastAsia="es-MX"/>
        </w:rPr>
      </w:pPr>
      <w:r w:rsidRPr="00065DA5">
        <w:rPr>
          <w:rFonts w:ascii="Arial" w:eastAsia="Times New Roman" w:hAnsi="Arial" w:cs="Arial"/>
          <w:color w:val="2F2F2F"/>
          <w:lang w:val="es-MX" w:eastAsia="es-MX"/>
        </w:rPr>
        <w:t>o    </w:t>
      </w:r>
      <w:r w:rsidRPr="00065DA5">
        <w:rPr>
          <w:rFonts w:ascii="Arial" w:eastAsia="Times New Roman" w:hAnsi="Arial" w:cs="Arial"/>
          <w:i/>
          <w:iCs/>
          <w:color w:val="2F2F2F"/>
          <w:u w:val="single"/>
          <w:lang w:val="es-MX" w:eastAsia="es-MX"/>
        </w:rPr>
        <w:t>Plazo para desahogar el requerimiento de aclaración por parte del sujeto obligado:</w:t>
      </w:r>
    </w:p>
    <w:p w14:paraId="5B51E7D7" w14:textId="04ECF979" w:rsidR="00954349" w:rsidRPr="00065DA5" w:rsidRDefault="00954349" w:rsidP="00065DA5">
      <w:pPr>
        <w:spacing w:after="101" w:line="240" w:lineRule="auto"/>
        <w:ind w:left="1224" w:hanging="432"/>
        <w:jc w:val="both"/>
        <w:rPr>
          <w:rFonts w:ascii="Arial" w:eastAsia="Times New Roman" w:hAnsi="Arial" w:cs="Arial"/>
          <w:color w:val="2F2F2F"/>
          <w:lang w:val="es-MX" w:eastAsia="es-MX"/>
        </w:rPr>
      </w:pPr>
      <w:r w:rsidRPr="00065DA5">
        <w:rPr>
          <w:rFonts w:ascii="Arial" w:eastAsia="Times New Roman" w:hAnsi="Arial" w:cs="Arial"/>
          <w:color w:val="2F2F2F"/>
          <w:lang w:val="es-MX" w:eastAsia="es-MX"/>
        </w:rPr>
        <w:t>     </w:t>
      </w:r>
      <w:r w:rsidRPr="00065DA5">
        <w:rPr>
          <w:rFonts w:ascii="Arial" w:eastAsia="Times New Roman" w:hAnsi="Arial" w:cs="Arial"/>
          <w:b/>
          <w:bCs/>
          <w:color w:val="2F2F2F"/>
          <w:lang w:val="es-MX" w:eastAsia="es-MX"/>
        </w:rPr>
        <w:t>10 días hábiles desde el requerimiento de aclaración</w:t>
      </w:r>
      <w:r w:rsidR="001D1124">
        <w:rPr>
          <w:rFonts w:ascii="Arial" w:eastAsia="Times New Roman" w:hAnsi="Arial" w:cs="Arial"/>
          <w:b/>
          <w:bCs/>
          <w:color w:val="2F2F2F"/>
          <w:lang w:val="es-MX" w:eastAsia="es-MX"/>
        </w:rPr>
        <w:t>.</w:t>
      </w:r>
    </w:p>
    <w:p w14:paraId="70381AC3" w14:textId="60016099" w:rsidR="00954349" w:rsidRPr="00065DA5" w:rsidRDefault="00954349" w:rsidP="00065DA5">
      <w:pPr>
        <w:spacing w:after="54" w:line="240" w:lineRule="auto"/>
        <w:ind w:left="360" w:firstLine="360"/>
        <w:jc w:val="both"/>
        <w:rPr>
          <w:rFonts w:ascii="Arial" w:eastAsia="Times New Roman" w:hAnsi="Arial" w:cs="Arial"/>
          <w:i/>
          <w:iCs/>
          <w:color w:val="2F2F2F"/>
          <w:u w:val="single"/>
          <w:lang w:val="es-MX" w:eastAsia="es-MX"/>
        </w:rPr>
      </w:pPr>
      <w:r w:rsidRPr="00065DA5">
        <w:rPr>
          <w:rFonts w:ascii="Arial" w:eastAsia="Times New Roman" w:hAnsi="Arial" w:cs="Arial"/>
          <w:color w:val="2F2F2F"/>
          <w:lang w:val="es-MX" w:eastAsia="es-MX"/>
        </w:rPr>
        <w:t>o    </w:t>
      </w:r>
      <w:r w:rsidRPr="00065DA5">
        <w:rPr>
          <w:rFonts w:ascii="Arial" w:eastAsia="Times New Roman" w:hAnsi="Arial" w:cs="Arial"/>
          <w:i/>
          <w:iCs/>
          <w:color w:val="2F2F2F"/>
          <w:u w:val="single"/>
          <w:lang w:val="es-MX" w:eastAsia="es-MX"/>
        </w:rPr>
        <w:t>Afirmativa o Negativa ficta respecto a la aclaración:</w:t>
      </w:r>
    </w:p>
    <w:p w14:paraId="3367AE1E" w14:textId="122B5813" w:rsidR="00954349" w:rsidRPr="00065DA5" w:rsidRDefault="00954349" w:rsidP="00065DA5">
      <w:pPr>
        <w:spacing w:after="101" w:line="240" w:lineRule="auto"/>
        <w:ind w:left="1224" w:hanging="432"/>
        <w:rPr>
          <w:rFonts w:ascii="Arial" w:eastAsia="Times New Roman" w:hAnsi="Arial" w:cs="Arial"/>
          <w:color w:val="2F2F2F"/>
          <w:lang w:val="es-MX" w:eastAsia="es-MX"/>
        </w:rPr>
      </w:pPr>
      <w:r w:rsidRPr="00065DA5">
        <w:rPr>
          <w:rFonts w:ascii="Arial" w:eastAsia="Times New Roman" w:hAnsi="Arial" w:cs="Arial"/>
          <w:color w:val="2F2F2F"/>
          <w:lang w:val="es-MX" w:eastAsia="es-MX"/>
        </w:rPr>
        <w:t>     </w:t>
      </w:r>
      <w:r w:rsidRPr="00065DA5">
        <w:rPr>
          <w:rFonts w:ascii="Arial" w:eastAsia="Times New Roman" w:hAnsi="Arial" w:cs="Arial"/>
          <w:b/>
          <w:bCs/>
          <w:color w:val="2F2F2F"/>
          <w:lang w:val="es-MX" w:eastAsia="es-MX"/>
        </w:rPr>
        <w:t>Por regla general: Negativa ficta</w:t>
      </w:r>
      <w:r w:rsidR="001D1124">
        <w:rPr>
          <w:rFonts w:ascii="Arial" w:eastAsia="Times New Roman" w:hAnsi="Arial" w:cs="Arial"/>
          <w:b/>
          <w:bCs/>
          <w:color w:val="2F2F2F"/>
          <w:lang w:val="es-MX" w:eastAsia="es-MX"/>
        </w:rPr>
        <w:t>.</w:t>
      </w:r>
    </w:p>
    <w:p w14:paraId="2B8F715E" w14:textId="79B6D194" w:rsidR="00954349" w:rsidRPr="00065DA5" w:rsidRDefault="00954349" w:rsidP="00065DA5">
      <w:pPr>
        <w:spacing w:after="54" w:line="240" w:lineRule="auto"/>
        <w:ind w:left="360" w:firstLine="360"/>
        <w:jc w:val="both"/>
        <w:rPr>
          <w:rFonts w:ascii="Arial" w:eastAsia="Times New Roman" w:hAnsi="Arial" w:cs="Arial"/>
          <w:i/>
          <w:iCs/>
          <w:color w:val="2F2F2F"/>
          <w:u w:val="single"/>
          <w:lang w:val="es-MX" w:eastAsia="es-MX"/>
        </w:rPr>
      </w:pPr>
      <w:r w:rsidRPr="00065DA5">
        <w:rPr>
          <w:rFonts w:ascii="Arial" w:eastAsia="Times New Roman" w:hAnsi="Arial" w:cs="Arial"/>
          <w:color w:val="2F2F2F"/>
          <w:lang w:val="es-MX" w:eastAsia="es-MX"/>
        </w:rPr>
        <w:t>o    </w:t>
      </w:r>
      <w:r w:rsidRPr="00065DA5">
        <w:rPr>
          <w:rFonts w:ascii="Arial" w:eastAsia="Times New Roman" w:hAnsi="Arial" w:cs="Arial"/>
          <w:i/>
          <w:iCs/>
          <w:color w:val="2F2F2F"/>
          <w:u w:val="single"/>
          <w:lang w:val="es-MX" w:eastAsia="es-MX"/>
        </w:rPr>
        <w:t>Carácter de la información:</w:t>
      </w:r>
    </w:p>
    <w:p w14:paraId="5A1E0321" w14:textId="23DE7E76" w:rsidR="00954349" w:rsidRPr="00065DA5" w:rsidRDefault="00954349" w:rsidP="00065DA5">
      <w:pPr>
        <w:spacing w:after="101" w:line="240" w:lineRule="auto"/>
        <w:ind w:left="360" w:firstLine="709"/>
        <w:rPr>
          <w:rFonts w:ascii="Arial" w:eastAsia="Times New Roman" w:hAnsi="Arial" w:cs="Arial"/>
          <w:color w:val="2F2F2F"/>
          <w:lang w:val="es-MX" w:eastAsia="es-MX"/>
        </w:rPr>
      </w:pPr>
      <w:r w:rsidRPr="00065DA5">
        <w:rPr>
          <w:rFonts w:ascii="Arial" w:eastAsia="Times New Roman" w:hAnsi="Arial" w:cs="Arial"/>
          <w:b/>
          <w:bCs/>
          <w:color w:val="2F2F2F"/>
          <w:lang w:val="es-MX" w:eastAsia="es-MX"/>
        </w:rPr>
        <w:t>Público a nivel desagregado</w:t>
      </w:r>
      <w:r w:rsidR="001D1124">
        <w:rPr>
          <w:rFonts w:ascii="Arial" w:eastAsia="Times New Roman" w:hAnsi="Arial" w:cs="Arial"/>
          <w:b/>
          <w:bCs/>
          <w:color w:val="2F2F2F"/>
          <w:lang w:val="es-MX" w:eastAsia="es-MX"/>
        </w:rPr>
        <w:t>.</w:t>
      </w:r>
    </w:p>
    <w:p w14:paraId="023A81AD" w14:textId="77777777" w:rsidR="00952D4C" w:rsidRDefault="00952D4C" w:rsidP="00954349">
      <w:pPr>
        <w:spacing w:after="0"/>
        <w:contextualSpacing/>
        <w:mirrorIndents/>
        <w:jc w:val="both"/>
        <w:rPr>
          <w:rFonts w:ascii="Arial" w:eastAsia="Times New Roman" w:hAnsi="Arial" w:cs="Arial"/>
          <w:b/>
          <w:bCs/>
          <w:color w:val="2F2F2F"/>
          <w:lang w:val="es-MX" w:eastAsia="es-MX"/>
        </w:rPr>
      </w:pPr>
    </w:p>
    <w:p w14:paraId="455C1059" w14:textId="4B807D25" w:rsidR="00A9737A" w:rsidRDefault="00446121" w:rsidP="00954349">
      <w:pPr>
        <w:spacing w:after="0"/>
        <w:contextualSpacing/>
        <w:mirrorIndents/>
        <w:jc w:val="both"/>
        <w:rPr>
          <w:rFonts w:ascii="Arial" w:eastAsia="Times New Roman" w:hAnsi="Arial" w:cs="Arial"/>
          <w:b/>
          <w:bCs/>
          <w:color w:val="2F2F2F"/>
          <w:lang w:val="es-MX" w:eastAsia="es-MX"/>
        </w:rPr>
      </w:pPr>
      <w:r>
        <w:rPr>
          <w:rFonts w:ascii="Arial" w:eastAsia="Times New Roman" w:hAnsi="Arial" w:cs="Arial"/>
          <w:b/>
          <w:bCs/>
          <w:color w:val="2F2F2F"/>
          <w:lang w:val="es-MX" w:eastAsia="es-MX"/>
        </w:rPr>
        <w:t>Descripción de los indica</w:t>
      </w:r>
      <w:r w:rsidR="009E125E">
        <w:rPr>
          <w:rFonts w:ascii="Arial" w:eastAsia="Times New Roman" w:hAnsi="Arial" w:cs="Arial"/>
          <w:b/>
          <w:bCs/>
          <w:color w:val="2F2F2F"/>
          <w:lang w:val="es-MX" w:eastAsia="es-MX"/>
        </w:rPr>
        <w:t>dores</w:t>
      </w:r>
      <w:r>
        <w:rPr>
          <w:rFonts w:ascii="Arial" w:eastAsia="Times New Roman" w:hAnsi="Arial" w:cs="Arial"/>
          <w:b/>
          <w:bCs/>
          <w:color w:val="2F2F2F"/>
          <w:lang w:val="es-MX" w:eastAsia="es-MX"/>
        </w:rPr>
        <w:t>:</w:t>
      </w:r>
    </w:p>
    <w:p w14:paraId="6ACFED3F" w14:textId="77777777" w:rsidR="00D51D85" w:rsidRDefault="00FA03DC" w:rsidP="00FA03DC">
      <w:pPr>
        <w:spacing w:after="0" w:line="240" w:lineRule="auto"/>
        <w:jc w:val="both"/>
        <w:rPr>
          <w:rFonts w:ascii="Arial" w:eastAsia="Times New Roman" w:hAnsi="Arial" w:cs="Arial"/>
          <w:color w:val="2F2F2F"/>
          <w:lang w:val="es-MX" w:eastAsia="es-MX"/>
        </w:rPr>
      </w:pPr>
      <w:r w:rsidRPr="00065DA5">
        <w:rPr>
          <w:rFonts w:ascii="Arial" w:eastAsia="Times New Roman" w:hAnsi="Arial" w:cs="Arial"/>
          <w:color w:val="2F2F2F"/>
          <w:lang w:val="es-MX" w:eastAsia="es-MX"/>
        </w:rPr>
        <w:t xml:space="preserve">La siguiente información deberá ser entregada por </w:t>
      </w:r>
      <w:r>
        <w:rPr>
          <w:rFonts w:ascii="Arial" w:eastAsia="Times New Roman" w:hAnsi="Arial" w:cs="Arial"/>
          <w:color w:val="2F2F2F"/>
          <w:lang w:val="es-MX" w:eastAsia="es-MX"/>
        </w:rPr>
        <w:t>los Prestadores del Servicio Móvil</w:t>
      </w:r>
      <w:r w:rsidRPr="00065DA5">
        <w:rPr>
          <w:rFonts w:ascii="Arial" w:eastAsia="Times New Roman" w:hAnsi="Arial" w:cs="Arial"/>
          <w:color w:val="2F2F2F"/>
          <w:lang w:val="es-MX" w:eastAsia="es-MX"/>
        </w:rPr>
        <w:t xml:space="preserve">. </w:t>
      </w:r>
    </w:p>
    <w:p w14:paraId="775D1B83" w14:textId="77777777" w:rsidR="00D51D85" w:rsidRDefault="00D51D85" w:rsidP="00FA03DC">
      <w:pPr>
        <w:spacing w:after="0" w:line="240" w:lineRule="auto"/>
        <w:jc w:val="both"/>
        <w:rPr>
          <w:rFonts w:ascii="Arial" w:eastAsia="Times New Roman" w:hAnsi="Arial" w:cs="Arial"/>
          <w:color w:val="2F2F2F"/>
          <w:lang w:val="es-MX" w:eastAsia="es-MX"/>
        </w:rPr>
      </w:pPr>
    </w:p>
    <w:p w14:paraId="23C364F1" w14:textId="46F7D1DC" w:rsidR="00FA03DC" w:rsidRPr="00D56D88" w:rsidRDefault="00FA03DC" w:rsidP="00065DA5">
      <w:pPr>
        <w:spacing w:after="0" w:line="240" w:lineRule="auto"/>
        <w:jc w:val="both"/>
        <w:rPr>
          <w:rFonts w:ascii="Arial" w:eastAsia="ITC Avant Garde" w:hAnsi="Arial" w:cs="Arial"/>
        </w:rPr>
      </w:pPr>
      <w:r w:rsidRPr="00065DA5">
        <w:rPr>
          <w:rFonts w:ascii="Arial" w:eastAsia="Times New Roman" w:hAnsi="Arial" w:cs="Arial"/>
          <w:color w:val="2F2F2F"/>
          <w:lang w:val="es-MX" w:eastAsia="es-MX"/>
        </w:rPr>
        <w:t xml:space="preserve">Se deberá indicar una fila para cada uno de </w:t>
      </w:r>
      <w:r w:rsidR="00E54559">
        <w:rPr>
          <w:rFonts w:ascii="Arial" w:eastAsia="Times New Roman" w:hAnsi="Arial" w:cs="Arial"/>
          <w:color w:val="2F2F2F"/>
          <w:lang w:val="es-MX" w:eastAsia="es-MX"/>
        </w:rPr>
        <w:t xml:space="preserve">los </w:t>
      </w:r>
      <w:r>
        <w:rPr>
          <w:rFonts w:ascii="Arial" w:eastAsia="Times New Roman" w:hAnsi="Arial" w:cs="Arial"/>
          <w:color w:val="2F2F2F"/>
          <w:lang w:val="es-MX" w:eastAsia="es-MX"/>
        </w:rPr>
        <w:t>Equipos Term</w:t>
      </w:r>
      <w:r w:rsidR="00534E79">
        <w:rPr>
          <w:rFonts w:ascii="Arial" w:eastAsia="Times New Roman" w:hAnsi="Arial" w:cs="Arial"/>
          <w:color w:val="2F2F2F"/>
          <w:lang w:val="es-MX" w:eastAsia="es-MX"/>
        </w:rPr>
        <w:t>in</w:t>
      </w:r>
      <w:r>
        <w:rPr>
          <w:rFonts w:ascii="Arial" w:eastAsia="Times New Roman" w:hAnsi="Arial" w:cs="Arial"/>
          <w:color w:val="2F2F2F"/>
          <w:lang w:val="es-MX" w:eastAsia="es-MX"/>
        </w:rPr>
        <w:t>ales Móviles</w:t>
      </w:r>
      <w:r w:rsidR="000512F6">
        <w:rPr>
          <w:rFonts w:ascii="Arial" w:eastAsia="Times New Roman" w:hAnsi="Arial" w:cs="Arial"/>
          <w:color w:val="2F2F2F"/>
          <w:lang w:val="es-MX" w:eastAsia="es-MX"/>
        </w:rPr>
        <w:t xml:space="preserve"> desbloqueados automáticamente</w:t>
      </w:r>
      <w:r>
        <w:rPr>
          <w:rFonts w:ascii="Arial" w:eastAsia="Times New Roman" w:hAnsi="Arial" w:cs="Arial"/>
          <w:color w:val="2F2F2F"/>
          <w:lang w:val="es-MX" w:eastAsia="es-MX"/>
        </w:rPr>
        <w:t>.</w:t>
      </w:r>
    </w:p>
    <w:p w14:paraId="31A4A29E" w14:textId="13FF569A" w:rsidR="00A9737A" w:rsidRPr="00D56D88" w:rsidRDefault="00A9737A" w:rsidP="007E23CC">
      <w:pPr>
        <w:spacing w:after="0"/>
        <w:contextualSpacing/>
        <w:mirrorIndents/>
        <w:jc w:val="both"/>
        <w:rPr>
          <w:rFonts w:ascii="Arial" w:eastAsia="ITC Avant Garde" w:hAnsi="Arial" w:cs="Arial"/>
        </w:rPr>
      </w:pP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6140"/>
        <w:gridCol w:w="1524"/>
      </w:tblGrid>
      <w:tr w:rsidR="00A9737A" w:rsidRPr="008D1166" w14:paraId="715829CE" w14:textId="77777777" w:rsidTr="00065DA5">
        <w:trPr>
          <w:trHeight w:val="44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101898" w14:textId="77777777" w:rsidR="00A9737A" w:rsidRPr="008D1166" w:rsidRDefault="00A9737A" w:rsidP="00EF3BAA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D11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Nombre del</w:t>
            </w:r>
            <w:r w:rsidRPr="008D11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br/>
              <w:t>Indicador</w:t>
            </w:r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8C5C6D" w14:textId="77777777" w:rsidR="00A9737A" w:rsidRPr="008D1166" w:rsidRDefault="00A9737A" w:rsidP="00EF3BAA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D11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Descripción del Indicador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C2C04D" w14:textId="77777777" w:rsidR="00A9737A" w:rsidRPr="008D1166" w:rsidRDefault="00A9737A" w:rsidP="00EF3BAA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D11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Unidad Medida</w:t>
            </w:r>
          </w:p>
        </w:tc>
      </w:tr>
      <w:tr w:rsidR="000512F6" w:rsidRPr="008D1166" w14:paraId="70825CCF" w14:textId="77777777" w:rsidTr="00065DA5">
        <w:trPr>
          <w:trHeight w:val="449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48A9E3" w14:textId="51557416" w:rsidR="000512F6" w:rsidRPr="008D1166" w:rsidRDefault="000512F6" w:rsidP="000512F6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IMEI</w:t>
            </w:r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AA5297" w14:textId="6D2AD014" w:rsidR="000512F6" w:rsidRPr="008D1166" w:rsidRDefault="000512F6" w:rsidP="000512F6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 el IMEI del Equipo Terminal Móvil</w:t>
            </w:r>
            <w:r w:rsidR="00745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2F3EA0" w14:textId="77777777" w:rsidR="000512F6" w:rsidRPr="008D1166" w:rsidRDefault="000512F6" w:rsidP="000512F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1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Aplica</w:t>
            </w:r>
          </w:p>
        </w:tc>
      </w:tr>
      <w:tr w:rsidR="002579D4" w:rsidRPr="008D1166" w14:paraId="46099452" w14:textId="77777777" w:rsidTr="00663DAB">
        <w:trPr>
          <w:trHeight w:val="449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F535C6" w14:textId="58F539AE" w:rsidR="002579D4" w:rsidRDefault="002579D4" w:rsidP="002579D4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Fecha </w:t>
            </w:r>
            <w:r w:rsidR="00973E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liquidación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Equipo Terminal Móvil</w:t>
            </w:r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1CD4A2" w14:textId="2C8F00E9" w:rsidR="002579D4" w:rsidRPr="00065DA5" w:rsidRDefault="002579D4" w:rsidP="00CE7B20">
            <w:pPr>
              <w:spacing w:after="20" w:line="240" w:lineRule="auto"/>
              <w:jc w:val="both"/>
              <w:rPr>
                <w:rFonts w:cs="Arial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Indicar la fecha en la que el Equipo Terminal Móvil es </w:t>
            </w:r>
            <w:r w:rsidR="00973E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liquidado y por tanto es procedente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desbloqueo conforme a lo establecido en el Lineamiento Séptimo. (</w:t>
            </w:r>
            <w:proofErr w:type="spellStart"/>
            <w:r w:rsidRPr="00C91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dd</w:t>
            </w:r>
            <w:proofErr w:type="spellEnd"/>
            <w:r w:rsidRPr="00C91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/mm/</w:t>
            </w:r>
            <w:proofErr w:type="spellStart"/>
            <w:r w:rsidRPr="00C91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aaaa</w:t>
            </w:r>
            <w:proofErr w:type="spellEnd"/>
            <w:r w:rsidRPr="00C91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160D51" w14:textId="76727910" w:rsidR="002579D4" w:rsidRPr="008D1166" w:rsidRDefault="002579D4" w:rsidP="002579D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1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Aplica</w:t>
            </w:r>
          </w:p>
        </w:tc>
      </w:tr>
      <w:tr w:rsidR="002579D4" w:rsidRPr="008D1166" w14:paraId="75F57307" w14:textId="77777777" w:rsidTr="00663DAB">
        <w:trPr>
          <w:trHeight w:val="449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781E43" w14:textId="0522B128" w:rsidR="002579D4" w:rsidRDefault="00F24DD7" w:rsidP="002579D4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</w:t>
            </w:r>
            <w:r w:rsidR="002579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</w:t>
            </w:r>
            <w:r w:rsidR="00973E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liquidación </w:t>
            </w:r>
            <w:r w:rsidR="002579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Equipo Terminal Móvil</w:t>
            </w:r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08528C" w14:textId="1EF2FC16" w:rsidR="002579D4" w:rsidRDefault="002579D4" w:rsidP="00F225F6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 la hora en la que el Equipo Terminal Móvil es</w:t>
            </w:r>
            <w:r w:rsidR="00973E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liquidado y por tanto es procedente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su desbloqueo conforme a lo establecido en el Lineamiento Séptimo.</w:t>
            </w:r>
          </w:p>
          <w:p w14:paraId="712DE021" w14:textId="4E4BF9AE" w:rsidR="002579D4" w:rsidRDefault="002579D4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1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proofErr w:type="spellStart"/>
            <w:r w:rsidRPr="00C91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hh:mm</w:t>
            </w:r>
            <w:proofErr w:type="spellEnd"/>
            <w:r w:rsidRPr="00C91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FC527E" w14:textId="537F9CED" w:rsidR="002579D4" w:rsidRPr="008D1166" w:rsidRDefault="002579D4" w:rsidP="002579D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1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Aplica</w:t>
            </w:r>
          </w:p>
        </w:tc>
      </w:tr>
      <w:tr w:rsidR="002579D4" w:rsidRPr="008D1166" w14:paraId="4B321A5F" w14:textId="77777777" w:rsidTr="00065DA5">
        <w:trPr>
          <w:trHeight w:val="6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2F657D" w14:textId="35E2803E" w:rsidR="002579D4" w:rsidRPr="008D1166" w:rsidRDefault="002579D4" w:rsidP="002579D4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del desbloqueo automático</w:t>
            </w:r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5542A7" w14:textId="6B05076B" w:rsidR="002579D4" w:rsidRPr="008D1166" w:rsidRDefault="002579D4" w:rsidP="002579D4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 la fecha en la que se desbloqueó el Equipo Terminal Móvil de forma automática (</w:t>
            </w:r>
            <w:proofErr w:type="spellStart"/>
            <w:r w:rsidRPr="00065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dd</w:t>
            </w:r>
            <w:proofErr w:type="spellEnd"/>
            <w:r w:rsidRPr="00065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/mm/</w:t>
            </w:r>
            <w:proofErr w:type="spellStart"/>
            <w:r w:rsidRPr="00065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aaaa</w:t>
            </w:r>
            <w:proofErr w:type="spellEnd"/>
            <w:r w:rsidRPr="00065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EADD22" w14:textId="4F1F6A5D" w:rsidR="002579D4" w:rsidRPr="008D1166" w:rsidRDefault="002579D4" w:rsidP="002579D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1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Aplica</w:t>
            </w:r>
          </w:p>
        </w:tc>
      </w:tr>
      <w:tr w:rsidR="002579D4" w:rsidRPr="008D1166" w14:paraId="7996DD14" w14:textId="77777777" w:rsidTr="00065DA5">
        <w:trPr>
          <w:trHeight w:val="878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2A911E" w14:textId="67236A8D" w:rsidR="002579D4" w:rsidRPr="008D1166" w:rsidRDefault="002579D4" w:rsidP="002579D4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 del desbloqueo</w:t>
            </w:r>
            <w:r w:rsidR="003F0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automático</w:t>
            </w:r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0E073C" w14:textId="3E0CDA1B" w:rsidR="002579D4" w:rsidRPr="008D1166" w:rsidRDefault="002579D4" w:rsidP="002579D4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Indicar la hora en </w:t>
            </w:r>
            <w:r w:rsidR="00474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 desbloqueó el Equipo Terminal Móvil</w:t>
            </w:r>
            <w:r w:rsidR="00C348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forma automática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65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proofErr w:type="spellStart"/>
            <w:r w:rsidRPr="00065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hh:mm</w:t>
            </w:r>
            <w:proofErr w:type="spellEnd"/>
            <w:r w:rsidRPr="00065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3872BE" w14:textId="70E69C95" w:rsidR="002579D4" w:rsidRPr="008D1166" w:rsidRDefault="002579D4" w:rsidP="002579D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1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Aplica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/ </w:t>
            </w:r>
          </w:p>
        </w:tc>
      </w:tr>
    </w:tbl>
    <w:p w14:paraId="49471793" w14:textId="3930E3D4" w:rsidR="00A9737A" w:rsidRPr="00065DA5" w:rsidRDefault="00A9737A" w:rsidP="007E23CC">
      <w:pPr>
        <w:spacing w:after="0"/>
        <w:contextualSpacing/>
        <w:mirrorIndents/>
        <w:jc w:val="both"/>
        <w:rPr>
          <w:rFonts w:ascii="Arial" w:eastAsia="Times New Roman" w:hAnsi="Arial" w:cs="Arial"/>
          <w:color w:val="2F2F2F"/>
          <w:lang w:val="es-MX" w:eastAsia="es-MX"/>
        </w:rPr>
      </w:pPr>
    </w:p>
    <w:p w14:paraId="23A11C13" w14:textId="4DF27C56" w:rsidR="00CF3C57" w:rsidRDefault="00135649" w:rsidP="007E23CC">
      <w:pPr>
        <w:spacing w:after="0"/>
        <w:contextualSpacing/>
        <w:mirrorIndents/>
        <w:jc w:val="both"/>
        <w:rPr>
          <w:rFonts w:ascii="Arial" w:eastAsia="Times New Roman" w:hAnsi="Arial" w:cs="Arial"/>
          <w:color w:val="2F2F2F"/>
          <w:lang w:val="es-MX" w:eastAsia="es-MX"/>
        </w:rPr>
      </w:pPr>
      <w:r w:rsidRPr="00065DA5">
        <w:rPr>
          <w:rFonts w:ascii="Arial" w:eastAsia="Times New Roman" w:hAnsi="Arial" w:cs="Arial"/>
          <w:color w:val="2F2F2F"/>
          <w:lang w:val="es-MX" w:eastAsia="es-MX"/>
        </w:rPr>
        <w:lastRenderedPageBreak/>
        <w:t xml:space="preserve">En la siguiente información, se deberá indicar una fila para cada uno </w:t>
      </w:r>
      <w:r w:rsidR="00E54559">
        <w:rPr>
          <w:rFonts w:ascii="Arial" w:eastAsia="Times New Roman" w:hAnsi="Arial" w:cs="Arial"/>
          <w:color w:val="2F2F2F"/>
          <w:lang w:val="es-MX" w:eastAsia="es-MX"/>
        </w:rPr>
        <w:t xml:space="preserve">de los Equipos Terminales Móviles para los cuales se haya notificado la elegibilidad para el desbloqueo. </w:t>
      </w:r>
    </w:p>
    <w:p w14:paraId="0C087D60" w14:textId="77777777" w:rsidR="00135649" w:rsidRPr="00065DA5" w:rsidRDefault="00135649" w:rsidP="007E23CC">
      <w:pPr>
        <w:spacing w:after="0"/>
        <w:contextualSpacing/>
        <w:mirrorIndents/>
        <w:jc w:val="both"/>
        <w:rPr>
          <w:rFonts w:ascii="Arial" w:eastAsia="Times New Roman" w:hAnsi="Arial" w:cs="Arial"/>
          <w:color w:val="2F2F2F"/>
          <w:lang w:val="es-MX" w:eastAsia="es-MX"/>
        </w:rPr>
      </w:pP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6140"/>
        <w:gridCol w:w="1524"/>
      </w:tblGrid>
      <w:tr w:rsidR="00CF3C57" w:rsidRPr="008D1166" w14:paraId="4BA5D1FD" w14:textId="77777777" w:rsidTr="00EF3BAA">
        <w:trPr>
          <w:trHeight w:val="44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507C47" w14:textId="77777777" w:rsidR="00CF3C57" w:rsidRPr="008D1166" w:rsidRDefault="00CF3C57" w:rsidP="00EF3BAA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D11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Nombre del</w:t>
            </w:r>
            <w:r w:rsidRPr="008D11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br/>
              <w:t>Indicador</w:t>
            </w:r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BC7061" w14:textId="77777777" w:rsidR="00CF3C57" w:rsidRPr="008D1166" w:rsidRDefault="00CF3C57" w:rsidP="00EF3BAA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D11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Descripción del Indicador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30291B" w14:textId="77777777" w:rsidR="00CF3C57" w:rsidRPr="008D1166" w:rsidRDefault="00CF3C57" w:rsidP="00EF3BAA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D11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Unidad Medida</w:t>
            </w:r>
          </w:p>
        </w:tc>
      </w:tr>
      <w:tr w:rsidR="00B52913" w:rsidRPr="008D1166" w14:paraId="5889FC62" w14:textId="77777777" w:rsidTr="00EF3BAA">
        <w:trPr>
          <w:trHeight w:val="449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75C74E" w14:textId="6A9C96E6" w:rsidR="00B52913" w:rsidRPr="008D1166" w:rsidRDefault="00B52913" w:rsidP="00B52913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IMEI</w:t>
            </w:r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6BC07F" w14:textId="32713B0E" w:rsidR="00B52913" w:rsidRPr="008D1166" w:rsidRDefault="00B52913" w:rsidP="00B52913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 el IMEI del Equipo Terminal Móvil</w:t>
            </w:r>
            <w:r w:rsidR="00745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C494B6" w14:textId="5FEC1F9A" w:rsidR="00B52913" w:rsidRPr="008D1166" w:rsidRDefault="00B52913" w:rsidP="00B5291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1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Aplica</w:t>
            </w:r>
          </w:p>
        </w:tc>
      </w:tr>
      <w:tr w:rsidR="00B52913" w:rsidRPr="008D1166" w14:paraId="45913F29" w14:textId="77777777" w:rsidTr="00EF3BAA">
        <w:trPr>
          <w:trHeight w:val="6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A41584" w14:textId="093ADA61" w:rsidR="00B52913" w:rsidRPr="008D1166" w:rsidRDefault="00B52913" w:rsidP="00B52913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elegibilidad del Equipo Terminal Móvil</w:t>
            </w:r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DA4197" w14:textId="5921F43D" w:rsidR="00B52913" w:rsidRPr="008D1166" w:rsidRDefault="00B52913" w:rsidP="00B52913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 la fecha en la que el Equipo Terminal Móvil es elegible para su desbloqueo conforme a lo establecido en el Lineamiento Séptimo. (</w:t>
            </w:r>
            <w:proofErr w:type="spellStart"/>
            <w:r w:rsidRPr="00C91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dd</w:t>
            </w:r>
            <w:proofErr w:type="spellEnd"/>
            <w:r w:rsidRPr="00C91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/mm/</w:t>
            </w:r>
            <w:proofErr w:type="spellStart"/>
            <w:r w:rsidRPr="00C91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aaaa</w:t>
            </w:r>
            <w:proofErr w:type="spellEnd"/>
            <w:r w:rsidRPr="00C91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13397C" w14:textId="4FC11DB4" w:rsidR="00B52913" w:rsidRPr="008D1166" w:rsidRDefault="00B52913" w:rsidP="00B5291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1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Aplica</w:t>
            </w:r>
          </w:p>
        </w:tc>
      </w:tr>
      <w:tr w:rsidR="00B52913" w:rsidRPr="008D1166" w14:paraId="73D80A34" w14:textId="77777777" w:rsidTr="00EF3BAA">
        <w:trPr>
          <w:trHeight w:val="878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30DE0F" w14:textId="32B33337" w:rsidR="00B52913" w:rsidRPr="008D1166" w:rsidRDefault="00F24DD7" w:rsidP="00B52913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</w:t>
            </w:r>
            <w:r w:rsidR="00B52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elegibilidad del Equipo Terminal Móvil</w:t>
            </w:r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864196" w14:textId="77777777" w:rsidR="00B52913" w:rsidRDefault="00B52913" w:rsidP="00B52913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 la hora en la que el Equipo Terminal Móvil es elegible para su desbloqueo conforme a lo establecido en el Lineamiento Séptimo.</w:t>
            </w:r>
          </w:p>
          <w:p w14:paraId="1DC3E14F" w14:textId="4F8ECEDD" w:rsidR="00B52913" w:rsidRPr="008D1166" w:rsidRDefault="00B52913" w:rsidP="00B52913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1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proofErr w:type="spellStart"/>
            <w:r w:rsidRPr="00C91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hh:mm</w:t>
            </w:r>
            <w:proofErr w:type="spellEnd"/>
            <w:r w:rsidRPr="00C91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A750EA" w14:textId="08713CFE" w:rsidR="00B52913" w:rsidRPr="008D1166" w:rsidRDefault="00B52913" w:rsidP="00B5291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1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Aplica</w:t>
            </w:r>
          </w:p>
        </w:tc>
      </w:tr>
      <w:tr w:rsidR="00B52913" w:rsidRPr="008D1166" w14:paraId="7648498A" w14:textId="77777777" w:rsidTr="00EF3BAA">
        <w:trPr>
          <w:trHeight w:val="6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0C6DFE" w14:textId="5D29973A" w:rsidR="00B52913" w:rsidRPr="008D1166" w:rsidRDefault="00B52913" w:rsidP="00B52913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Fecha </w:t>
            </w:r>
            <w:r w:rsidR="00F24D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notificación de elegibilidad</w:t>
            </w:r>
            <w:r w:rsidR="003B70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para el desbloqueo</w:t>
            </w:r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E481E9" w14:textId="6E91D303" w:rsidR="00B52913" w:rsidRDefault="00B52913" w:rsidP="00B52913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Indicar la fecha en la que se </w:t>
            </w:r>
            <w:r w:rsidR="00A813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notificó al usuario mediante el envío de un mensaje corto que 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Equipo Terminal Móvil </w:t>
            </w:r>
            <w:r w:rsidR="00A813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 elegible para el desbloqueo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</w:t>
            </w:r>
            <w:proofErr w:type="spellStart"/>
            <w:r w:rsidRPr="00C91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dd</w:t>
            </w:r>
            <w:proofErr w:type="spellEnd"/>
            <w:r w:rsidRPr="00C91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/mm/</w:t>
            </w:r>
            <w:proofErr w:type="spellStart"/>
            <w:r w:rsidRPr="00C91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aaaa</w:t>
            </w:r>
            <w:proofErr w:type="spellEnd"/>
            <w:r w:rsidRPr="00C91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58C346" w14:textId="27C50ABD" w:rsidR="00B52913" w:rsidRPr="008D1166" w:rsidRDefault="00B52913" w:rsidP="00B5291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1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Aplica</w:t>
            </w:r>
          </w:p>
        </w:tc>
      </w:tr>
      <w:tr w:rsidR="00A81360" w:rsidRPr="008D1166" w14:paraId="6EEA6587" w14:textId="77777777" w:rsidTr="00EF3BAA">
        <w:trPr>
          <w:trHeight w:val="6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F1001E" w14:textId="2E05C872" w:rsidR="00A81360" w:rsidRDefault="00A81360" w:rsidP="00A81360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 de notificación de elegibilidad para el desbloqueo</w:t>
            </w:r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9E7750" w14:textId="78453DAD" w:rsidR="00A81360" w:rsidRDefault="00A81360" w:rsidP="00A81360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Indicar la </w:t>
            </w:r>
            <w:r w:rsidR="00474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hora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la que se notificó al usuario mediante el envío de un mensaje corto que el Equipo Terminal Móvil es elegible para el desbloqueo </w:t>
            </w:r>
            <w:r w:rsidRPr="00C91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proofErr w:type="spellStart"/>
            <w:r w:rsidRPr="00C91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hh:mm</w:t>
            </w:r>
            <w:proofErr w:type="spellEnd"/>
            <w:r w:rsidRPr="00C91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53E7A5" w14:textId="3FDDF9A4" w:rsidR="00A81360" w:rsidRPr="008D1166" w:rsidRDefault="00A81360" w:rsidP="00A81360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1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Aplica</w:t>
            </w:r>
          </w:p>
        </w:tc>
      </w:tr>
    </w:tbl>
    <w:p w14:paraId="501F5D46" w14:textId="5E4A3360" w:rsidR="00A9737A" w:rsidRDefault="00A9737A" w:rsidP="007E23CC">
      <w:pPr>
        <w:spacing w:after="0"/>
        <w:contextualSpacing/>
        <w:mirrorIndents/>
        <w:jc w:val="both"/>
        <w:rPr>
          <w:rFonts w:ascii="Arial" w:eastAsia="ITC Avant Garde" w:hAnsi="Arial" w:cs="Arial"/>
        </w:rPr>
      </w:pPr>
    </w:p>
    <w:p w14:paraId="4397D974" w14:textId="6ABDA671" w:rsidR="00076AFD" w:rsidRDefault="00076AFD" w:rsidP="00076AFD">
      <w:pPr>
        <w:spacing w:after="0"/>
        <w:contextualSpacing/>
        <w:mirrorIndents/>
        <w:jc w:val="both"/>
        <w:rPr>
          <w:rFonts w:ascii="Arial" w:eastAsia="Times New Roman" w:hAnsi="Arial" w:cs="Arial"/>
          <w:color w:val="2F2F2F"/>
          <w:lang w:val="es-MX" w:eastAsia="es-MX"/>
        </w:rPr>
      </w:pPr>
      <w:r w:rsidRPr="00C91816">
        <w:rPr>
          <w:rFonts w:ascii="Arial" w:eastAsia="Times New Roman" w:hAnsi="Arial" w:cs="Arial"/>
          <w:color w:val="2F2F2F"/>
          <w:lang w:val="es-MX" w:eastAsia="es-MX"/>
        </w:rPr>
        <w:t xml:space="preserve">En la siguiente información, se deberá indicar una fila para cada uno </w:t>
      </w:r>
      <w:r>
        <w:rPr>
          <w:rFonts w:ascii="Arial" w:eastAsia="Times New Roman" w:hAnsi="Arial" w:cs="Arial"/>
          <w:color w:val="2F2F2F"/>
          <w:lang w:val="es-MX" w:eastAsia="es-MX"/>
        </w:rPr>
        <w:t xml:space="preserve">de los Equipos Terminales Móviles </w:t>
      </w:r>
      <w:r w:rsidR="00973E95">
        <w:rPr>
          <w:rFonts w:ascii="Arial" w:eastAsia="Times New Roman" w:hAnsi="Arial" w:cs="Arial"/>
          <w:color w:val="2F2F2F"/>
          <w:lang w:val="es-MX" w:eastAsia="es-MX"/>
        </w:rPr>
        <w:t>E</w:t>
      </w:r>
      <w:r w:rsidR="003E2331">
        <w:rPr>
          <w:rFonts w:ascii="Arial" w:eastAsia="Times New Roman" w:hAnsi="Arial" w:cs="Arial"/>
          <w:color w:val="2F2F2F"/>
          <w:lang w:val="es-MX" w:eastAsia="es-MX"/>
        </w:rPr>
        <w:t xml:space="preserve">legibles para desbloqueo </w:t>
      </w:r>
      <w:r>
        <w:rPr>
          <w:rFonts w:ascii="Arial" w:eastAsia="Times New Roman" w:hAnsi="Arial" w:cs="Arial"/>
          <w:color w:val="2F2F2F"/>
          <w:lang w:val="es-MX" w:eastAsia="es-MX"/>
        </w:rPr>
        <w:t xml:space="preserve">para los cuales se haya </w:t>
      </w:r>
      <w:r w:rsidR="009458DC">
        <w:rPr>
          <w:rFonts w:ascii="Arial" w:eastAsia="Times New Roman" w:hAnsi="Arial" w:cs="Arial"/>
          <w:color w:val="2F2F2F"/>
          <w:lang w:val="es-MX" w:eastAsia="es-MX"/>
        </w:rPr>
        <w:t>recibido una solicitud de desbloqueo</w:t>
      </w:r>
      <w:r w:rsidR="008A4A80">
        <w:rPr>
          <w:rFonts w:ascii="Arial" w:eastAsia="Times New Roman" w:hAnsi="Arial" w:cs="Arial"/>
          <w:color w:val="2F2F2F"/>
          <w:lang w:val="es-MX" w:eastAsia="es-MX"/>
        </w:rPr>
        <w:t xml:space="preserve"> en un centro de atención a clientes</w:t>
      </w:r>
      <w:r>
        <w:rPr>
          <w:rFonts w:ascii="Arial" w:eastAsia="Times New Roman" w:hAnsi="Arial" w:cs="Arial"/>
          <w:color w:val="2F2F2F"/>
          <w:lang w:val="es-MX" w:eastAsia="es-MX"/>
        </w:rPr>
        <w:t xml:space="preserve">. </w:t>
      </w:r>
    </w:p>
    <w:p w14:paraId="29712607" w14:textId="74CCA65E" w:rsidR="00A9737A" w:rsidRPr="00065DA5" w:rsidRDefault="00A9737A" w:rsidP="007E23CC">
      <w:pPr>
        <w:spacing w:after="0"/>
        <w:contextualSpacing/>
        <w:mirrorIndents/>
        <w:jc w:val="both"/>
        <w:rPr>
          <w:rFonts w:ascii="Arial" w:eastAsia="ITC Avant Garde" w:hAnsi="Arial" w:cs="Arial"/>
          <w:lang w:val="es-MX"/>
        </w:rPr>
      </w:pP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6140"/>
        <w:gridCol w:w="1524"/>
      </w:tblGrid>
      <w:tr w:rsidR="009458DC" w:rsidRPr="008D1166" w14:paraId="6BA46BD7" w14:textId="77777777" w:rsidTr="00EF3BAA">
        <w:trPr>
          <w:trHeight w:val="44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F49B17" w14:textId="77777777" w:rsidR="009458DC" w:rsidRPr="008D1166" w:rsidRDefault="009458DC" w:rsidP="00EF3BAA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D11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Nombre del</w:t>
            </w:r>
            <w:r w:rsidRPr="008D11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br/>
              <w:t>Indicador</w:t>
            </w:r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EEAB27" w14:textId="77777777" w:rsidR="009458DC" w:rsidRPr="008D1166" w:rsidRDefault="009458DC" w:rsidP="00EF3BAA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D11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Descripción del Indicador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28E349" w14:textId="77777777" w:rsidR="009458DC" w:rsidRPr="008D1166" w:rsidRDefault="009458DC" w:rsidP="00EF3BAA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D11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Unidad Medida</w:t>
            </w:r>
          </w:p>
        </w:tc>
      </w:tr>
      <w:tr w:rsidR="009458DC" w:rsidRPr="008D1166" w14:paraId="3455BB7A" w14:textId="77777777" w:rsidTr="00EF3BAA">
        <w:trPr>
          <w:trHeight w:val="449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CA0EEB" w14:textId="77777777" w:rsidR="009458DC" w:rsidRPr="008D1166" w:rsidRDefault="009458DC" w:rsidP="00EF3BAA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IMEI</w:t>
            </w:r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AB11EE" w14:textId="77777777" w:rsidR="009458DC" w:rsidRPr="008D1166" w:rsidRDefault="009458DC" w:rsidP="00EF3BA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 el IMEI del Equipo Terminal Móvil.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DBB905" w14:textId="77777777" w:rsidR="009458DC" w:rsidRPr="008D1166" w:rsidRDefault="009458DC" w:rsidP="00EF3BA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1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Aplica</w:t>
            </w:r>
          </w:p>
        </w:tc>
      </w:tr>
      <w:tr w:rsidR="009458DC" w:rsidRPr="008D1166" w14:paraId="28B03F65" w14:textId="77777777" w:rsidTr="00EF3BAA">
        <w:trPr>
          <w:trHeight w:val="6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05F5CF" w14:textId="1364A032" w:rsidR="009458DC" w:rsidRPr="008D1166" w:rsidRDefault="009458DC" w:rsidP="00EF3BAA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Fecha de </w:t>
            </w:r>
            <w:r w:rsidR="009970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</w:t>
            </w:r>
            <w:r w:rsidR="009970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</w:t>
            </w:r>
            <w:r w:rsidR="009970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solicitud de desbloqueo</w:t>
            </w:r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B3F2C4" w14:textId="29487BFF" w:rsidR="009458DC" w:rsidRPr="008D1166" w:rsidRDefault="009458DC" w:rsidP="00EF3BA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Indicar la fecha en la que </w:t>
            </w:r>
            <w:r w:rsidR="009970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recibió la solicitud de desbloqueo 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Equipo Terminal Móvil (</w:t>
            </w:r>
            <w:proofErr w:type="spellStart"/>
            <w:r w:rsidRPr="00C91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dd</w:t>
            </w:r>
            <w:proofErr w:type="spellEnd"/>
            <w:r w:rsidRPr="00C91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/mm/</w:t>
            </w:r>
            <w:proofErr w:type="spellStart"/>
            <w:r w:rsidRPr="00C91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aaaa</w:t>
            </w:r>
            <w:proofErr w:type="spellEnd"/>
            <w:r w:rsidRPr="00C91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7550F9" w14:textId="77777777" w:rsidR="009458DC" w:rsidRPr="008D1166" w:rsidRDefault="009458DC" w:rsidP="00EF3BA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1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Aplica</w:t>
            </w:r>
          </w:p>
        </w:tc>
      </w:tr>
      <w:tr w:rsidR="009458DC" w:rsidRPr="008D1166" w14:paraId="1A238301" w14:textId="77777777" w:rsidTr="00EF3BAA">
        <w:trPr>
          <w:trHeight w:val="878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7CBE7E" w14:textId="60F27D5D" w:rsidR="009458DC" w:rsidRPr="008D1166" w:rsidRDefault="009458DC" w:rsidP="00EF3BAA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Hora de </w:t>
            </w:r>
            <w:r w:rsidR="009970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 de la solicitud de desbloqueo</w:t>
            </w:r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A48F1D" w14:textId="33AA2912" w:rsidR="009458DC" w:rsidRDefault="009458DC" w:rsidP="00EF3BA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Indicar la hora en la que </w:t>
            </w:r>
            <w:r w:rsidR="009970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recibió la solicitud de desbloqueo del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Equipo Terminal Móvil.</w:t>
            </w:r>
          </w:p>
          <w:p w14:paraId="4C130CDF" w14:textId="77777777" w:rsidR="009458DC" w:rsidRPr="008D1166" w:rsidRDefault="009458DC" w:rsidP="00EF3BA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1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proofErr w:type="spellStart"/>
            <w:r w:rsidRPr="00C91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hh:mm</w:t>
            </w:r>
            <w:proofErr w:type="spellEnd"/>
            <w:r w:rsidRPr="00C91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E1AFD7" w14:textId="77777777" w:rsidR="009458DC" w:rsidRPr="008D1166" w:rsidRDefault="009458DC" w:rsidP="00EF3BA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1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Aplica</w:t>
            </w:r>
          </w:p>
        </w:tc>
      </w:tr>
      <w:tr w:rsidR="009458DC" w:rsidRPr="008D1166" w14:paraId="5B6E3C1D" w14:textId="77777777" w:rsidTr="00EF3BAA">
        <w:trPr>
          <w:trHeight w:val="6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65842B" w14:textId="0E09DC90" w:rsidR="009458DC" w:rsidRPr="008D1166" w:rsidRDefault="009458DC" w:rsidP="00EF3BAA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del desbloqueo</w:t>
            </w:r>
            <w:r w:rsidR="003F0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8C5869" w14:textId="0E2B8EBC" w:rsidR="009458DC" w:rsidRDefault="009458DC" w:rsidP="00EF3BA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Indicar la fecha en la que se </w:t>
            </w:r>
            <w:r w:rsidR="003257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desbloqueó el Equipo Terminal Móvil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</w:t>
            </w:r>
            <w:proofErr w:type="spellStart"/>
            <w:r w:rsidRPr="00C91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dd</w:t>
            </w:r>
            <w:proofErr w:type="spellEnd"/>
            <w:r w:rsidRPr="00C91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/mm/</w:t>
            </w:r>
            <w:proofErr w:type="spellStart"/>
            <w:r w:rsidRPr="00C91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aaaa</w:t>
            </w:r>
            <w:proofErr w:type="spellEnd"/>
            <w:r w:rsidRPr="00C91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  <w:r w:rsidR="003257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28987A" w14:textId="77777777" w:rsidR="009458DC" w:rsidRPr="008D1166" w:rsidRDefault="009458DC" w:rsidP="00EF3BA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1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Aplica</w:t>
            </w:r>
          </w:p>
        </w:tc>
      </w:tr>
      <w:tr w:rsidR="009458DC" w:rsidRPr="008D1166" w14:paraId="7B610E46" w14:textId="77777777" w:rsidTr="00EF3BAA">
        <w:trPr>
          <w:trHeight w:val="6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04FC6D" w14:textId="5F1CA6D9" w:rsidR="009458DC" w:rsidRDefault="009458DC" w:rsidP="00EF3BAA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 de</w:t>
            </w:r>
            <w:r w:rsidR="003F0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desbloqueo</w:t>
            </w:r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54BDE8" w14:textId="380F7DF1" w:rsidR="009458DC" w:rsidRDefault="009458DC" w:rsidP="00EF3BA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Indicar la </w:t>
            </w:r>
            <w:r w:rsidR="00474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hora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la que se </w:t>
            </w:r>
            <w:r w:rsidR="003257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desbloqueó el Equipo Terminal Móvil</w:t>
            </w:r>
            <w:r w:rsidR="003257F5" w:rsidDel="003257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91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proofErr w:type="spellStart"/>
            <w:r w:rsidRPr="00C91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hh:mm</w:t>
            </w:r>
            <w:proofErr w:type="spellEnd"/>
            <w:r w:rsidRPr="00C91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066517" w14:textId="77777777" w:rsidR="009458DC" w:rsidRPr="008D1166" w:rsidRDefault="009458DC" w:rsidP="00EF3BA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1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Aplica</w:t>
            </w:r>
          </w:p>
        </w:tc>
      </w:tr>
      <w:tr w:rsidR="00856D44" w:rsidRPr="008D1166" w14:paraId="2C61AD93" w14:textId="77777777" w:rsidTr="00856D44">
        <w:trPr>
          <w:trHeight w:val="6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A2E24D" w14:textId="77777777" w:rsidR="00856D44" w:rsidRPr="008D1166" w:rsidRDefault="00856D44" w:rsidP="00EF3BAA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Justificación técnica ante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imposibilidad de desbloqueo</w:t>
            </w:r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D0623C" w14:textId="76DAAA60" w:rsidR="00856D44" w:rsidRDefault="00856D44" w:rsidP="00EF3BA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En su caso, señalar la justificación técnica por la cual no fue posible desbloquear el </w:t>
            </w:r>
            <w:r w:rsidR="001D1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quipo </w:t>
            </w:r>
            <w:r w:rsidR="001D1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erminal </w:t>
            </w:r>
            <w:r w:rsidR="001D1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óvil.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5595D3" w14:textId="77777777" w:rsidR="00856D44" w:rsidRPr="008D1166" w:rsidRDefault="00856D44" w:rsidP="00EF3BA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Aplica</w:t>
            </w:r>
          </w:p>
        </w:tc>
      </w:tr>
    </w:tbl>
    <w:p w14:paraId="6A175D75" w14:textId="1D692E58" w:rsidR="00A9737A" w:rsidRDefault="00A9737A" w:rsidP="007E23CC">
      <w:pPr>
        <w:spacing w:after="0"/>
        <w:contextualSpacing/>
        <w:mirrorIndents/>
        <w:jc w:val="both"/>
        <w:rPr>
          <w:rFonts w:ascii="Arial" w:eastAsia="ITC Avant Garde" w:hAnsi="Arial" w:cs="Arial"/>
        </w:rPr>
      </w:pPr>
    </w:p>
    <w:p w14:paraId="55EA9579" w14:textId="74A0496A" w:rsidR="00C17976" w:rsidRDefault="00C17976" w:rsidP="00C17976">
      <w:pPr>
        <w:spacing w:after="0"/>
        <w:contextualSpacing/>
        <w:mirrorIndents/>
        <w:jc w:val="both"/>
        <w:rPr>
          <w:rFonts w:ascii="Arial" w:eastAsia="Times New Roman" w:hAnsi="Arial" w:cs="Arial"/>
          <w:color w:val="2F2F2F"/>
          <w:lang w:val="es-MX" w:eastAsia="es-MX"/>
        </w:rPr>
      </w:pPr>
      <w:r w:rsidRPr="00C91816">
        <w:rPr>
          <w:rFonts w:ascii="Arial" w:eastAsia="Times New Roman" w:hAnsi="Arial" w:cs="Arial"/>
          <w:color w:val="2F2F2F"/>
          <w:lang w:val="es-MX" w:eastAsia="es-MX"/>
        </w:rPr>
        <w:t xml:space="preserve">En la siguiente información, se deberá indicar una fila para cada uno </w:t>
      </w:r>
      <w:r>
        <w:rPr>
          <w:rFonts w:ascii="Arial" w:eastAsia="Times New Roman" w:hAnsi="Arial" w:cs="Arial"/>
          <w:color w:val="2F2F2F"/>
          <w:lang w:val="es-MX" w:eastAsia="es-MX"/>
        </w:rPr>
        <w:t xml:space="preserve">de los Equipos Terminales Móviles </w:t>
      </w:r>
      <w:r w:rsidR="00973E95">
        <w:rPr>
          <w:rFonts w:ascii="Arial" w:eastAsia="Times New Roman" w:hAnsi="Arial" w:cs="Arial"/>
          <w:color w:val="2F2F2F"/>
          <w:lang w:val="es-MX" w:eastAsia="es-MX"/>
        </w:rPr>
        <w:t>E</w:t>
      </w:r>
      <w:r>
        <w:rPr>
          <w:rFonts w:ascii="Arial" w:eastAsia="Times New Roman" w:hAnsi="Arial" w:cs="Arial"/>
          <w:color w:val="2F2F2F"/>
          <w:lang w:val="es-MX" w:eastAsia="es-MX"/>
        </w:rPr>
        <w:t xml:space="preserve">legibles para desbloqueo para los cuales se haya recibido una solicitud de desbloqueo a través </w:t>
      </w:r>
      <w:r w:rsidR="00EF0E0C">
        <w:rPr>
          <w:rFonts w:ascii="Arial" w:eastAsia="ITC Avant Garde" w:hAnsi="Arial" w:cs="Arial"/>
        </w:rPr>
        <w:t>del número telefónico de atención a clientes</w:t>
      </w:r>
      <w:r w:rsidR="00EF0E0C" w:rsidRPr="00A506CE">
        <w:rPr>
          <w:rFonts w:ascii="Arial" w:eastAsia="ITC Avant Garde" w:hAnsi="Arial" w:cs="Arial"/>
        </w:rPr>
        <w:t xml:space="preserve"> </w:t>
      </w:r>
      <w:r w:rsidR="00EF0E0C">
        <w:rPr>
          <w:rFonts w:ascii="Arial" w:eastAsia="ITC Avant Garde" w:hAnsi="Arial" w:cs="Arial"/>
        </w:rPr>
        <w:t>o</w:t>
      </w:r>
      <w:r>
        <w:rPr>
          <w:rFonts w:ascii="Arial" w:eastAsia="Times New Roman" w:hAnsi="Arial" w:cs="Arial"/>
          <w:color w:val="2F2F2F"/>
          <w:lang w:val="es-MX" w:eastAsia="es-MX"/>
        </w:rPr>
        <w:t xml:space="preserve"> medios electrónicos. </w:t>
      </w:r>
    </w:p>
    <w:p w14:paraId="67239B77" w14:textId="4D29DD77" w:rsidR="00A9737A" w:rsidRDefault="00A9737A" w:rsidP="007E23CC">
      <w:pPr>
        <w:spacing w:after="0"/>
        <w:contextualSpacing/>
        <w:mirrorIndents/>
        <w:jc w:val="both"/>
        <w:rPr>
          <w:rFonts w:ascii="Arial" w:eastAsia="ITC Avant Garde" w:hAnsi="Arial" w:cs="Arial"/>
          <w:lang w:val="es-MX"/>
        </w:rPr>
      </w:pP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6140"/>
        <w:gridCol w:w="1524"/>
      </w:tblGrid>
      <w:tr w:rsidR="00C17976" w:rsidRPr="008D1166" w14:paraId="5D588B93" w14:textId="77777777" w:rsidTr="00EF3BAA">
        <w:trPr>
          <w:trHeight w:val="44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91539C" w14:textId="77777777" w:rsidR="00C17976" w:rsidRPr="008D1166" w:rsidRDefault="00C17976" w:rsidP="00EF3BAA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D11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Nombre del</w:t>
            </w:r>
            <w:r w:rsidRPr="008D11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br/>
              <w:t>Indicador</w:t>
            </w:r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41645B" w14:textId="77777777" w:rsidR="00C17976" w:rsidRPr="008D1166" w:rsidRDefault="00C17976" w:rsidP="00EF3BAA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D11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Descripción del Indicador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B3EB59" w14:textId="77777777" w:rsidR="00C17976" w:rsidRPr="008D1166" w:rsidRDefault="00C17976" w:rsidP="00EF3BAA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D11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Unidad Medida</w:t>
            </w:r>
          </w:p>
        </w:tc>
      </w:tr>
      <w:tr w:rsidR="00C17976" w:rsidRPr="008D1166" w14:paraId="549383E9" w14:textId="77777777" w:rsidTr="00EF3BAA">
        <w:trPr>
          <w:trHeight w:val="449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EF62DE" w14:textId="77777777" w:rsidR="00C17976" w:rsidRPr="008D1166" w:rsidRDefault="00C17976" w:rsidP="00EF3BAA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IMEI</w:t>
            </w:r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B097AC" w14:textId="77777777" w:rsidR="00C17976" w:rsidRPr="008D1166" w:rsidRDefault="00C17976" w:rsidP="00EF3BA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 el IMEI del Equipo Terminal Móvil.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B75DBA" w14:textId="77777777" w:rsidR="00C17976" w:rsidRPr="008D1166" w:rsidRDefault="00C17976" w:rsidP="00EF3BA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1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Aplica</w:t>
            </w:r>
          </w:p>
        </w:tc>
      </w:tr>
      <w:tr w:rsidR="00C17976" w:rsidRPr="008D1166" w14:paraId="58EF070C" w14:textId="77777777" w:rsidTr="00EF3BAA">
        <w:trPr>
          <w:trHeight w:val="6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385C3C" w14:textId="77777777" w:rsidR="00C17976" w:rsidRPr="008D1166" w:rsidRDefault="00C17976" w:rsidP="00C17976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recepción de la solicitud de desbloqueo</w:t>
            </w:r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37346E" w14:textId="77777777" w:rsidR="00C17976" w:rsidRPr="008D1166" w:rsidRDefault="00C17976" w:rsidP="00C17976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 la fecha en la que se recibió la solicitud de desbloqueo del Equipo Terminal Móvil (</w:t>
            </w:r>
            <w:proofErr w:type="spellStart"/>
            <w:r w:rsidRPr="00C91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dd</w:t>
            </w:r>
            <w:proofErr w:type="spellEnd"/>
            <w:r w:rsidRPr="00C91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/mm/</w:t>
            </w:r>
            <w:proofErr w:type="spellStart"/>
            <w:r w:rsidRPr="00C91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aaaa</w:t>
            </w:r>
            <w:proofErr w:type="spellEnd"/>
            <w:r w:rsidRPr="00C91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E31024" w14:textId="77777777" w:rsidR="00C17976" w:rsidRPr="008D1166" w:rsidRDefault="00C17976" w:rsidP="00C1797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1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Aplica</w:t>
            </w:r>
          </w:p>
        </w:tc>
      </w:tr>
      <w:tr w:rsidR="00C17976" w:rsidRPr="008D1166" w14:paraId="5E69E763" w14:textId="77777777" w:rsidTr="00EF3BAA">
        <w:trPr>
          <w:trHeight w:val="878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EE4C9F" w14:textId="77777777" w:rsidR="00C17976" w:rsidRPr="008D1166" w:rsidRDefault="00C17976" w:rsidP="00C17976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 de recepción de la solicitud de desbloqueo</w:t>
            </w:r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E438E6" w14:textId="1B91D2A5" w:rsidR="00C17976" w:rsidRPr="008D1166" w:rsidRDefault="00C17976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 la hora en la que se recibió la solicitud de desbloqueo del Equipo Terminal Móvil</w:t>
            </w:r>
            <w:r w:rsidR="00EF0E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91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proofErr w:type="spellStart"/>
            <w:r w:rsidRPr="00C91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hh:mm</w:t>
            </w:r>
            <w:proofErr w:type="spellEnd"/>
            <w:r w:rsidRPr="00C91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67B3D0" w14:textId="77777777" w:rsidR="00C17976" w:rsidRPr="008D1166" w:rsidRDefault="00C17976" w:rsidP="00C1797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1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Aplica</w:t>
            </w:r>
          </w:p>
        </w:tc>
      </w:tr>
      <w:tr w:rsidR="00C17976" w:rsidRPr="008D1166" w14:paraId="7DE64780" w14:textId="77777777" w:rsidTr="00EF3BAA">
        <w:trPr>
          <w:trHeight w:val="6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DE9CFB" w14:textId="77777777" w:rsidR="00C17976" w:rsidRPr="008D1166" w:rsidRDefault="00C17976" w:rsidP="00C17976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Fecha del desbloqueo </w:t>
            </w:r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38FEC2" w14:textId="444AC1FB" w:rsidR="00C17976" w:rsidRDefault="00C17976" w:rsidP="00C17976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Indicar la fecha </w:t>
            </w:r>
            <w:r w:rsidR="00EA6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</w:t>
            </w:r>
            <w:r w:rsidR="00EA643B" w:rsidRPr="00850D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desbloqueo o </w:t>
            </w:r>
            <w:r w:rsidR="00EA6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</w:t>
            </w:r>
            <w:r w:rsidR="00EA643B" w:rsidRPr="00850D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entrega del Código de desbloqueo</w:t>
            </w:r>
            <w:r w:rsidR="00EA6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Equipo Terminal Móvil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</w:t>
            </w:r>
            <w:proofErr w:type="spellStart"/>
            <w:r w:rsidRPr="00C91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dd</w:t>
            </w:r>
            <w:proofErr w:type="spellEnd"/>
            <w:r w:rsidRPr="00C91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/mm/</w:t>
            </w:r>
            <w:proofErr w:type="spellStart"/>
            <w:r w:rsidRPr="00C91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aaaa</w:t>
            </w:r>
            <w:proofErr w:type="spellEnd"/>
            <w:r w:rsidRPr="00C91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922D72" w14:textId="77777777" w:rsidR="00C17976" w:rsidRPr="008D1166" w:rsidRDefault="00C17976" w:rsidP="00C1797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1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Aplica</w:t>
            </w:r>
          </w:p>
        </w:tc>
      </w:tr>
      <w:tr w:rsidR="00C17976" w:rsidRPr="008D1166" w14:paraId="0EBF0914" w14:textId="77777777" w:rsidTr="00EF3BAA">
        <w:trPr>
          <w:trHeight w:val="6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51F895" w14:textId="77777777" w:rsidR="00C17976" w:rsidRDefault="00C17976" w:rsidP="00C17976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 del desbloqueo</w:t>
            </w:r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BA2201" w14:textId="0300A350" w:rsidR="00C17976" w:rsidRDefault="00C17976" w:rsidP="00C17976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Indicar la </w:t>
            </w:r>
            <w:r w:rsidR="00474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hora </w:t>
            </w:r>
            <w:r w:rsidR="00EA6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</w:t>
            </w:r>
            <w:r w:rsidR="00EA643B" w:rsidRPr="00151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desbloqueo o </w:t>
            </w:r>
            <w:r w:rsidR="00EA6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</w:t>
            </w:r>
            <w:r w:rsidR="00EA643B" w:rsidRPr="00151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entrega del Código de desbloqueo</w:t>
            </w:r>
            <w:r w:rsidR="00EA6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Equipo Terminal Móvil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91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proofErr w:type="spellStart"/>
            <w:r w:rsidRPr="00C91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hh:mm</w:t>
            </w:r>
            <w:proofErr w:type="spellEnd"/>
            <w:r w:rsidRPr="00C91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B74AD8" w14:textId="77777777" w:rsidR="00C17976" w:rsidRPr="008D1166" w:rsidRDefault="00C17976" w:rsidP="00C1797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1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Aplica</w:t>
            </w:r>
          </w:p>
        </w:tc>
      </w:tr>
    </w:tbl>
    <w:p w14:paraId="5A21F3C3" w14:textId="77777777" w:rsidR="00C17976" w:rsidRPr="00065DA5" w:rsidRDefault="00C17976" w:rsidP="007E23CC">
      <w:pPr>
        <w:spacing w:after="0"/>
        <w:contextualSpacing/>
        <w:mirrorIndents/>
        <w:jc w:val="both"/>
        <w:rPr>
          <w:rFonts w:ascii="Arial" w:eastAsia="ITC Avant Garde" w:hAnsi="Arial" w:cs="Arial"/>
          <w:lang w:val="es-MX"/>
        </w:rPr>
      </w:pPr>
    </w:p>
    <w:sectPr w:rsidR="00C17976" w:rsidRPr="00065DA5" w:rsidSect="00497A71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2098" w:right="1418" w:bottom="1134" w:left="1418" w:header="709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7A8C5" w14:textId="77777777" w:rsidR="00D4362A" w:rsidRDefault="00D4362A" w:rsidP="000F1667">
      <w:pPr>
        <w:spacing w:after="0" w:line="240" w:lineRule="auto"/>
      </w:pPr>
      <w:r>
        <w:separator/>
      </w:r>
    </w:p>
  </w:endnote>
  <w:endnote w:type="continuationSeparator" w:id="0">
    <w:p w14:paraId="16771C15" w14:textId="77777777" w:rsidR="00D4362A" w:rsidRDefault="00D4362A" w:rsidP="000F1667">
      <w:pPr>
        <w:spacing w:after="0" w:line="240" w:lineRule="auto"/>
      </w:pPr>
      <w:r>
        <w:continuationSeparator/>
      </w:r>
    </w:p>
  </w:endnote>
  <w:endnote w:type="continuationNotice" w:id="1">
    <w:p w14:paraId="438CB3B6" w14:textId="77777777" w:rsidR="00D4362A" w:rsidRDefault="00D436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-36661031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5F76B5" w14:textId="58D22E43" w:rsidR="00EF3BAA" w:rsidRPr="00BB6A0B" w:rsidRDefault="00EF3BAA" w:rsidP="00BB6A0B">
            <w:pPr>
              <w:pStyle w:val="Piedepgin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B6A0B">
              <w:rPr>
                <w:rFonts w:ascii="Arial" w:hAnsi="Arial" w:cs="Arial"/>
                <w:sz w:val="18"/>
                <w:szCs w:val="18"/>
              </w:rPr>
              <w:t xml:space="preserve">Página </w:t>
            </w:r>
            <w:r w:rsidRPr="00BB6A0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BB6A0B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BB6A0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10</w:t>
            </w:r>
            <w:r w:rsidRPr="00BB6A0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B6A0B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BB6A0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BB6A0B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BB6A0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10</w:t>
            </w:r>
            <w:r w:rsidRPr="00BB6A0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339E9" w14:textId="77777777" w:rsidR="00D4362A" w:rsidRDefault="00D4362A" w:rsidP="000F1667">
      <w:pPr>
        <w:spacing w:after="0" w:line="240" w:lineRule="auto"/>
      </w:pPr>
      <w:r>
        <w:separator/>
      </w:r>
    </w:p>
  </w:footnote>
  <w:footnote w:type="continuationSeparator" w:id="0">
    <w:p w14:paraId="70755047" w14:textId="77777777" w:rsidR="00D4362A" w:rsidRDefault="00D4362A" w:rsidP="000F1667">
      <w:pPr>
        <w:spacing w:after="0" w:line="240" w:lineRule="auto"/>
      </w:pPr>
      <w:r>
        <w:continuationSeparator/>
      </w:r>
    </w:p>
  </w:footnote>
  <w:footnote w:type="continuationNotice" w:id="1">
    <w:p w14:paraId="0D8E8ABB" w14:textId="77777777" w:rsidR="00D4362A" w:rsidRDefault="00D436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D1D82" w14:textId="51077887" w:rsidR="00482FD0" w:rsidRDefault="00482FD0">
    <w:pPr>
      <w:pStyle w:val="Encabezado"/>
    </w:pPr>
    <w:r>
      <w:rPr>
        <w:noProof/>
      </w:rPr>
      <w:pict w14:anchorId="1AA1EC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8412126" o:spid="_x0000_s2051" type="#_x0000_t136" style="position:absolute;margin-left:0;margin-top:0;width:530.3pt;height:132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0B478" w14:textId="69F1DD3D" w:rsidR="00EF3BAA" w:rsidRDefault="00482FD0">
    <w:pPr>
      <w:pStyle w:val="Encabezado"/>
    </w:pPr>
    <w:r>
      <w:rPr>
        <w:noProof/>
      </w:rPr>
      <w:pict w14:anchorId="44EDAE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60" o:spid="_x0000_s2053" type="#_x0000_t75" alt="hoja membretada s dir-01" style="position:absolute;margin-left:-74pt;margin-top:-116.05pt;width:612pt;height:808pt;z-index:-251652096;visibility:visible;mso-wrap-edited:f;mso-position-horizontal-relative:margin;mso-position-vertical-relative:margin" o:allowincell="f">
          <v:imagedata r:id="rId1" o:title="hoja membretada s dir-01"/>
          <w10:wrap anchorx="margin" anchory="margin"/>
        </v:shape>
      </w:pict>
    </w:r>
    <w:r>
      <w:rPr>
        <w:noProof/>
      </w:rPr>
      <w:pict w14:anchorId="4F9A1D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8412127" o:spid="_x0000_s2052" type="#_x0000_t136" style="position:absolute;margin-left:0;margin-top:0;width:530.3pt;height:132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04B56" w14:textId="3DD85451" w:rsidR="00482FD0" w:rsidRDefault="00482FD0">
    <w:pPr>
      <w:pStyle w:val="Encabezado"/>
    </w:pPr>
    <w:r>
      <w:rPr>
        <w:noProof/>
      </w:rPr>
      <w:pict w14:anchorId="06CB3C6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8412125" o:spid="_x0000_s2050" type="#_x0000_t136" style="position:absolute;margin-left:0;margin-top:0;width:530.3pt;height:132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25DFF"/>
    <w:multiLevelType w:val="hybridMultilevel"/>
    <w:tmpl w:val="7354E37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F3F6B"/>
    <w:multiLevelType w:val="hybridMultilevel"/>
    <w:tmpl w:val="FFFFFFFF"/>
    <w:lvl w:ilvl="0" w:tplc="54D25C7A">
      <w:start w:val="1"/>
      <w:numFmt w:val="upperRoman"/>
      <w:lvlText w:val="%1."/>
      <w:lvlJc w:val="left"/>
      <w:pPr>
        <w:ind w:left="720" w:hanging="360"/>
      </w:pPr>
    </w:lvl>
    <w:lvl w:ilvl="1" w:tplc="4DA41E48">
      <w:start w:val="1"/>
      <w:numFmt w:val="lowerLetter"/>
      <w:lvlText w:val="%2."/>
      <w:lvlJc w:val="left"/>
      <w:pPr>
        <w:ind w:left="1440" w:hanging="360"/>
      </w:pPr>
    </w:lvl>
    <w:lvl w:ilvl="2" w:tplc="229C1412">
      <w:start w:val="1"/>
      <w:numFmt w:val="lowerRoman"/>
      <w:lvlText w:val="%3."/>
      <w:lvlJc w:val="right"/>
      <w:pPr>
        <w:ind w:left="2160" w:hanging="180"/>
      </w:pPr>
    </w:lvl>
    <w:lvl w:ilvl="3" w:tplc="5CF8041C">
      <w:start w:val="1"/>
      <w:numFmt w:val="decimal"/>
      <w:lvlText w:val="%4."/>
      <w:lvlJc w:val="left"/>
      <w:pPr>
        <w:ind w:left="2880" w:hanging="360"/>
      </w:pPr>
    </w:lvl>
    <w:lvl w:ilvl="4" w:tplc="ED601424">
      <w:start w:val="1"/>
      <w:numFmt w:val="lowerLetter"/>
      <w:lvlText w:val="%5."/>
      <w:lvlJc w:val="left"/>
      <w:pPr>
        <w:ind w:left="3600" w:hanging="360"/>
      </w:pPr>
    </w:lvl>
    <w:lvl w:ilvl="5" w:tplc="1E88C246">
      <w:start w:val="1"/>
      <w:numFmt w:val="lowerRoman"/>
      <w:lvlText w:val="%6."/>
      <w:lvlJc w:val="right"/>
      <w:pPr>
        <w:ind w:left="4320" w:hanging="180"/>
      </w:pPr>
    </w:lvl>
    <w:lvl w:ilvl="6" w:tplc="77EE8362">
      <w:start w:val="1"/>
      <w:numFmt w:val="decimal"/>
      <w:lvlText w:val="%7."/>
      <w:lvlJc w:val="left"/>
      <w:pPr>
        <w:ind w:left="5040" w:hanging="360"/>
      </w:pPr>
    </w:lvl>
    <w:lvl w:ilvl="7" w:tplc="E618EBE8">
      <w:start w:val="1"/>
      <w:numFmt w:val="lowerLetter"/>
      <w:lvlText w:val="%8."/>
      <w:lvlJc w:val="left"/>
      <w:pPr>
        <w:ind w:left="5760" w:hanging="360"/>
      </w:pPr>
    </w:lvl>
    <w:lvl w:ilvl="8" w:tplc="B6C2B5E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C6C82"/>
    <w:multiLevelType w:val="hybridMultilevel"/>
    <w:tmpl w:val="149C15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E33ED"/>
    <w:multiLevelType w:val="hybridMultilevel"/>
    <w:tmpl w:val="8C0E938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041B1"/>
    <w:multiLevelType w:val="hybridMultilevel"/>
    <w:tmpl w:val="D79C2932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D2A75"/>
    <w:multiLevelType w:val="hybridMultilevel"/>
    <w:tmpl w:val="1B88826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C0F04"/>
    <w:multiLevelType w:val="hybridMultilevel"/>
    <w:tmpl w:val="8C0E938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77D59"/>
    <w:multiLevelType w:val="hybridMultilevel"/>
    <w:tmpl w:val="BA222C48"/>
    <w:lvl w:ilvl="0" w:tplc="080A001B">
      <w:start w:val="1"/>
      <w:numFmt w:val="lowerRoman"/>
      <w:lvlText w:val="%1."/>
      <w:lvlJc w:val="right"/>
      <w:pPr>
        <w:ind w:left="107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97" w:hanging="360"/>
      </w:pPr>
    </w:lvl>
    <w:lvl w:ilvl="2" w:tplc="080A001B" w:tentative="1">
      <w:start w:val="1"/>
      <w:numFmt w:val="lowerRoman"/>
      <w:lvlText w:val="%3."/>
      <w:lvlJc w:val="right"/>
      <w:pPr>
        <w:ind w:left="2517" w:hanging="180"/>
      </w:pPr>
    </w:lvl>
    <w:lvl w:ilvl="3" w:tplc="080A000F" w:tentative="1">
      <w:start w:val="1"/>
      <w:numFmt w:val="decimal"/>
      <w:lvlText w:val="%4."/>
      <w:lvlJc w:val="left"/>
      <w:pPr>
        <w:ind w:left="3237" w:hanging="360"/>
      </w:pPr>
    </w:lvl>
    <w:lvl w:ilvl="4" w:tplc="080A0019" w:tentative="1">
      <w:start w:val="1"/>
      <w:numFmt w:val="lowerLetter"/>
      <w:lvlText w:val="%5."/>
      <w:lvlJc w:val="left"/>
      <w:pPr>
        <w:ind w:left="3957" w:hanging="360"/>
      </w:pPr>
    </w:lvl>
    <w:lvl w:ilvl="5" w:tplc="080A001B" w:tentative="1">
      <w:start w:val="1"/>
      <w:numFmt w:val="lowerRoman"/>
      <w:lvlText w:val="%6."/>
      <w:lvlJc w:val="right"/>
      <w:pPr>
        <w:ind w:left="4677" w:hanging="180"/>
      </w:pPr>
    </w:lvl>
    <w:lvl w:ilvl="6" w:tplc="080A000F" w:tentative="1">
      <w:start w:val="1"/>
      <w:numFmt w:val="decimal"/>
      <w:lvlText w:val="%7."/>
      <w:lvlJc w:val="left"/>
      <w:pPr>
        <w:ind w:left="5397" w:hanging="360"/>
      </w:pPr>
    </w:lvl>
    <w:lvl w:ilvl="7" w:tplc="080A0019" w:tentative="1">
      <w:start w:val="1"/>
      <w:numFmt w:val="lowerLetter"/>
      <w:lvlText w:val="%8."/>
      <w:lvlJc w:val="left"/>
      <w:pPr>
        <w:ind w:left="6117" w:hanging="360"/>
      </w:pPr>
    </w:lvl>
    <w:lvl w:ilvl="8" w:tplc="08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1A7B0928"/>
    <w:multiLevelType w:val="hybridMultilevel"/>
    <w:tmpl w:val="FA6458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95FBC"/>
    <w:multiLevelType w:val="hybridMultilevel"/>
    <w:tmpl w:val="084A7944"/>
    <w:lvl w:ilvl="0" w:tplc="4EEE5C3E">
      <w:start w:val="1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08" w:hanging="360"/>
      </w:pPr>
    </w:lvl>
    <w:lvl w:ilvl="2" w:tplc="080A001B" w:tentative="1">
      <w:start w:val="1"/>
      <w:numFmt w:val="lowerRoman"/>
      <w:lvlText w:val="%3."/>
      <w:lvlJc w:val="right"/>
      <w:pPr>
        <w:ind w:left="3228" w:hanging="180"/>
      </w:pPr>
    </w:lvl>
    <w:lvl w:ilvl="3" w:tplc="080A000F" w:tentative="1">
      <w:start w:val="1"/>
      <w:numFmt w:val="decimal"/>
      <w:lvlText w:val="%4."/>
      <w:lvlJc w:val="left"/>
      <w:pPr>
        <w:ind w:left="3948" w:hanging="360"/>
      </w:pPr>
    </w:lvl>
    <w:lvl w:ilvl="4" w:tplc="080A0019" w:tentative="1">
      <w:start w:val="1"/>
      <w:numFmt w:val="lowerLetter"/>
      <w:lvlText w:val="%5."/>
      <w:lvlJc w:val="left"/>
      <w:pPr>
        <w:ind w:left="4668" w:hanging="360"/>
      </w:pPr>
    </w:lvl>
    <w:lvl w:ilvl="5" w:tplc="080A001B" w:tentative="1">
      <w:start w:val="1"/>
      <w:numFmt w:val="lowerRoman"/>
      <w:lvlText w:val="%6."/>
      <w:lvlJc w:val="right"/>
      <w:pPr>
        <w:ind w:left="5388" w:hanging="180"/>
      </w:pPr>
    </w:lvl>
    <w:lvl w:ilvl="6" w:tplc="080A000F" w:tentative="1">
      <w:start w:val="1"/>
      <w:numFmt w:val="decimal"/>
      <w:lvlText w:val="%7."/>
      <w:lvlJc w:val="left"/>
      <w:pPr>
        <w:ind w:left="6108" w:hanging="360"/>
      </w:pPr>
    </w:lvl>
    <w:lvl w:ilvl="7" w:tplc="080A0019" w:tentative="1">
      <w:start w:val="1"/>
      <w:numFmt w:val="lowerLetter"/>
      <w:lvlText w:val="%8."/>
      <w:lvlJc w:val="left"/>
      <w:pPr>
        <w:ind w:left="6828" w:hanging="360"/>
      </w:pPr>
    </w:lvl>
    <w:lvl w:ilvl="8" w:tplc="08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 w15:restartNumberingAfterBreak="0">
    <w:nsid w:val="1EBB299E"/>
    <w:multiLevelType w:val="hybridMultilevel"/>
    <w:tmpl w:val="7CA65808"/>
    <w:lvl w:ilvl="0" w:tplc="AD704414">
      <w:start w:val="1"/>
      <w:numFmt w:val="lowerRoman"/>
      <w:lvlText w:val="%1."/>
      <w:lvlJc w:val="left"/>
      <w:pPr>
        <w:ind w:left="1429" w:hanging="720"/>
      </w:pPr>
      <w:rPr>
        <w:rFonts w:ascii="Arial" w:eastAsia="Times New Roman" w:hAnsi="Arial" w:cs="Arial"/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F72AD6"/>
    <w:multiLevelType w:val="hybridMultilevel"/>
    <w:tmpl w:val="37BCB11E"/>
    <w:lvl w:ilvl="0" w:tplc="080A0013">
      <w:start w:val="1"/>
      <w:numFmt w:val="upperRoman"/>
      <w:lvlText w:val="%1."/>
      <w:lvlJc w:val="righ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A5E69"/>
    <w:multiLevelType w:val="hybridMultilevel"/>
    <w:tmpl w:val="47A052D0"/>
    <w:lvl w:ilvl="0" w:tplc="B970A8F4">
      <w:numFmt w:val="bullet"/>
      <w:lvlText w:val=""/>
      <w:lvlJc w:val="left"/>
      <w:pPr>
        <w:ind w:left="720" w:hanging="360"/>
      </w:pPr>
      <w:rPr>
        <w:rFonts w:ascii="Wingdings" w:eastAsia="Calibri" w:hAnsi="Wingdings" w:cs="Arial" w:hint="default"/>
        <w:color w:val="00000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30FA2"/>
    <w:multiLevelType w:val="hybridMultilevel"/>
    <w:tmpl w:val="E16C8014"/>
    <w:lvl w:ilvl="0" w:tplc="080A0001">
      <w:start w:val="1"/>
      <w:numFmt w:val="bullet"/>
      <w:lvlText w:val=""/>
      <w:lvlJc w:val="left"/>
      <w:pPr>
        <w:ind w:left="876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4" w15:restartNumberingAfterBreak="0">
    <w:nsid w:val="3BF60A53"/>
    <w:multiLevelType w:val="hybridMultilevel"/>
    <w:tmpl w:val="644E62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86503"/>
    <w:multiLevelType w:val="hybridMultilevel"/>
    <w:tmpl w:val="0A62B07C"/>
    <w:lvl w:ilvl="0" w:tplc="080A0001">
      <w:start w:val="1"/>
      <w:numFmt w:val="bullet"/>
      <w:lvlText w:val=""/>
      <w:lvlJc w:val="left"/>
      <w:pPr>
        <w:ind w:left="872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94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0175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108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116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123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30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3775" w:hanging="360"/>
      </w:pPr>
      <w:rPr>
        <w:rFonts w:ascii="Wingdings" w:hAnsi="Wingdings" w:hint="default"/>
      </w:rPr>
    </w:lvl>
  </w:abstractNum>
  <w:abstractNum w:abstractNumId="16" w15:restartNumberingAfterBreak="0">
    <w:nsid w:val="3F2A687D"/>
    <w:multiLevelType w:val="hybridMultilevel"/>
    <w:tmpl w:val="AC06EC32"/>
    <w:lvl w:ilvl="0" w:tplc="D780CC4C">
      <w:start w:val="1"/>
      <w:numFmt w:val="upperRoman"/>
      <w:lvlText w:val="%1."/>
      <w:lvlJc w:val="left"/>
      <w:pPr>
        <w:ind w:left="720" w:hanging="360"/>
      </w:pPr>
    </w:lvl>
    <w:lvl w:ilvl="1" w:tplc="1C2E6A40">
      <w:start w:val="1"/>
      <w:numFmt w:val="lowerLetter"/>
      <w:lvlText w:val="%2."/>
      <w:lvlJc w:val="left"/>
      <w:pPr>
        <w:ind w:left="1440" w:hanging="360"/>
      </w:pPr>
    </w:lvl>
    <w:lvl w:ilvl="2" w:tplc="BB985AA4">
      <w:start w:val="1"/>
      <w:numFmt w:val="lowerRoman"/>
      <w:lvlText w:val="%3."/>
      <w:lvlJc w:val="right"/>
      <w:pPr>
        <w:ind w:left="2160" w:hanging="180"/>
      </w:pPr>
    </w:lvl>
    <w:lvl w:ilvl="3" w:tplc="C5C822CC">
      <w:start w:val="1"/>
      <w:numFmt w:val="decimal"/>
      <w:lvlText w:val="%4."/>
      <w:lvlJc w:val="left"/>
      <w:pPr>
        <w:ind w:left="2880" w:hanging="360"/>
      </w:pPr>
    </w:lvl>
    <w:lvl w:ilvl="4" w:tplc="4DE25EBC">
      <w:start w:val="1"/>
      <w:numFmt w:val="lowerLetter"/>
      <w:lvlText w:val="%5."/>
      <w:lvlJc w:val="left"/>
      <w:pPr>
        <w:ind w:left="3600" w:hanging="360"/>
      </w:pPr>
    </w:lvl>
    <w:lvl w:ilvl="5" w:tplc="AC1060AC">
      <w:start w:val="1"/>
      <w:numFmt w:val="lowerRoman"/>
      <w:lvlText w:val="%6."/>
      <w:lvlJc w:val="right"/>
      <w:pPr>
        <w:ind w:left="4320" w:hanging="180"/>
      </w:pPr>
    </w:lvl>
    <w:lvl w:ilvl="6" w:tplc="075A7D94">
      <w:start w:val="1"/>
      <w:numFmt w:val="decimal"/>
      <w:lvlText w:val="%7."/>
      <w:lvlJc w:val="left"/>
      <w:pPr>
        <w:ind w:left="5040" w:hanging="360"/>
      </w:pPr>
    </w:lvl>
    <w:lvl w:ilvl="7" w:tplc="F954C4F0">
      <w:start w:val="1"/>
      <w:numFmt w:val="lowerLetter"/>
      <w:lvlText w:val="%8."/>
      <w:lvlJc w:val="left"/>
      <w:pPr>
        <w:ind w:left="5760" w:hanging="360"/>
      </w:pPr>
    </w:lvl>
    <w:lvl w:ilvl="8" w:tplc="C2AA79C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310112"/>
    <w:multiLevelType w:val="hybridMultilevel"/>
    <w:tmpl w:val="23283F3C"/>
    <w:lvl w:ilvl="0" w:tplc="98B27C1E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  <w:color w:val="000000"/>
        <w:sz w:val="18"/>
        <w:u w:val="single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EE7362"/>
    <w:multiLevelType w:val="hybridMultilevel"/>
    <w:tmpl w:val="21CC11F4"/>
    <w:lvl w:ilvl="0" w:tplc="141CDD56">
      <w:start w:val="1"/>
      <w:numFmt w:val="upperRoman"/>
      <w:lvlText w:val="%1."/>
      <w:lvlJc w:val="left"/>
      <w:pPr>
        <w:ind w:left="720" w:hanging="720"/>
      </w:pPr>
      <w:rPr>
        <w:rFonts w:ascii="ITC Avant Garde Std Bk" w:eastAsia="Calibri" w:hAnsi="ITC Avant Garde Std Bk" w:cs="Times New Roman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4E3DF4"/>
    <w:multiLevelType w:val="hybridMultilevel"/>
    <w:tmpl w:val="BD305890"/>
    <w:lvl w:ilvl="0" w:tplc="FB662B36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bCs/>
        <w:sz w:val="22"/>
        <w:szCs w:val="22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D53491"/>
    <w:multiLevelType w:val="hybridMultilevel"/>
    <w:tmpl w:val="BFC09F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3F265B"/>
    <w:multiLevelType w:val="multilevel"/>
    <w:tmpl w:val="784A3626"/>
    <w:lvl w:ilvl="0">
      <w:start w:val="3"/>
      <w:numFmt w:val="upperRoman"/>
      <w:pStyle w:val="Ttulo2"/>
      <w:lvlText w:val="%1."/>
      <w:lvlJc w:val="right"/>
      <w:pPr>
        <w:ind w:left="720" w:hanging="360"/>
      </w:pPr>
      <w:rPr>
        <w:rFonts w:ascii="ITC Avant Garde" w:hAnsi="ITC Avant Garde" w:hint="default"/>
        <w:b/>
        <w:sz w:val="22"/>
      </w:rPr>
    </w:lvl>
    <w:lvl w:ilvl="1">
      <w:start w:val="1"/>
      <w:numFmt w:val="decimal"/>
      <w:suff w:val="space"/>
      <w:lvlText w:val="%1.%2. "/>
      <w:lvlJc w:val="left"/>
      <w:pPr>
        <w:ind w:left="5747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8"/>
  </w:num>
  <w:num w:numId="2">
    <w:abstractNumId w:val="4"/>
  </w:num>
  <w:num w:numId="3">
    <w:abstractNumId w:val="7"/>
  </w:num>
  <w:num w:numId="4">
    <w:abstractNumId w:val="9"/>
  </w:num>
  <w:num w:numId="5">
    <w:abstractNumId w:val="11"/>
  </w:num>
  <w:num w:numId="6">
    <w:abstractNumId w:val="21"/>
  </w:num>
  <w:num w:numId="7">
    <w:abstractNumId w:val="15"/>
  </w:num>
  <w:num w:numId="8">
    <w:abstractNumId w:val="13"/>
  </w:num>
  <w:num w:numId="9">
    <w:abstractNumId w:val="2"/>
  </w:num>
  <w:num w:numId="10">
    <w:abstractNumId w:val="20"/>
  </w:num>
  <w:num w:numId="11">
    <w:abstractNumId w:val="19"/>
  </w:num>
  <w:num w:numId="12">
    <w:abstractNumId w:val="16"/>
  </w:num>
  <w:num w:numId="13">
    <w:abstractNumId w:val="1"/>
  </w:num>
  <w:num w:numId="14">
    <w:abstractNumId w:val="5"/>
  </w:num>
  <w:num w:numId="15">
    <w:abstractNumId w:val="0"/>
  </w:num>
  <w:num w:numId="16">
    <w:abstractNumId w:val="3"/>
  </w:num>
  <w:num w:numId="17">
    <w:abstractNumId w:val="14"/>
  </w:num>
  <w:num w:numId="18">
    <w:abstractNumId w:val="17"/>
  </w:num>
  <w:num w:numId="19">
    <w:abstractNumId w:val="12"/>
  </w:num>
  <w:num w:numId="20">
    <w:abstractNumId w:val="10"/>
  </w:num>
  <w:num w:numId="21">
    <w:abstractNumId w:val="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1DD"/>
    <w:rsid w:val="000015E5"/>
    <w:rsid w:val="00003514"/>
    <w:rsid w:val="0000448E"/>
    <w:rsid w:val="000066F5"/>
    <w:rsid w:val="0000708C"/>
    <w:rsid w:val="000075EE"/>
    <w:rsid w:val="00011227"/>
    <w:rsid w:val="0001246A"/>
    <w:rsid w:val="000134BE"/>
    <w:rsid w:val="00015C2E"/>
    <w:rsid w:val="00015DC8"/>
    <w:rsid w:val="00016A8A"/>
    <w:rsid w:val="000209EF"/>
    <w:rsid w:val="0002322F"/>
    <w:rsid w:val="00024EF0"/>
    <w:rsid w:val="00025152"/>
    <w:rsid w:val="0002633F"/>
    <w:rsid w:val="00027A00"/>
    <w:rsid w:val="00031318"/>
    <w:rsid w:val="000319FF"/>
    <w:rsid w:val="00033638"/>
    <w:rsid w:val="00036160"/>
    <w:rsid w:val="000366FE"/>
    <w:rsid w:val="00036C98"/>
    <w:rsid w:val="00037381"/>
    <w:rsid w:val="00037BBC"/>
    <w:rsid w:val="000404A2"/>
    <w:rsid w:val="000416D5"/>
    <w:rsid w:val="00041CD8"/>
    <w:rsid w:val="0004749E"/>
    <w:rsid w:val="00050A90"/>
    <w:rsid w:val="00050FA7"/>
    <w:rsid w:val="000512F6"/>
    <w:rsid w:val="0005626B"/>
    <w:rsid w:val="000563B4"/>
    <w:rsid w:val="00057579"/>
    <w:rsid w:val="000577B5"/>
    <w:rsid w:val="00057B21"/>
    <w:rsid w:val="0006065D"/>
    <w:rsid w:val="00065DA5"/>
    <w:rsid w:val="0006647C"/>
    <w:rsid w:val="00067BCE"/>
    <w:rsid w:val="00071316"/>
    <w:rsid w:val="00071534"/>
    <w:rsid w:val="00072454"/>
    <w:rsid w:val="00075763"/>
    <w:rsid w:val="00076AFD"/>
    <w:rsid w:val="00081414"/>
    <w:rsid w:val="00081A79"/>
    <w:rsid w:val="0008296C"/>
    <w:rsid w:val="0008462D"/>
    <w:rsid w:val="00085A79"/>
    <w:rsid w:val="000862CF"/>
    <w:rsid w:val="000863E9"/>
    <w:rsid w:val="0008680C"/>
    <w:rsid w:val="00086F4B"/>
    <w:rsid w:val="0008723A"/>
    <w:rsid w:val="00087D45"/>
    <w:rsid w:val="00090F84"/>
    <w:rsid w:val="00092AA4"/>
    <w:rsid w:val="00092B4A"/>
    <w:rsid w:val="00093720"/>
    <w:rsid w:val="00095EB5"/>
    <w:rsid w:val="000962EA"/>
    <w:rsid w:val="000A0E2A"/>
    <w:rsid w:val="000A2410"/>
    <w:rsid w:val="000A4BFF"/>
    <w:rsid w:val="000A596B"/>
    <w:rsid w:val="000B01C5"/>
    <w:rsid w:val="000B0DAD"/>
    <w:rsid w:val="000B1395"/>
    <w:rsid w:val="000B18A3"/>
    <w:rsid w:val="000B2C3E"/>
    <w:rsid w:val="000B33AD"/>
    <w:rsid w:val="000B58EC"/>
    <w:rsid w:val="000B6FEC"/>
    <w:rsid w:val="000B7B28"/>
    <w:rsid w:val="000C0DB0"/>
    <w:rsid w:val="000C30A5"/>
    <w:rsid w:val="000C3DA9"/>
    <w:rsid w:val="000C48BC"/>
    <w:rsid w:val="000C5DA3"/>
    <w:rsid w:val="000C7A58"/>
    <w:rsid w:val="000D0289"/>
    <w:rsid w:val="000D1089"/>
    <w:rsid w:val="000D321D"/>
    <w:rsid w:val="000D521B"/>
    <w:rsid w:val="000D59F2"/>
    <w:rsid w:val="000D6CF2"/>
    <w:rsid w:val="000E0987"/>
    <w:rsid w:val="000E2460"/>
    <w:rsid w:val="000E273E"/>
    <w:rsid w:val="000E3155"/>
    <w:rsid w:val="000E330E"/>
    <w:rsid w:val="000E3994"/>
    <w:rsid w:val="000E7836"/>
    <w:rsid w:val="000F016D"/>
    <w:rsid w:val="000F1667"/>
    <w:rsid w:val="000F3651"/>
    <w:rsid w:val="000F40CA"/>
    <w:rsid w:val="000F45D7"/>
    <w:rsid w:val="000F7BBB"/>
    <w:rsid w:val="001010B3"/>
    <w:rsid w:val="001030B1"/>
    <w:rsid w:val="0010495D"/>
    <w:rsid w:val="00105959"/>
    <w:rsid w:val="001067AC"/>
    <w:rsid w:val="0010785E"/>
    <w:rsid w:val="0011024D"/>
    <w:rsid w:val="00112AE2"/>
    <w:rsid w:val="0011347F"/>
    <w:rsid w:val="00113C4B"/>
    <w:rsid w:val="00114F1F"/>
    <w:rsid w:val="00115AFA"/>
    <w:rsid w:val="00116E7E"/>
    <w:rsid w:val="00117976"/>
    <w:rsid w:val="00122E95"/>
    <w:rsid w:val="00123290"/>
    <w:rsid w:val="00123E5D"/>
    <w:rsid w:val="00127C1C"/>
    <w:rsid w:val="001302C2"/>
    <w:rsid w:val="00131140"/>
    <w:rsid w:val="00131377"/>
    <w:rsid w:val="00135649"/>
    <w:rsid w:val="001361F6"/>
    <w:rsid w:val="0013672C"/>
    <w:rsid w:val="00136CE2"/>
    <w:rsid w:val="00136D23"/>
    <w:rsid w:val="00137E61"/>
    <w:rsid w:val="0014141C"/>
    <w:rsid w:val="0014174C"/>
    <w:rsid w:val="0014255F"/>
    <w:rsid w:val="00142C05"/>
    <w:rsid w:val="0014383E"/>
    <w:rsid w:val="001461F4"/>
    <w:rsid w:val="00146C27"/>
    <w:rsid w:val="00146F0E"/>
    <w:rsid w:val="0015002D"/>
    <w:rsid w:val="00150AFE"/>
    <w:rsid w:val="00151542"/>
    <w:rsid w:val="00151F0B"/>
    <w:rsid w:val="00153294"/>
    <w:rsid w:val="001532CF"/>
    <w:rsid w:val="001538EE"/>
    <w:rsid w:val="00153CF6"/>
    <w:rsid w:val="001555DF"/>
    <w:rsid w:val="00155F9B"/>
    <w:rsid w:val="00160221"/>
    <w:rsid w:val="00160B90"/>
    <w:rsid w:val="001622CE"/>
    <w:rsid w:val="001661B4"/>
    <w:rsid w:val="00167252"/>
    <w:rsid w:val="00167DF7"/>
    <w:rsid w:val="0017321D"/>
    <w:rsid w:val="00173F38"/>
    <w:rsid w:val="00174E4E"/>
    <w:rsid w:val="00175535"/>
    <w:rsid w:val="00175AA8"/>
    <w:rsid w:val="00180EBE"/>
    <w:rsid w:val="00181DDC"/>
    <w:rsid w:val="00181F0C"/>
    <w:rsid w:val="00183B9F"/>
    <w:rsid w:val="0018676F"/>
    <w:rsid w:val="00187997"/>
    <w:rsid w:val="00191B31"/>
    <w:rsid w:val="00191B4D"/>
    <w:rsid w:val="00191DF4"/>
    <w:rsid w:val="00192F49"/>
    <w:rsid w:val="00193B5A"/>
    <w:rsid w:val="00194520"/>
    <w:rsid w:val="001A0321"/>
    <w:rsid w:val="001A10C4"/>
    <w:rsid w:val="001A2230"/>
    <w:rsid w:val="001A36C2"/>
    <w:rsid w:val="001A37C2"/>
    <w:rsid w:val="001A3ECD"/>
    <w:rsid w:val="001A7934"/>
    <w:rsid w:val="001B08AB"/>
    <w:rsid w:val="001B163B"/>
    <w:rsid w:val="001B57F9"/>
    <w:rsid w:val="001B7414"/>
    <w:rsid w:val="001C04D3"/>
    <w:rsid w:val="001C1001"/>
    <w:rsid w:val="001C1D7F"/>
    <w:rsid w:val="001C3150"/>
    <w:rsid w:val="001C3616"/>
    <w:rsid w:val="001C5392"/>
    <w:rsid w:val="001C6BC2"/>
    <w:rsid w:val="001D0D53"/>
    <w:rsid w:val="001D1124"/>
    <w:rsid w:val="001D12CA"/>
    <w:rsid w:val="001D7237"/>
    <w:rsid w:val="001D7299"/>
    <w:rsid w:val="001D76B3"/>
    <w:rsid w:val="001E3D34"/>
    <w:rsid w:val="001E3E5E"/>
    <w:rsid w:val="001E67A9"/>
    <w:rsid w:val="001E7269"/>
    <w:rsid w:val="001F1CEB"/>
    <w:rsid w:val="001F29C9"/>
    <w:rsid w:val="001F31EE"/>
    <w:rsid w:val="001F3C97"/>
    <w:rsid w:val="001F4912"/>
    <w:rsid w:val="001F509A"/>
    <w:rsid w:val="00200E4B"/>
    <w:rsid w:val="00201116"/>
    <w:rsid w:val="002032F8"/>
    <w:rsid w:val="002068FC"/>
    <w:rsid w:val="00206A9D"/>
    <w:rsid w:val="002075A2"/>
    <w:rsid w:val="00207F64"/>
    <w:rsid w:val="0021129A"/>
    <w:rsid w:val="00211312"/>
    <w:rsid w:val="00211FA1"/>
    <w:rsid w:val="00214F24"/>
    <w:rsid w:val="002151C0"/>
    <w:rsid w:val="00215524"/>
    <w:rsid w:val="0021602A"/>
    <w:rsid w:val="0021704D"/>
    <w:rsid w:val="00217271"/>
    <w:rsid w:val="00221B6A"/>
    <w:rsid w:val="00226FC1"/>
    <w:rsid w:val="00232268"/>
    <w:rsid w:val="002322A9"/>
    <w:rsid w:val="00234933"/>
    <w:rsid w:val="00234FF5"/>
    <w:rsid w:val="0023662A"/>
    <w:rsid w:val="00240DDE"/>
    <w:rsid w:val="00241BD0"/>
    <w:rsid w:val="00242298"/>
    <w:rsid w:val="00243AF8"/>
    <w:rsid w:val="00244C22"/>
    <w:rsid w:val="002450AB"/>
    <w:rsid w:val="00245399"/>
    <w:rsid w:val="00247F9A"/>
    <w:rsid w:val="002509C4"/>
    <w:rsid w:val="0025304E"/>
    <w:rsid w:val="00253C92"/>
    <w:rsid w:val="00253F6B"/>
    <w:rsid w:val="00257138"/>
    <w:rsid w:val="002579D4"/>
    <w:rsid w:val="00260D4C"/>
    <w:rsid w:val="0026480E"/>
    <w:rsid w:val="00264F53"/>
    <w:rsid w:val="00267CB9"/>
    <w:rsid w:val="00270FBA"/>
    <w:rsid w:val="002724FB"/>
    <w:rsid w:val="0027391A"/>
    <w:rsid w:val="00274458"/>
    <w:rsid w:val="00276AA1"/>
    <w:rsid w:val="00282A18"/>
    <w:rsid w:val="002841FF"/>
    <w:rsid w:val="00285F4B"/>
    <w:rsid w:val="002866AE"/>
    <w:rsid w:val="00286C74"/>
    <w:rsid w:val="0028705D"/>
    <w:rsid w:val="00290BDC"/>
    <w:rsid w:val="00290CC3"/>
    <w:rsid w:val="00291CF9"/>
    <w:rsid w:val="00296B9B"/>
    <w:rsid w:val="00297A60"/>
    <w:rsid w:val="002A0E3D"/>
    <w:rsid w:val="002A20C9"/>
    <w:rsid w:val="002A3397"/>
    <w:rsid w:val="002A3456"/>
    <w:rsid w:val="002A3C3A"/>
    <w:rsid w:val="002A43F0"/>
    <w:rsid w:val="002A6C7F"/>
    <w:rsid w:val="002B1CFF"/>
    <w:rsid w:val="002B3558"/>
    <w:rsid w:val="002B40AA"/>
    <w:rsid w:val="002C3AD8"/>
    <w:rsid w:val="002C3F21"/>
    <w:rsid w:val="002C707A"/>
    <w:rsid w:val="002D33CD"/>
    <w:rsid w:val="002D4073"/>
    <w:rsid w:val="002D4717"/>
    <w:rsid w:val="002D4FE4"/>
    <w:rsid w:val="002D72DB"/>
    <w:rsid w:val="002E0F3B"/>
    <w:rsid w:val="002E1959"/>
    <w:rsid w:val="002E2320"/>
    <w:rsid w:val="002E2525"/>
    <w:rsid w:val="002E267D"/>
    <w:rsid w:val="002E522E"/>
    <w:rsid w:val="002E70B9"/>
    <w:rsid w:val="002F1B88"/>
    <w:rsid w:val="002F30F0"/>
    <w:rsid w:val="002F48C4"/>
    <w:rsid w:val="002F4FA2"/>
    <w:rsid w:val="002F5C2B"/>
    <w:rsid w:val="002F5DD5"/>
    <w:rsid w:val="00301288"/>
    <w:rsid w:val="00303340"/>
    <w:rsid w:val="00303C49"/>
    <w:rsid w:val="0030517E"/>
    <w:rsid w:val="003073F0"/>
    <w:rsid w:val="00310A87"/>
    <w:rsid w:val="0031638B"/>
    <w:rsid w:val="003173FD"/>
    <w:rsid w:val="00317527"/>
    <w:rsid w:val="00321BC8"/>
    <w:rsid w:val="003246DA"/>
    <w:rsid w:val="003257F5"/>
    <w:rsid w:val="00333507"/>
    <w:rsid w:val="00333891"/>
    <w:rsid w:val="0033402E"/>
    <w:rsid w:val="003346CB"/>
    <w:rsid w:val="003350CF"/>
    <w:rsid w:val="003352AD"/>
    <w:rsid w:val="00335338"/>
    <w:rsid w:val="0033731B"/>
    <w:rsid w:val="0033735A"/>
    <w:rsid w:val="0033766C"/>
    <w:rsid w:val="00340F7D"/>
    <w:rsid w:val="003426D5"/>
    <w:rsid w:val="00343A78"/>
    <w:rsid w:val="003446FB"/>
    <w:rsid w:val="00346475"/>
    <w:rsid w:val="00346BCE"/>
    <w:rsid w:val="00354983"/>
    <w:rsid w:val="00357B01"/>
    <w:rsid w:val="0036239D"/>
    <w:rsid w:val="00363559"/>
    <w:rsid w:val="00364C76"/>
    <w:rsid w:val="00365595"/>
    <w:rsid w:val="0037590D"/>
    <w:rsid w:val="00377CBA"/>
    <w:rsid w:val="00382B34"/>
    <w:rsid w:val="0038376D"/>
    <w:rsid w:val="00384745"/>
    <w:rsid w:val="00384A5C"/>
    <w:rsid w:val="00384CAC"/>
    <w:rsid w:val="00385EBE"/>
    <w:rsid w:val="00391061"/>
    <w:rsid w:val="0039531C"/>
    <w:rsid w:val="003953DA"/>
    <w:rsid w:val="00396075"/>
    <w:rsid w:val="003A0266"/>
    <w:rsid w:val="003A0378"/>
    <w:rsid w:val="003A1E43"/>
    <w:rsid w:val="003A293C"/>
    <w:rsid w:val="003A35DA"/>
    <w:rsid w:val="003A3AF9"/>
    <w:rsid w:val="003A50DE"/>
    <w:rsid w:val="003A5CA2"/>
    <w:rsid w:val="003A6194"/>
    <w:rsid w:val="003B054B"/>
    <w:rsid w:val="003B07BF"/>
    <w:rsid w:val="003B6F29"/>
    <w:rsid w:val="003B708C"/>
    <w:rsid w:val="003C0268"/>
    <w:rsid w:val="003C09E1"/>
    <w:rsid w:val="003C0E22"/>
    <w:rsid w:val="003C1771"/>
    <w:rsid w:val="003C1959"/>
    <w:rsid w:val="003C2D41"/>
    <w:rsid w:val="003C31F7"/>
    <w:rsid w:val="003C3D99"/>
    <w:rsid w:val="003C3E2F"/>
    <w:rsid w:val="003C4FE6"/>
    <w:rsid w:val="003C5644"/>
    <w:rsid w:val="003C6D81"/>
    <w:rsid w:val="003C795A"/>
    <w:rsid w:val="003D1520"/>
    <w:rsid w:val="003D18D3"/>
    <w:rsid w:val="003D2861"/>
    <w:rsid w:val="003D51ED"/>
    <w:rsid w:val="003D640E"/>
    <w:rsid w:val="003D66E5"/>
    <w:rsid w:val="003E0DFA"/>
    <w:rsid w:val="003E2331"/>
    <w:rsid w:val="003E2D38"/>
    <w:rsid w:val="003E43DE"/>
    <w:rsid w:val="003E4FFA"/>
    <w:rsid w:val="003E6265"/>
    <w:rsid w:val="003E6738"/>
    <w:rsid w:val="003E735B"/>
    <w:rsid w:val="003E75DF"/>
    <w:rsid w:val="003F0E74"/>
    <w:rsid w:val="003F1F15"/>
    <w:rsid w:val="003F4542"/>
    <w:rsid w:val="003F4C73"/>
    <w:rsid w:val="003F5473"/>
    <w:rsid w:val="003F6892"/>
    <w:rsid w:val="003F7D54"/>
    <w:rsid w:val="00400E88"/>
    <w:rsid w:val="00401260"/>
    <w:rsid w:val="00401D9E"/>
    <w:rsid w:val="00403B01"/>
    <w:rsid w:val="00404C0B"/>
    <w:rsid w:val="0040628E"/>
    <w:rsid w:val="004062BC"/>
    <w:rsid w:val="00406684"/>
    <w:rsid w:val="00407604"/>
    <w:rsid w:val="004102C1"/>
    <w:rsid w:val="00410F99"/>
    <w:rsid w:val="00416680"/>
    <w:rsid w:val="00417BFB"/>
    <w:rsid w:val="00417FCD"/>
    <w:rsid w:val="004216A3"/>
    <w:rsid w:val="0042175C"/>
    <w:rsid w:val="00421A24"/>
    <w:rsid w:val="0042281A"/>
    <w:rsid w:val="00427048"/>
    <w:rsid w:val="004304BB"/>
    <w:rsid w:val="00434F6C"/>
    <w:rsid w:val="00435B8F"/>
    <w:rsid w:val="00436584"/>
    <w:rsid w:val="00440BAF"/>
    <w:rsid w:val="004424C8"/>
    <w:rsid w:val="004438AB"/>
    <w:rsid w:val="00446121"/>
    <w:rsid w:val="00446E58"/>
    <w:rsid w:val="00447EAE"/>
    <w:rsid w:val="00450734"/>
    <w:rsid w:val="004515A3"/>
    <w:rsid w:val="0045349B"/>
    <w:rsid w:val="00453EB7"/>
    <w:rsid w:val="004553EA"/>
    <w:rsid w:val="0045683E"/>
    <w:rsid w:val="00457A8B"/>
    <w:rsid w:val="00461D76"/>
    <w:rsid w:val="004626EF"/>
    <w:rsid w:val="00466589"/>
    <w:rsid w:val="00467B64"/>
    <w:rsid w:val="004721C1"/>
    <w:rsid w:val="004726DF"/>
    <w:rsid w:val="00472F7F"/>
    <w:rsid w:val="0047485B"/>
    <w:rsid w:val="004756B8"/>
    <w:rsid w:val="004765F0"/>
    <w:rsid w:val="00476E8E"/>
    <w:rsid w:val="00477903"/>
    <w:rsid w:val="004779E3"/>
    <w:rsid w:val="00481E7D"/>
    <w:rsid w:val="00482B38"/>
    <w:rsid w:val="00482FD0"/>
    <w:rsid w:val="00486F89"/>
    <w:rsid w:val="004870B1"/>
    <w:rsid w:val="00490112"/>
    <w:rsid w:val="00491BC3"/>
    <w:rsid w:val="004928A5"/>
    <w:rsid w:val="00493105"/>
    <w:rsid w:val="00494E93"/>
    <w:rsid w:val="00497425"/>
    <w:rsid w:val="0049785F"/>
    <w:rsid w:val="00497A71"/>
    <w:rsid w:val="004A126B"/>
    <w:rsid w:val="004A3540"/>
    <w:rsid w:val="004A659A"/>
    <w:rsid w:val="004A7B41"/>
    <w:rsid w:val="004A7E44"/>
    <w:rsid w:val="004C299F"/>
    <w:rsid w:val="004C4598"/>
    <w:rsid w:val="004C53E0"/>
    <w:rsid w:val="004C55B1"/>
    <w:rsid w:val="004C58D4"/>
    <w:rsid w:val="004C60A7"/>
    <w:rsid w:val="004C6867"/>
    <w:rsid w:val="004D374D"/>
    <w:rsid w:val="004D3BA7"/>
    <w:rsid w:val="004D4998"/>
    <w:rsid w:val="004D51CD"/>
    <w:rsid w:val="004D5C8C"/>
    <w:rsid w:val="004D6750"/>
    <w:rsid w:val="004D77C4"/>
    <w:rsid w:val="004E091E"/>
    <w:rsid w:val="004E2287"/>
    <w:rsid w:val="004E343B"/>
    <w:rsid w:val="004E40AE"/>
    <w:rsid w:val="004E46C4"/>
    <w:rsid w:val="004E6B86"/>
    <w:rsid w:val="004F107B"/>
    <w:rsid w:val="004F1B97"/>
    <w:rsid w:val="004F2383"/>
    <w:rsid w:val="004F2A06"/>
    <w:rsid w:val="004F3263"/>
    <w:rsid w:val="004F5288"/>
    <w:rsid w:val="004F6F80"/>
    <w:rsid w:val="004F7707"/>
    <w:rsid w:val="005002AA"/>
    <w:rsid w:val="00500FB2"/>
    <w:rsid w:val="0050203F"/>
    <w:rsid w:val="00502BDB"/>
    <w:rsid w:val="00503256"/>
    <w:rsid w:val="00503494"/>
    <w:rsid w:val="005057F2"/>
    <w:rsid w:val="00505937"/>
    <w:rsid w:val="00507A21"/>
    <w:rsid w:val="00507AA4"/>
    <w:rsid w:val="00507C01"/>
    <w:rsid w:val="00510228"/>
    <w:rsid w:val="005105C3"/>
    <w:rsid w:val="0051079D"/>
    <w:rsid w:val="00511DA9"/>
    <w:rsid w:val="005125B1"/>
    <w:rsid w:val="00513C6D"/>
    <w:rsid w:val="00514418"/>
    <w:rsid w:val="00514F24"/>
    <w:rsid w:val="0051669A"/>
    <w:rsid w:val="005166FD"/>
    <w:rsid w:val="00521DF1"/>
    <w:rsid w:val="00522CC9"/>
    <w:rsid w:val="00522D16"/>
    <w:rsid w:val="005231AD"/>
    <w:rsid w:val="00524975"/>
    <w:rsid w:val="00531735"/>
    <w:rsid w:val="005337DF"/>
    <w:rsid w:val="005337F9"/>
    <w:rsid w:val="00534E79"/>
    <w:rsid w:val="00537EB4"/>
    <w:rsid w:val="005409D5"/>
    <w:rsid w:val="00541C14"/>
    <w:rsid w:val="005422A1"/>
    <w:rsid w:val="00542C18"/>
    <w:rsid w:val="00544CA0"/>
    <w:rsid w:val="00545AC6"/>
    <w:rsid w:val="005463BE"/>
    <w:rsid w:val="00546508"/>
    <w:rsid w:val="00547F4D"/>
    <w:rsid w:val="005500B7"/>
    <w:rsid w:val="005502C7"/>
    <w:rsid w:val="00551846"/>
    <w:rsid w:val="005520FA"/>
    <w:rsid w:val="00553E37"/>
    <w:rsid w:val="00554AF4"/>
    <w:rsid w:val="00555F67"/>
    <w:rsid w:val="00560A16"/>
    <w:rsid w:val="00561307"/>
    <w:rsid w:val="00561C49"/>
    <w:rsid w:val="0056233C"/>
    <w:rsid w:val="005642DD"/>
    <w:rsid w:val="00564657"/>
    <w:rsid w:val="005672BE"/>
    <w:rsid w:val="005702F6"/>
    <w:rsid w:val="0057201C"/>
    <w:rsid w:val="00572132"/>
    <w:rsid w:val="005729F2"/>
    <w:rsid w:val="00573D58"/>
    <w:rsid w:val="00574172"/>
    <w:rsid w:val="00576E08"/>
    <w:rsid w:val="005774BA"/>
    <w:rsid w:val="00577BFE"/>
    <w:rsid w:val="005803D5"/>
    <w:rsid w:val="00582C24"/>
    <w:rsid w:val="00584A6A"/>
    <w:rsid w:val="005877A2"/>
    <w:rsid w:val="00587D76"/>
    <w:rsid w:val="00590B69"/>
    <w:rsid w:val="00592208"/>
    <w:rsid w:val="00592391"/>
    <w:rsid w:val="0059393E"/>
    <w:rsid w:val="00593C1B"/>
    <w:rsid w:val="00594F1F"/>
    <w:rsid w:val="00595151"/>
    <w:rsid w:val="005951F7"/>
    <w:rsid w:val="005973EB"/>
    <w:rsid w:val="00597857"/>
    <w:rsid w:val="005A0171"/>
    <w:rsid w:val="005A1955"/>
    <w:rsid w:val="005A1EE3"/>
    <w:rsid w:val="005A234F"/>
    <w:rsid w:val="005A3C5D"/>
    <w:rsid w:val="005A57CD"/>
    <w:rsid w:val="005A600E"/>
    <w:rsid w:val="005B03CA"/>
    <w:rsid w:val="005B13C8"/>
    <w:rsid w:val="005B15CB"/>
    <w:rsid w:val="005B26CE"/>
    <w:rsid w:val="005B32A8"/>
    <w:rsid w:val="005B53CA"/>
    <w:rsid w:val="005B7DEB"/>
    <w:rsid w:val="005C2FC1"/>
    <w:rsid w:val="005C6543"/>
    <w:rsid w:val="005C7276"/>
    <w:rsid w:val="005C765A"/>
    <w:rsid w:val="005D15B3"/>
    <w:rsid w:val="005D1983"/>
    <w:rsid w:val="005D29F0"/>
    <w:rsid w:val="005D3B79"/>
    <w:rsid w:val="005D4C14"/>
    <w:rsid w:val="005D56D4"/>
    <w:rsid w:val="005D695F"/>
    <w:rsid w:val="005E36C3"/>
    <w:rsid w:val="005E544B"/>
    <w:rsid w:val="005E7BBE"/>
    <w:rsid w:val="005F1711"/>
    <w:rsid w:val="005F305F"/>
    <w:rsid w:val="005F345C"/>
    <w:rsid w:val="005F653C"/>
    <w:rsid w:val="005F7C7D"/>
    <w:rsid w:val="005F7CA2"/>
    <w:rsid w:val="006020AE"/>
    <w:rsid w:val="0060382F"/>
    <w:rsid w:val="006051DD"/>
    <w:rsid w:val="00606051"/>
    <w:rsid w:val="00606067"/>
    <w:rsid w:val="00607BEA"/>
    <w:rsid w:val="00610821"/>
    <w:rsid w:val="006166C1"/>
    <w:rsid w:val="0062194D"/>
    <w:rsid w:val="00623B4A"/>
    <w:rsid w:val="00624FE0"/>
    <w:rsid w:val="00626B37"/>
    <w:rsid w:val="00631199"/>
    <w:rsid w:val="0063135D"/>
    <w:rsid w:val="006314C5"/>
    <w:rsid w:val="00631528"/>
    <w:rsid w:val="00632FE2"/>
    <w:rsid w:val="006333C0"/>
    <w:rsid w:val="0063343A"/>
    <w:rsid w:val="00633A5E"/>
    <w:rsid w:val="00634A23"/>
    <w:rsid w:val="0063527F"/>
    <w:rsid w:val="00635534"/>
    <w:rsid w:val="006424BD"/>
    <w:rsid w:val="006427D2"/>
    <w:rsid w:val="00643434"/>
    <w:rsid w:val="00643554"/>
    <w:rsid w:val="00646000"/>
    <w:rsid w:val="00646089"/>
    <w:rsid w:val="0065021E"/>
    <w:rsid w:val="00650609"/>
    <w:rsid w:val="00651732"/>
    <w:rsid w:val="0065232A"/>
    <w:rsid w:val="00652D24"/>
    <w:rsid w:val="00653AB1"/>
    <w:rsid w:val="00655608"/>
    <w:rsid w:val="0065786B"/>
    <w:rsid w:val="00660BAA"/>
    <w:rsid w:val="00660D63"/>
    <w:rsid w:val="00661320"/>
    <w:rsid w:val="00661C52"/>
    <w:rsid w:val="00662090"/>
    <w:rsid w:val="00662258"/>
    <w:rsid w:val="00662E53"/>
    <w:rsid w:val="0066338F"/>
    <w:rsid w:val="00663B54"/>
    <w:rsid w:val="00663DAB"/>
    <w:rsid w:val="00664140"/>
    <w:rsid w:val="00665E7D"/>
    <w:rsid w:val="00666B11"/>
    <w:rsid w:val="00672CBA"/>
    <w:rsid w:val="00672D0A"/>
    <w:rsid w:val="006749C8"/>
    <w:rsid w:val="0067512C"/>
    <w:rsid w:val="006761E5"/>
    <w:rsid w:val="0067624A"/>
    <w:rsid w:val="0067713B"/>
    <w:rsid w:val="00681C66"/>
    <w:rsid w:val="006827A0"/>
    <w:rsid w:val="006831BF"/>
    <w:rsid w:val="00683AAA"/>
    <w:rsid w:val="006846C5"/>
    <w:rsid w:val="00686246"/>
    <w:rsid w:val="00687112"/>
    <w:rsid w:val="006873AD"/>
    <w:rsid w:val="00687AE3"/>
    <w:rsid w:val="00690E8C"/>
    <w:rsid w:val="00692C6F"/>
    <w:rsid w:val="00696410"/>
    <w:rsid w:val="006964EE"/>
    <w:rsid w:val="006A041A"/>
    <w:rsid w:val="006A2849"/>
    <w:rsid w:val="006A2918"/>
    <w:rsid w:val="006A3534"/>
    <w:rsid w:val="006A47B1"/>
    <w:rsid w:val="006A6EA3"/>
    <w:rsid w:val="006A744A"/>
    <w:rsid w:val="006B41E1"/>
    <w:rsid w:val="006B5E6F"/>
    <w:rsid w:val="006B7383"/>
    <w:rsid w:val="006B7BEE"/>
    <w:rsid w:val="006B7DD0"/>
    <w:rsid w:val="006C015C"/>
    <w:rsid w:val="006C10D7"/>
    <w:rsid w:val="006C1E54"/>
    <w:rsid w:val="006C2273"/>
    <w:rsid w:val="006C2B31"/>
    <w:rsid w:val="006C3D02"/>
    <w:rsid w:val="006C3FEF"/>
    <w:rsid w:val="006C4812"/>
    <w:rsid w:val="006C4DD2"/>
    <w:rsid w:val="006C6827"/>
    <w:rsid w:val="006C6ADB"/>
    <w:rsid w:val="006C6E8B"/>
    <w:rsid w:val="006D3517"/>
    <w:rsid w:val="006D4843"/>
    <w:rsid w:val="006D70E3"/>
    <w:rsid w:val="006E0CF6"/>
    <w:rsid w:val="006E0D1C"/>
    <w:rsid w:val="006E2278"/>
    <w:rsid w:val="006E3969"/>
    <w:rsid w:val="006F0421"/>
    <w:rsid w:val="006F20C9"/>
    <w:rsid w:val="006F3C65"/>
    <w:rsid w:val="006F45F0"/>
    <w:rsid w:val="006F673F"/>
    <w:rsid w:val="006F6B8C"/>
    <w:rsid w:val="006F6D8C"/>
    <w:rsid w:val="007002C0"/>
    <w:rsid w:val="00700BF1"/>
    <w:rsid w:val="00700E21"/>
    <w:rsid w:val="007024A8"/>
    <w:rsid w:val="00702E46"/>
    <w:rsid w:val="00704B0C"/>
    <w:rsid w:val="00704F51"/>
    <w:rsid w:val="00705A6E"/>
    <w:rsid w:val="00706D49"/>
    <w:rsid w:val="00707ED0"/>
    <w:rsid w:val="00707F37"/>
    <w:rsid w:val="00710B64"/>
    <w:rsid w:val="00712EB9"/>
    <w:rsid w:val="0071366E"/>
    <w:rsid w:val="00714E27"/>
    <w:rsid w:val="00715CAB"/>
    <w:rsid w:val="00717413"/>
    <w:rsid w:val="00720624"/>
    <w:rsid w:val="00721257"/>
    <w:rsid w:val="007225DD"/>
    <w:rsid w:val="00723BFB"/>
    <w:rsid w:val="007243B7"/>
    <w:rsid w:val="00725497"/>
    <w:rsid w:val="00726AC2"/>
    <w:rsid w:val="00727A75"/>
    <w:rsid w:val="00730F3C"/>
    <w:rsid w:val="007317C6"/>
    <w:rsid w:val="007328C6"/>
    <w:rsid w:val="00732C6E"/>
    <w:rsid w:val="007376E4"/>
    <w:rsid w:val="00737ED5"/>
    <w:rsid w:val="00742E7C"/>
    <w:rsid w:val="007448D0"/>
    <w:rsid w:val="00744FF0"/>
    <w:rsid w:val="00745DCA"/>
    <w:rsid w:val="007514EC"/>
    <w:rsid w:val="007524C5"/>
    <w:rsid w:val="00752DF0"/>
    <w:rsid w:val="0075651C"/>
    <w:rsid w:val="00757679"/>
    <w:rsid w:val="00757F87"/>
    <w:rsid w:val="00760818"/>
    <w:rsid w:val="00761F15"/>
    <w:rsid w:val="0076481A"/>
    <w:rsid w:val="007670A0"/>
    <w:rsid w:val="007751DE"/>
    <w:rsid w:val="00777CA7"/>
    <w:rsid w:val="00777FF9"/>
    <w:rsid w:val="00782441"/>
    <w:rsid w:val="007837F8"/>
    <w:rsid w:val="00784CFD"/>
    <w:rsid w:val="00786694"/>
    <w:rsid w:val="0078757D"/>
    <w:rsid w:val="0078795B"/>
    <w:rsid w:val="00791651"/>
    <w:rsid w:val="0079489F"/>
    <w:rsid w:val="00795DDE"/>
    <w:rsid w:val="00797872"/>
    <w:rsid w:val="007A0238"/>
    <w:rsid w:val="007A03A7"/>
    <w:rsid w:val="007A3D35"/>
    <w:rsid w:val="007A4CF0"/>
    <w:rsid w:val="007A5662"/>
    <w:rsid w:val="007A5746"/>
    <w:rsid w:val="007A78AE"/>
    <w:rsid w:val="007B11CF"/>
    <w:rsid w:val="007B48DB"/>
    <w:rsid w:val="007B52AA"/>
    <w:rsid w:val="007B5E1F"/>
    <w:rsid w:val="007B6244"/>
    <w:rsid w:val="007B6724"/>
    <w:rsid w:val="007B6B56"/>
    <w:rsid w:val="007C02A9"/>
    <w:rsid w:val="007C097F"/>
    <w:rsid w:val="007C1880"/>
    <w:rsid w:val="007C19EF"/>
    <w:rsid w:val="007C39E1"/>
    <w:rsid w:val="007C4160"/>
    <w:rsid w:val="007C453E"/>
    <w:rsid w:val="007C4563"/>
    <w:rsid w:val="007C533B"/>
    <w:rsid w:val="007D066A"/>
    <w:rsid w:val="007D11D6"/>
    <w:rsid w:val="007D2B36"/>
    <w:rsid w:val="007D31FF"/>
    <w:rsid w:val="007D4019"/>
    <w:rsid w:val="007D7E35"/>
    <w:rsid w:val="007E23CC"/>
    <w:rsid w:val="007E5938"/>
    <w:rsid w:val="007E5D12"/>
    <w:rsid w:val="007E780E"/>
    <w:rsid w:val="007F0997"/>
    <w:rsid w:val="007F1615"/>
    <w:rsid w:val="007F7BE7"/>
    <w:rsid w:val="007F7FF8"/>
    <w:rsid w:val="00800986"/>
    <w:rsid w:val="008029F0"/>
    <w:rsid w:val="00804A21"/>
    <w:rsid w:val="008052A4"/>
    <w:rsid w:val="008052BB"/>
    <w:rsid w:val="00812D26"/>
    <w:rsid w:val="00813212"/>
    <w:rsid w:val="0081402D"/>
    <w:rsid w:val="00814FE3"/>
    <w:rsid w:val="00815392"/>
    <w:rsid w:val="00815A44"/>
    <w:rsid w:val="008162B4"/>
    <w:rsid w:val="008166DC"/>
    <w:rsid w:val="008227DB"/>
    <w:rsid w:val="00823067"/>
    <w:rsid w:val="0082331D"/>
    <w:rsid w:val="00824A3E"/>
    <w:rsid w:val="00824CB1"/>
    <w:rsid w:val="008253F1"/>
    <w:rsid w:val="0082755C"/>
    <w:rsid w:val="008332E3"/>
    <w:rsid w:val="00834550"/>
    <w:rsid w:val="00835A66"/>
    <w:rsid w:val="00836D79"/>
    <w:rsid w:val="00837AFF"/>
    <w:rsid w:val="008414E5"/>
    <w:rsid w:val="008420C6"/>
    <w:rsid w:val="00845912"/>
    <w:rsid w:val="00845C39"/>
    <w:rsid w:val="00845C4C"/>
    <w:rsid w:val="008464C5"/>
    <w:rsid w:val="00846907"/>
    <w:rsid w:val="00846978"/>
    <w:rsid w:val="0085037C"/>
    <w:rsid w:val="00850D27"/>
    <w:rsid w:val="008563FC"/>
    <w:rsid w:val="00856D44"/>
    <w:rsid w:val="0085741B"/>
    <w:rsid w:val="00863FED"/>
    <w:rsid w:val="008664EB"/>
    <w:rsid w:val="0086742E"/>
    <w:rsid w:val="00871907"/>
    <w:rsid w:val="00871B71"/>
    <w:rsid w:val="00872B92"/>
    <w:rsid w:val="00872EE8"/>
    <w:rsid w:val="00872FB9"/>
    <w:rsid w:val="00873589"/>
    <w:rsid w:val="008747F2"/>
    <w:rsid w:val="00875037"/>
    <w:rsid w:val="00875C25"/>
    <w:rsid w:val="008760F2"/>
    <w:rsid w:val="008806CB"/>
    <w:rsid w:val="00880785"/>
    <w:rsid w:val="00880AB9"/>
    <w:rsid w:val="0088208F"/>
    <w:rsid w:val="00884DDC"/>
    <w:rsid w:val="00886A86"/>
    <w:rsid w:val="00894749"/>
    <w:rsid w:val="00894EE0"/>
    <w:rsid w:val="00897CEA"/>
    <w:rsid w:val="008A0FF6"/>
    <w:rsid w:val="008A2002"/>
    <w:rsid w:val="008A2BC9"/>
    <w:rsid w:val="008A34B6"/>
    <w:rsid w:val="008A44BF"/>
    <w:rsid w:val="008A4741"/>
    <w:rsid w:val="008A4A80"/>
    <w:rsid w:val="008A5C76"/>
    <w:rsid w:val="008A5F86"/>
    <w:rsid w:val="008A6DB0"/>
    <w:rsid w:val="008B02A6"/>
    <w:rsid w:val="008B0873"/>
    <w:rsid w:val="008B11A4"/>
    <w:rsid w:val="008B3403"/>
    <w:rsid w:val="008B7E78"/>
    <w:rsid w:val="008B7F11"/>
    <w:rsid w:val="008C16DC"/>
    <w:rsid w:val="008C20CC"/>
    <w:rsid w:val="008C234E"/>
    <w:rsid w:val="008C3065"/>
    <w:rsid w:val="008C59D2"/>
    <w:rsid w:val="008C5D54"/>
    <w:rsid w:val="008C6A0A"/>
    <w:rsid w:val="008C6BC8"/>
    <w:rsid w:val="008D14F6"/>
    <w:rsid w:val="008D2742"/>
    <w:rsid w:val="008D4BCD"/>
    <w:rsid w:val="008D5CAC"/>
    <w:rsid w:val="008D6142"/>
    <w:rsid w:val="008D63E4"/>
    <w:rsid w:val="008D6449"/>
    <w:rsid w:val="008D7C7C"/>
    <w:rsid w:val="008D7FB8"/>
    <w:rsid w:val="008E09A8"/>
    <w:rsid w:val="008E3425"/>
    <w:rsid w:val="008E3753"/>
    <w:rsid w:val="008E499B"/>
    <w:rsid w:val="008E6791"/>
    <w:rsid w:val="008F0D71"/>
    <w:rsid w:val="008F100B"/>
    <w:rsid w:val="008F29A5"/>
    <w:rsid w:val="008F2E47"/>
    <w:rsid w:val="008F6593"/>
    <w:rsid w:val="008F7017"/>
    <w:rsid w:val="0090162C"/>
    <w:rsid w:val="0090321B"/>
    <w:rsid w:val="00903576"/>
    <w:rsid w:val="009074FE"/>
    <w:rsid w:val="00911776"/>
    <w:rsid w:val="00911A9A"/>
    <w:rsid w:val="00912BC2"/>
    <w:rsid w:val="00912C6C"/>
    <w:rsid w:val="00913D98"/>
    <w:rsid w:val="00913E46"/>
    <w:rsid w:val="00914E98"/>
    <w:rsid w:val="00921712"/>
    <w:rsid w:val="00923C42"/>
    <w:rsid w:val="0092646A"/>
    <w:rsid w:val="00926C63"/>
    <w:rsid w:val="00926E28"/>
    <w:rsid w:val="009308C5"/>
    <w:rsid w:val="00932D3F"/>
    <w:rsid w:val="00941C94"/>
    <w:rsid w:val="0094341C"/>
    <w:rsid w:val="009458DC"/>
    <w:rsid w:val="00945D25"/>
    <w:rsid w:val="00947CD1"/>
    <w:rsid w:val="00950568"/>
    <w:rsid w:val="009523D9"/>
    <w:rsid w:val="00952D4C"/>
    <w:rsid w:val="00954349"/>
    <w:rsid w:val="009544D4"/>
    <w:rsid w:val="009548DB"/>
    <w:rsid w:val="00955B9A"/>
    <w:rsid w:val="00956C73"/>
    <w:rsid w:val="00957265"/>
    <w:rsid w:val="00957772"/>
    <w:rsid w:val="009611FC"/>
    <w:rsid w:val="00961ACF"/>
    <w:rsid w:val="009628A4"/>
    <w:rsid w:val="00964041"/>
    <w:rsid w:val="00964ABE"/>
    <w:rsid w:val="0096698C"/>
    <w:rsid w:val="009672C8"/>
    <w:rsid w:val="00967769"/>
    <w:rsid w:val="00967E7A"/>
    <w:rsid w:val="009716AC"/>
    <w:rsid w:val="00971E80"/>
    <w:rsid w:val="00972170"/>
    <w:rsid w:val="00972B52"/>
    <w:rsid w:val="00973B2F"/>
    <w:rsid w:val="00973E95"/>
    <w:rsid w:val="0097475E"/>
    <w:rsid w:val="00974E6C"/>
    <w:rsid w:val="0097529C"/>
    <w:rsid w:val="00977C67"/>
    <w:rsid w:val="00977D30"/>
    <w:rsid w:val="009803C0"/>
    <w:rsid w:val="00981472"/>
    <w:rsid w:val="0098193B"/>
    <w:rsid w:val="009856ED"/>
    <w:rsid w:val="0099192E"/>
    <w:rsid w:val="00993DC0"/>
    <w:rsid w:val="00994DAA"/>
    <w:rsid w:val="0099577B"/>
    <w:rsid w:val="00995A32"/>
    <w:rsid w:val="0099709E"/>
    <w:rsid w:val="009979E5"/>
    <w:rsid w:val="009A073C"/>
    <w:rsid w:val="009A0EEC"/>
    <w:rsid w:val="009A1127"/>
    <w:rsid w:val="009A6822"/>
    <w:rsid w:val="009A694F"/>
    <w:rsid w:val="009A721D"/>
    <w:rsid w:val="009B5CEE"/>
    <w:rsid w:val="009B6027"/>
    <w:rsid w:val="009C096A"/>
    <w:rsid w:val="009C161E"/>
    <w:rsid w:val="009C2DC7"/>
    <w:rsid w:val="009C52CF"/>
    <w:rsid w:val="009D03DC"/>
    <w:rsid w:val="009D1822"/>
    <w:rsid w:val="009D3A99"/>
    <w:rsid w:val="009D5402"/>
    <w:rsid w:val="009D5667"/>
    <w:rsid w:val="009D588D"/>
    <w:rsid w:val="009D727E"/>
    <w:rsid w:val="009E01FC"/>
    <w:rsid w:val="009E125E"/>
    <w:rsid w:val="009E22EE"/>
    <w:rsid w:val="009E4F6D"/>
    <w:rsid w:val="009E57F9"/>
    <w:rsid w:val="009F0378"/>
    <w:rsid w:val="009F175C"/>
    <w:rsid w:val="009F2651"/>
    <w:rsid w:val="009F27AE"/>
    <w:rsid w:val="009F32B2"/>
    <w:rsid w:val="009F32FB"/>
    <w:rsid w:val="009F525E"/>
    <w:rsid w:val="009F700E"/>
    <w:rsid w:val="00A00830"/>
    <w:rsid w:val="00A00A27"/>
    <w:rsid w:val="00A01937"/>
    <w:rsid w:val="00A01958"/>
    <w:rsid w:val="00A01CC3"/>
    <w:rsid w:val="00A02CD0"/>
    <w:rsid w:val="00A05AA9"/>
    <w:rsid w:val="00A06315"/>
    <w:rsid w:val="00A06593"/>
    <w:rsid w:val="00A077C2"/>
    <w:rsid w:val="00A100FA"/>
    <w:rsid w:val="00A10C05"/>
    <w:rsid w:val="00A10E8C"/>
    <w:rsid w:val="00A12506"/>
    <w:rsid w:val="00A13393"/>
    <w:rsid w:val="00A13728"/>
    <w:rsid w:val="00A13A15"/>
    <w:rsid w:val="00A1421C"/>
    <w:rsid w:val="00A14A6B"/>
    <w:rsid w:val="00A16729"/>
    <w:rsid w:val="00A26AC1"/>
    <w:rsid w:val="00A270F6"/>
    <w:rsid w:val="00A30CE7"/>
    <w:rsid w:val="00A32364"/>
    <w:rsid w:val="00A33347"/>
    <w:rsid w:val="00A33E44"/>
    <w:rsid w:val="00A360D0"/>
    <w:rsid w:val="00A36EB4"/>
    <w:rsid w:val="00A40DF8"/>
    <w:rsid w:val="00A425B5"/>
    <w:rsid w:val="00A43444"/>
    <w:rsid w:val="00A438A6"/>
    <w:rsid w:val="00A45194"/>
    <w:rsid w:val="00A4572F"/>
    <w:rsid w:val="00A4573D"/>
    <w:rsid w:val="00A461DF"/>
    <w:rsid w:val="00A506CE"/>
    <w:rsid w:val="00A5070B"/>
    <w:rsid w:val="00A52B16"/>
    <w:rsid w:val="00A53E61"/>
    <w:rsid w:val="00A54135"/>
    <w:rsid w:val="00A60460"/>
    <w:rsid w:val="00A61DB7"/>
    <w:rsid w:val="00A6241E"/>
    <w:rsid w:val="00A63E8F"/>
    <w:rsid w:val="00A66D35"/>
    <w:rsid w:val="00A6711F"/>
    <w:rsid w:val="00A7368E"/>
    <w:rsid w:val="00A760D1"/>
    <w:rsid w:val="00A763BE"/>
    <w:rsid w:val="00A77356"/>
    <w:rsid w:val="00A80731"/>
    <w:rsid w:val="00A81297"/>
    <w:rsid w:val="00A81360"/>
    <w:rsid w:val="00A83B6C"/>
    <w:rsid w:val="00A856CE"/>
    <w:rsid w:val="00A8704D"/>
    <w:rsid w:val="00A877E8"/>
    <w:rsid w:val="00A90976"/>
    <w:rsid w:val="00A913F2"/>
    <w:rsid w:val="00A92990"/>
    <w:rsid w:val="00A9416D"/>
    <w:rsid w:val="00A9737A"/>
    <w:rsid w:val="00A97CF2"/>
    <w:rsid w:val="00AA06D1"/>
    <w:rsid w:val="00AA1790"/>
    <w:rsid w:val="00AA1919"/>
    <w:rsid w:val="00AA39E6"/>
    <w:rsid w:val="00AA56FC"/>
    <w:rsid w:val="00AA5BC9"/>
    <w:rsid w:val="00AA6417"/>
    <w:rsid w:val="00AA69CF"/>
    <w:rsid w:val="00AA71A5"/>
    <w:rsid w:val="00AB19C0"/>
    <w:rsid w:val="00AB3CFA"/>
    <w:rsid w:val="00AB6C3C"/>
    <w:rsid w:val="00AC138E"/>
    <w:rsid w:val="00AC2CD7"/>
    <w:rsid w:val="00AC44ED"/>
    <w:rsid w:val="00AC5875"/>
    <w:rsid w:val="00AC79E4"/>
    <w:rsid w:val="00AD03FB"/>
    <w:rsid w:val="00AD0F0F"/>
    <w:rsid w:val="00AD1388"/>
    <w:rsid w:val="00AD28A4"/>
    <w:rsid w:val="00AD5C05"/>
    <w:rsid w:val="00AD5EF9"/>
    <w:rsid w:val="00AD617A"/>
    <w:rsid w:val="00AD6AF0"/>
    <w:rsid w:val="00AD73C2"/>
    <w:rsid w:val="00AD75D8"/>
    <w:rsid w:val="00AE00E1"/>
    <w:rsid w:val="00AE0DEA"/>
    <w:rsid w:val="00AE4D2E"/>
    <w:rsid w:val="00AE4FE6"/>
    <w:rsid w:val="00AE57B9"/>
    <w:rsid w:val="00AE6D48"/>
    <w:rsid w:val="00AF0691"/>
    <w:rsid w:val="00AF261D"/>
    <w:rsid w:val="00AF2A88"/>
    <w:rsid w:val="00AF42A4"/>
    <w:rsid w:val="00AF4817"/>
    <w:rsid w:val="00AF52A3"/>
    <w:rsid w:val="00AF6E2D"/>
    <w:rsid w:val="00B003AE"/>
    <w:rsid w:val="00B00E77"/>
    <w:rsid w:val="00B010BD"/>
    <w:rsid w:val="00B015AF"/>
    <w:rsid w:val="00B01E93"/>
    <w:rsid w:val="00B025D1"/>
    <w:rsid w:val="00B043DB"/>
    <w:rsid w:val="00B04C3E"/>
    <w:rsid w:val="00B06D04"/>
    <w:rsid w:val="00B10574"/>
    <w:rsid w:val="00B10F2C"/>
    <w:rsid w:val="00B111A3"/>
    <w:rsid w:val="00B172DE"/>
    <w:rsid w:val="00B17A2A"/>
    <w:rsid w:val="00B17EB0"/>
    <w:rsid w:val="00B21424"/>
    <w:rsid w:val="00B21719"/>
    <w:rsid w:val="00B231CE"/>
    <w:rsid w:val="00B25979"/>
    <w:rsid w:val="00B26349"/>
    <w:rsid w:val="00B26D9B"/>
    <w:rsid w:val="00B33898"/>
    <w:rsid w:val="00B359C1"/>
    <w:rsid w:val="00B37C85"/>
    <w:rsid w:val="00B42A66"/>
    <w:rsid w:val="00B435DE"/>
    <w:rsid w:val="00B44CAC"/>
    <w:rsid w:val="00B44DB0"/>
    <w:rsid w:val="00B44F2F"/>
    <w:rsid w:val="00B469D2"/>
    <w:rsid w:val="00B4708D"/>
    <w:rsid w:val="00B47D62"/>
    <w:rsid w:val="00B50BF2"/>
    <w:rsid w:val="00B511D2"/>
    <w:rsid w:val="00B51B95"/>
    <w:rsid w:val="00B51D95"/>
    <w:rsid w:val="00B52913"/>
    <w:rsid w:val="00B53C5D"/>
    <w:rsid w:val="00B54A6B"/>
    <w:rsid w:val="00B54E70"/>
    <w:rsid w:val="00B54F43"/>
    <w:rsid w:val="00B550DB"/>
    <w:rsid w:val="00B5596E"/>
    <w:rsid w:val="00B61F08"/>
    <w:rsid w:val="00B62C8E"/>
    <w:rsid w:val="00B64112"/>
    <w:rsid w:val="00B6412E"/>
    <w:rsid w:val="00B653B0"/>
    <w:rsid w:val="00B70BD3"/>
    <w:rsid w:val="00B72C88"/>
    <w:rsid w:val="00B7307D"/>
    <w:rsid w:val="00B73159"/>
    <w:rsid w:val="00B7567C"/>
    <w:rsid w:val="00B83070"/>
    <w:rsid w:val="00B83E13"/>
    <w:rsid w:val="00B854ED"/>
    <w:rsid w:val="00B8632E"/>
    <w:rsid w:val="00B86E6D"/>
    <w:rsid w:val="00B905D4"/>
    <w:rsid w:val="00B91058"/>
    <w:rsid w:val="00B9197E"/>
    <w:rsid w:val="00B94251"/>
    <w:rsid w:val="00B96D3F"/>
    <w:rsid w:val="00BA04AB"/>
    <w:rsid w:val="00BA24E9"/>
    <w:rsid w:val="00BA263C"/>
    <w:rsid w:val="00BA2DAD"/>
    <w:rsid w:val="00BA3AEE"/>
    <w:rsid w:val="00BA3B1D"/>
    <w:rsid w:val="00BA67F1"/>
    <w:rsid w:val="00BA6E5D"/>
    <w:rsid w:val="00BA77F6"/>
    <w:rsid w:val="00BB18B2"/>
    <w:rsid w:val="00BB1EE0"/>
    <w:rsid w:val="00BB6A0B"/>
    <w:rsid w:val="00BC0239"/>
    <w:rsid w:val="00BC200F"/>
    <w:rsid w:val="00BC2262"/>
    <w:rsid w:val="00BC2DB7"/>
    <w:rsid w:val="00BD0782"/>
    <w:rsid w:val="00BD1370"/>
    <w:rsid w:val="00BD3DBB"/>
    <w:rsid w:val="00BD3E32"/>
    <w:rsid w:val="00BD44BD"/>
    <w:rsid w:val="00BD47C0"/>
    <w:rsid w:val="00BD4B2D"/>
    <w:rsid w:val="00BD621F"/>
    <w:rsid w:val="00BE13D3"/>
    <w:rsid w:val="00BE21FA"/>
    <w:rsid w:val="00BE33BB"/>
    <w:rsid w:val="00BE4527"/>
    <w:rsid w:val="00BE6E72"/>
    <w:rsid w:val="00BF05B1"/>
    <w:rsid w:val="00BF4681"/>
    <w:rsid w:val="00BF4EE4"/>
    <w:rsid w:val="00BF670A"/>
    <w:rsid w:val="00C014AD"/>
    <w:rsid w:val="00C03CD0"/>
    <w:rsid w:val="00C04F5B"/>
    <w:rsid w:val="00C05286"/>
    <w:rsid w:val="00C0721E"/>
    <w:rsid w:val="00C07296"/>
    <w:rsid w:val="00C121FC"/>
    <w:rsid w:val="00C14A46"/>
    <w:rsid w:val="00C157F2"/>
    <w:rsid w:val="00C17976"/>
    <w:rsid w:val="00C20651"/>
    <w:rsid w:val="00C2261F"/>
    <w:rsid w:val="00C23230"/>
    <w:rsid w:val="00C26B36"/>
    <w:rsid w:val="00C270A0"/>
    <w:rsid w:val="00C27A1E"/>
    <w:rsid w:val="00C33B04"/>
    <w:rsid w:val="00C348BC"/>
    <w:rsid w:val="00C37ABD"/>
    <w:rsid w:val="00C4103F"/>
    <w:rsid w:val="00C42966"/>
    <w:rsid w:val="00C43624"/>
    <w:rsid w:val="00C47033"/>
    <w:rsid w:val="00C500CF"/>
    <w:rsid w:val="00C505BD"/>
    <w:rsid w:val="00C522F9"/>
    <w:rsid w:val="00C56A1D"/>
    <w:rsid w:val="00C60903"/>
    <w:rsid w:val="00C639F5"/>
    <w:rsid w:val="00C64C8A"/>
    <w:rsid w:val="00C65032"/>
    <w:rsid w:val="00C66DF9"/>
    <w:rsid w:val="00C7146B"/>
    <w:rsid w:val="00C71DA1"/>
    <w:rsid w:val="00C71DFD"/>
    <w:rsid w:val="00C73249"/>
    <w:rsid w:val="00C73676"/>
    <w:rsid w:val="00C74475"/>
    <w:rsid w:val="00C755EF"/>
    <w:rsid w:val="00C77BC6"/>
    <w:rsid w:val="00C81FA4"/>
    <w:rsid w:val="00C833A0"/>
    <w:rsid w:val="00C853F1"/>
    <w:rsid w:val="00C8657F"/>
    <w:rsid w:val="00C9018C"/>
    <w:rsid w:val="00C92C1B"/>
    <w:rsid w:val="00C9468F"/>
    <w:rsid w:val="00C96114"/>
    <w:rsid w:val="00C9742C"/>
    <w:rsid w:val="00C9799C"/>
    <w:rsid w:val="00CA055B"/>
    <w:rsid w:val="00CA0D3B"/>
    <w:rsid w:val="00CA1787"/>
    <w:rsid w:val="00CA2117"/>
    <w:rsid w:val="00CA7147"/>
    <w:rsid w:val="00CA7E9D"/>
    <w:rsid w:val="00CB1786"/>
    <w:rsid w:val="00CB2290"/>
    <w:rsid w:val="00CB2C68"/>
    <w:rsid w:val="00CB59CB"/>
    <w:rsid w:val="00CB6252"/>
    <w:rsid w:val="00CC1349"/>
    <w:rsid w:val="00CC33A4"/>
    <w:rsid w:val="00CC74C3"/>
    <w:rsid w:val="00CC7DEC"/>
    <w:rsid w:val="00CD1A0B"/>
    <w:rsid w:val="00CD1C37"/>
    <w:rsid w:val="00CD2284"/>
    <w:rsid w:val="00CD2760"/>
    <w:rsid w:val="00CD385F"/>
    <w:rsid w:val="00CD5B43"/>
    <w:rsid w:val="00CD5F9E"/>
    <w:rsid w:val="00CD626E"/>
    <w:rsid w:val="00CD7A9C"/>
    <w:rsid w:val="00CD7B35"/>
    <w:rsid w:val="00CE11DD"/>
    <w:rsid w:val="00CE3118"/>
    <w:rsid w:val="00CE446E"/>
    <w:rsid w:val="00CE4F7E"/>
    <w:rsid w:val="00CE5C9D"/>
    <w:rsid w:val="00CE659B"/>
    <w:rsid w:val="00CE7A10"/>
    <w:rsid w:val="00CE7ACA"/>
    <w:rsid w:val="00CE7B20"/>
    <w:rsid w:val="00CE7E65"/>
    <w:rsid w:val="00CF1566"/>
    <w:rsid w:val="00CF28CA"/>
    <w:rsid w:val="00CF3C57"/>
    <w:rsid w:val="00CF403F"/>
    <w:rsid w:val="00CF720C"/>
    <w:rsid w:val="00CF7856"/>
    <w:rsid w:val="00D002FD"/>
    <w:rsid w:val="00D00C27"/>
    <w:rsid w:val="00D00F96"/>
    <w:rsid w:val="00D016AB"/>
    <w:rsid w:val="00D02058"/>
    <w:rsid w:val="00D024A4"/>
    <w:rsid w:val="00D0304E"/>
    <w:rsid w:val="00D03FE7"/>
    <w:rsid w:val="00D06A6B"/>
    <w:rsid w:val="00D0712A"/>
    <w:rsid w:val="00D07159"/>
    <w:rsid w:val="00D10BA2"/>
    <w:rsid w:val="00D1134A"/>
    <w:rsid w:val="00D123FD"/>
    <w:rsid w:val="00D1286E"/>
    <w:rsid w:val="00D15292"/>
    <w:rsid w:val="00D15C07"/>
    <w:rsid w:val="00D15DCA"/>
    <w:rsid w:val="00D16888"/>
    <w:rsid w:val="00D16A93"/>
    <w:rsid w:val="00D1792A"/>
    <w:rsid w:val="00D17B0E"/>
    <w:rsid w:val="00D20180"/>
    <w:rsid w:val="00D20FDD"/>
    <w:rsid w:val="00D220A7"/>
    <w:rsid w:val="00D23218"/>
    <w:rsid w:val="00D233AB"/>
    <w:rsid w:val="00D2471F"/>
    <w:rsid w:val="00D24A3F"/>
    <w:rsid w:val="00D25B79"/>
    <w:rsid w:val="00D269EB"/>
    <w:rsid w:val="00D35FB5"/>
    <w:rsid w:val="00D362C1"/>
    <w:rsid w:val="00D36DC0"/>
    <w:rsid w:val="00D37DB2"/>
    <w:rsid w:val="00D403CE"/>
    <w:rsid w:val="00D41B91"/>
    <w:rsid w:val="00D428A4"/>
    <w:rsid w:val="00D4362A"/>
    <w:rsid w:val="00D43B6B"/>
    <w:rsid w:val="00D44432"/>
    <w:rsid w:val="00D46B92"/>
    <w:rsid w:val="00D47898"/>
    <w:rsid w:val="00D47A61"/>
    <w:rsid w:val="00D512EF"/>
    <w:rsid w:val="00D51D85"/>
    <w:rsid w:val="00D549FC"/>
    <w:rsid w:val="00D54D73"/>
    <w:rsid w:val="00D556EC"/>
    <w:rsid w:val="00D564BE"/>
    <w:rsid w:val="00D56942"/>
    <w:rsid w:val="00D56D88"/>
    <w:rsid w:val="00D60CCE"/>
    <w:rsid w:val="00D61233"/>
    <w:rsid w:val="00D61D12"/>
    <w:rsid w:val="00D6252A"/>
    <w:rsid w:val="00D63DE5"/>
    <w:rsid w:val="00D65394"/>
    <w:rsid w:val="00D65F61"/>
    <w:rsid w:val="00D718BA"/>
    <w:rsid w:val="00D73E33"/>
    <w:rsid w:val="00D76D2E"/>
    <w:rsid w:val="00D77051"/>
    <w:rsid w:val="00D81FE0"/>
    <w:rsid w:val="00D82951"/>
    <w:rsid w:val="00D84664"/>
    <w:rsid w:val="00D87833"/>
    <w:rsid w:val="00D91FCA"/>
    <w:rsid w:val="00D923EE"/>
    <w:rsid w:val="00DA0414"/>
    <w:rsid w:val="00DA0576"/>
    <w:rsid w:val="00DA25DE"/>
    <w:rsid w:val="00DA46A0"/>
    <w:rsid w:val="00DA6153"/>
    <w:rsid w:val="00DB10E2"/>
    <w:rsid w:val="00DB1B39"/>
    <w:rsid w:val="00DB1C4E"/>
    <w:rsid w:val="00DB1E3E"/>
    <w:rsid w:val="00DB21B1"/>
    <w:rsid w:val="00DB6BA5"/>
    <w:rsid w:val="00DC01CE"/>
    <w:rsid w:val="00DC1015"/>
    <w:rsid w:val="00DC1A0F"/>
    <w:rsid w:val="00DC2058"/>
    <w:rsid w:val="00DC29DE"/>
    <w:rsid w:val="00DC2A37"/>
    <w:rsid w:val="00DC3199"/>
    <w:rsid w:val="00DC71C9"/>
    <w:rsid w:val="00DD092B"/>
    <w:rsid w:val="00DD156F"/>
    <w:rsid w:val="00DD2F6B"/>
    <w:rsid w:val="00DD5A0B"/>
    <w:rsid w:val="00DD5E68"/>
    <w:rsid w:val="00DD6F88"/>
    <w:rsid w:val="00DE0A5E"/>
    <w:rsid w:val="00DE154F"/>
    <w:rsid w:val="00DE229E"/>
    <w:rsid w:val="00DE2A85"/>
    <w:rsid w:val="00DE2F52"/>
    <w:rsid w:val="00DE4961"/>
    <w:rsid w:val="00DE6D86"/>
    <w:rsid w:val="00DF0F22"/>
    <w:rsid w:val="00DF1421"/>
    <w:rsid w:val="00DF5923"/>
    <w:rsid w:val="00DF7C05"/>
    <w:rsid w:val="00E023C3"/>
    <w:rsid w:val="00E054B0"/>
    <w:rsid w:val="00E06DC1"/>
    <w:rsid w:val="00E073DB"/>
    <w:rsid w:val="00E07D5E"/>
    <w:rsid w:val="00E103CC"/>
    <w:rsid w:val="00E11369"/>
    <w:rsid w:val="00E12B01"/>
    <w:rsid w:val="00E13303"/>
    <w:rsid w:val="00E13E74"/>
    <w:rsid w:val="00E1420B"/>
    <w:rsid w:val="00E151C5"/>
    <w:rsid w:val="00E20ECB"/>
    <w:rsid w:val="00E22A43"/>
    <w:rsid w:val="00E22AF9"/>
    <w:rsid w:val="00E22C74"/>
    <w:rsid w:val="00E23B51"/>
    <w:rsid w:val="00E2481E"/>
    <w:rsid w:val="00E253FE"/>
    <w:rsid w:val="00E2665A"/>
    <w:rsid w:val="00E27F1C"/>
    <w:rsid w:val="00E27F76"/>
    <w:rsid w:val="00E30DF9"/>
    <w:rsid w:val="00E31071"/>
    <w:rsid w:val="00E31682"/>
    <w:rsid w:val="00E318CA"/>
    <w:rsid w:val="00E31B27"/>
    <w:rsid w:val="00E332D0"/>
    <w:rsid w:val="00E33750"/>
    <w:rsid w:val="00E33C81"/>
    <w:rsid w:val="00E3668D"/>
    <w:rsid w:val="00E409A4"/>
    <w:rsid w:val="00E44A4D"/>
    <w:rsid w:val="00E46D7E"/>
    <w:rsid w:val="00E47B82"/>
    <w:rsid w:val="00E51608"/>
    <w:rsid w:val="00E51681"/>
    <w:rsid w:val="00E52679"/>
    <w:rsid w:val="00E54532"/>
    <w:rsid w:val="00E54559"/>
    <w:rsid w:val="00E5768B"/>
    <w:rsid w:val="00E60AF4"/>
    <w:rsid w:val="00E60B0B"/>
    <w:rsid w:val="00E612D5"/>
    <w:rsid w:val="00E621CB"/>
    <w:rsid w:val="00E62370"/>
    <w:rsid w:val="00E64094"/>
    <w:rsid w:val="00E64999"/>
    <w:rsid w:val="00E67E92"/>
    <w:rsid w:val="00E67ED7"/>
    <w:rsid w:val="00E71F96"/>
    <w:rsid w:val="00E7508F"/>
    <w:rsid w:val="00E811A7"/>
    <w:rsid w:val="00E817B1"/>
    <w:rsid w:val="00E86BA7"/>
    <w:rsid w:val="00E87419"/>
    <w:rsid w:val="00E91056"/>
    <w:rsid w:val="00E91614"/>
    <w:rsid w:val="00EA00D2"/>
    <w:rsid w:val="00EA1515"/>
    <w:rsid w:val="00EA1CEE"/>
    <w:rsid w:val="00EA37C2"/>
    <w:rsid w:val="00EA39E7"/>
    <w:rsid w:val="00EA643B"/>
    <w:rsid w:val="00EB0CE4"/>
    <w:rsid w:val="00EB2BA2"/>
    <w:rsid w:val="00EB35B6"/>
    <w:rsid w:val="00EB75B7"/>
    <w:rsid w:val="00EB7A55"/>
    <w:rsid w:val="00EC1718"/>
    <w:rsid w:val="00EC1898"/>
    <w:rsid w:val="00EC1DD5"/>
    <w:rsid w:val="00EC2A50"/>
    <w:rsid w:val="00EC2C63"/>
    <w:rsid w:val="00EC3261"/>
    <w:rsid w:val="00EC400E"/>
    <w:rsid w:val="00EC6EC0"/>
    <w:rsid w:val="00EC7A86"/>
    <w:rsid w:val="00EC7E5E"/>
    <w:rsid w:val="00ED4215"/>
    <w:rsid w:val="00EE143B"/>
    <w:rsid w:val="00EE2F79"/>
    <w:rsid w:val="00EE2FF8"/>
    <w:rsid w:val="00EE33AB"/>
    <w:rsid w:val="00EE3732"/>
    <w:rsid w:val="00EE494A"/>
    <w:rsid w:val="00EE780C"/>
    <w:rsid w:val="00EF0C4D"/>
    <w:rsid w:val="00EF0E0C"/>
    <w:rsid w:val="00EF2081"/>
    <w:rsid w:val="00EF3A54"/>
    <w:rsid w:val="00EF3BAA"/>
    <w:rsid w:val="00EF761B"/>
    <w:rsid w:val="00EF7951"/>
    <w:rsid w:val="00F01253"/>
    <w:rsid w:val="00F0179A"/>
    <w:rsid w:val="00F029B6"/>
    <w:rsid w:val="00F04DD9"/>
    <w:rsid w:val="00F0662F"/>
    <w:rsid w:val="00F135EA"/>
    <w:rsid w:val="00F167ED"/>
    <w:rsid w:val="00F169EA"/>
    <w:rsid w:val="00F16C02"/>
    <w:rsid w:val="00F17365"/>
    <w:rsid w:val="00F20A3A"/>
    <w:rsid w:val="00F21279"/>
    <w:rsid w:val="00F225F6"/>
    <w:rsid w:val="00F237F5"/>
    <w:rsid w:val="00F23E87"/>
    <w:rsid w:val="00F247F9"/>
    <w:rsid w:val="00F24D80"/>
    <w:rsid w:val="00F24DD7"/>
    <w:rsid w:val="00F25421"/>
    <w:rsid w:val="00F301EC"/>
    <w:rsid w:val="00F32751"/>
    <w:rsid w:val="00F33CBE"/>
    <w:rsid w:val="00F35944"/>
    <w:rsid w:val="00F365C3"/>
    <w:rsid w:val="00F42894"/>
    <w:rsid w:val="00F43F7C"/>
    <w:rsid w:val="00F4580C"/>
    <w:rsid w:val="00F4599D"/>
    <w:rsid w:val="00F45F8A"/>
    <w:rsid w:val="00F46DF2"/>
    <w:rsid w:val="00F473C0"/>
    <w:rsid w:val="00F50781"/>
    <w:rsid w:val="00F54810"/>
    <w:rsid w:val="00F54D85"/>
    <w:rsid w:val="00F557C8"/>
    <w:rsid w:val="00F55C92"/>
    <w:rsid w:val="00F5735B"/>
    <w:rsid w:val="00F64001"/>
    <w:rsid w:val="00F66229"/>
    <w:rsid w:val="00F71BDF"/>
    <w:rsid w:val="00F73233"/>
    <w:rsid w:val="00F732D7"/>
    <w:rsid w:val="00F76379"/>
    <w:rsid w:val="00F76D2C"/>
    <w:rsid w:val="00F80F96"/>
    <w:rsid w:val="00F82247"/>
    <w:rsid w:val="00F83232"/>
    <w:rsid w:val="00F83603"/>
    <w:rsid w:val="00F83C09"/>
    <w:rsid w:val="00F852AA"/>
    <w:rsid w:val="00F85B39"/>
    <w:rsid w:val="00F85E7D"/>
    <w:rsid w:val="00F916F9"/>
    <w:rsid w:val="00F918A1"/>
    <w:rsid w:val="00F92533"/>
    <w:rsid w:val="00F93FC6"/>
    <w:rsid w:val="00F954FF"/>
    <w:rsid w:val="00F955BF"/>
    <w:rsid w:val="00F976B9"/>
    <w:rsid w:val="00FA03DC"/>
    <w:rsid w:val="00FA1490"/>
    <w:rsid w:val="00FA3866"/>
    <w:rsid w:val="00FA5281"/>
    <w:rsid w:val="00FA6DB2"/>
    <w:rsid w:val="00FB0D99"/>
    <w:rsid w:val="00FB1063"/>
    <w:rsid w:val="00FB7A41"/>
    <w:rsid w:val="00FC05E7"/>
    <w:rsid w:val="00FC0FBD"/>
    <w:rsid w:val="00FC30D3"/>
    <w:rsid w:val="00FC3579"/>
    <w:rsid w:val="00FC672E"/>
    <w:rsid w:val="00FC6BE9"/>
    <w:rsid w:val="00FD1EDB"/>
    <w:rsid w:val="00FD5F9A"/>
    <w:rsid w:val="00FD67EF"/>
    <w:rsid w:val="00FD7B6D"/>
    <w:rsid w:val="00FE12D2"/>
    <w:rsid w:val="00FE26DE"/>
    <w:rsid w:val="00FE3293"/>
    <w:rsid w:val="00FE4051"/>
    <w:rsid w:val="00FE63D9"/>
    <w:rsid w:val="00FF1803"/>
    <w:rsid w:val="00FF2240"/>
    <w:rsid w:val="00FF2C73"/>
    <w:rsid w:val="00FF6592"/>
    <w:rsid w:val="00FF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0E588ABE"/>
  <w15:chartTrackingRefBased/>
  <w15:docId w15:val="{98417C4B-BA8B-48AE-88CB-4D96F9DA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567C"/>
    <w:pPr>
      <w:spacing w:after="200" w:line="276" w:lineRule="auto"/>
    </w:pPr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F16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26B37"/>
    <w:pPr>
      <w:keepNext/>
      <w:numPr>
        <w:numId w:val="6"/>
      </w:numPr>
      <w:spacing w:before="240" w:after="120"/>
      <w:jc w:val="both"/>
      <w:outlineLvl w:val="1"/>
    </w:pPr>
    <w:rPr>
      <w:rFonts w:ascii="ITC Avant Garde" w:eastAsia="Times New Roman" w:hAnsi="ITC Avant Garde"/>
      <w:b/>
      <w:color w:val="000000"/>
      <w:lang w:eastAsia="es-MX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37BB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30">
    <w:name w:val="estilo30"/>
    <w:basedOn w:val="Normal"/>
    <w:rsid w:val="00CE11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Prrafodelista">
    <w:name w:val="List Paragraph"/>
    <w:aliases w:val="Bullet List,FooterText,numbered,List Paragraph1,Paragraphe de liste1,Bulletr List Paragraph,列出段落,列出段落1,Cuadros,Lista general,Numeración 1,Cuadrícula media 1 - Énfasis 21,4 Viñ 1nivel,Footnote"/>
    <w:basedOn w:val="Normal"/>
    <w:link w:val="PrrafodelistaCar"/>
    <w:uiPriority w:val="34"/>
    <w:qFormat/>
    <w:rsid w:val="00CE11DD"/>
    <w:pPr>
      <w:spacing w:after="0" w:line="240" w:lineRule="auto"/>
      <w:ind w:left="708"/>
    </w:pPr>
    <w:rPr>
      <w:rFonts w:ascii="Arial" w:eastAsia="Times New Roman" w:hAnsi="Arial"/>
      <w:sz w:val="24"/>
      <w:szCs w:val="20"/>
      <w:lang w:eastAsia="es-ES"/>
    </w:rPr>
  </w:style>
  <w:style w:type="character" w:customStyle="1" w:styleId="apple-converted-space">
    <w:name w:val="apple-converted-space"/>
    <w:basedOn w:val="Fuentedeprrafopredeter"/>
    <w:rsid w:val="00CE11DD"/>
  </w:style>
  <w:style w:type="paragraph" w:styleId="Textoindependiente">
    <w:name w:val="Body Text"/>
    <w:basedOn w:val="Normal"/>
    <w:link w:val="TextoindependienteCar"/>
    <w:uiPriority w:val="99"/>
    <w:unhideWhenUsed/>
    <w:rsid w:val="00CE11D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E11DD"/>
    <w:rPr>
      <w:rFonts w:ascii="Calibri" w:eastAsia="Calibri" w:hAnsi="Calibri" w:cs="Times New Roman"/>
    </w:rPr>
  </w:style>
  <w:style w:type="character" w:customStyle="1" w:styleId="PrrafodelistaCar">
    <w:name w:val="Párrafo de lista Car"/>
    <w:aliases w:val="Bullet List Car,FooterText Car,numbered Car,List Paragraph1 Car,Paragraphe de liste1 Car,Bulletr List Paragraph Car,列出段落 Car,列出段落1 Car,Cuadros Car,Lista general Car,Numeración 1 Car,Cuadrícula media 1 - Énfasis 21 Car,Footnote Car"/>
    <w:link w:val="Prrafodelista"/>
    <w:uiPriority w:val="34"/>
    <w:rsid w:val="00CE11DD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26B3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26B37"/>
    <w:rPr>
      <w:rFonts w:ascii="Calibri" w:eastAsia="Calibri" w:hAnsi="Calibri" w:cs="Times New Roman"/>
    </w:rPr>
  </w:style>
  <w:style w:type="character" w:customStyle="1" w:styleId="Ttulo2Car">
    <w:name w:val="Título 2 Car"/>
    <w:basedOn w:val="Fuentedeprrafopredeter"/>
    <w:link w:val="Ttulo2"/>
    <w:uiPriority w:val="9"/>
    <w:rsid w:val="00626B37"/>
    <w:rPr>
      <w:rFonts w:ascii="ITC Avant Garde" w:eastAsia="Times New Roman" w:hAnsi="ITC Avant Garde" w:cs="Times New Roman"/>
      <w:b/>
      <w:color w:val="000000"/>
      <w:lang w:eastAsia="es-MX"/>
    </w:rPr>
  </w:style>
  <w:style w:type="table" w:styleId="Tablaconcuadrcula">
    <w:name w:val="Table Grid"/>
    <w:basedOn w:val="Tablanormal"/>
    <w:rsid w:val="00626B37"/>
    <w:pPr>
      <w:spacing w:after="0" w:line="240" w:lineRule="auto"/>
    </w:pPr>
    <w:rPr>
      <w:rFonts w:ascii="Calibri" w:eastAsia="Calibri" w:hAnsi="Calibri" w:cs="Times New Roman"/>
      <w:bCs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ente">
    <w:name w:val="Fuente"/>
    <w:basedOn w:val="Prrafodelista"/>
    <w:link w:val="FuenteChar"/>
    <w:qFormat/>
    <w:rsid w:val="00626B37"/>
    <w:pPr>
      <w:spacing w:after="200" w:line="276" w:lineRule="auto"/>
      <w:ind w:left="851"/>
      <w:contextualSpacing/>
      <w:jc w:val="both"/>
    </w:pPr>
    <w:rPr>
      <w:rFonts w:asciiTheme="minorHAnsi" w:eastAsiaTheme="minorEastAsia" w:hAnsiTheme="minorHAnsi" w:cstheme="minorBidi"/>
      <w:sz w:val="16"/>
      <w:szCs w:val="16"/>
      <w:lang w:val="es-MX" w:eastAsia="en-US" w:bidi="en-US"/>
    </w:rPr>
  </w:style>
  <w:style w:type="character" w:customStyle="1" w:styleId="FuenteChar">
    <w:name w:val="Fuente Char"/>
    <w:basedOn w:val="Fuentedeprrafopredeter"/>
    <w:link w:val="Fuente"/>
    <w:rsid w:val="00626B37"/>
    <w:rPr>
      <w:rFonts w:eastAsiaTheme="minorEastAsia"/>
      <w:sz w:val="16"/>
      <w:szCs w:val="16"/>
      <w:lang w:bidi="en-US"/>
    </w:rPr>
  </w:style>
  <w:style w:type="character" w:customStyle="1" w:styleId="Ttulo1Car">
    <w:name w:val="Título 1 Car"/>
    <w:basedOn w:val="Fuentedeprrafopredeter"/>
    <w:link w:val="Ttulo1"/>
    <w:uiPriority w:val="9"/>
    <w:rsid w:val="000F16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0F1667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0F1667"/>
    <w:pPr>
      <w:ind w:left="566" w:hanging="283"/>
      <w:contextualSpacing/>
    </w:pPr>
  </w:style>
  <w:style w:type="paragraph" w:styleId="Sangradetextonormal">
    <w:name w:val="Body Text Indent"/>
    <w:basedOn w:val="Normal"/>
    <w:link w:val="SangradetextonormalCar"/>
    <w:uiPriority w:val="99"/>
    <w:unhideWhenUsed/>
    <w:rsid w:val="000F166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0F1667"/>
    <w:rPr>
      <w:rFonts w:ascii="Calibri" w:eastAsia="Calibri" w:hAnsi="Calibri" w:cs="Times New Roman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0F1667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0F1667"/>
    <w:rPr>
      <w:rFonts w:ascii="Calibri" w:eastAsia="Calibri" w:hAnsi="Calibri" w:cs="Times New Roman"/>
    </w:rPr>
  </w:style>
  <w:style w:type="paragraph" w:styleId="Textonotapie">
    <w:name w:val="footnote text"/>
    <w:basedOn w:val="Normal"/>
    <w:link w:val="TextonotapieCar"/>
    <w:uiPriority w:val="99"/>
    <w:unhideWhenUsed/>
    <w:rsid w:val="000F166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F1667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0F1667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BD4B2D"/>
    <w:rPr>
      <w:color w:val="0563C1" w:themeColor="hyperlink"/>
      <w:u w:val="single"/>
    </w:rPr>
  </w:style>
  <w:style w:type="paragraph" w:styleId="Sinespaciado">
    <w:name w:val="No Spacing"/>
    <w:aliases w:val="~BaseStyle"/>
    <w:uiPriority w:val="1"/>
    <w:qFormat/>
    <w:rsid w:val="00B25979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3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3732"/>
    <w:rPr>
      <w:rFonts w:ascii="Segoe UI" w:eastAsia="Calibr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B6A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6A0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B6A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6A0B"/>
    <w:rPr>
      <w:rFonts w:ascii="Calibri" w:eastAsia="Calibri" w:hAnsi="Calibri" w:cs="Times New Roman"/>
    </w:rPr>
  </w:style>
  <w:style w:type="character" w:customStyle="1" w:styleId="N1IFTCar">
    <w:name w:val="N1 IFT Car"/>
    <w:basedOn w:val="Fuentedeprrafopredeter"/>
    <w:link w:val="N1IFT"/>
    <w:locked/>
    <w:rsid w:val="00EB7A55"/>
    <w:rPr>
      <w:rFonts w:ascii="ITC Avant Garde" w:hAnsi="ITC Avant Garde"/>
      <w:b/>
      <w:bCs/>
      <w:color w:val="000000"/>
      <w:lang w:eastAsia="es-ES"/>
    </w:rPr>
  </w:style>
  <w:style w:type="paragraph" w:customStyle="1" w:styleId="N1IFT">
    <w:name w:val="N1 IFT"/>
    <w:basedOn w:val="Normal"/>
    <w:link w:val="N1IFTCar"/>
    <w:rsid w:val="00EB7A55"/>
    <w:pPr>
      <w:jc w:val="both"/>
    </w:pPr>
    <w:rPr>
      <w:rFonts w:ascii="ITC Avant Garde" w:eastAsiaTheme="minorHAnsi" w:hAnsi="ITC Avant Garde" w:cstheme="minorBidi"/>
      <w:b/>
      <w:bCs/>
      <w:color w:val="000000"/>
      <w:lang w:eastAsia="es-ES"/>
    </w:rPr>
  </w:style>
  <w:style w:type="paragraph" w:customStyle="1" w:styleId="Enfasisnegrita">
    <w:name w:val="* Enfasis negrita"/>
    <w:basedOn w:val="Normal"/>
    <w:link w:val="EnfasisnegritaCar"/>
    <w:qFormat/>
    <w:rsid w:val="00037BBC"/>
    <w:pPr>
      <w:spacing w:before="120" w:after="120"/>
      <w:ind w:right="51"/>
      <w:jc w:val="both"/>
    </w:pPr>
    <w:rPr>
      <w:rFonts w:ascii="Arial" w:eastAsiaTheme="minorHAnsi" w:hAnsi="Arial" w:cs="Arial"/>
      <w:b/>
      <w:lang w:val="es-MX"/>
    </w:rPr>
  </w:style>
  <w:style w:type="character" w:customStyle="1" w:styleId="EnfasisnegritaCar">
    <w:name w:val="* Enfasis negrita Car"/>
    <w:basedOn w:val="Fuentedeprrafopredeter"/>
    <w:link w:val="Enfasisnegrita"/>
    <w:rsid w:val="00037BBC"/>
    <w:rPr>
      <w:rFonts w:ascii="Arial" w:hAnsi="Arial" w:cs="Arial"/>
      <w:b/>
    </w:rPr>
  </w:style>
  <w:style w:type="paragraph" w:customStyle="1" w:styleId="6Ttulo">
    <w:name w:val="* 6 Título"/>
    <w:basedOn w:val="Ttulo6"/>
    <w:link w:val="6TtuloCar"/>
    <w:qFormat/>
    <w:rsid w:val="00037BBC"/>
    <w:pPr>
      <w:spacing w:before="200" w:after="120"/>
      <w:ind w:right="51"/>
      <w:jc w:val="both"/>
    </w:pPr>
    <w:rPr>
      <w:rFonts w:ascii="Arial" w:hAnsi="Arial"/>
      <w:b/>
      <w:iCs/>
      <w:lang w:val="es-ES_tradnl" w:eastAsia="es-ES"/>
    </w:rPr>
  </w:style>
  <w:style w:type="character" w:customStyle="1" w:styleId="6TtuloCar">
    <w:name w:val="* 6 Título Car"/>
    <w:basedOn w:val="Ttulo6Car"/>
    <w:link w:val="6Ttulo"/>
    <w:rsid w:val="00037BBC"/>
    <w:rPr>
      <w:rFonts w:ascii="Arial" w:eastAsiaTheme="majorEastAsia" w:hAnsi="Arial" w:cstheme="majorBidi"/>
      <w:b/>
      <w:iCs/>
      <w:color w:val="1F4D78" w:themeColor="accent1" w:themeShade="7F"/>
      <w:lang w:val="es-ES_tradnl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7BBC"/>
    <w:rPr>
      <w:rFonts w:asciiTheme="majorHAnsi" w:eastAsiaTheme="majorEastAsia" w:hAnsiTheme="majorHAnsi" w:cstheme="majorBidi"/>
      <w:color w:val="1F4D78" w:themeColor="accent1" w:themeShade="7F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107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107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1079D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079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079D"/>
    <w:rPr>
      <w:rFonts w:ascii="Calibri" w:eastAsia="Calibri" w:hAnsi="Calibri" w:cs="Times New Roman"/>
      <w:b/>
      <w:bCs/>
      <w:sz w:val="20"/>
      <w:szCs w:val="20"/>
      <w:lang w:val="es-ES"/>
    </w:rPr>
  </w:style>
  <w:style w:type="paragraph" w:customStyle="1" w:styleId="Default">
    <w:name w:val="Default"/>
    <w:rsid w:val="00071534"/>
    <w:pPr>
      <w:autoSpaceDE w:val="0"/>
      <w:autoSpaceDN w:val="0"/>
      <w:adjustRightInd w:val="0"/>
      <w:spacing w:after="0" w:line="240" w:lineRule="auto"/>
    </w:pPr>
    <w:rPr>
      <w:rFonts w:ascii="ITC Avant Garde" w:hAnsi="ITC Avant Garde" w:cs="ITC Avant Garde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505937"/>
    <w:rPr>
      <w:color w:val="954F72" w:themeColor="followed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B75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B75B7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y2iqfc">
    <w:name w:val="y2iqfc"/>
    <w:basedOn w:val="Fuentedeprrafopredeter"/>
    <w:rsid w:val="00EB75B7"/>
  </w:style>
  <w:style w:type="character" w:customStyle="1" w:styleId="liststyle1196043187level1">
    <w:name w:val="liststyle_1196043187_level_1"/>
    <w:basedOn w:val="Fuentedeprrafopredeter"/>
    <w:rsid w:val="00954349"/>
  </w:style>
  <w:style w:type="character" w:styleId="Mencinsinresolver">
    <w:name w:val="Unresolved Mention"/>
    <w:basedOn w:val="Fuentedeprrafopredeter"/>
    <w:uiPriority w:val="99"/>
    <w:semiHidden/>
    <w:unhideWhenUsed/>
    <w:rsid w:val="00871907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3C09E1"/>
    <w:rPr>
      <w:color w:val="808080"/>
    </w:rPr>
  </w:style>
  <w:style w:type="paragraph" w:customStyle="1" w:styleId="Normal1">
    <w:name w:val="Normal1"/>
    <w:rsid w:val="00E23B51"/>
    <w:pPr>
      <w:spacing w:after="0" w:line="276" w:lineRule="auto"/>
    </w:pPr>
    <w:rPr>
      <w:rFonts w:ascii="Arial" w:eastAsia="Arial" w:hAnsi="Arial" w:cs="Arial"/>
      <w:color w:val="00000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8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7020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3615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038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24600">
                      <w:marLeft w:val="0"/>
                      <w:marRight w:val="0"/>
                      <w:marTop w:val="0"/>
                      <w:marBottom w:val="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81418">
                      <w:marLeft w:val="0"/>
                      <w:marRight w:val="0"/>
                      <w:marTop w:val="0"/>
                      <w:marBottom w:val="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81330">
                      <w:marLeft w:val="0"/>
                      <w:marRight w:val="0"/>
                      <w:marTop w:val="0"/>
                      <w:marBottom w:val="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279302">
                      <w:marLeft w:val="720"/>
                      <w:marRight w:val="0"/>
                      <w:marTop w:val="0"/>
                      <w:marBottom w:val="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88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54046">
                      <w:marLeft w:val="720"/>
                      <w:marRight w:val="0"/>
                      <w:marTop w:val="0"/>
                      <w:marBottom w:val="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571355">
                      <w:marLeft w:val="720"/>
                      <w:marRight w:val="0"/>
                      <w:marTop w:val="0"/>
                      <w:marBottom w:val="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22993">
                      <w:marLeft w:val="720"/>
                      <w:marRight w:val="0"/>
                      <w:marTop w:val="0"/>
                      <w:marBottom w:val="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87325">
                      <w:marLeft w:val="720"/>
                      <w:marRight w:val="0"/>
                      <w:marTop w:val="0"/>
                      <w:marBottom w:val="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995953">
                      <w:marLeft w:val="720"/>
                      <w:marRight w:val="0"/>
                      <w:marTop w:val="0"/>
                      <w:marBottom w:val="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682814">
                      <w:marLeft w:val="1152"/>
                      <w:marRight w:val="0"/>
                      <w:marTop w:val="0"/>
                      <w:marBottom w:val="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8170">
                      <w:marLeft w:val="1152"/>
                      <w:marRight w:val="0"/>
                      <w:marTop w:val="0"/>
                      <w:marBottom w:val="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296750">
                      <w:marLeft w:val="1152"/>
                      <w:marRight w:val="0"/>
                      <w:marTop w:val="0"/>
                      <w:marBottom w:val="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059645">
                      <w:marLeft w:val="1152"/>
                      <w:marRight w:val="0"/>
                      <w:marTop w:val="0"/>
                      <w:marBottom w:val="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232010">
                      <w:marLeft w:val="1152"/>
                      <w:marRight w:val="0"/>
                      <w:marTop w:val="0"/>
                      <w:marBottom w:val="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491742">
                      <w:marLeft w:val="1152"/>
                      <w:marRight w:val="0"/>
                      <w:marTop w:val="0"/>
                      <w:marBottom w:val="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217902">
                      <w:marLeft w:val="1152"/>
                      <w:marRight w:val="0"/>
                      <w:marTop w:val="0"/>
                      <w:marBottom w:val="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273382">
                      <w:marLeft w:val="1152"/>
                      <w:marRight w:val="0"/>
                      <w:marTop w:val="0"/>
                      <w:marBottom w:val="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618419">
                      <w:marLeft w:val="720"/>
                      <w:marRight w:val="0"/>
                      <w:marTop w:val="0"/>
                      <w:marBottom w:val="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161489">
                      <w:marLeft w:val="720"/>
                      <w:marRight w:val="0"/>
                      <w:marTop w:val="0"/>
                      <w:marBottom w:val="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49653">
                      <w:marLeft w:val="720"/>
                      <w:marRight w:val="0"/>
                      <w:marTop w:val="0"/>
                      <w:marBottom w:val="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65882">
                      <w:marLeft w:val="720"/>
                      <w:marRight w:val="0"/>
                      <w:marTop w:val="0"/>
                      <w:marBottom w:val="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534127">
                      <w:marLeft w:val="720"/>
                      <w:marRight w:val="0"/>
                      <w:marTop w:val="0"/>
                      <w:marBottom w:val="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862720">
                      <w:marLeft w:val="720"/>
                      <w:marRight w:val="0"/>
                      <w:marTop w:val="0"/>
                      <w:marBottom w:val="54"/>
                      <w:divBdr>
                        <w:top w:val="single" w:sz="4" w:space="0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651994">
                      <w:marLeft w:val="720"/>
                      <w:marRight w:val="0"/>
                      <w:marTop w:val="0"/>
                      <w:marBottom w:val="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637929">
                      <w:marLeft w:val="720"/>
                      <w:marRight w:val="0"/>
                      <w:marTop w:val="0"/>
                      <w:marBottom w:val="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658166">
                      <w:marLeft w:val="720"/>
                      <w:marRight w:val="0"/>
                      <w:marTop w:val="0"/>
                      <w:marBottom w:val="54"/>
                      <w:divBdr>
                        <w:top w:val="single" w:sz="4" w:space="0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605856">
                      <w:marLeft w:val="720"/>
                      <w:marRight w:val="0"/>
                      <w:marTop w:val="0"/>
                      <w:marBottom w:val="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038904">
                      <w:marLeft w:val="720"/>
                      <w:marRight w:val="0"/>
                      <w:marTop w:val="0"/>
                      <w:marBottom w:val="54"/>
                      <w:divBdr>
                        <w:top w:val="single" w:sz="4" w:space="0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240475">
                      <w:marLeft w:val="720"/>
                      <w:marRight w:val="0"/>
                      <w:marTop w:val="0"/>
                      <w:marBottom w:val="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298923">
                      <w:marLeft w:val="720"/>
                      <w:marRight w:val="0"/>
                      <w:marTop w:val="0"/>
                      <w:marBottom w:val="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04076">
                      <w:marLeft w:val="72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467011">
                      <w:marLeft w:val="720"/>
                      <w:marRight w:val="0"/>
                      <w:marTop w:val="0"/>
                      <w:marBottom w:val="101"/>
                      <w:divBdr>
                        <w:top w:val="single" w:sz="4" w:space="0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090707">
                      <w:marLeft w:val="72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113963">
                      <w:marLeft w:val="720"/>
                      <w:marRight w:val="0"/>
                      <w:marTop w:val="0"/>
                      <w:marBottom w:val="101"/>
                      <w:divBdr>
                        <w:top w:val="single" w:sz="4" w:space="0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411475">
                      <w:marLeft w:val="72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022855">
                      <w:marLeft w:val="720"/>
                      <w:marRight w:val="0"/>
                      <w:marTop w:val="0"/>
                      <w:marBottom w:val="101"/>
                      <w:divBdr>
                        <w:top w:val="single" w:sz="4" w:space="0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22170">
                      <w:marLeft w:val="72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59916">
                      <w:marLeft w:val="720"/>
                      <w:marRight w:val="0"/>
                      <w:marTop w:val="0"/>
                      <w:marBottom w:val="101"/>
                      <w:divBdr>
                        <w:top w:val="single" w:sz="4" w:space="0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116">
                      <w:marLeft w:val="144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000000"/>
                        <w:right w:val="none" w:sz="0" w:space="0" w:color="auto"/>
                      </w:divBdr>
                    </w:div>
                  </w:divsChild>
                </w:div>
                <w:div w:id="70151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071311">
                      <w:marLeft w:val="144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0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059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6793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8813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69514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5491">
          <w:marLeft w:val="648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1784">
          <w:marLeft w:val="648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90">
          <w:marLeft w:val="648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1306">
          <w:marLeft w:val="648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2243">
          <w:marLeft w:val="648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2454">
          <w:marLeft w:val="108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841">
          <w:marLeft w:val="108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3499">
          <w:marLeft w:val="108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6081">
          <w:marLeft w:val="108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08073">
          <w:marLeft w:val="108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4541">
          <w:marLeft w:val="108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6996">
          <w:marLeft w:val="108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8451">
          <w:marLeft w:val="108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7015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3924">
          <w:marLeft w:val="648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7216">
          <w:marLeft w:val="648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59908">
          <w:marLeft w:val="648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2462">
          <w:marLeft w:val="648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3264">
          <w:marLeft w:val="57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8697">
          <w:marLeft w:val="57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6004">
          <w:marLeft w:val="57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2178">
          <w:marLeft w:val="57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4410">
          <w:marLeft w:val="57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225">
          <w:marLeft w:val="57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7383">
          <w:marLeft w:val="57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7544">
          <w:marLeft w:val="57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750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9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3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889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7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505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ols.ietf.org/html/rfc418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64E31-31EE-4803-AC83-169A17DF8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3279</Words>
  <Characters>18036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Ignacio Reyes Sanchez</dc:creator>
  <cp:keywords/>
  <dc:description/>
  <cp:lastModifiedBy>Josue Teoyotl Calderon</cp:lastModifiedBy>
  <cp:revision>4</cp:revision>
  <cp:lastPrinted>2022-03-14T19:06:00Z</cp:lastPrinted>
  <dcterms:created xsi:type="dcterms:W3CDTF">2022-03-14T18:41:00Z</dcterms:created>
  <dcterms:modified xsi:type="dcterms:W3CDTF">2022-03-14T19:07:00Z</dcterms:modified>
</cp:coreProperties>
</file>