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7A657" w14:textId="5722D58A" w:rsidR="004E4CC7" w:rsidRPr="0003362F" w:rsidRDefault="004E4CC7" w:rsidP="00E92C13">
      <w:pPr>
        <w:keepNext/>
        <w:keepLines/>
        <w:spacing w:after="0"/>
        <w:jc w:val="both"/>
        <w:outlineLvl w:val="0"/>
        <w:rPr>
          <w:rFonts w:ascii="Arial" w:eastAsia="Times New Roman" w:hAnsi="Arial" w:cs="Arial"/>
          <w:b/>
          <w:bCs/>
          <w:sz w:val="26"/>
          <w:szCs w:val="26"/>
          <w:lang w:eastAsia="es-MX"/>
        </w:rPr>
      </w:pPr>
      <w:bookmarkStart w:id="0" w:name="_GoBack"/>
      <w:bookmarkEnd w:id="0"/>
      <w:r w:rsidRPr="0003362F">
        <w:rPr>
          <w:rFonts w:ascii="Arial" w:eastAsia="Times New Roman" w:hAnsi="Arial" w:cs="Arial"/>
          <w:b/>
          <w:bCs/>
          <w:sz w:val="26"/>
          <w:szCs w:val="26"/>
          <w:lang w:eastAsia="es-MX"/>
        </w:rPr>
        <w:t>Versión integral de las condiciones técnicas de operación de la banda de frecuencias 57-64 GHz que acompañan como Anexo 1 al “Acuerdo mediante el cual el Pleno del Instituto Federal de Telecomunicaciones clasifica la banda de frecuencias 57-64 GHz como espectro libre y expide las condiciones técnicas de operación”</w:t>
      </w:r>
    </w:p>
    <w:p w14:paraId="35B7B34A" w14:textId="200B92C5" w:rsidR="004E4CC7" w:rsidRPr="0003362F" w:rsidRDefault="004E4CC7" w:rsidP="00E92C13">
      <w:pPr>
        <w:pStyle w:val="ANOTACION"/>
        <w:spacing w:before="0" w:after="0" w:line="276" w:lineRule="auto"/>
        <w:rPr>
          <w:rFonts w:ascii="Arial" w:hAnsi="Arial" w:cs="Arial"/>
          <w:sz w:val="22"/>
          <w:szCs w:val="22"/>
          <w:lang w:eastAsia="es-MX"/>
        </w:rPr>
      </w:pPr>
    </w:p>
    <w:p w14:paraId="770A6236" w14:textId="77777777" w:rsidR="0032512C" w:rsidRPr="0003362F" w:rsidRDefault="0032512C" w:rsidP="00E92C13">
      <w:pPr>
        <w:pStyle w:val="ANOTACION"/>
        <w:spacing w:before="0" w:after="0" w:line="276" w:lineRule="auto"/>
        <w:rPr>
          <w:rFonts w:ascii="Arial" w:hAnsi="Arial" w:cs="Arial"/>
          <w:sz w:val="22"/>
          <w:szCs w:val="22"/>
          <w:lang w:eastAsia="es-MX"/>
        </w:rPr>
      </w:pPr>
    </w:p>
    <w:p w14:paraId="43D6FB57" w14:textId="6F5DE7BB" w:rsidR="005B4F86" w:rsidRPr="0003362F" w:rsidRDefault="005B4F86" w:rsidP="00E92C13">
      <w:pPr>
        <w:pStyle w:val="ANOTACION"/>
        <w:spacing w:before="0" w:after="0" w:line="276" w:lineRule="auto"/>
        <w:rPr>
          <w:rFonts w:ascii="Arial" w:hAnsi="Arial" w:cs="Arial"/>
          <w:sz w:val="26"/>
          <w:szCs w:val="26"/>
          <w:lang w:eastAsia="es-MX"/>
        </w:rPr>
      </w:pPr>
      <w:r w:rsidRPr="0003362F">
        <w:rPr>
          <w:rFonts w:ascii="Arial" w:hAnsi="Arial" w:cs="Arial"/>
          <w:sz w:val="26"/>
          <w:szCs w:val="26"/>
          <w:lang w:eastAsia="es-MX"/>
        </w:rPr>
        <w:t>ANEXO 1</w:t>
      </w:r>
    </w:p>
    <w:p w14:paraId="7470BE6A" w14:textId="28D497FF" w:rsidR="003650BB" w:rsidRPr="00A3118B" w:rsidRDefault="003650BB" w:rsidP="001C3F90">
      <w:pPr>
        <w:pStyle w:val="ANOTACION"/>
        <w:spacing w:before="0" w:after="0" w:line="276" w:lineRule="auto"/>
        <w:jc w:val="both"/>
        <w:rPr>
          <w:rFonts w:ascii="Arial" w:hAnsi="Arial" w:cs="Arial"/>
          <w:sz w:val="26"/>
          <w:szCs w:val="26"/>
          <w:lang w:eastAsia="es-MX"/>
        </w:rPr>
      </w:pPr>
      <w:r w:rsidRPr="00A3118B">
        <w:rPr>
          <w:rFonts w:ascii="Arial" w:hAnsi="Arial" w:cs="Arial"/>
          <w:sz w:val="26"/>
          <w:szCs w:val="26"/>
          <w:lang w:eastAsia="es-MX"/>
        </w:rPr>
        <w:t xml:space="preserve">CONDICIONES TÉCNICAS DE OPERACIÓN </w:t>
      </w:r>
      <w:r w:rsidR="001C3F90" w:rsidRPr="00A3118B">
        <w:rPr>
          <w:rFonts w:ascii="Arial" w:hAnsi="Arial" w:cs="Arial"/>
          <w:sz w:val="26"/>
          <w:szCs w:val="26"/>
          <w:lang w:eastAsia="es-MX"/>
        </w:rPr>
        <w:t xml:space="preserve">PARA EL USO </w:t>
      </w:r>
      <w:r w:rsidRPr="00A3118B">
        <w:rPr>
          <w:rFonts w:ascii="Arial" w:hAnsi="Arial" w:cs="Arial"/>
          <w:sz w:val="26"/>
          <w:szCs w:val="26"/>
          <w:lang w:eastAsia="es-MX"/>
        </w:rPr>
        <w:t>DE LA BANDA DE FRECUENCIAS 57-64 GH</w:t>
      </w:r>
      <w:r w:rsidR="00387312" w:rsidRPr="00A3118B">
        <w:rPr>
          <w:rFonts w:ascii="Arial" w:hAnsi="Arial" w:cs="Arial"/>
          <w:sz w:val="26"/>
          <w:szCs w:val="26"/>
          <w:lang w:eastAsia="es-MX"/>
        </w:rPr>
        <w:t>z</w:t>
      </w:r>
    </w:p>
    <w:p w14:paraId="4D33F69B" w14:textId="38CE7B87" w:rsidR="003650BB" w:rsidRPr="0003362F" w:rsidRDefault="004E4CC7" w:rsidP="00E92C13">
      <w:pPr>
        <w:pStyle w:val="ANOTACION"/>
        <w:spacing w:before="0" w:after="0" w:line="276" w:lineRule="auto"/>
        <w:jc w:val="right"/>
        <w:rPr>
          <w:rFonts w:ascii="Arial" w:hAnsi="Arial" w:cs="Arial"/>
          <w:b w:val="0"/>
          <w:bCs/>
          <w:color w:val="FF0000"/>
          <w:sz w:val="22"/>
          <w:szCs w:val="22"/>
          <w:lang w:eastAsia="es-MX"/>
        </w:rPr>
      </w:pPr>
      <w:bookmarkStart w:id="1" w:name="_Hlk94105738"/>
      <w:r w:rsidRPr="0003362F">
        <w:rPr>
          <w:rFonts w:ascii="Arial" w:eastAsiaTheme="minorHAnsi" w:hAnsi="Arial" w:cs="Arial"/>
          <w:b w:val="0"/>
          <w:bCs/>
          <w:i/>
          <w:color w:val="FF0000"/>
          <w:sz w:val="22"/>
          <w:szCs w:val="22"/>
        </w:rPr>
        <w:t>Adición</w:t>
      </w:r>
    </w:p>
    <w:bookmarkEnd w:id="1"/>
    <w:p w14:paraId="4CFC9912" w14:textId="77777777" w:rsidR="004E4CC7" w:rsidRPr="0003362F" w:rsidRDefault="004E4CC7" w:rsidP="00387312">
      <w:pPr>
        <w:pStyle w:val="Texto"/>
        <w:spacing w:after="0" w:line="276" w:lineRule="auto"/>
        <w:ind w:firstLine="0"/>
        <w:rPr>
          <w:b/>
          <w:sz w:val="22"/>
          <w:szCs w:val="22"/>
          <w:lang w:val="es-MX" w:eastAsia="es-MX"/>
        </w:rPr>
      </w:pPr>
    </w:p>
    <w:p w14:paraId="29751EA9" w14:textId="77777777" w:rsidR="005B4F86" w:rsidRPr="0003362F" w:rsidRDefault="005B4F86" w:rsidP="00E92C13">
      <w:pPr>
        <w:pStyle w:val="Texto"/>
        <w:spacing w:after="0" w:line="276" w:lineRule="auto"/>
        <w:ind w:firstLine="0"/>
        <w:rPr>
          <w:b/>
          <w:sz w:val="22"/>
          <w:szCs w:val="22"/>
          <w:lang w:eastAsia="es-MX"/>
        </w:rPr>
      </w:pPr>
      <w:r w:rsidRPr="0003362F">
        <w:rPr>
          <w:b/>
          <w:sz w:val="22"/>
          <w:szCs w:val="22"/>
          <w:lang w:eastAsia="es-MX"/>
        </w:rPr>
        <w:t>1.</w:t>
      </w:r>
      <w:r w:rsidRPr="0003362F">
        <w:rPr>
          <w:b/>
          <w:sz w:val="22"/>
          <w:szCs w:val="22"/>
          <w:lang w:eastAsia="es-MX"/>
        </w:rPr>
        <w:tab/>
        <w:t>DEFINICIONES</w:t>
      </w:r>
    </w:p>
    <w:p w14:paraId="5AAB4D06" w14:textId="77777777" w:rsidR="003650BB" w:rsidRPr="0003362F" w:rsidRDefault="003650BB" w:rsidP="00E92C13">
      <w:pPr>
        <w:pStyle w:val="Texto"/>
        <w:spacing w:after="0" w:line="276" w:lineRule="auto"/>
        <w:ind w:left="720" w:hanging="432"/>
        <w:rPr>
          <w:b/>
          <w:sz w:val="22"/>
          <w:szCs w:val="22"/>
          <w:lang w:val="es-MX" w:eastAsia="es-MX"/>
        </w:rPr>
      </w:pPr>
    </w:p>
    <w:p w14:paraId="0D25FC02" w14:textId="3BB64614" w:rsidR="005B4F86" w:rsidRPr="0003362F" w:rsidRDefault="005B4F86" w:rsidP="008A5FF9">
      <w:pPr>
        <w:pStyle w:val="Texto"/>
        <w:spacing w:after="0" w:line="276" w:lineRule="auto"/>
        <w:ind w:left="1134" w:hanging="850"/>
        <w:rPr>
          <w:b/>
          <w:sz w:val="22"/>
          <w:szCs w:val="22"/>
          <w:lang w:eastAsia="es-MX"/>
        </w:rPr>
      </w:pPr>
      <w:r w:rsidRPr="0003362F">
        <w:rPr>
          <w:b/>
          <w:sz w:val="22"/>
          <w:szCs w:val="22"/>
          <w:lang w:val="es-MX" w:eastAsia="es-MX"/>
        </w:rPr>
        <w:t>1.1</w:t>
      </w:r>
      <w:r w:rsidRPr="0003362F">
        <w:rPr>
          <w:b/>
          <w:sz w:val="22"/>
          <w:szCs w:val="22"/>
          <w:lang w:val="es-MX" w:eastAsia="es-MX"/>
        </w:rPr>
        <w:tab/>
      </w:r>
      <w:r w:rsidRPr="0003362F">
        <w:rPr>
          <w:sz w:val="22"/>
          <w:szCs w:val="22"/>
          <w:lang w:eastAsia="es-MX"/>
        </w:rPr>
        <w:t>Sin perjuicio de las definiciones previstas en el artículo 3 de la Ley Federal de Telecomunicaciones y Radiodifusión y en la normatividad aplicable en la materia, para los efectos de las presentes condiciones técnicas de operación, se entenderá por:</w:t>
      </w:r>
    </w:p>
    <w:p w14:paraId="6C188B0D" w14:textId="77777777" w:rsidR="003650BB" w:rsidRPr="0003362F" w:rsidRDefault="003650BB" w:rsidP="00E92C13">
      <w:pPr>
        <w:pStyle w:val="Texto"/>
        <w:spacing w:after="0" w:line="276" w:lineRule="auto"/>
        <w:ind w:left="1560" w:hanging="851"/>
        <w:rPr>
          <w:b/>
          <w:sz w:val="22"/>
          <w:szCs w:val="22"/>
          <w:lang w:val="es-MX" w:eastAsia="es-MX"/>
        </w:rPr>
      </w:pPr>
    </w:p>
    <w:p w14:paraId="05419E90" w14:textId="73ABA6F5" w:rsidR="005B4F86" w:rsidRPr="0003362F" w:rsidRDefault="004E4CC7" w:rsidP="008A5FF9">
      <w:pPr>
        <w:pStyle w:val="Texto"/>
        <w:spacing w:after="0" w:line="276" w:lineRule="auto"/>
        <w:ind w:left="1701" w:hanging="1134"/>
        <w:rPr>
          <w:sz w:val="22"/>
          <w:szCs w:val="22"/>
          <w:lang w:eastAsia="es-MX"/>
        </w:rPr>
      </w:pPr>
      <w:r w:rsidRPr="0003362F">
        <w:rPr>
          <w:b/>
          <w:sz w:val="22"/>
          <w:szCs w:val="22"/>
          <w:lang w:eastAsia="es-MX"/>
        </w:rPr>
        <w:t>1.1.1</w:t>
      </w:r>
      <w:r w:rsidRPr="0003362F">
        <w:rPr>
          <w:b/>
          <w:sz w:val="22"/>
          <w:szCs w:val="22"/>
          <w:lang w:eastAsia="es-MX"/>
        </w:rPr>
        <w:tab/>
      </w:r>
      <w:r w:rsidR="005B4F86" w:rsidRPr="0003362F">
        <w:rPr>
          <w:b/>
          <w:sz w:val="22"/>
          <w:szCs w:val="22"/>
          <w:lang w:eastAsia="es-MX"/>
        </w:rPr>
        <w:t>Ancho de banda de emisión</w:t>
      </w:r>
      <w:r w:rsidR="005B4F86" w:rsidRPr="0003362F">
        <w:rPr>
          <w:sz w:val="22"/>
          <w:szCs w:val="22"/>
          <w:lang w:eastAsia="es-MX"/>
        </w:rPr>
        <w:t>: rango de frecuencias instantáneo ocupado por una señal radiada estacionaria con modulación, fuera del cual la densidad espectral de potencia radiada nunca excede 6 dB por debajo de la densidad espectral de potencia máxima radiada en la banda, medida con un analizador de espectro con ancho de banda de resolución de 100 kHz. La frecuencia central debe ser estacionaria durante el intervalo de medición, aun cuando no sea estacionaria durante las operaciones normales.</w:t>
      </w:r>
    </w:p>
    <w:p w14:paraId="1C969B36" w14:textId="77777777" w:rsidR="004E4CC7" w:rsidRPr="0003362F" w:rsidRDefault="004E4CC7" w:rsidP="008A5FF9">
      <w:pPr>
        <w:pStyle w:val="Texto"/>
        <w:spacing w:after="0" w:line="276" w:lineRule="auto"/>
        <w:ind w:left="1701" w:hanging="1134"/>
        <w:rPr>
          <w:sz w:val="22"/>
          <w:szCs w:val="22"/>
          <w:lang w:eastAsia="es-MX"/>
        </w:rPr>
      </w:pPr>
    </w:p>
    <w:p w14:paraId="416CB8E1" w14:textId="318FF65F"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t>1.1.2</w:t>
      </w:r>
      <w:r w:rsidRPr="0003362F">
        <w:rPr>
          <w:b/>
          <w:sz w:val="22"/>
          <w:szCs w:val="22"/>
          <w:lang w:val="es-MX" w:eastAsia="es-MX"/>
        </w:rPr>
        <w:tab/>
      </w:r>
      <w:r w:rsidRPr="0003362F">
        <w:rPr>
          <w:b/>
          <w:sz w:val="22"/>
          <w:szCs w:val="22"/>
          <w:lang w:eastAsia="es-MX"/>
        </w:rPr>
        <w:t>Ancho de banda</w:t>
      </w:r>
      <w:r w:rsidRPr="0003362F">
        <w:rPr>
          <w:sz w:val="22"/>
          <w:szCs w:val="22"/>
          <w:lang w:eastAsia="es-MX"/>
        </w:rPr>
        <w:t>: valor de la diferencia entre dos frecuencias límite de una banda de frecuencias. La cual se determina por un solo valor y no depende de la posición de la banda en el espectro de frecuencias.</w:t>
      </w:r>
    </w:p>
    <w:p w14:paraId="7AEB6D14" w14:textId="77777777" w:rsidR="004E4CC7" w:rsidRPr="0003362F" w:rsidRDefault="004E4CC7" w:rsidP="008A5FF9">
      <w:pPr>
        <w:pStyle w:val="Texto"/>
        <w:spacing w:after="0" w:line="276" w:lineRule="auto"/>
        <w:ind w:left="1701" w:hanging="1134"/>
        <w:rPr>
          <w:sz w:val="22"/>
          <w:szCs w:val="22"/>
          <w:lang w:eastAsia="es-MX"/>
        </w:rPr>
      </w:pPr>
    </w:p>
    <w:p w14:paraId="1D8E8515" w14:textId="2EE15864" w:rsidR="004E4CC7" w:rsidRPr="0003362F" w:rsidRDefault="005B4F86" w:rsidP="008A5FF9">
      <w:pPr>
        <w:pStyle w:val="Texto"/>
        <w:spacing w:after="0" w:line="276" w:lineRule="auto"/>
        <w:ind w:left="1701" w:hanging="1134"/>
        <w:rPr>
          <w:rFonts w:eastAsiaTheme="minorHAnsi"/>
          <w:i/>
          <w:sz w:val="22"/>
          <w:szCs w:val="22"/>
        </w:rPr>
      </w:pPr>
      <w:r w:rsidRPr="0003362F">
        <w:rPr>
          <w:b/>
          <w:sz w:val="22"/>
          <w:szCs w:val="22"/>
          <w:lang w:val="es-MX" w:eastAsia="es-MX"/>
        </w:rPr>
        <w:t>1.1.3</w:t>
      </w:r>
      <w:r w:rsidRPr="0003362F">
        <w:rPr>
          <w:b/>
          <w:sz w:val="22"/>
          <w:szCs w:val="22"/>
          <w:lang w:val="es-MX" w:eastAsia="es-MX"/>
        </w:rPr>
        <w:tab/>
      </w:r>
      <w:r w:rsidRPr="0003362F">
        <w:rPr>
          <w:b/>
          <w:sz w:val="22"/>
          <w:szCs w:val="22"/>
          <w:lang w:eastAsia="es-MX"/>
        </w:rPr>
        <w:t>Banda de frecuencias</w:t>
      </w:r>
      <w:r w:rsidRPr="0003362F">
        <w:rPr>
          <w:sz w:val="22"/>
          <w:szCs w:val="22"/>
          <w:lang w:eastAsia="es-MX"/>
        </w:rPr>
        <w:t>: porción del espectro radioeléctrico comprendido entre dos frecuencias determinadas.</w:t>
      </w:r>
      <w:bookmarkStart w:id="2" w:name="_Hlk94105761"/>
    </w:p>
    <w:bookmarkEnd w:id="2"/>
    <w:p w14:paraId="65EDEB6E" w14:textId="77777777" w:rsidR="00DE685D" w:rsidRPr="0003362F" w:rsidRDefault="00DE685D" w:rsidP="008A5FF9">
      <w:pPr>
        <w:pStyle w:val="Texto"/>
        <w:spacing w:after="0" w:line="276" w:lineRule="auto"/>
        <w:ind w:left="1701" w:hanging="1134"/>
        <w:jc w:val="right"/>
        <w:rPr>
          <w:rFonts w:eastAsiaTheme="minorHAnsi"/>
          <w:sz w:val="22"/>
          <w:szCs w:val="22"/>
        </w:rPr>
      </w:pPr>
    </w:p>
    <w:p w14:paraId="604B78D4" w14:textId="52657F5F" w:rsidR="00C624B4" w:rsidRPr="0003362F" w:rsidRDefault="005B4F86" w:rsidP="008A5FF9">
      <w:pPr>
        <w:pStyle w:val="Texto"/>
        <w:tabs>
          <w:tab w:val="left" w:pos="1134"/>
        </w:tabs>
        <w:spacing w:after="0" w:line="276" w:lineRule="auto"/>
        <w:ind w:left="1701" w:hanging="1134"/>
        <w:rPr>
          <w:b/>
          <w:sz w:val="22"/>
          <w:szCs w:val="22"/>
        </w:rPr>
      </w:pPr>
      <w:r w:rsidRPr="0003362F">
        <w:rPr>
          <w:b/>
          <w:sz w:val="22"/>
          <w:szCs w:val="22"/>
        </w:rPr>
        <w:t>1.1.</w:t>
      </w:r>
      <w:r w:rsidR="00240043" w:rsidRPr="0003362F">
        <w:rPr>
          <w:b/>
          <w:sz w:val="22"/>
          <w:szCs w:val="22"/>
        </w:rPr>
        <w:t>3 bis</w:t>
      </w:r>
      <w:r w:rsidRPr="0003362F">
        <w:rPr>
          <w:b/>
          <w:sz w:val="22"/>
          <w:szCs w:val="22"/>
        </w:rPr>
        <w:tab/>
      </w:r>
      <w:r w:rsidR="00F43323" w:rsidRPr="0003362F">
        <w:rPr>
          <w:b/>
          <w:sz w:val="22"/>
          <w:szCs w:val="22"/>
        </w:rPr>
        <w:t>Densidad espectral de potencia: es la potencia media en el ancho de banda de referencia.</w:t>
      </w:r>
    </w:p>
    <w:p w14:paraId="597B520C" w14:textId="29B6AE5A" w:rsidR="004E4CC7" w:rsidRPr="0003362F" w:rsidRDefault="004E4CC7" w:rsidP="00E92C13">
      <w:pPr>
        <w:pStyle w:val="Texto"/>
        <w:spacing w:after="0" w:line="276" w:lineRule="auto"/>
        <w:ind w:left="1560" w:hanging="851"/>
        <w:jc w:val="right"/>
        <w:rPr>
          <w:color w:val="FF0000"/>
          <w:sz w:val="22"/>
          <w:szCs w:val="22"/>
        </w:rPr>
      </w:pPr>
      <w:r w:rsidRPr="0003362F">
        <w:rPr>
          <w:rFonts w:eastAsiaTheme="minorHAnsi"/>
          <w:i/>
          <w:color w:val="FF0000"/>
          <w:sz w:val="22"/>
          <w:szCs w:val="22"/>
        </w:rPr>
        <w:t>Adición</w:t>
      </w:r>
    </w:p>
    <w:p w14:paraId="231E7FD5" w14:textId="77777777" w:rsidR="004E4CC7" w:rsidRPr="0003362F" w:rsidRDefault="004E4CC7" w:rsidP="008A5FF9">
      <w:pPr>
        <w:pStyle w:val="Texto"/>
        <w:spacing w:after="0" w:line="276" w:lineRule="auto"/>
        <w:ind w:left="1701" w:hanging="1134"/>
        <w:rPr>
          <w:sz w:val="22"/>
          <w:szCs w:val="22"/>
          <w:lang w:eastAsia="es-MX"/>
        </w:rPr>
      </w:pPr>
    </w:p>
    <w:p w14:paraId="4CE25A4B" w14:textId="73E722FA" w:rsidR="005B4F86" w:rsidRPr="0003362F" w:rsidRDefault="00F43323" w:rsidP="008A5FF9">
      <w:pPr>
        <w:pStyle w:val="Texto"/>
        <w:spacing w:after="0" w:line="276" w:lineRule="auto"/>
        <w:ind w:left="1701" w:hanging="1134"/>
        <w:rPr>
          <w:sz w:val="22"/>
          <w:szCs w:val="22"/>
          <w:lang w:eastAsia="es-MX"/>
        </w:rPr>
      </w:pPr>
      <w:r w:rsidRPr="0003362F">
        <w:rPr>
          <w:b/>
          <w:sz w:val="22"/>
          <w:szCs w:val="22"/>
        </w:rPr>
        <w:t>1.1.</w:t>
      </w:r>
      <w:r w:rsidR="00240043" w:rsidRPr="0003362F">
        <w:rPr>
          <w:b/>
          <w:sz w:val="22"/>
          <w:szCs w:val="22"/>
        </w:rPr>
        <w:t>4</w:t>
      </w:r>
      <w:r w:rsidRPr="0003362F">
        <w:rPr>
          <w:b/>
          <w:sz w:val="22"/>
          <w:szCs w:val="22"/>
        </w:rPr>
        <w:tab/>
        <w:t xml:space="preserve">Dispositivos de radiocomunicaciones de corto alcance (DRCA): transmisores radioeléctricos que operan con baja potencia para proporcionar comunicaciones unidireccionales o bidireccionales y que </w:t>
      </w:r>
      <w:r w:rsidRPr="0003362F">
        <w:rPr>
          <w:b/>
          <w:sz w:val="22"/>
          <w:szCs w:val="22"/>
        </w:rPr>
        <w:lastRenderedPageBreak/>
        <w:t>tienen baja capacidad de producir interferencias a otros equipos radioeléctricos utilizando antenas integradas, específicas o externas.</w:t>
      </w:r>
    </w:p>
    <w:p w14:paraId="5E01867C" w14:textId="16CCE416" w:rsidR="004E4CC7" w:rsidRPr="0003362F" w:rsidRDefault="004E4CC7" w:rsidP="008A5FF9">
      <w:pPr>
        <w:pStyle w:val="Texto"/>
        <w:spacing w:after="0" w:line="276" w:lineRule="auto"/>
        <w:ind w:left="1701" w:hanging="1134"/>
        <w:jc w:val="right"/>
        <w:rPr>
          <w:color w:val="FF0000"/>
          <w:sz w:val="22"/>
          <w:szCs w:val="22"/>
          <w:lang w:eastAsia="es-MX"/>
        </w:rPr>
      </w:pPr>
      <w:bookmarkStart w:id="3" w:name="_Hlk94105798"/>
      <w:r w:rsidRPr="0003362F">
        <w:rPr>
          <w:rFonts w:eastAsiaTheme="minorHAnsi"/>
          <w:i/>
          <w:color w:val="FF0000"/>
          <w:sz w:val="22"/>
          <w:szCs w:val="22"/>
        </w:rPr>
        <w:t>Modificación</w:t>
      </w:r>
    </w:p>
    <w:bookmarkEnd w:id="3"/>
    <w:p w14:paraId="29D7C549" w14:textId="77777777" w:rsidR="004E4CC7" w:rsidRPr="0003362F" w:rsidRDefault="004E4CC7" w:rsidP="008A5FF9">
      <w:pPr>
        <w:pStyle w:val="Texto"/>
        <w:spacing w:after="0" w:line="276" w:lineRule="auto"/>
        <w:ind w:left="1701" w:hanging="1134"/>
        <w:rPr>
          <w:sz w:val="22"/>
          <w:szCs w:val="22"/>
          <w:lang w:eastAsia="es-MX"/>
        </w:rPr>
      </w:pPr>
    </w:p>
    <w:p w14:paraId="22AECE8F" w14:textId="0535BFB8"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t>1.1.</w:t>
      </w:r>
      <w:r w:rsidR="00240043" w:rsidRPr="0003362F">
        <w:rPr>
          <w:b/>
          <w:sz w:val="22"/>
          <w:szCs w:val="22"/>
          <w:lang w:val="es-MX" w:eastAsia="es-MX"/>
        </w:rPr>
        <w:t>5</w:t>
      </w:r>
      <w:r w:rsidRPr="0003362F">
        <w:rPr>
          <w:b/>
          <w:sz w:val="22"/>
          <w:szCs w:val="22"/>
          <w:lang w:val="es-MX" w:eastAsia="es-MX"/>
        </w:rPr>
        <w:tab/>
      </w:r>
      <w:r w:rsidRPr="0003362F">
        <w:rPr>
          <w:b/>
          <w:sz w:val="22"/>
          <w:szCs w:val="22"/>
          <w:lang w:eastAsia="es-MX"/>
        </w:rPr>
        <w:t>Emisión fuera de banda</w:t>
      </w:r>
      <w:r w:rsidRPr="0003362F">
        <w:rPr>
          <w:sz w:val="22"/>
          <w:szCs w:val="22"/>
          <w:lang w:eastAsia="es-MX"/>
        </w:rPr>
        <w:t>: emisión en una o varias frecuencias situadas inmediatamente fuera del ancho de banda necesario, resultante del proceso de modulación, excluyendo las emisiones no esenciales.</w:t>
      </w:r>
    </w:p>
    <w:p w14:paraId="76E4BCF8" w14:textId="77777777" w:rsidR="004E4CC7" w:rsidRPr="0003362F" w:rsidRDefault="004E4CC7" w:rsidP="008A5FF9">
      <w:pPr>
        <w:pStyle w:val="Texto"/>
        <w:spacing w:after="0" w:line="276" w:lineRule="auto"/>
        <w:ind w:left="1701" w:hanging="1134"/>
        <w:rPr>
          <w:sz w:val="22"/>
          <w:szCs w:val="22"/>
          <w:lang w:eastAsia="es-MX"/>
        </w:rPr>
      </w:pPr>
    </w:p>
    <w:p w14:paraId="2737103A" w14:textId="7A08A2B9" w:rsidR="005B4F86" w:rsidRPr="0003362F" w:rsidRDefault="005C78E2" w:rsidP="008A5FF9">
      <w:pPr>
        <w:pStyle w:val="Texto"/>
        <w:spacing w:after="0" w:line="276" w:lineRule="auto"/>
        <w:ind w:left="1701" w:hanging="1134"/>
        <w:rPr>
          <w:sz w:val="22"/>
          <w:szCs w:val="22"/>
          <w:lang w:eastAsia="es-MX"/>
        </w:rPr>
      </w:pPr>
      <w:r w:rsidRPr="0003362F">
        <w:rPr>
          <w:b/>
          <w:sz w:val="22"/>
          <w:szCs w:val="22"/>
          <w:lang w:val="es-MX" w:eastAsia="es-MX"/>
        </w:rPr>
        <w:t>1.1.</w:t>
      </w:r>
      <w:r w:rsidR="00240043" w:rsidRPr="0003362F">
        <w:rPr>
          <w:b/>
          <w:sz w:val="22"/>
          <w:szCs w:val="22"/>
          <w:lang w:val="es-MX" w:eastAsia="es-MX"/>
        </w:rPr>
        <w:t>6</w:t>
      </w:r>
      <w:r w:rsidR="005B4F86" w:rsidRPr="0003362F">
        <w:rPr>
          <w:b/>
          <w:sz w:val="22"/>
          <w:szCs w:val="22"/>
          <w:lang w:val="es-MX" w:eastAsia="es-MX"/>
        </w:rPr>
        <w:tab/>
      </w:r>
      <w:r w:rsidR="005B4F86" w:rsidRPr="0003362F">
        <w:rPr>
          <w:b/>
          <w:sz w:val="22"/>
          <w:szCs w:val="22"/>
          <w:lang w:eastAsia="es-MX"/>
        </w:rPr>
        <w:t>Emisión no esencial:</w:t>
      </w:r>
      <w:r w:rsidR="005B4F86" w:rsidRPr="0003362F">
        <w:rPr>
          <w:sz w:val="22"/>
          <w:szCs w:val="22"/>
          <w:lang w:eastAsia="es-MX"/>
        </w:rPr>
        <w:t xml:space="preserve"> emisión en una o varias frecuencias situadas fuera del ancho de banda necesario, cuyo nivel puede reducirse sin influir en la transmisión de la información correspondiente. Las emisiones armónicas, las emisiones parásitas, los productos de intermodulación y los productos de la conversión de frecuencia están comprendidos en las emisiones no esenciales, pero están excluidas las emisiones fuera de banda.</w:t>
      </w:r>
    </w:p>
    <w:p w14:paraId="4C3C8900" w14:textId="77777777" w:rsidR="004E4CC7" w:rsidRPr="0003362F" w:rsidRDefault="004E4CC7" w:rsidP="008A5FF9">
      <w:pPr>
        <w:pStyle w:val="Texto"/>
        <w:spacing w:after="0" w:line="276" w:lineRule="auto"/>
        <w:ind w:left="1701" w:hanging="1134"/>
        <w:rPr>
          <w:sz w:val="22"/>
          <w:szCs w:val="22"/>
          <w:lang w:eastAsia="es-MX"/>
        </w:rPr>
      </w:pPr>
    </w:p>
    <w:p w14:paraId="7DABCF51" w14:textId="38578BD8" w:rsidR="005C78E2" w:rsidRPr="0003362F" w:rsidRDefault="005C78E2" w:rsidP="008A5FF9">
      <w:pPr>
        <w:pStyle w:val="Texto"/>
        <w:tabs>
          <w:tab w:val="left" w:pos="993"/>
        </w:tabs>
        <w:spacing w:after="0" w:line="276" w:lineRule="auto"/>
        <w:ind w:left="1701" w:hanging="1134"/>
        <w:rPr>
          <w:b/>
          <w:sz w:val="22"/>
          <w:szCs w:val="22"/>
        </w:rPr>
      </w:pPr>
      <w:r w:rsidRPr="0003362F">
        <w:rPr>
          <w:b/>
          <w:sz w:val="22"/>
          <w:szCs w:val="22"/>
        </w:rPr>
        <w:t>1.1.</w:t>
      </w:r>
      <w:r w:rsidR="00240043" w:rsidRPr="0003362F">
        <w:rPr>
          <w:b/>
          <w:sz w:val="22"/>
          <w:szCs w:val="22"/>
        </w:rPr>
        <w:t>6 bis</w:t>
      </w:r>
      <w:r w:rsidRPr="0003362F">
        <w:rPr>
          <w:b/>
          <w:sz w:val="22"/>
          <w:szCs w:val="22"/>
        </w:rPr>
        <w:tab/>
        <w:t>Ganancia de la antena: relación generalmente expresada en dB, que debe existir entre la potencia necesaria a la entrada de una antena de referencia sin pérdidas y la potencia suministrada a la entrada de la antena en cuestión, para que ambas antenas produzcan, en una dirección dada, la misma intensidad de campo, o la misma densidad de flujo de potencia, a la misma distancia.</w:t>
      </w:r>
    </w:p>
    <w:p w14:paraId="3FE1933B" w14:textId="569BEA4C" w:rsidR="004E4CC7" w:rsidRPr="0003362F" w:rsidRDefault="004E4CC7" w:rsidP="00E92C13">
      <w:pPr>
        <w:pStyle w:val="Texto"/>
        <w:spacing w:after="0" w:line="276" w:lineRule="auto"/>
        <w:ind w:left="1560" w:hanging="851"/>
        <w:jc w:val="right"/>
        <w:rPr>
          <w:color w:val="FF0000"/>
          <w:sz w:val="22"/>
          <w:szCs w:val="22"/>
          <w:lang w:eastAsia="es-MX"/>
        </w:rPr>
      </w:pPr>
      <w:r w:rsidRPr="0003362F">
        <w:rPr>
          <w:rFonts w:eastAsiaTheme="minorHAnsi"/>
          <w:i/>
          <w:color w:val="FF0000"/>
          <w:sz w:val="22"/>
          <w:szCs w:val="22"/>
        </w:rPr>
        <w:t>Adición</w:t>
      </w:r>
    </w:p>
    <w:p w14:paraId="72331456" w14:textId="77777777" w:rsidR="004E4CC7" w:rsidRPr="0003362F" w:rsidRDefault="004E4CC7" w:rsidP="008A5FF9">
      <w:pPr>
        <w:pStyle w:val="Texto"/>
        <w:spacing w:after="0" w:line="276" w:lineRule="auto"/>
        <w:ind w:left="1701" w:hanging="1134"/>
        <w:rPr>
          <w:sz w:val="22"/>
          <w:szCs w:val="22"/>
          <w:lang w:eastAsia="es-MX"/>
        </w:rPr>
      </w:pPr>
    </w:p>
    <w:p w14:paraId="06765777" w14:textId="119CA208" w:rsidR="005B4F86" w:rsidRPr="0003362F" w:rsidRDefault="005C78E2" w:rsidP="008A5FF9">
      <w:pPr>
        <w:pStyle w:val="Texto"/>
        <w:spacing w:after="0" w:line="276" w:lineRule="auto"/>
        <w:ind w:left="1701" w:hanging="1134"/>
        <w:rPr>
          <w:sz w:val="22"/>
          <w:szCs w:val="22"/>
          <w:lang w:eastAsia="es-MX"/>
        </w:rPr>
      </w:pPr>
      <w:r w:rsidRPr="0003362F">
        <w:rPr>
          <w:b/>
          <w:sz w:val="22"/>
          <w:szCs w:val="22"/>
          <w:lang w:val="es-MX" w:eastAsia="es-MX"/>
        </w:rPr>
        <w:t>1.1.</w:t>
      </w:r>
      <w:r w:rsidR="00240043" w:rsidRPr="0003362F">
        <w:rPr>
          <w:b/>
          <w:sz w:val="22"/>
          <w:szCs w:val="22"/>
          <w:lang w:val="es-MX" w:eastAsia="es-MX"/>
        </w:rPr>
        <w:t>7</w:t>
      </w:r>
      <w:r w:rsidR="005B4F86" w:rsidRPr="0003362F">
        <w:rPr>
          <w:b/>
          <w:sz w:val="22"/>
          <w:szCs w:val="22"/>
          <w:lang w:val="es-MX" w:eastAsia="es-MX"/>
        </w:rPr>
        <w:tab/>
      </w:r>
      <w:r w:rsidR="005B4F86" w:rsidRPr="0003362F">
        <w:rPr>
          <w:b/>
          <w:sz w:val="22"/>
          <w:szCs w:val="22"/>
          <w:lang w:eastAsia="es-MX"/>
        </w:rPr>
        <w:t>Homologación</w:t>
      </w:r>
      <w:r w:rsidR="005B4F86" w:rsidRPr="0003362F">
        <w:rPr>
          <w:sz w:val="22"/>
          <w:szCs w:val="22"/>
          <w:lang w:eastAsia="es-MX"/>
        </w:rPr>
        <w:t>: acto por el cual el Instituto reconoce oficialmente que las especificaciones de un producto, equipo, dispositivo o aparato destinado a telecomunicaciones o radiodifusión, satisface las normas o disposiciones técnicas aplicables.</w:t>
      </w:r>
    </w:p>
    <w:p w14:paraId="7F15A1A2" w14:textId="77777777" w:rsidR="004E4CC7" w:rsidRPr="0003362F" w:rsidRDefault="004E4CC7" w:rsidP="008A5FF9">
      <w:pPr>
        <w:pStyle w:val="Texto"/>
        <w:spacing w:after="0" w:line="276" w:lineRule="auto"/>
        <w:ind w:left="1701" w:hanging="1134"/>
        <w:rPr>
          <w:sz w:val="22"/>
          <w:szCs w:val="22"/>
          <w:lang w:eastAsia="es-MX"/>
        </w:rPr>
      </w:pPr>
    </w:p>
    <w:p w14:paraId="05063445" w14:textId="4100C81A" w:rsidR="005B4F86" w:rsidRPr="0003362F" w:rsidRDefault="005C78E2" w:rsidP="008A5FF9">
      <w:pPr>
        <w:pStyle w:val="Texto"/>
        <w:spacing w:after="0" w:line="276" w:lineRule="auto"/>
        <w:ind w:left="1701" w:hanging="1134"/>
        <w:rPr>
          <w:sz w:val="22"/>
          <w:szCs w:val="22"/>
          <w:lang w:eastAsia="es-MX"/>
        </w:rPr>
      </w:pPr>
      <w:r w:rsidRPr="0003362F">
        <w:rPr>
          <w:b/>
          <w:sz w:val="22"/>
          <w:szCs w:val="22"/>
          <w:lang w:val="es-MX" w:eastAsia="es-MX"/>
        </w:rPr>
        <w:t>1.1.</w:t>
      </w:r>
      <w:r w:rsidR="00240043" w:rsidRPr="0003362F">
        <w:rPr>
          <w:b/>
          <w:sz w:val="22"/>
          <w:szCs w:val="22"/>
          <w:lang w:val="es-MX" w:eastAsia="es-MX"/>
        </w:rPr>
        <w:t>8</w:t>
      </w:r>
      <w:r w:rsidR="005B4F86" w:rsidRPr="0003362F">
        <w:rPr>
          <w:b/>
          <w:sz w:val="22"/>
          <w:szCs w:val="22"/>
          <w:lang w:val="es-MX" w:eastAsia="es-MX"/>
        </w:rPr>
        <w:tab/>
      </w:r>
      <w:r w:rsidR="005B4F86" w:rsidRPr="0003362F">
        <w:rPr>
          <w:b/>
          <w:sz w:val="22"/>
          <w:szCs w:val="22"/>
          <w:lang w:eastAsia="es-MX"/>
        </w:rPr>
        <w:t>Interferencia perjudicial</w:t>
      </w:r>
      <w:r w:rsidR="005B4F86" w:rsidRPr="0003362F">
        <w:rPr>
          <w:sz w:val="22"/>
          <w:szCs w:val="22"/>
          <w:lang w:eastAsia="es-MX"/>
        </w:rPr>
        <w:t>: efecto de una energía no deseada debida a una o varias emisiones, radiaciones, inducciones o sus combinaciones sobre la recepción en un sistema de telecomunicaciones o radiodifusión, que puede manifestarse como degradación de la calidad, falseamiento o pérdida de información, que compromete, interrumpe repetidamente o impide el funcionamiento de cualquier servicio de radiocomunicación.</w:t>
      </w:r>
    </w:p>
    <w:p w14:paraId="4F82B13A" w14:textId="77777777" w:rsidR="004E4CC7" w:rsidRPr="0003362F" w:rsidRDefault="004E4CC7" w:rsidP="008A5FF9">
      <w:pPr>
        <w:pStyle w:val="Texto"/>
        <w:spacing w:after="0" w:line="276" w:lineRule="auto"/>
        <w:ind w:left="1701" w:hanging="1134"/>
        <w:rPr>
          <w:sz w:val="22"/>
          <w:szCs w:val="22"/>
          <w:lang w:eastAsia="es-MX"/>
        </w:rPr>
      </w:pPr>
    </w:p>
    <w:p w14:paraId="5A0FEBD8" w14:textId="560953F4" w:rsidR="005B4F86" w:rsidRPr="0003362F" w:rsidRDefault="003650BB" w:rsidP="008A5FF9">
      <w:pPr>
        <w:pStyle w:val="Texto"/>
        <w:spacing w:after="0" w:line="276" w:lineRule="auto"/>
        <w:ind w:left="1701" w:hanging="1134"/>
        <w:rPr>
          <w:sz w:val="22"/>
          <w:szCs w:val="22"/>
          <w:lang w:eastAsia="es-MX"/>
        </w:rPr>
      </w:pPr>
      <w:r w:rsidRPr="0003362F">
        <w:rPr>
          <w:b/>
          <w:sz w:val="22"/>
          <w:szCs w:val="22"/>
          <w:lang w:val="es-MX" w:eastAsia="es-MX"/>
        </w:rPr>
        <w:t>1.1.</w:t>
      </w:r>
      <w:r w:rsidR="00240043" w:rsidRPr="0003362F">
        <w:rPr>
          <w:b/>
          <w:sz w:val="22"/>
          <w:szCs w:val="22"/>
          <w:lang w:val="es-MX" w:eastAsia="es-MX"/>
        </w:rPr>
        <w:t>9</w:t>
      </w:r>
      <w:r w:rsidR="005B4F86" w:rsidRPr="0003362F">
        <w:rPr>
          <w:b/>
          <w:sz w:val="22"/>
          <w:szCs w:val="22"/>
          <w:lang w:val="es-MX" w:eastAsia="es-MX"/>
        </w:rPr>
        <w:tab/>
      </w:r>
      <w:r w:rsidR="005B4F86" w:rsidRPr="0003362F">
        <w:rPr>
          <w:b/>
          <w:sz w:val="22"/>
          <w:szCs w:val="22"/>
          <w:lang w:eastAsia="es-MX"/>
        </w:rPr>
        <w:t>Potencia Isótropa Radiada Equivalente (PIRE)</w:t>
      </w:r>
      <w:r w:rsidR="005B4F86" w:rsidRPr="0003362F">
        <w:rPr>
          <w:sz w:val="22"/>
          <w:szCs w:val="22"/>
          <w:lang w:eastAsia="es-MX"/>
        </w:rPr>
        <w:t>: producto de la potencia suministrada a la antena por su ganancia con relación a una antena isótropa en una dirección dada (ganancia isótropa absoluta).</w:t>
      </w:r>
    </w:p>
    <w:p w14:paraId="43BB48D2" w14:textId="77777777" w:rsidR="004E4CC7" w:rsidRPr="0003362F" w:rsidRDefault="004E4CC7" w:rsidP="008A5FF9">
      <w:pPr>
        <w:pStyle w:val="Texto"/>
        <w:spacing w:after="0" w:line="276" w:lineRule="auto"/>
        <w:ind w:left="1701" w:hanging="1134"/>
        <w:rPr>
          <w:sz w:val="22"/>
          <w:szCs w:val="22"/>
          <w:lang w:eastAsia="es-MX"/>
        </w:rPr>
      </w:pPr>
    </w:p>
    <w:p w14:paraId="2FD7A0D3" w14:textId="3EE68E8F" w:rsidR="005B4F86" w:rsidRPr="0003362F" w:rsidRDefault="005B4F86" w:rsidP="008A5FF9">
      <w:pPr>
        <w:pStyle w:val="Texto"/>
        <w:spacing w:after="0" w:line="276" w:lineRule="auto"/>
        <w:ind w:left="1701" w:hanging="1134"/>
        <w:rPr>
          <w:b/>
          <w:sz w:val="22"/>
          <w:szCs w:val="22"/>
          <w:lang w:eastAsia="es-MX"/>
        </w:rPr>
      </w:pPr>
      <w:r w:rsidRPr="0003362F">
        <w:rPr>
          <w:b/>
          <w:sz w:val="22"/>
          <w:szCs w:val="22"/>
          <w:lang w:val="es-MX" w:eastAsia="es-MX"/>
        </w:rPr>
        <w:t>1.1.1</w:t>
      </w:r>
      <w:r w:rsidR="00240043" w:rsidRPr="0003362F">
        <w:rPr>
          <w:b/>
          <w:sz w:val="22"/>
          <w:szCs w:val="22"/>
          <w:lang w:val="es-MX" w:eastAsia="es-MX"/>
        </w:rPr>
        <w:t>0</w:t>
      </w:r>
      <w:r w:rsidRPr="0003362F">
        <w:rPr>
          <w:b/>
          <w:sz w:val="22"/>
          <w:szCs w:val="22"/>
          <w:lang w:val="es-MX" w:eastAsia="es-MX"/>
        </w:rPr>
        <w:tab/>
      </w:r>
      <w:r w:rsidRPr="0003362F">
        <w:rPr>
          <w:b/>
          <w:sz w:val="22"/>
          <w:szCs w:val="22"/>
          <w:lang w:eastAsia="es-MX"/>
        </w:rPr>
        <w:t>Potencia pico de salida</w:t>
      </w:r>
      <w:r w:rsidRPr="0003362F">
        <w:rPr>
          <w:sz w:val="22"/>
          <w:szCs w:val="22"/>
          <w:lang w:eastAsia="es-MX"/>
        </w:rPr>
        <w:t>: cantidad de energía máxima a la salida del transmisor</w:t>
      </w:r>
      <w:r w:rsidR="003650BB" w:rsidRPr="0003362F">
        <w:rPr>
          <w:sz w:val="22"/>
          <w:szCs w:val="22"/>
        </w:rPr>
        <w:t xml:space="preserve"> </w:t>
      </w:r>
      <w:r w:rsidR="003650BB" w:rsidRPr="0003362F">
        <w:rPr>
          <w:b/>
          <w:sz w:val="22"/>
          <w:szCs w:val="22"/>
        </w:rPr>
        <w:t>en un instante de tiempo</w:t>
      </w:r>
      <w:r w:rsidRPr="0003362F">
        <w:rPr>
          <w:sz w:val="22"/>
          <w:szCs w:val="22"/>
          <w:lang w:eastAsia="es-MX"/>
        </w:rPr>
        <w:t>.</w:t>
      </w:r>
    </w:p>
    <w:p w14:paraId="49D96C9A" w14:textId="4397F264" w:rsidR="004E4CC7" w:rsidRPr="0003362F" w:rsidRDefault="004E4CC7" w:rsidP="00E92C13">
      <w:pPr>
        <w:pStyle w:val="Texto"/>
        <w:spacing w:after="0" w:line="276" w:lineRule="auto"/>
        <w:ind w:left="1560" w:hanging="851"/>
        <w:jc w:val="right"/>
        <w:rPr>
          <w:color w:val="FF0000"/>
          <w:sz w:val="22"/>
          <w:szCs w:val="22"/>
          <w:lang w:eastAsia="es-MX"/>
        </w:rPr>
      </w:pPr>
      <w:r w:rsidRPr="0003362F">
        <w:rPr>
          <w:rFonts w:eastAsiaTheme="minorHAnsi"/>
          <w:i/>
          <w:color w:val="FF0000"/>
          <w:sz w:val="22"/>
          <w:szCs w:val="22"/>
        </w:rPr>
        <w:t>Modificación</w:t>
      </w:r>
    </w:p>
    <w:p w14:paraId="435C08E4" w14:textId="77777777" w:rsidR="006442BB" w:rsidRPr="0003362F" w:rsidRDefault="006442BB" w:rsidP="008A5FF9">
      <w:pPr>
        <w:pStyle w:val="Texto"/>
        <w:spacing w:after="0" w:line="276" w:lineRule="auto"/>
        <w:ind w:left="1701" w:hanging="1134"/>
        <w:rPr>
          <w:sz w:val="22"/>
          <w:szCs w:val="22"/>
          <w:lang w:eastAsia="es-MX"/>
        </w:rPr>
      </w:pPr>
    </w:p>
    <w:p w14:paraId="7E4192F1" w14:textId="2DF7D267" w:rsidR="005B4F86" w:rsidRPr="0003362F" w:rsidRDefault="003650BB" w:rsidP="008A5FF9">
      <w:pPr>
        <w:pStyle w:val="Texto"/>
        <w:spacing w:after="0" w:line="276" w:lineRule="auto"/>
        <w:ind w:left="1701" w:hanging="1134"/>
        <w:rPr>
          <w:sz w:val="22"/>
          <w:szCs w:val="22"/>
          <w:lang w:eastAsia="es-MX"/>
        </w:rPr>
      </w:pPr>
      <w:r w:rsidRPr="0003362F">
        <w:rPr>
          <w:b/>
          <w:sz w:val="22"/>
          <w:szCs w:val="22"/>
          <w:lang w:val="es-MX" w:eastAsia="es-MX"/>
        </w:rPr>
        <w:t>1.1.1</w:t>
      </w:r>
      <w:r w:rsidR="00240043" w:rsidRPr="0003362F">
        <w:rPr>
          <w:b/>
          <w:sz w:val="22"/>
          <w:szCs w:val="22"/>
          <w:lang w:val="es-MX" w:eastAsia="es-MX"/>
        </w:rPr>
        <w:t>1</w:t>
      </w:r>
      <w:r w:rsidR="005B4F86" w:rsidRPr="0003362F">
        <w:rPr>
          <w:b/>
          <w:sz w:val="22"/>
          <w:szCs w:val="22"/>
          <w:lang w:val="es-MX" w:eastAsia="es-MX"/>
        </w:rPr>
        <w:tab/>
      </w:r>
      <w:r w:rsidR="005B4F86" w:rsidRPr="0003362F">
        <w:rPr>
          <w:b/>
          <w:sz w:val="22"/>
          <w:szCs w:val="22"/>
          <w:lang w:eastAsia="es-MX"/>
        </w:rPr>
        <w:t>Radioenlace fijo punto a punto</w:t>
      </w:r>
      <w:r w:rsidR="005B4F86" w:rsidRPr="0003362F">
        <w:rPr>
          <w:sz w:val="22"/>
          <w:szCs w:val="22"/>
          <w:lang w:eastAsia="es-MX"/>
        </w:rPr>
        <w:t>: sistema de radiocomunicación de una o dos vías del servicio fijo entre dos puntos geográficos determinados, mediante el que se transmite y recibe información de cualquier naturaleza.</w:t>
      </w:r>
    </w:p>
    <w:p w14:paraId="4C00D452" w14:textId="77777777" w:rsidR="004E4CC7" w:rsidRPr="0003362F" w:rsidRDefault="004E4CC7" w:rsidP="008A5FF9">
      <w:pPr>
        <w:pStyle w:val="Texto"/>
        <w:spacing w:after="0" w:line="276" w:lineRule="auto"/>
        <w:ind w:left="1701" w:hanging="1134"/>
        <w:rPr>
          <w:sz w:val="22"/>
          <w:szCs w:val="22"/>
          <w:lang w:eastAsia="es-MX"/>
        </w:rPr>
      </w:pPr>
    </w:p>
    <w:p w14:paraId="4BD96842" w14:textId="6E44B548" w:rsidR="003650BB" w:rsidRPr="0003362F" w:rsidRDefault="003650BB" w:rsidP="008A5FF9">
      <w:pPr>
        <w:pStyle w:val="Prrafodelista"/>
        <w:spacing w:line="276" w:lineRule="auto"/>
        <w:ind w:left="1701" w:hanging="1134"/>
        <w:jc w:val="both"/>
        <w:rPr>
          <w:rFonts w:cs="Arial"/>
          <w:b/>
          <w:sz w:val="22"/>
          <w:szCs w:val="22"/>
        </w:rPr>
      </w:pPr>
      <w:r w:rsidRPr="0003362F">
        <w:rPr>
          <w:rFonts w:cs="Arial"/>
          <w:b/>
          <w:sz w:val="22"/>
          <w:szCs w:val="22"/>
        </w:rPr>
        <w:t>1.1.1</w:t>
      </w:r>
      <w:r w:rsidR="00240043" w:rsidRPr="0003362F">
        <w:rPr>
          <w:rFonts w:cs="Arial"/>
          <w:b/>
          <w:sz w:val="22"/>
          <w:szCs w:val="22"/>
        </w:rPr>
        <w:t>1 bis</w:t>
      </w:r>
      <w:r w:rsidRPr="0003362F">
        <w:rPr>
          <w:rFonts w:cs="Arial"/>
          <w:b/>
          <w:sz w:val="22"/>
          <w:szCs w:val="22"/>
        </w:rPr>
        <w:tab/>
        <w:t>Sensor de movimiento: sensor de perturbación de campo utilizado como dispositivo de radiocomunicación de corto alcance para detección de movimiento.</w:t>
      </w:r>
    </w:p>
    <w:p w14:paraId="439A6E8A" w14:textId="01E3BD0D" w:rsidR="004E4CC7" w:rsidRPr="0003362F" w:rsidRDefault="004E4CC7" w:rsidP="00E92C13">
      <w:pPr>
        <w:pStyle w:val="Prrafodelista"/>
        <w:spacing w:line="276" w:lineRule="auto"/>
        <w:ind w:left="1560" w:hanging="851"/>
        <w:jc w:val="right"/>
        <w:rPr>
          <w:rFonts w:cs="Arial"/>
          <w:color w:val="FF0000"/>
          <w:sz w:val="22"/>
          <w:szCs w:val="22"/>
        </w:rPr>
      </w:pPr>
      <w:r w:rsidRPr="0003362F">
        <w:rPr>
          <w:rFonts w:eastAsiaTheme="minorHAnsi" w:cs="Arial"/>
          <w:i/>
          <w:color w:val="FF0000"/>
          <w:sz w:val="22"/>
          <w:szCs w:val="22"/>
        </w:rPr>
        <w:t>Adición</w:t>
      </w:r>
    </w:p>
    <w:p w14:paraId="7BB97B2D" w14:textId="77777777" w:rsidR="00DE685D" w:rsidRPr="0003362F" w:rsidRDefault="00DE685D" w:rsidP="008A5FF9">
      <w:pPr>
        <w:pStyle w:val="Prrafodelista"/>
        <w:spacing w:line="276" w:lineRule="auto"/>
        <w:ind w:left="1701" w:hanging="1134"/>
        <w:jc w:val="both"/>
        <w:rPr>
          <w:rFonts w:cs="Arial"/>
          <w:sz w:val="22"/>
          <w:szCs w:val="22"/>
        </w:rPr>
      </w:pPr>
    </w:p>
    <w:p w14:paraId="34AF3504" w14:textId="516D34BF" w:rsidR="005B4F86" w:rsidRPr="0003362F" w:rsidRDefault="003650BB" w:rsidP="008A5FF9">
      <w:pPr>
        <w:pStyle w:val="Texto"/>
        <w:spacing w:after="0" w:line="276" w:lineRule="auto"/>
        <w:ind w:left="1701" w:hanging="1134"/>
        <w:rPr>
          <w:sz w:val="22"/>
          <w:szCs w:val="22"/>
          <w:lang w:eastAsia="es-MX"/>
        </w:rPr>
      </w:pPr>
      <w:r w:rsidRPr="0003362F">
        <w:rPr>
          <w:b/>
          <w:sz w:val="22"/>
          <w:szCs w:val="22"/>
          <w:lang w:val="es-MX" w:eastAsia="es-MX"/>
        </w:rPr>
        <w:t>1.1.1</w:t>
      </w:r>
      <w:r w:rsidR="00864E11" w:rsidRPr="0003362F">
        <w:rPr>
          <w:b/>
          <w:sz w:val="22"/>
          <w:szCs w:val="22"/>
          <w:lang w:val="es-MX" w:eastAsia="es-MX"/>
        </w:rPr>
        <w:t>2</w:t>
      </w:r>
      <w:r w:rsidR="005B4F86" w:rsidRPr="0003362F">
        <w:rPr>
          <w:b/>
          <w:sz w:val="22"/>
          <w:szCs w:val="22"/>
          <w:lang w:val="es-MX" w:eastAsia="es-MX"/>
        </w:rPr>
        <w:tab/>
      </w:r>
      <w:r w:rsidR="005B4F86" w:rsidRPr="0003362F">
        <w:rPr>
          <w:b/>
          <w:sz w:val="22"/>
          <w:szCs w:val="22"/>
          <w:lang w:eastAsia="es-MX"/>
        </w:rPr>
        <w:t>Sensor de perturbación de campo</w:t>
      </w:r>
      <w:r w:rsidR="005B4F86" w:rsidRPr="0003362F">
        <w:rPr>
          <w:sz w:val="22"/>
          <w:szCs w:val="22"/>
          <w:lang w:eastAsia="es-MX"/>
        </w:rPr>
        <w:t>: dispositivo que establece un campo de radiofrecuencia a su alrededor y detecta los cambios provenientes del movimiento, ya sea de personas o de objetos.</w:t>
      </w:r>
    </w:p>
    <w:p w14:paraId="6E2B96B9" w14:textId="661A9AAF" w:rsidR="004E4CC7" w:rsidRPr="0003362F" w:rsidRDefault="004E4CC7" w:rsidP="008A5FF9">
      <w:pPr>
        <w:pStyle w:val="Texto"/>
        <w:spacing w:after="0" w:line="276" w:lineRule="auto"/>
        <w:ind w:left="1701" w:hanging="1134"/>
        <w:rPr>
          <w:sz w:val="22"/>
          <w:szCs w:val="22"/>
          <w:lang w:eastAsia="es-MX"/>
        </w:rPr>
      </w:pPr>
    </w:p>
    <w:p w14:paraId="4091B1E5" w14:textId="7C6C1E29" w:rsidR="005B4F86" w:rsidRPr="0003362F" w:rsidRDefault="003650BB" w:rsidP="008A5FF9">
      <w:pPr>
        <w:pStyle w:val="Texto"/>
        <w:spacing w:after="0" w:line="276" w:lineRule="auto"/>
        <w:ind w:left="1701" w:hanging="1134"/>
        <w:rPr>
          <w:sz w:val="22"/>
          <w:szCs w:val="22"/>
          <w:lang w:eastAsia="es-MX"/>
        </w:rPr>
      </w:pPr>
      <w:r w:rsidRPr="0003362F">
        <w:rPr>
          <w:b/>
          <w:sz w:val="22"/>
          <w:szCs w:val="22"/>
          <w:lang w:val="es-MX" w:eastAsia="es-MX"/>
        </w:rPr>
        <w:t>1.1.1</w:t>
      </w:r>
      <w:r w:rsidR="00864E11" w:rsidRPr="0003362F">
        <w:rPr>
          <w:b/>
          <w:sz w:val="22"/>
          <w:szCs w:val="22"/>
          <w:lang w:val="es-MX" w:eastAsia="es-MX"/>
        </w:rPr>
        <w:t>3</w:t>
      </w:r>
      <w:r w:rsidR="005B4F86" w:rsidRPr="0003362F">
        <w:rPr>
          <w:b/>
          <w:sz w:val="22"/>
          <w:szCs w:val="22"/>
          <w:lang w:val="es-MX" w:eastAsia="es-MX"/>
        </w:rPr>
        <w:tab/>
      </w:r>
      <w:r w:rsidR="005B4F86" w:rsidRPr="0003362F">
        <w:rPr>
          <w:b/>
          <w:sz w:val="22"/>
          <w:szCs w:val="22"/>
          <w:lang w:eastAsia="es-MX"/>
        </w:rPr>
        <w:t>Sistemas de transporte inteligente</w:t>
      </w:r>
      <w:r w:rsidR="005B4F86" w:rsidRPr="0003362F">
        <w:rPr>
          <w:sz w:val="22"/>
          <w:szCs w:val="22"/>
          <w:lang w:eastAsia="es-MX"/>
        </w:rPr>
        <w:t>: sistemas que utilizan una combinación de tecnologías de comunicaciones, posicionamiento y automatización, para mejorar la seguridad, la gestión y la eficacia del transporte terrenal.</w:t>
      </w:r>
    </w:p>
    <w:p w14:paraId="21A9EB1F" w14:textId="77777777" w:rsidR="004E4CC7" w:rsidRPr="0003362F" w:rsidRDefault="004E4CC7" w:rsidP="008A5FF9">
      <w:pPr>
        <w:pStyle w:val="Texto"/>
        <w:spacing w:after="0" w:line="276" w:lineRule="auto"/>
        <w:ind w:left="1701" w:hanging="1134"/>
        <w:rPr>
          <w:sz w:val="22"/>
          <w:szCs w:val="22"/>
          <w:lang w:eastAsia="es-MX"/>
        </w:rPr>
      </w:pPr>
    </w:p>
    <w:p w14:paraId="3062770F" w14:textId="2BE0432D" w:rsidR="005B4F86" w:rsidRPr="0003362F" w:rsidRDefault="003650BB" w:rsidP="008A5FF9">
      <w:pPr>
        <w:pStyle w:val="Texto"/>
        <w:spacing w:after="0" w:line="276" w:lineRule="auto"/>
        <w:ind w:left="1701" w:hanging="1134"/>
        <w:rPr>
          <w:sz w:val="22"/>
          <w:szCs w:val="22"/>
          <w:lang w:eastAsia="es-MX"/>
        </w:rPr>
      </w:pPr>
      <w:r w:rsidRPr="0003362F">
        <w:rPr>
          <w:b/>
          <w:sz w:val="22"/>
          <w:szCs w:val="22"/>
          <w:lang w:val="es-MX" w:eastAsia="es-MX"/>
        </w:rPr>
        <w:t>1.1.1</w:t>
      </w:r>
      <w:r w:rsidR="00864E11" w:rsidRPr="0003362F">
        <w:rPr>
          <w:b/>
          <w:sz w:val="22"/>
          <w:szCs w:val="22"/>
          <w:lang w:val="es-MX" w:eastAsia="es-MX"/>
        </w:rPr>
        <w:t>4</w:t>
      </w:r>
      <w:r w:rsidR="005B4F86" w:rsidRPr="0003362F">
        <w:rPr>
          <w:b/>
          <w:sz w:val="22"/>
          <w:szCs w:val="22"/>
          <w:lang w:val="es-MX" w:eastAsia="es-MX"/>
        </w:rPr>
        <w:tab/>
      </w:r>
      <w:r w:rsidR="005B4F86" w:rsidRPr="0003362F">
        <w:rPr>
          <w:b/>
          <w:sz w:val="22"/>
          <w:szCs w:val="22"/>
          <w:lang w:eastAsia="es-MX"/>
        </w:rPr>
        <w:t>Título habilitante:</w:t>
      </w:r>
      <w:r w:rsidR="005B4F86" w:rsidRPr="0003362F">
        <w:rPr>
          <w:sz w:val="22"/>
          <w:szCs w:val="22"/>
          <w:lang w:eastAsia="es-MX"/>
        </w:rPr>
        <w:t xml:space="preserve"> concesión, permiso, asignación, autorización o cualquier otro instrumento, que otorgue el derecho al uso, aprovechamiento y/o explotación de bandas de frecuencias del espectro radioeléctrico.</w:t>
      </w:r>
    </w:p>
    <w:p w14:paraId="00E78E61" w14:textId="77777777" w:rsidR="003650BB" w:rsidRPr="0003362F" w:rsidRDefault="003650BB" w:rsidP="00E92C13">
      <w:pPr>
        <w:pStyle w:val="Texto"/>
        <w:spacing w:after="0" w:line="276" w:lineRule="auto"/>
        <w:ind w:left="720" w:hanging="432"/>
        <w:rPr>
          <w:b/>
          <w:sz w:val="22"/>
          <w:szCs w:val="22"/>
          <w:lang w:val="es-MX" w:eastAsia="es-MX"/>
        </w:rPr>
      </w:pPr>
    </w:p>
    <w:p w14:paraId="4C7E3E42" w14:textId="165974EE" w:rsidR="005B4F86" w:rsidRPr="0003362F" w:rsidRDefault="005B4F86" w:rsidP="008A5FF9">
      <w:pPr>
        <w:pStyle w:val="Texto"/>
        <w:spacing w:after="0" w:line="276" w:lineRule="auto"/>
        <w:ind w:left="1134" w:hanging="850"/>
        <w:rPr>
          <w:sz w:val="22"/>
          <w:szCs w:val="22"/>
          <w:lang w:eastAsia="es-MX"/>
        </w:rPr>
      </w:pPr>
      <w:r w:rsidRPr="0003362F">
        <w:rPr>
          <w:b/>
          <w:sz w:val="22"/>
          <w:szCs w:val="22"/>
          <w:lang w:val="es-MX" w:eastAsia="es-MX"/>
        </w:rPr>
        <w:t>1.2</w:t>
      </w:r>
      <w:r w:rsidRPr="0003362F">
        <w:rPr>
          <w:b/>
          <w:sz w:val="22"/>
          <w:szCs w:val="22"/>
          <w:lang w:val="es-MX" w:eastAsia="es-MX"/>
        </w:rPr>
        <w:tab/>
      </w:r>
      <w:r w:rsidRPr="0003362F">
        <w:rPr>
          <w:sz w:val="22"/>
          <w:szCs w:val="22"/>
          <w:lang w:eastAsia="es-MX"/>
        </w:rPr>
        <w:t>Los términos antes señalados pueden ser utilizados indistintamente en singular o plural.</w:t>
      </w:r>
    </w:p>
    <w:p w14:paraId="15504DA8" w14:textId="77777777" w:rsidR="003650BB" w:rsidRPr="0003362F" w:rsidRDefault="003650BB" w:rsidP="00E92C13">
      <w:pPr>
        <w:pStyle w:val="Texto"/>
        <w:spacing w:after="0" w:line="276" w:lineRule="auto"/>
        <w:rPr>
          <w:b/>
          <w:sz w:val="22"/>
          <w:szCs w:val="22"/>
          <w:lang w:eastAsia="es-MX"/>
        </w:rPr>
      </w:pPr>
    </w:p>
    <w:p w14:paraId="22275294" w14:textId="0EBDED95" w:rsidR="005B4F86" w:rsidRPr="0003362F" w:rsidRDefault="003650BB" w:rsidP="00E92C13">
      <w:pPr>
        <w:pStyle w:val="Texto"/>
        <w:spacing w:after="0" w:line="276" w:lineRule="auto"/>
        <w:ind w:firstLine="0"/>
        <w:rPr>
          <w:b/>
          <w:sz w:val="22"/>
          <w:szCs w:val="22"/>
          <w:lang w:eastAsia="es-MX"/>
        </w:rPr>
      </w:pPr>
      <w:r w:rsidRPr="0003362F">
        <w:rPr>
          <w:b/>
          <w:sz w:val="22"/>
          <w:szCs w:val="22"/>
          <w:lang w:eastAsia="es-MX"/>
        </w:rPr>
        <w:t>2.</w:t>
      </w:r>
      <w:r w:rsidRPr="0003362F">
        <w:rPr>
          <w:b/>
          <w:sz w:val="22"/>
          <w:szCs w:val="22"/>
          <w:lang w:eastAsia="es-MX"/>
        </w:rPr>
        <w:tab/>
        <w:t>CONDICIONES TÉCNICAS</w:t>
      </w:r>
    </w:p>
    <w:p w14:paraId="62B52BAC" w14:textId="172AED9F" w:rsidR="003650BB" w:rsidRPr="0003362F" w:rsidRDefault="00FC26D4" w:rsidP="00E92C13">
      <w:pPr>
        <w:pStyle w:val="Texto"/>
        <w:spacing w:after="0" w:line="276" w:lineRule="auto"/>
        <w:ind w:left="709" w:hanging="425"/>
        <w:jc w:val="right"/>
        <w:rPr>
          <w:b/>
          <w:color w:val="FF0000"/>
          <w:sz w:val="22"/>
          <w:szCs w:val="22"/>
          <w:lang w:val="es-MX" w:eastAsia="es-MX"/>
        </w:rPr>
      </w:pPr>
      <w:r w:rsidRPr="0003362F">
        <w:rPr>
          <w:rFonts w:eastAsiaTheme="minorHAnsi"/>
          <w:i/>
          <w:color w:val="FF0000"/>
          <w:sz w:val="22"/>
          <w:szCs w:val="22"/>
        </w:rPr>
        <w:t>Modifica</w:t>
      </w:r>
      <w:r w:rsidR="004E4CC7" w:rsidRPr="0003362F">
        <w:rPr>
          <w:rFonts w:eastAsiaTheme="minorHAnsi"/>
          <w:i/>
          <w:color w:val="FF0000"/>
          <w:sz w:val="22"/>
          <w:szCs w:val="22"/>
        </w:rPr>
        <w:t>ción</w:t>
      </w:r>
    </w:p>
    <w:p w14:paraId="25359EDB" w14:textId="77777777" w:rsidR="004E4CC7" w:rsidRPr="0003362F" w:rsidRDefault="004E4CC7" w:rsidP="00E92C13">
      <w:pPr>
        <w:pStyle w:val="Texto"/>
        <w:spacing w:after="0" w:line="276" w:lineRule="auto"/>
        <w:ind w:left="709" w:hanging="425"/>
        <w:jc w:val="right"/>
        <w:rPr>
          <w:b/>
          <w:sz w:val="22"/>
          <w:szCs w:val="22"/>
          <w:lang w:val="es-MX" w:eastAsia="es-MX"/>
        </w:rPr>
      </w:pPr>
    </w:p>
    <w:p w14:paraId="5997C11F" w14:textId="1B4FE29C" w:rsidR="005B4F86" w:rsidRPr="0003362F" w:rsidRDefault="005B4F86" w:rsidP="008A5FF9">
      <w:pPr>
        <w:pStyle w:val="Texto"/>
        <w:spacing w:after="0" w:line="276" w:lineRule="auto"/>
        <w:ind w:left="1134" w:hanging="850"/>
        <w:rPr>
          <w:b/>
          <w:sz w:val="22"/>
          <w:szCs w:val="22"/>
          <w:lang w:eastAsia="es-MX"/>
        </w:rPr>
      </w:pPr>
      <w:r w:rsidRPr="0003362F">
        <w:rPr>
          <w:b/>
          <w:sz w:val="22"/>
          <w:szCs w:val="22"/>
          <w:lang w:val="es-MX" w:eastAsia="es-MX"/>
        </w:rPr>
        <w:t>2.1</w:t>
      </w:r>
      <w:r w:rsidRPr="0003362F">
        <w:rPr>
          <w:b/>
          <w:sz w:val="22"/>
          <w:szCs w:val="22"/>
          <w:lang w:val="es-MX" w:eastAsia="es-MX"/>
        </w:rPr>
        <w:tab/>
      </w:r>
      <w:r w:rsidRPr="0003362F">
        <w:rPr>
          <w:b/>
          <w:sz w:val="22"/>
          <w:szCs w:val="22"/>
          <w:lang w:eastAsia="es-MX"/>
        </w:rPr>
        <w:t>Condiciones técnicas de operación permitidas en la banda de frecuencias de 57-64 GHz</w:t>
      </w:r>
    </w:p>
    <w:p w14:paraId="359E113F" w14:textId="77777777" w:rsidR="003650BB" w:rsidRPr="0003362F" w:rsidRDefault="003650BB" w:rsidP="00E92C13">
      <w:pPr>
        <w:pStyle w:val="Texto"/>
        <w:spacing w:after="0" w:line="276" w:lineRule="auto"/>
        <w:ind w:left="1560" w:hanging="840"/>
        <w:rPr>
          <w:b/>
          <w:sz w:val="22"/>
          <w:szCs w:val="22"/>
          <w:lang w:val="es-MX" w:eastAsia="es-MX"/>
        </w:rPr>
      </w:pPr>
    </w:p>
    <w:p w14:paraId="2DD8956F" w14:textId="0CB59790"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t>2.1.1</w:t>
      </w:r>
      <w:r w:rsidRPr="0003362F">
        <w:rPr>
          <w:b/>
          <w:sz w:val="22"/>
          <w:szCs w:val="22"/>
          <w:lang w:val="es-MX" w:eastAsia="es-MX"/>
        </w:rPr>
        <w:tab/>
      </w:r>
      <w:r w:rsidRPr="0003362F">
        <w:rPr>
          <w:sz w:val="22"/>
          <w:szCs w:val="22"/>
          <w:lang w:eastAsia="es-MX"/>
        </w:rPr>
        <w:t>Los dispositivos, equipos o productos que operen en esta banda de frecuencias deberán ser homologados de conformidad con los artículos establecidos en el Título Décimo Tercero de la Ley Federal de Telecomunicaciones y Radiodifusión, así como con las demás disposiciones reglamentarias y administrativas aplicables.</w:t>
      </w:r>
    </w:p>
    <w:p w14:paraId="2D843838" w14:textId="77777777" w:rsidR="004E4CC7" w:rsidRPr="0003362F" w:rsidRDefault="004E4CC7" w:rsidP="008A5FF9">
      <w:pPr>
        <w:pStyle w:val="Texto"/>
        <w:spacing w:after="0" w:line="276" w:lineRule="auto"/>
        <w:ind w:left="1701" w:hanging="1134"/>
        <w:rPr>
          <w:sz w:val="22"/>
          <w:szCs w:val="22"/>
          <w:lang w:eastAsia="es-MX"/>
        </w:rPr>
      </w:pPr>
    </w:p>
    <w:p w14:paraId="68E98EA0" w14:textId="51BD8F54"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t>2.1.2</w:t>
      </w:r>
      <w:r w:rsidRPr="0003362F">
        <w:rPr>
          <w:b/>
          <w:sz w:val="22"/>
          <w:szCs w:val="22"/>
          <w:lang w:val="es-MX" w:eastAsia="es-MX"/>
        </w:rPr>
        <w:tab/>
      </w:r>
      <w:r w:rsidRPr="0003362F">
        <w:rPr>
          <w:sz w:val="22"/>
          <w:szCs w:val="22"/>
          <w:lang w:eastAsia="es-MX"/>
        </w:rPr>
        <w:t>Los niveles de emisión de Potencia Isótropa Radiada Equivalente (PIRE), medidos durante el intervalo de la transmisión, no deberán exceder los valores descritos en el presente documento.</w:t>
      </w:r>
    </w:p>
    <w:p w14:paraId="7030580A" w14:textId="77777777" w:rsidR="004E4CC7" w:rsidRPr="0003362F" w:rsidRDefault="004E4CC7" w:rsidP="008A5FF9">
      <w:pPr>
        <w:pStyle w:val="Texto"/>
        <w:spacing w:after="0" w:line="276" w:lineRule="auto"/>
        <w:ind w:left="1701" w:hanging="1134"/>
        <w:rPr>
          <w:sz w:val="22"/>
          <w:szCs w:val="22"/>
          <w:lang w:eastAsia="es-MX"/>
        </w:rPr>
      </w:pPr>
    </w:p>
    <w:p w14:paraId="63117F04" w14:textId="14C8E52A"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lastRenderedPageBreak/>
        <w:t>2.1.3</w:t>
      </w:r>
      <w:r w:rsidRPr="0003362F">
        <w:rPr>
          <w:b/>
          <w:sz w:val="22"/>
          <w:szCs w:val="22"/>
          <w:lang w:val="es-MX" w:eastAsia="es-MX"/>
        </w:rPr>
        <w:tab/>
      </w:r>
      <w:r w:rsidRPr="0003362F">
        <w:rPr>
          <w:sz w:val="22"/>
          <w:szCs w:val="22"/>
          <w:lang w:eastAsia="es-MX"/>
        </w:rPr>
        <w:t>Los transmisores de radioenlaces fijos punto a punto localizados en exteriores, deberán operar con una PIRE promedio que no exceda 82 dBm y una PIRE máxima que no exceda de 85 dBm. En los casos que la ganancia de la antena sea menor a 51 dBi, se deberán restar 2 dB a la PIRE promedio y a la PIRE máxima, por cada dB que la ganancia sea menor a 51 dBi.</w:t>
      </w:r>
    </w:p>
    <w:p w14:paraId="7A0C3AE5" w14:textId="77777777" w:rsidR="004E4CC7" w:rsidRPr="0003362F" w:rsidRDefault="004E4CC7" w:rsidP="008A5FF9">
      <w:pPr>
        <w:pStyle w:val="Texto"/>
        <w:spacing w:after="0" w:line="276" w:lineRule="auto"/>
        <w:ind w:left="1701" w:hanging="1134"/>
        <w:rPr>
          <w:sz w:val="22"/>
          <w:szCs w:val="22"/>
          <w:lang w:eastAsia="es-MX"/>
        </w:rPr>
      </w:pPr>
    </w:p>
    <w:p w14:paraId="3142B610" w14:textId="7B99DE9B"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t>2.1.4</w:t>
      </w:r>
      <w:r w:rsidRPr="0003362F">
        <w:rPr>
          <w:b/>
          <w:sz w:val="22"/>
          <w:szCs w:val="22"/>
          <w:lang w:val="es-MX" w:eastAsia="es-MX"/>
        </w:rPr>
        <w:tab/>
      </w:r>
      <w:r w:rsidRPr="0003362F">
        <w:rPr>
          <w:sz w:val="22"/>
          <w:szCs w:val="22"/>
          <w:lang w:eastAsia="es-MX"/>
        </w:rPr>
        <w:t>Los sensores de perturbación de campo fijo con ancho de banda igual o menor a 500 MHz que operen dentro del segmento 61-61.5 GHz, deberán operar con una PIRE promedio que no exceda 40 dBm y una PIRE máxima que no exceda 43 dBm.</w:t>
      </w:r>
    </w:p>
    <w:p w14:paraId="58FDDF76" w14:textId="77777777" w:rsidR="004E4CC7" w:rsidRPr="0003362F" w:rsidRDefault="004E4CC7" w:rsidP="008A5FF9">
      <w:pPr>
        <w:pStyle w:val="Texto"/>
        <w:spacing w:after="0" w:line="276" w:lineRule="auto"/>
        <w:ind w:left="1701" w:hanging="1134"/>
        <w:rPr>
          <w:sz w:val="22"/>
          <w:szCs w:val="22"/>
          <w:lang w:eastAsia="es-MX"/>
        </w:rPr>
      </w:pPr>
    </w:p>
    <w:p w14:paraId="674F5615" w14:textId="084CE4BE"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t>2.1.5</w:t>
      </w:r>
      <w:r w:rsidRPr="0003362F">
        <w:rPr>
          <w:b/>
          <w:sz w:val="22"/>
          <w:szCs w:val="22"/>
          <w:lang w:val="es-MX" w:eastAsia="es-MX"/>
        </w:rPr>
        <w:tab/>
      </w:r>
      <w:r w:rsidRPr="0003362F">
        <w:rPr>
          <w:sz w:val="22"/>
          <w:szCs w:val="22"/>
          <w:lang w:eastAsia="es-MX"/>
        </w:rPr>
        <w:t>Los sensores de perturbación de campo fijo con ancho de banda igual o menor a 500 MHz que operen dentro de la banda 57-64 GHz, con excepción del segmento 61-61.5 GHz, deberán operar con una PIRE promedio que no exceda 10 dBm y una PIRE máxima que no exceda 13 dBm.</w:t>
      </w:r>
    </w:p>
    <w:p w14:paraId="08F003A6" w14:textId="77777777" w:rsidR="004E4CC7" w:rsidRPr="0003362F" w:rsidRDefault="004E4CC7" w:rsidP="008A5FF9">
      <w:pPr>
        <w:pStyle w:val="Texto"/>
        <w:spacing w:after="0" w:line="276" w:lineRule="auto"/>
        <w:ind w:left="1701" w:hanging="1134"/>
        <w:rPr>
          <w:sz w:val="22"/>
          <w:szCs w:val="22"/>
          <w:lang w:eastAsia="es-MX"/>
        </w:rPr>
      </w:pPr>
    </w:p>
    <w:p w14:paraId="79CB2688" w14:textId="177013E0" w:rsidR="003650BB" w:rsidRPr="0003362F" w:rsidRDefault="003650BB" w:rsidP="008A5FF9">
      <w:pPr>
        <w:pStyle w:val="Prrafodelista"/>
        <w:spacing w:line="276" w:lineRule="auto"/>
        <w:ind w:left="1701" w:hanging="1134"/>
        <w:jc w:val="both"/>
        <w:rPr>
          <w:rFonts w:cs="Arial"/>
          <w:b/>
          <w:sz w:val="22"/>
          <w:szCs w:val="22"/>
        </w:rPr>
      </w:pPr>
      <w:r w:rsidRPr="0003362F">
        <w:rPr>
          <w:rFonts w:cs="Arial"/>
          <w:b/>
          <w:sz w:val="22"/>
          <w:szCs w:val="22"/>
        </w:rPr>
        <w:t>2.1.</w:t>
      </w:r>
      <w:r w:rsidR="001E672A" w:rsidRPr="0003362F">
        <w:rPr>
          <w:rFonts w:cs="Arial"/>
          <w:b/>
          <w:sz w:val="22"/>
          <w:szCs w:val="22"/>
        </w:rPr>
        <w:t>5 bis</w:t>
      </w:r>
      <w:r w:rsidR="008A5FF9" w:rsidRPr="0003362F">
        <w:rPr>
          <w:rFonts w:cs="Arial"/>
          <w:b/>
          <w:sz w:val="22"/>
          <w:szCs w:val="22"/>
        </w:rPr>
        <w:tab/>
      </w:r>
      <w:r w:rsidR="00BB1F98" w:rsidRPr="0003362F">
        <w:rPr>
          <w:rFonts w:cs="Arial"/>
          <w:b/>
          <w:sz w:val="22"/>
          <w:szCs w:val="22"/>
        </w:rPr>
        <w:t>Los sensores de movimiento que operen con un ciclo de trabajo máximo del 10% en cualquier intervalo de 33 milisegundos (transmisión máxima de 3.3 milisegundos en cualquier periodo de 33 milisegundos), no deberán exceder una potencia pico de salida del transmisor de 10 dBm, una PIRE máxima de 13 dBm y una densidad espectral de potencia de 13 dBm/MHz. Este tipo de sensores deberán dejar de transmitir un tiempo continuo de al menos 26.4 milisegundos en cualquier intervalo de 33 milisegundos, o en su caso, deberán dejar de transmitir un tiempo continuo de al menos 2 milisegundos entre dos pulsos de transmisión sucesivos.</w:t>
      </w:r>
    </w:p>
    <w:p w14:paraId="41CF4EA0" w14:textId="7078B915" w:rsidR="004E4CC7" w:rsidRPr="0003362F" w:rsidRDefault="004E4CC7" w:rsidP="00E92C13">
      <w:pPr>
        <w:pStyle w:val="Prrafodelista"/>
        <w:spacing w:line="276" w:lineRule="auto"/>
        <w:ind w:left="1560" w:hanging="851"/>
        <w:jc w:val="right"/>
        <w:rPr>
          <w:rFonts w:cs="Arial"/>
          <w:b/>
          <w:color w:val="FF0000"/>
          <w:sz w:val="22"/>
          <w:szCs w:val="22"/>
        </w:rPr>
      </w:pPr>
      <w:r w:rsidRPr="0003362F">
        <w:rPr>
          <w:rFonts w:eastAsiaTheme="minorHAnsi" w:cs="Arial"/>
          <w:i/>
          <w:color w:val="FF0000"/>
          <w:sz w:val="22"/>
          <w:szCs w:val="22"/>
        </w:rPr>
        <w:t>Adición</w:t>
      </w:r>
    </w:p>
    <w:p w14:paraId="07445E96" w14:textId="77777777" w:rsidR="004E4CC7" w:rsidRPr="0003362F" w:rsidRDefault="004E4CC7" w:rsidP="008A5FF9">
      <w:pPr>
        <w:pStyle w:val="Prrafodelista"/>
        <w:spacing w:line="276" w:lineRule="auto"/>
        <w:ind w:left="1701" w:hanging="1134"/>
        <w:jc w:val="both"/>
        <w:rPr>
          <w:rFonts w:cs="Arial"/>
          <w:b/>
          <w:sz w:val="22"/>
          <w:szCs w:val="22"/>
        </w:rPr>
      </w:pPr>
    </w:p>
    <w:p w14:paraId="647BB6E0" w14:textId="5FD5706F" w:rsidR="00773300" w:rsidRPr="0003362F" w:rsidRDefault="003650BB" w:rsidP="008A5FF9">
      <w:pPr>
        <w:pStyle w:val="Prrafodelista"/>
        <w:spacing w:line="276" w:lineRule="auto"/>
        <w:ind w:left="1701" w:hanging="1134"/>
        <w:jc w:val="both"/>
        <w:rPr>
          <w:rFonts w:cs="Arial"/>
          <w:b/>
          <w:sz w:val="22"/>
          <w:szCs w:val="22"/>
        </w:rPr>
      </w:pPr>
      <w:r w:rsidRPr="0003362F">
        <w:rPr>
          <w:b/>
          <w:sz w:val="22"/>
          <w:szCs w:val="22"/>
          <w:lang w:val="es-MX" w:eastAsia="es-MX"/>
        </w:rPr>
        <w:t>2.1.</w:t>
      </w:r>
      <w:r w:rsidR="001E672A" w:rsidRPr="0003362F">
        <w:rPr>
          <w:b/>
          <w:sz w:val="22"/>
          <w:szCs w:val="22"/>
          <w:lang w:val="es-MX" w:eastAsia="es-MX"/>
        </w:rPr>
        <w:t>6</w:t>
      </w:r>
      <w:r w:rsidR="005B4F86" w:rsidRPr="0003362F">
        <w:rPr>
          <w:b/>
          <w:sz w:val="22"/>
          <w:szCs w:val="22"/>
          <w:lang w:val="es-MX" w:eastAsia="es-MX"/>
        </w:rPr>
        <w:tab/>
      </w:r>
      <w:r w:rsidR="00773300" w:rsidRPr="0003362F">
        <w:rPr>
          <w:rFonts w:cs="Arial"/>
          <w:sz w:val="22"/>
          <w:szCs w:val="22"/>
        </w:rPr>
        <w:t>Los sensores de perturbación de campo fijo diferentes a los mencionados en los incisos 2.1.4 y 2.1.5, así como los sensores de movimiento</w:t>
      </w:r>
      <w:r w:rsidR="00773300" w:rsidRPr="0003362F">
        <w:rPr>
          <w:rFonts w:cs="Arial"/>
          <w:b/>
          <w:sz w:val="22"/>
          <w:szCs w:val="22"/>
        </w:rPr>
        <w:t xml:space="preserve"> diferentes a los indicados en el inciso 2.1.</w:t>
      </w:r>
      <w:r w:rsidR="008A5FF9" w:rsidRPr="0003362F">
        <w:rPr>
          <w:rFonts w:cs="Arial"/>
          <w:b/>
          <w:sz w:val="22"/>
          <w:szCs w:val="22"/>
        </w:rPr>
        <w:t xml:space="preserve">5 </w:t>
      </w:r>
      <w:r w:rsidR="00821BDC" w:rsidRPr="0003362F">
        <w:rPr>
          <w:rFonts w:cs="Arial"/>
          <w:b/>
          <w:sz w:val="22"/>
          <w:szCs w:val="22"/>
        </w:rPr>
        <w:t>bis</w:t>
      </w:r>
      <w:r w:rsidR="003C1BF1" w:rsidRPr="0003362F">
        <w:rPr>
          <w:rFonts w:cs="Arial"/>
          <w:b/>
          <w:sz w:val="22"/>
          <w:szCs w:val="22"/>
        </w:rPr>
        <w:t xml:space="preserve"> </w:t>
      </w:r>
      <w:bookmarkStart w:id="4" w:name="_Hlk94105564"/>
      <w:r w:rsidR="003C1BF1" w:rsidRPr="0003362F">
        <w:rPr>
          <w:rFonts w:cs="Arial"/>
          <w:b/>
          <w:sz w:val="22"/>
          <w:szCs w:val="22"/>
        </w:rPr>
        <w:t>(</w:t>
      </w:r>
      <w:r w:rsidR="00421BF1" w:rsidRPr="0003362F">
        <w:rPr>
          <w:rFonts w:cs="Arial"/>
          <w:b/>
          <w:sz w:val="22"/>
          <w:szCs w:val="22"/>
        </w:rPr>
        <w:t xml:space="preserve">incluyendo aquellos </w:t>
      </w:r>
      <w:r w:rsidR="003C1BF1" w:rsidRPr="0003362F">
        <w:rPr>
          <w:rFonts w:cs="Arial"/>
          <w:b/>
          <w:sz w:val="22"/>
          <w:szCs w:val="22"/>
        </w:rPr>
        <w:t>sin limitación en el ciclo de trabajo)</w:t>
      </w:r>
      <w:r w:rsidR="00773300" w:rsidRPr="0003362F">
        <w:rPr>
          <w:rFonts w:cs="Arial"/>
          <w:sz w:val="22"/>
          <w:szCs w:val="22"/>
        </w:rPr>
        <w:t>,</w:t>
      </w:r>
      <w:bookmarkEnd w:id="4"/>
      <w:r w:rsidR="00773300" w:rsidRPr="0003362F">
        <w:rPr>
          <w:rFonts w:cs="Arial"/>
          <w:sz w:val="22"/>
          <w:szCs w:val="22"/>
        </w:rPr>
        <w:t xml:space="preserve"> no deberán exceder una potencia pico de salida del transmisor de -10 dBm y una PIRE máxima de 10 dBm</w:t>
      </w:r>
      <w:r w:rsidR="00773300" w:rsidRPr="0003362F">
        <w:rPr>
          <w:rFonts w:cs="Arial"/>
          <w:b/>
          <w:sz w:val="22"/>
          <w:szCs w:val="22"/>
        </w:rPr>
        <w:t>.</w:t>
      </w:r>
    </w:p>
    <w:p w14:paraId="1069C66F" w14:textId="122ECE43" w:rsidR="004E4CC7" w:rsidRPr="0003362F" w:rsidRDefault="004E4CC7" w:rsidP="00E92C13">
      <w:pPr>
        <w:pStyle w:val="Texto"/>
        <w:spacing w:after="0" w:line="276" w:lineRule="auto"/>
        <w:ind w:left="1560" w:hanging="840"/>
        <w:jc w:val="right"/>
        <w:rPr>
          <w:color w:val="FF0000"/>
          <w:sz w:val="22"/>
          <w:szCs w:val="22"/>
          <w:lang w:eastAsia="es-MX"/>
        </w:rPr>
      </w:pPr>
      <w:r w:rsidRPr="0003362F">
        <w:rPr>
          <w:rFonts w:eastAsiaTheme="minorHAnsi"/>
          <w:i/>
          <w:color w:val="FF0000"/>
          <w:sz w:val="22"/>
          <w:szCs w:val="22"/>
        </w:rPr>
        <w:t>Modificación</w:t>
      </w:r>
    </w:p>
    <w:p w14:paraId="224902B5" w14:textId="77777777" w:rsidR="004E4CC7" w:rsidRPr="0003362F" w:rsidRDefault="004E4CC7" w:rsidP="008A5FF9">
      <w:pPr>
        <w:pStyle w:val="Texto"/>
        <w:spacing w:after="0" w:line="276" w:lineRule="auto"/>
        <w:ind w:left="1701" w:hanging="1134"/>
        <w:rPr>
          <w:sz w:val="22"/>
          <w:szCs w:val="22"/>
          <w:lang w:eastAsia="es-MX"/>
        </w:rPr>
      </w:pPr>
    </w:p>
    <w:p w14:paraId="2C1A990A" w14:textId="1F24451A" w:rsidR="005B4F86" w:rsidRPr="0003362F" w:rsidRDefault="003650BB" w:rsidP="008A5FF9">
      <w:pPr>
        <w:pStyle w:val="Texto"/>
        <w:spacing w:after="0" w:line="276" w:lineRule="auto"/>
        <w:ind w:left="1701" w:hanging="1134"/>
        <w:rPr>
          <w:sz w:val="22"/>
          <w:szCs w:val="22"/>
          <w:lang w:eastAsia="es-MX"/>
        </w:rPr>
      </w:pPr>
      <w:r w:rsidRPr="0003362F">
        <w:rPr>
          <w:b/>
          <w:sz w:val="22"/>
          <w:szCs w:val="22"/>
          <w:lang w:val="es-MX" w:eastAsia="es-MX"/>
        </w:rPr>
        <w:t>2.1.</w:t>
      </w:r>
      <w:r w:rsidR="001E672A" w:rsidRPr="0003362F">
        <w:rPr>
          <w:b/>
          <w:sz w:val="22"/>
          <w:szCs w:val="22"/>
          <w:lang w:val="es-MX" w:eastAsia="es-MX"/>
        </w:rPr>
        <w:t>7</w:t>
      </w:r>
      <w:r w:rsidR="005B4F86" w:rsidRPr="0003362F">
        <w:rPr>
          <w:b/>
          <w:sz w:val="22"/>
          <w:szCs w:val="22"/>
          <w:lang w:val="es-MX" w:eastAsia="es-MX"/>
        </w:rPr>
        <w:tab/>
      </w:r>
      <w:r w:rsidR="005B4F86" w:rsidRPr="0003362F">
        <w:rPr>
          <w:sz w:val="22"/>
          <w:szCs w:val="22"/>
          <w:lang w:eastAsia="es-MX"/>
        </w:rPr>
        <w:t>Los sistemas de transporte inteligente que operen dentro del segmento 63-64 GHz, deberán operar con una PIRE máxima de 40 dBm y ganancia de antena menor o igual a 23 dBi.</w:t>
      </w:r>
    </w:p>
    <w:p w14:paraId="15FC0A02" w14:textId="77777777" w:rsidR="004E4CC7" w:rsidRPr="0003362F" w:rsidRDefault="004E4CC7" w:rsidP="008A5FF9">
      <w:pPr>
        <w:pStyle w:val="Texto"/>
        <w:spacing w:after="0" w:line="276" w:lineRule="auto"/>
        <w:ind w:left="1701" w:hanging="1134"/>
        <w:rPr>
          <w:sz w:val="22"/>
          <w:szCs w:val="22"/>
          <w:lang w:eastAsia="es-MX"/>
        </w:rPr>
      </w:pPr>
    </w:p>
    <w:p w14:paraId="136DE363" w14:textId="4D7BB72F" w:rsidR="005B4F86" w:rsidRPr="0003362F" w:rsidRDefault="003650BB" w:rsidP="008A5FF9">
      <w:pPr>
        <w:pStyle w:val="Texto"/>
        <w:spacing w:after="0" w:line="276" w:lineRule="auto"/>
        <w:ind w:left="1701" w:hanging="1134"/>
        <w:rPr>
          <w:sz w:val="22"/>
          <w:szCs w:val="22"/>
          <w:lang w:eastAsia="es-MX"/>
        </w:rPr>
      </w:pPr>
      <w:r w:rsidRPr="0003362F">
        <w:rPr>
          <w:b/>
          <w:sz w:val="22"/>
          <w:szCs w:val="22"/>
          <w:lang w:val="es-MX" w:eastAsia="es-MX"/>
        </w:rPr>
        <w:t>2.1.</w:t>
      </w:r>
      <w:r w:rsidR="001E672A" w:rsidRPr="0003362F">
        <w:rPr>
          <w:b/>
          <w:sz w:val="22"/>
          <w:szCs w:val="22"/>
          <w:lang w:val="es-MX" w:eastAsia="es-MX"/>
        </w:rPr>
        <w:t>8</w:t>
      </w:r>
      <w:r w:rsidR="005B4F86" w:rsidRPr="0003362F">
        <w:rPr>
          <w:b/>
          <w:sz w:val="22"/>
          <w:szCs w:val="22"/>
          <w:lang w:val="es-MX" w:eastAsia="es-MX"/>
        </w:rPr>
        <w:tab/>
      </w:r>
      <w:r w:rsidR="005B4F86" w:rsidRPr="0003362F">
        <w:rPr>
          <w:sz w:val="22"/>
          <w:szCs w:val="22"/>
          <w:lang w:eastAsia="es-MX"/>
        </w:rPr>
        <w:t>Cualquier otro sistema, dispositivo, equipo o estación no considerado en los incisos 2.1.3, 2.1.4, 2.1.5, 2.1.6 y 2.1.7, deberá operar con una PIRE promedio que no exceda 40 dBm y una PIRE máxima que no exceda 43 dBm.</w:t>
      </w:r>
    </w:p>
    <w:p w14:paraId="6CF39143" w14:textId="77777777" w:rsidR="004E4CC7" w:rsidRPr="0003362F" w:rsidRDefault="004E4CC7" w:rsidP="008A5FF9">
      <w:pPr>
        <w:pStyle w:val="Texto"/>
        <w:spacing w:after="0" w:line="276" w:lineRule="auto"/>
        <w:ind w:left="1701" w:hanging="1134"/>
        <w:rPr>
          <w:sz w:val="22"/>
          <w:szCs w:val="22"/>
          <w:lang w:eastAsia="es-MX"/>
        </w:rPr>
      </w:pPr>
    </w:p>
    <w:p w14:paraId="79B8FCC4" w14:textId="1E2F5D85" w:rsidR="005B4F86" w:rsidRPr="0003362F" w:rsidRDefault="003650BB" w:rsidP="008A5FF9">
      <w:pPr>
        <w:pStyle w:val="Texto"/>
        <w:spacing w:after="0" w:line="276" w:lineRule="auto"/>
        <w:ind w:left="1701" w:hanging="1134"/>
        <w:rPr>
          <w:sz w:val="22"/>
          <w:szCs w:val="22"/>
          <w:lang w:eastAsia="es-MX"/>
        </w:rPr>
      </w:pPr>
      <w:r w:rsidRPr="0003362F">
        <w:rPr>
          <w:b/>
          <w:sz w:val="22"/>
          <w:szCs w:val="22"/>
          <w:lang w:val="es-MX" w:eastAsia="es-MX"/>
        </w:rPr>
        <w:lastRenderedPageBreak/>
        <w:t>2.1.</w:t>
      </w:r>
      <w:r w:rsidR="001E672A" w:rsidRPr="0003362F">
        <w:rPr>
          <w:b/>
          <w:sz w:val="22"/>
          <w:szCs w:val="22"/>
          <w:lang w:val="es-MX" w:eastAsia="es-MX"/>
        </w:rPr>
        <w:t>9</w:t>
      </w:r>
      <w:r w:rsidR="005B4F86" w:rsidRPr="0003362F">
        <w:rPr>
          <w:b/>
          <w:sz w:val="22"/>
          <w:szCs w:val="22"/>
          <w:lang w:val="es-MX" w:eastAsia="es-MX"/>
        </w:rPr>
        <w:tab/>
      </w:r>
      <w:r w:rsidR="005B4F86" w:rsidRPr="0003362F">
        <w:rPr>
          <w:sz w:val="22"/>
          <w:szCs w:val="22"/>
          <w:lang w:eastAsia="es-MX"/>
        </w:rPr>
        <w:t>Potencia pico de salida del transmisor:</w:t>
      </w:r>
    </w:p>
    <w:p w14:paraId="4800CB7E" w14:textId="77777777" w:rsidR="004E4CC7" w:rsidRPr="0003362F" w:rsidRDefault="004E4CC7" w:rsidP="008A5FF9">
      <w:pPr>
        <w:pStyle w:val="Texto"/>
        <w:spacing w:after="0" w:line="276" w:lineRule="auto"/>
        <w:ind w:left="1701" w:hanging="1134"/>
        <w:rPr>
          <w:sz w:val="22"/>
          <w:szCs w:val="22"/>
          <w:lang w:eastAsia="es-MX"/>
        </w:rPr>
      </w:pPr>
    </w:p>
    <w:p w14:paraId="6CC13EBA" w14:textId="77777777" w:rsidR="008A5FF9" w:rsidRPr="0003362F" w:rsidRDefault="005B4F86" w:rsidP="008A5FF9">
      <w:pPr>
        <w:pStyle w:val="Texto"/>
        <w:numPr>
          <w:ilvl w:val="0"/>
          <w:numId w:val="11"/>
        </w:numPr>
        <w:spacing w:after="0" w:line="276" w:lineRule="auto"/>
        <w:ind w:left="2268" w:hanging="567"/>
        <w:rPr>
          <w:sz w:val="22"/>
          <w:szCs w:val="22"/>
          <w:lang w:eastAsia="es-MX"/>
        </w:rPr>
      </w:pPr>
      <w:r w:rsidRPr="0003362F">
        <w:rPr>
          <w:sz w:val="22"/>
          <w:szCs w:val="22"/>
          <w:lang w:eastAsia="es-MX"/>
        </w:rPr>
        <w:t xml:space="preserve">Los dispositivos que utilicen un ancho de banda de emisión mayor a 100 MHz, no deberán exceder 500 </w:t>
      </w:r>
      <w:proofErr w:type="spellStart"/>
      <w:r w:rsidRPr="0003362F">
        <w:rPr>
          <w:sz w:val="22"/>
          <w:szCs w:val="22"/>
          <w:lang w:eastAsia="es-MX"/>
        </w:rPr>
        <w:t>mW</w:t>
      </w:r>
      <w:proofErr w:type="spellEnd"/>
      <w:r w:rsidRPr="0003362F">
        <w:rPr>
          <w:sz w:val="22"/>
          <w:szCs w:val="22"/>
          <w:lang w:eastAsia="es-MX"/>
        </w:rPr>
        <w:t>. Dependiendo de la ganancia de la antena, puede ser necesario disminuir la potencia pico de salida del transmisor con el fin de no exceder los límites de PIRE establecidos en todos los numerales anteriores.</w:t>
      </w:r>
    </w:p>
    <w:p w14:paraId="599D5A43" w14:textId="77777777" w:rsidR="008A5FF9" w:rsidRPr="0003362F" w:rsidRDefault="008A5FF9" w:rsidP="008A5FF9">
      <w:pPr>
        <w:pStyle w:val="Texto"/>
        <w:spacing w:after="0" w:line="276" w:lineRule="auto"/>
        <w:ind w:left="2268" w:hanging="567"/>
        <w:rPr>
          <w:sz w:val="22"/>
          <w:szCs w:val="22"/>
          <w:lang w:eastAsia="es-MX"/>
        </w:rPr>
      </w:pPr>
    </w:p>
    <w:p w14:paraId="6B3E0E07" w14:textId="4C905F1B" w:rsidR="005B4F86" w:rsidRPr="0003362F" w:rsidRDefault="005B4F86" w:rsidP="008A5FF9">
      <w:pPr>
        <w:pStyle w:val="Texto"/>
        <w:numPr>
          <w:ilvl w:val="0"/>
          <w:numId w:val="11"/>
        </w:numPr>
        <w:spacing w:after="0" w:line="276" w:lineRule="auto"/>
        <w:ind w:left="2268" w:hanging="567"/>
        <w:rPr>
          <w:sz w:val="22"/>
          <w:szCs w:val="22"/>
          <w:lang w:eastAsia="es-MX"/>
        </w:rPr>
      </w:pPr>
      <w:r w:rsidRPr="0003362F">
        <w:rPr>
          <w:sz w:val="22"/>
          <w:szCs w:val="22"/>
          <w:lang w:eastAsia="es-MX"/>
        </w:rPr>
        <w:t xml:space="preserve">Los dispositivos que utilicen un ancho de banda de emisión menor a 100 MHz deben limitar la potencia pico de salida del transmisor del dispositivo, equipo o estación a lo resultante de multiplicar 500 </w:t>
      </w:r>
      <w:proofErr w:type="spellStart"/>
      <w:r w:rsidRPr="0003362F">
        <w:rPr>
          <w:sz w:val="22"/>
          <w:szCs w:val="22"/>
          <w:lang w:eastAsia="es-MX"/>
        </w:rPr>
        <w:t>mW</w:t>
      </w:r>
      <w:proofErr w:type="spellEnd"/>
      <w:r w:rsidRPr="0003362F">
        <w:rPr>
          <w:sz w:val="22"/>
          <w:szCs w:val="22"/>
          <w:lang w:eastAsia="es-MX"/>
        </w:rPr>
        <w:t xml:space="preserve"> por su ancho de banda de emisión en MHz, dividido entre 100 MHz.</w:t>
      </w:r>
    </w:p>
    <w:p w14:paraId="1C5ECB5E" w14:textId="77777777" w:rsidR="004E4CC7" w:rsidRPr="0003362F" w:rsidRDefault="004E4CC7" w:rsidP="008A5FF9">
      <w:pPr>
        <w:pStyle w:val="Texto"/>
        <w:spacing w:after="0" w:line="276" w:lineRule="auto"/>
        <w:ind w:left="1701" w:hanging="1134"/>
        <w:rPr>
          <w:sz w:val="22"/>
          <w:szCs w:val="22"/>
          <w:lang w:eastAsia="es-MX"/>
        </w:rPr>
      </w:pPr>
    </w:p>
    <w:p w14:paraId="46AD0BBE" w14:textId="1A2369D2"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t>2.1.1</w:t>
      </w:r>
      <w:r w:rsidR="001E672A" w:rsidRPr="0003362F">
        <w:rPr>
          <w:b/>
          <w:sz w:val="22"/>
          <w:szCs w:val="22"/>
          <w:lang w:val="es-MX" w:eastAsia="es-MX"/>
        </w:rPr>
        <w:t>0</w:t>
      </w:r>
      <w:r w:rsidRPr="0003362F">
        <w:rPr>
          <w:b/>
          <w:sz w:val="22"/>
          <w:szCs w:val="22"/>
          <w:lang w:val="es-MX" w:eastAsia="es-MX"/>
        </w:rPr>
        <w:tab/>
      </w:r>
      <w:r w:rsidRPr="0003362F">
        <w:rPr>
          <w:sz w:val="22"/>
          <w:szCs w:val="22"/>
          <w:lang w:eastAsia="es-MX"/>
        </w:rPr>
        <w:t>El uso de la banda de frecuencias 57-64 GHz deberá atender a las disposiciones en materia de protección a seres humanos de radiaciones no ionizantes que se emitan por el Instituto.</w:t>
      </w:r>
    </w:p>
    <w:p w14:paraId="68EA45E2" w14:textId="77777777" w:rsidR="003650BB" w:rsidRPr="0003362F" w:rsidRDefault="003650BB" w:rsidP="008A5FF9">
      <w:pPr>
        <w:pStyle w:val="Texto"/>
        <w:spacing w:after="0" w:line="276" w:lineRule="auto"/>
        <w:ind w:left="1701" w:hanging="1134"/>
        <w:rPr>
          <w:b/>
          <w:sz w:val="22"/>
          <w:szCs w:val="22"/>
          <w:lang w:val="es-MX" w:eastAsia="es-MX"/>
        </w:rPr>
      </w:pPr>
    </w:p>
    <w:p w14:paraId="77A852C2" w14:textId="78FBA4B2" w:rsidR="005B4F86" w:rsidRPr="0003362F" w:rsidRDefault="005B4F86" w:rsidP="008A5FF9">
      <w:pPr>
        <w:pStyle w:val="Texto"/>
        <w:spacing w:after="0" w:line="276" w:lineRule="auto"/>
        <w:ind w:left="1134" w:hanging="850"/>
        <w:rPr>
          <w:b/>
          <w:sz w:val="22"/>
          <w:szCs w:val="22"/>
          <w:lang w:eastAsia="es-MX"/>
        </w:rPr>
      </w:pPr>
      <w:r w:rsidRPr="0003362F">
        <w:rPr>
          <w:b/>
          <w:sz w:val="22"/>
          <w:szCs w:val="22"/>
          <w:lang w:val="es-MX" w:eastAsia="es-MX"/>
        </w:rPr>
        <w:t>2.2</w:t>
      </w:r>
      <w:r w:rsidRPr="0003362F">
        <w:rPr>
          <w:b/>
          <w:sz w:val="22"/>
          <w:szCs w:val="22"/>
          <w:lang w:val="es-MX" w:eastAsia="es-MX"/>
        </w:rPr>
        <w:tab/>
      </w:r>
      <w:r w:rsidRPr="0003362F">
        <w:rPr>
          <w:b/>
          <w:sz w:val="22"/>
          <w:szCs w:val="22"/>
          <w:lang w:eastAsia="es-MX"/>
        </w:rPr>
        <w:t>Restricciones Generales.</w:t>
      </w:r>
    </w:p>
    <w:p w14:paraId="7698B618" w14:textId="77777777" w:rsidR="003650BB" w:rsidRPr="0003362F" w:rsidRDefault="003650BB" w:rsidP="00E92C13">
      <w:pPr>
        <w:pStyle w:val="Texto"/>
        <w:spacing w:after="0" w:line="276" w:lineRule="auto"/>
        <w:ind w:left="1350" w:hanging="630"/>
        <w:rPr>
          <w:b/>
          <w:sz w:val="22"/>
          <w:szCs w:val="22"/>
          <w:lang w:val="es-MX" w:eastAsia="es-MX"/>
        </w:rPr>
      </w:pPr>
    </w:p>
    <w:p w14:paraId="0F7BDB69" w14:textId="7D7D8A83"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t>2.2.1</w:t>
      </w:r>
      <w:r w:rsidRPr="0003362F">
        <w:rPr>
          <w:b/>
          <w:sz w:val="22"/>
          <w:szCs w:val="22"/>
          <w:lang w:val="es-MX" w:eastAsia="es-MX"/>
        </w:rPr>
        <w:tab/>
      </w:r>
      <w:r w:rsidRPr="0003362F">
        <w:rPr>
          <w:sz w:val="22"/>
          <w:szCs w:val="22"/>
          <w:lang w:eastAsia="es-MX"/>
        </w:rPr>
        <w:t>No se permite la operación en la banda de frecuencias 57-64 GHz de los siguientes sistemas, dispositivos, equipos o estaciones:</w:t>
      </w:r>
    </w:p>
    <w:p w14:paraId="5437B5DB" w14:textId="77777777" w:rsidR="004E4CC7" w:rsidRPr="0003362F" w:rsidRDefault="004E4CC7" w:rsidP="008A5FF9">
      <w:pPr>
        <w:pStyle w:val="Texto"/>
        <w:spacing w:after="0" w:line="276" w:lineRule="auto"/>
        <w:ind w:left="1701" w:hanging="1134"/>
        <w:rPr>
          <w:sz w:val="22"/>
          <w:szCs w:val="22"/>
          <w:lang w:eastAsia="es-MX"/>
        </w:rPr>
      </w:pPr>
    </w:p>
    <w:p w14:paraId="5B823ABF" w14:textId="77777777" w:rsidR="008A5FF9" w:rsidRPr="0003362F" w:rsidRDefault="005B4F86" w:rsidP="008A5FF9">
      <w:pPr>
        <w:pStyle w:val="Texto"/>
        <w:numPr>
          <w:ilvl w:val="0"/>
          <w:numId w:val="12"/>
        </w:numPr>
        <w:spacing w:after="0" w:line="276" w:lineRule="auto"/>
        <w:ind w:left="2268" w:hanging="567"/>
        <w:rPr>
          <w:sz w:val="22"/>
          <w:szCs w:val="22"/>
          <w:lang w:eastAsia="es-MX"/>
        </w:rPr>
      </w:pPr>
      <w:r w:rsidRPr="0003362F">
        <w:rPr>
          <w:sz w:val="22"/>
          <w:szCs w:val="22"/>
          <w:lang w:eastAsia="es-MX"/>
        </w:rPr>
        <w:t>Equipos o dispositivos utilizados en aeronaves o satélites.</w:t>
      </w:r>
    </w:p>
    <w:p w14:paraId="67BD6441" w14:textId="77777777" w:rsidR="008A5FF9" w:rsidRPr="0003362F" w:rsidRDefault="008A5FF9" w:rsidP="008A5FF9">
      <w:pPr>
        <w:pStyle w:val="Texto"/>
        <w:spacing w:after="0" w:line="276" w:lineRule="auto"/>
        <w:ind w:left="2268" w:hanging="567"/>
        <w:rPr>
          <w:sz w:val="22"/>
          <w:szCs w:val="22"/>
          <w:lang w:eastAsia="es-MX"/>
        </w:rPr>
      </w:pPr>
    </w:p>
    <w:p w14:paraId="292BFF18" w14:textId="2E149C50" w:rsidR="005B4F86" w:rsidRPr="0003362F" w:rsidRDefault="005B4F86" w:rsidP="008A5FF9">
      <w:pPr>
        <w:pStyle w:val="Texto"/>
        <w:numPr>
          <w:ilvl w:val="0"/>
          <w:numId w:val="12"/>
        </w:numPr>
        <w:spacing w:after="0" w:line="276" w:lineRule="auto"/>
        <w:ind w:left="2268" w:hanging="567"/>
        <w:rPr>
          <w:sz w:val="22"/>
          <w:szCs w:val="22"/>
          <w:lang w:eastAsia="es-MX"/>
        </w:rPr>
      </w:pPr>
      <w:r w:rsidRPr="0003362F">
        <w:rPr>
          <w:sz w:val="22"/>
          <w:szCs w:val="22"/>
          <w:lang w:eastAsia="es-MX"/>
        </w:rPr>
        <w:t xml:space="preserve">Sensores de perturbación de campo, los cuales incluyen sistemas de radar vehiculares, excepto que dichos sensores sean empleados para: i) operaciones fijas, incluyendo los sensores de perturbación de campo instalados en equipo fijo, aun cuando el sensor se mueva dentro del equipo; </w:t>
      </w:r>
      <w:proofErr w:type="spellStart"/>
      <w:r w:rsidRPr="0003362F">
        <w:rPr>
          <w:sz w:val="22"/>
          <w:szCs w:val="22"/>
          <w:lang w:eastAsia="es-MX"/>
        </w:rPr>
        <w:t>ii</w:t>
      </w:r>
      <w:proofErr w:type="spellEnd"/>
      <w:r w:rsidRPr="0003362F">
        <w:rPr>
          <w:sz w:val="22"/>
          <w:szCs w:val="22"/>
          <w:lang w:eastAsia="es-MX"/>
        </w:rPr>
        <w:t>) o como dispositivos de corto alcance para detección de movimiento interactivo.</w:t>
      </w:r>
    </w:p>
    <w:p w14:paraId="41CEFB16" w14:textId="77777777" w:rsidR="004E4CC7" w:rsidRPr="0003362F" w:rsidRDefault="004E4CC7" w:rsidP="008A5FF9">
      <w:pPr>
        <w:pStyle w:val="Texto"/>
        <w:spacing w:after="0" w:line="276" w:lineRule="auto"/>
        <w:ind w:left="1701" w:hanging="1134"/>
        <w:rPr>
          <w:sz w:val="22"/>
          <w:szCs w:val="22"/>
          <w:lang w:eastAsia="es-MX"/>
        </w:rPr>
      </w:pPr>
    </w:p>
    <w:p w14:paraId="17E5FB56" w14:textId="095296DF"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t>2.2.2</w:t>
      </w:r>
      <w:r w:rsidRPr="0003362F">
        <w:rPr>
          <w:b/>
          <w:sz w:val="22"/>
          <w:szCs w:val="22"/>
          <w:lang w:val="es-MX" w:eastAsia="es-MX"/>
        </w:rPr>
        <w:tab/>
      </w:r>
      <w:r w:rsidRPr="0003362F">
        <w:rPr>
          <w:sz w:val="22"/>
          <w:szCs w:val="22"/>
          <w:lang w:eastAsia="es-MX"/>
        </w:rPr>
        <w:t>Fuera de la banda de frecuencias 57-64 GHz, la densidad de potencia de cualquier emisión deberá consistir únicamente de emisiones no esenciales.</w:t>
      </w:r>
    </w:p>
    <w:p w14:paraId="40728F00" w14:textId="77777777" w:rsidR="004E4CC7" w:rsidRPr="0003362F" w:rsidRDefault="004E4CC7" w:rsidP="008A5FF9">
      <w:pPr>
        <w:pStyle w:val="Texto"/>
        <w:spacing w:after="0" w:line="276" w:lineRule="auto"/>
        <w:ind w:left="1701" w:hanging="1134"/>
        <w:rPr>
          <w:sz w:val="22"/>
          <w:szCs w:val="22"/>
          <w:lang w:eastAsia="es-MX"/>
        </w:rPr>
      </w:pPr>
    </w:p>
    <w:p w14:paraId="6CE7CDE2" w14:textId="2EE4C504"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t>2.2.3</w:t>
      </w:r>
      <w:r w:rsidRPr="0003362F">
        <w:rPr>
          <w:b/>
          <w:sz w:val="22"/>
          <w:szCs w:val="22"/>
          <w:lang w:val="es-MX" w:eastAsia="es-MX"/>
        </w:rPr>
        <w:tab/>
      </w:r>
      <w:r w:rsidRPr="0003362F">
        <w:rPr>
          <w:sz w:val="22"/>
          <w:szCs w:val="22"/>
          <w:lang w:eastAsia="es-MX"/>
        </w:rPr>
        <w:t xml:space="preserve">El nivel de emisiones no esenciales, entre 40 GHz y 200 GHz, no deberá exceder 90 </w:t>
      </w:r>
      <w:proofErr w:type="spellStart"/>
      <w:r w:rsidRPr="0003362F">
        <w:rPr>
          <w:sz w:val="22"/>
          <w:szCs w:val="22"/>
          <w:lang w:eastAsia="es-MX"/>
        </w:rPr>
        <w:t>pW</w:t>
      </w:r>
      <w:proofErr w:type="spellEnd"/>
      <w:r w:rsidRPr="0003362F">
        <w:rPr>
          <w:sz w:val="22"/>
          <w:szCs w:val="22"/>
          <w:lang w:eastAsia="es-MX"/>
        </w:rPr>
        <w:t>/cm</w:t>
      </w:r>
      <w:r w:rsidRPr="0003362F">
        <w:rPr>
          <w:position w:val="4"/>
          <w:sz w:val="22"/>
          <w:szCs w:val="22"/>
          <w:lang w:eastAsia="es-MX"/>
        </w:rPr>
        <w:t>2</w:t>
      </w:r>
      <w:r w:rsidRPr="0003362F">
        <w:rPr>
          <w:sz w:val="22"/>
          <w:szCs w:val="22"/>
          <w:lang w:eastAsia="es-MX"/>
        </w:rPr>
        <w:t>, medido a una distancia de 3 metros del punto de radiación.</w:t>
      </w:r>
    </w:p>
    <w:p w14:paraId="1966F96E" w14:textId="77777777" w:rsidR="004E4CC7" w:rsidRPr="0003362F" w:rsidRDefault="004E4CC7" w:rsidP="008A5FF9">
      <w:pPr>
        <w:pStyle w:val="Texto"/>
        <w:spacing w:after="0" w:line="276" w:lineRule="auto"/>
        <w:ind w:left="1701" w:hanging="1134"/>
        <w:rPr>
          <w:sz w:val="22"/>
          <w:szCs w:val="22"/>
          <w:lang w:eastAsia="es-MX"/>
        </w:rPr>
      </w:pPr>
    </w:p>
    <w:p w14:paraId="13D2476C" w14:textId="526B893F"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t>2.2.4</w:t>
      </w:r>
      <w:r w:rsidRPr="0003362F">
        <w:rPr>
          <w:b/>
          <w:sz w:val="22"/>
          <w:szCs w:val="22"/>
          <w:lang w:val="es-MX" w:eastAsia="es-MX"/>
        </w:rPr>
        <w:tab/>
      </w:r>
      <w:r w:rsidRPr="0003362F">
        <w:rPr>
          <w:sz w:val="22"/>
          <w:szCs w:val="22"/>
          <w:lang w:eastAsia="es-MX"/>
        </w:rPr>
        <w:t>Los niveles de las emisiones no esenciales no deberán exceder el nivel de la emisión fundamental.</w:t>
      </w:r>
    </w:p>
    <w:p w14:paraId="027D0DC8" w14:textId="77777777" w:rsidR="004E4CC7" w:rsidRPr="0003362F" w:rsidRDefault="004E4CC7" w:rsidP="008A5FF9">
      <w:pPr>
        <w:pStyle w:val="Texto"/>
        <w:spacing w:after="0" w:line="276" w:lineRule="auto"/>
        <w:ind w:left="1701" w:hanging="1134"/>
        <w:rPr>
          <w:sz w:val="22"/>
          <w:szCs w:val="22"/>
          <w:lang w:eastAsia="es-MX"/>
        </w:rPr>
      </w:pPr>
    </w:p>
    <w:p w14:paraId="050AB881" w14:textId="77777777"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t>2.2.5</w:t>
      </w:r>
      <w:r w:rsidRPr="0003362F">
        <w:rPr>
          <w:b/>
          <w:sz w:val="22"/>
          <w:szCs w:val="22"/>
          <w:lang w:val="es-MX" w:eastAsia="es-MX"/>
        </w:rPr>
        <w:tab/>
      </w:r>
      <w:r w:rsidRPr="0003362F">
        <w:rPr>
          <w:sz w:val="22"/>
          <w:szCs w:val="22"/>
          <w:lang w:eastAsia="es-MX"/>
        </w:rPr>
        <w:t>Esta banda de frecuencias no podrá ser utilizada para la operación de radioenlaces que crucen las fronteras del país.</w:t>
      </w:r>
    </w:p>
    <w:p w14:paraId="012F3C09" w14:textId="77777777" w:rsidR="003650BB" w:rsidRPr="0003362F" w:rsidRDefault="003650BB" w:rsidP="00E92C13">
      <w:pPr>
        <w:pStyle w:val="Texto"/>
        <w:spacing w:after="0" w:line="276" w:lineRule="auto"/>
        <w:rPr>
          <w:b/>
          <w:sz w:val="22"/>
          <w:szCs w:val="22"/>
          <w:lang w:val="es-MX" w:eastAsia="es-MX"/>
        </w:rPr>
      </w:pPr>
    </w:p>
    <w:p w14:paraId="0754DE2B" w14:textId="13FA377C" w:rsidR="005B4F86" w:rsidRPr="0003362F" w:rsidRDefault="005B4F86" w:rsidP="008A5FF9">
      <w:pPr>
        <w:pStyle w:val="Texto"/>
        <w:spacing w:after="0" w:line="276" w:lineRule="auto"/>
        <w:ind w:left="1134" w:hanging="850"/>
        <w:rPr>
          <w:b/>
          <w:sz w:val="22"/>
          <w:szCs w:val="22"/>
          <w:lang w:eastAsia="es-MX"/>
        </w:rPr>
      </w:pPr>
      <w:r w:rsidRPr="0003362F">
        <w:rPr>
          <w:b/>
          <w:sz w:val="22"/>
          <w:szCs w:val="22"/>
          <w:lang w:val="es-MX" w:eastAsia="es-MX"/>
        </w:rPr>
        <w:t>2.3</w:t>
      </w:r>
      <w:r w:rsidRPr="0003362F">
        <w:rPr>
          <w:b/>
          <w:sz w:val="22"/>
          <w:szCs w:val="22"/>
          <w:lang w:val="es-MX" w:eastAsia="es-MX"/>
        </w:rPr>
        <w:tab/>
      </w:r>
      <w:r w:rsidRPr="0003362F">
        <w:rPr>
          <w:b/>
          <w:sz w:val="22"/>
          <w:szCs w:val="22"/>
          <w:lang w:eastAsia="es-MX"/>
        </w:rPr>
        <w:t>Condiciones de Coexistencia.</w:t>
      </w:r>
    </w:p>
    <w:p w14:paraId="7D5B9EA6" w14:textId="77777777" w:rsidR="003650BB" w:rsidRPr="0003362F" w:rsidRDefault="003650BB" w:rsidP="008A5FF9">
      <w:pPr>
        <w:pStyle w:val="Texto"/>
        <w:spacing w:after="0" w:line="276" w:lineRule="auto"/>
        <w:ind w:left="1701" w:hanging="1134"/>
        <w:rPr>
          <w:b/>
          <w:sz w:val="22"/>
          <w:szCs w:val="22"/>
          <w:lang w:val="es-MX" w:eastAsia="es-MX"/>
        </w:rPr>
      </w:pPr>
    </w:p>
    <w:p w14:paraId="5DDBDF07" w14:textId="6D586418"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t>2.3.1</w:t>
      </w:r>
      <w:r w:rsidRPr="0003362F">
        <w:rPr>
          <w:b/>
          <w:sz w:val="22"/>
          <w:szCs w:val="22"/>
          <w:lang w:val="es-MX" w:eastAsia="es-MX"/>
        </w:rPr>
        <w:tab/>
      </w:r>
      <w:r w:rsidRPr="0003362F">
        <w:rPr>
          <w:sz w:val="22"/>
          <w:szCs w:val="22"/>
          <w:lang w:eastAsia="es-MX"/>
        </w:rPr>
        <w:t>Los sistemas, dispositivos, equipos o estaciones que operen en esta banda de frecuencias no provocarán interferencia perjudicial a sistemas, dispositivos, equipos o estaciones de usuarios que cuenten con un título habilitante para hacer uso del espectro radioeléctrico.</w:t>
      </w:r>
    </w:p>
    <w:p w14:paraId="02623EBA" w14:textId="77777777" w:rsidR="004E4CC7" w:rsidRPr="0003362F" w:rsidRDefault="004E4CC7" w:rsidP="008A5FF9">
      <w:pPr>
        <w:pStyle w:val="Texto"/>
        <w:spacing w:after="0" w:line="276" w:lineRule="auto"/>
        <w:ind w:left="1701" w:hanging="1134"/>
        <w:rPr>
          <w:sz w:val="22"/>
          <w:szCs w:val="22"/>
          <w:lang w:eastAsia="es-MX"/>
        </w:rPr>
      </w:pPr>
    </w:p>
    <w:p w14:paraId="5707ED5A" w14:textId="4FF2BA56"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t>2.3.2</w:t>
      </w:r>
      <w:r w:rsidRPr="0003362F">
        <w:rPr>
          <w:b/>
          <w:sz w:val="22"/>
          <w:szCs w:val="22"/>
          <w:lang w:val="es-MX" w:eastAsia="es-MX"/>
        </w:rPr>
        <w:tab/>
      </w:r>
      <w:r w:rsidRPr="0003362F">
        <w:rPr>
          <w:sz w:val="22"/>
          <w:szCs w:val="22"/>
          <w:lang w:eastAsia="es-MX"/>
        </w:rPr>
        <w:t>Los sistemas, dispositivos, equipos o estaciones que operen en esta banda de frecuencias no podrán reclamar protección contra interferencias perjudiciales causadas por sistemas, dispositivos, equipos o estaciones de usuarios que cuenten con un título habilitante para hacer uso del espectro radioeléctrico.</w:t>
      </w:r>
    </w:p>
    <w:p w14:paraId="2DE36509" w14:textId="77777777" w:rsidR="004E4CC7" w:rsidRPr="0003362F" w:rsidRDefault="004E4CC7" w:rsidP="008A5FF9">
      <w:pPr>
        <w:pStyle w:val="Texto"/>
        <w:spacing w:after="0" w:line="276" w:lineRule="auto"/>
        <w:ind w:left="1701" w:hanging="1134"/>
        <w:rPr>
          <w:sz w:val="22"/>
          <w:szCs w:val="22"/>
          <w:lang w:eastAsia="es-MX"/>
        </w:rPr>
      </w:pPr>
    </w:p>
    <w:p w14:paraId="66297F6B" w14:textId="0EBC365C" w:rsidR="005B4F86" w:rsidRPr="0003362F" w:rsidRDefault="005B4F86" w:rsidP="008A5FF9">
      <w:pPr>
        <w:pStyle w:val="Texto"/>
        <w:spacing w:after="0" w:line="276" w:lineRule="auto"/>
        <w:ind w:left="1701" w:hanging="1134"/>
        <w:rPr>
          <w:sz w:val="22"/>
          <w:szCs w:val="22"/>
          <w:lang w:eastAsia="es-MX"/>
        </w:rPr>
      </w:pPr>
      <w:r w:rsidRPr="0003362F">
        <w:rPr>
          <w:b/>
          <w:sz w:val="22"/>
          <w:szCs w:val="22"/>
          <w:lang w:val="es-MX" w:eastAsia="es-MX"/>
        </w:rPr>
        <w:t>2.3.3</w:t>
      </w:r>
      <w:r w:rsidRPr="0003362F">
        <w:rPr>
          <w:b/>
          <w:sz w:val="22"/>
          <w:szCs w:val="22"/>
          <w:lang w:val="es-MX" w:eastAsia="es-MX"/>
        </w:rPr>
        <w:tab/>
      </w:r>
      <w:r w:rsidRPr="0003362F">
        <w:rPr>
          <w:sz w:val="22"/>
          <w:szCs w:val="22"/>
          <w:lang w:eastAsia="es-MX"/>
        </w:rPr>
        <w:t>Los sistemas, dispositivos, equipos o estaciones operando en esta banda de frecuencias que causen interferencias perjudiciales a usuarios que cuenten con un título habilitante para hacer uso del espectro radioeléctrico, deberán cesar operaciones hasta que se elimine la interferencia perjudicial, aun cuando el dispositivo, equipo o producto se encuentre debidamente homologado.</w:t>
      </w:r>
    </w:p>
    <w:p w14:paraId="657E22EA" w14:textId="77777777" w:rsidR="004E4CC7" w:rsidRPr="0003362F" w:rsidRDefault="004E4CC7" w:rsidP="008A5FF9">
      <w:pPr>
        <w:pStyle w:val="Texto"/>
        <w:spacing w:after="0" w:line="276" w:lineRule="auto"/>
        <w:ind w:left="1701" w:hanging="1134"/>
        <w:rPr>
          <w:sz w:val="22"/>
          <w:szCs w:val="22"/>
          <w:lang w:eastAsia="es-MX"/>
        </w:rPr>
      </w:pPr>
    </w:p>
    <w:p w14:paraId="13AE761F" w14:textId="2E49EC4B" w:rsidR="005B4F86" w:rsidRPr="0003362F" w:rsidRDefault="005B4F86" w:rsidP="008A5FF9">
      <w:pPr>
        <w:pStyle w:val="Texto"/>
        <w:spacing w:after="0" w:line="276" w:lineRule="auto"/>
        <w:ind w:left="1701" w:hanging="1134"/>
        <w:rPr>
          <w:b/>
        </w:rPr>
      </w:pPr>
      <w:r w:rsidRPr="0003362F">
        <w:rPr>
          <w:b/>
          <w:sz w:val="22"/>
          <w:szCs w:val="22"/>
          <w:lang w:val="es-MX" w:eastAsia="es-MX"/>
        </w:rPr>
        <w:t>2.3.4</w:t>
      </w:r>
      <w:r w:rsidRPr="0003362F">
        <w:rPr>
          <w:b/>
          <w:sz w:val="22"/>
          <w:szCs w:val="22"/>
          <w:lang w:val="es-MX" w:eastAsia="es-MX"/>
        </w:rPr>
        <w:tab/>
      </w:r>
      <w:r w:rsidRPr="0003362F">
        <w:rPr>
          <w:sz w:val="22"/>
          <w:szCs w:val="22"/>
          <w:lang w:eastAsia="es-MX"/>
        </w:rPr>
        <w:t>Los sistemas, dispositivos, equipos o estaciones que operen en esta banda de frecuencias no podrán reclamar protección contra interferencias perjudiciales provenientes de otros sistemas, dispositivos, equipos o estaciones que operen bajo lo establecido en el presente documento.</w:t>
      </w:r>
    </w:p>
    <w:sectPr w:rsidR="005B4F86" w:rsidRPr="0003362F" w:rsidSect="0011347F">
      <w:headerReference w:type="default" r:id="rId11"/>
      <w:footerReference w:type="default" r:id="rId12"/>
      <w:footnotePr>
        <w:numStart w:val="12"/>
      </w:footnotePr>
      <w:pgSz w:w="12240" w:h="15840"/>
      <w:pgMar w:top="2098" w:right="1418" w:bottom="1134" w:left="1418" w:header="709"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6952A" w14:textId="77777777" w:rsidR="006A6B1B" w:rsidRDefault="006A6B1B" w:rsidP="000F1667">
      <w:pPr>
        <w:spacing w:after="0" w:line="240" w:lineRule="auto"/>
      </w:pPr>
      <w:r>
        <w:separator/>
      </w:r>
    </w:p>
  </w:endnote>
  <w:endnote w:type="continuationSeparator" w:id="0">
    <w:p w14:paraId="54BF1575" w14:textId="77777777" w:rsidR="006A6B1B" w:rsidRDefault="006A6B1B" w:rsidP="000F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panose1 w:val="020B0502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4000ACFF" w:usb2="00000001" w:usb3="00000000" w:csb0="000001FF" w:csb1="00000000"/>
  </w:font>
  <w:font w:name="ITC Avant Garde">
    <w:altName w:val="Calibri"/>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36661031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684996EC" w14:textId="77777777" w:rsidR="007D5E9C" w:rsidRDefault="007D5E9C" w:rsidP="00BB6A0B">
            <w:pPr>
              <w:pStyle w:val="Piedepgina"/>
              <w:jc w:val="right"/>
              <w:rPr>
                <w:rFonts w:ascii="Arial" w:hAnsi="Arial" w:cs="Arial"/>
                <w:sz w:val="18"/>
                <w:szCs w:val="18"/>
              </w:rPr>
            </w:pPr>
          </w:p>
          <w:p w14:paraId="3B61E5F2" w14:textId="2792D787" w:rsidR="007D5E9C" w:rsidRDefault="00BB6A0B" w:rsidP="00BB6A0B">
            <w:pPr>
              <w:pStyle w:val="Piedepgina"/>
              <w:jc w:val="right"/>
              <w:rPr>
                <w:rFonts w:ascii="Arial" w:hAnsi="Arial" w:cs="Arial"/>
                <w:bCs/>
                <w:sz w:val="18"/>
                <w:szCs w:val="18"/>
              </w:rPr>
            </w:pPr>
            <w:r w:rsidRPr="00BB6A0B">
              <w:rPr>
                <w:rFonts w:ascii="Arial" w:hAnsi="Arial" w:cs="Arial"/>
                <w:sz w:val="18"/>
                <w:szCs w:val="18"/>
              </w:rPr>
              <w:t xml:space="preserve">Página </w:t>
            </w:r>
            <w:r w:rsidRPr="00BB6A0B">
              <w:rPr>
                <w:rFonts w:ascii="Arial" w:hAnsi="Arial" w:cs="Arial"/>
                <w:bCs/>
                <w:sz w:val="18"/>
                <w:szCs w:val="18"/>
              </w:rPr>
              <w:fldChar w:fldCharType="begin"/>
            </w:r>
            <w:r w:rsidRPr="00BB6A0B">
              <w:rPr>
                <w:rFonts w:ascii="Arial" w:hAnsi="Arial" w:cs="Arial"/>
                <w:bCs/>
                <w:sz w:val="18"/>
                <w:szCs w:val="18"/>
              </w:rPr>
              <w:instrText>PAGE</w:instrText>
            </w:r>
            <w:r w:rsidRPr="00BB6A0B">
              <w:rPr>
                <w:rFonts w:ascii="Arial" w:hAnsi="Arial" w:cs="Arial"/>
                <w:bCs/>
                <w:sz w:val="18"/>
                <w:szCs w:val="18"/>
              </w:rPr>
              <w:fldChar w:fldCharType="separate"/>
            </w:r>
            <w:r w:rsidR="00B93937">
              <w:rPr>
                <w:rFonts w:ascii="Arial" w:hAnsi="Arial" w:cs="Arial"/>
                <w:bCs/>
                <w:noProof/>
                <w:sz w:val="18"/>
                <w:szCs w:val="18"/>
              </w:rPr>
              <w:t>4</w:t>
            </w:r>
            <w:r w:rsidRPr="00BB6A0B">
              <w:rPr>
                <w:rFonts w:ascii="Arial" w:hAnsi="Arial" w:cs="Arial"/>
                <w:bCs/>
                <w:sz w:val="18"/>
                <w:szCs w:val="18"/>
              </w:rPr>
              <w:fldChar w:fldCharType="end"/>
            </w:r>
            <w:r w:rsidRPr="00BB6A0B">
              <w:rPr>
                <w:rFonts w:ascii="Arial" w:hAnsi="Arial" w:cs="Arial"/>
                <w:sz w:val="18"/>
                <w:szCs w:val="18"/>
              </w:rPr>
              <w:t xml:space="preserve"> de </w:t>
            </w:r>
            <w:r w:rsidRPr="00BB6A0B">
              <w:rPr>
                <w:rFonts w:ascii="Arial" w:hAnsi="Arial" w:cs="Arial"/>
                <w:bCs/>
                <w:sz w:val="18"/>
                <w:szCs w:val="18"/>
              </w:rPr>
              <w:fldChar w:fldCharType="begin"/>
            </w:r>
            <w:r w:rsidRPr="00BB6A0B">
              <w:rPr>
                <w:rFonts w:ascii="Arial" w:hAnsi="Arial" w:cs="Arial"/>
                <w:bCs/>
                <w:sz w:val="18"/>
                <w:szCs w:val="18"/>
              </w:rPr>
              <w:instrText>NUMPAGES</w:instrText>
            </w:r>
            <w:r w:rsidRPr="00BB6A0B">
              <w:rPr>
                <w:rFonts w:ascii="Arial" w:hAnsi="Arial" w:cs="Arial"/>
                <w:bCs/>
                <w:sz w:val="18"/>
                <w:szCs w:val="18"/>
              </w:rPr>
              <w:fldChar w:fldCharType="separate"/>
            </w:r>
            <w:r w:rsidR="00B93937">
              <w:rPr>
                <w:rFonts w:ascii="Arial" w:hAnsi="Arial" w:cs="Arial"/>
                <w:bCs/>
                <w:noProof/>
                <w:sz w:val="18"/>
                <w:szCs w:val="18"/>
              </w:rPr>
              <w:t>6</w:t>
            </w:r>
            <w:r w:rsidRPr="00BB6A0B">
              <w:rPr>
                <w:rFonts w:ascii="Arial" w:hAnsi="Arial" w:cs="Arial"/>
                <w:bCs/>
                <w:sz w:val="18"/>
                <w:szCs w:val="18"/>
              </w:rPr>
              <w:fldChar w:fldCharType="end"/>
            </w:r>
          </w:p>
          <w:p w14:paraId="155F76B5" w14:textId="0EC51FCE" w:rsidR="00BB6A0B" w:rsidRPr="00BB6A0B" w:rsidRDefault="006A6B1B" w:rsidP="00BB6A0B">
            <w:pPr>
              <w:pStyle w:val="Piedepgina"/>
              <w:jc w:val="right"/>
              <w:rPr>
                <w:rFonts w:ascii="Arial" w:hAnsi="Arial" w:cs="Arial"/>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97827" w14:textId="77777777" w:rsidR="006A6B1B" w:rsidRDefault="006A6B1B" w:rsidP="000F1667">
      <w:pPr>
        <w:spacing w:after="0" w:line="240" w:lineRule="auto"/>
      </w:pPr>
      <w:r>
        <w:separator/>
      </w:r>
    </w:p>
  </w:footnote>
  <w:footnote w:type="continuationSeparator" w:id="0">
    <w:p w14:paraId="7F3C1A43" w14:textId="77777777" w:rsidR="006A6B1B" w:rsidRDefault="006A6B1B" w:rsidP="000F1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B478" w14:textId="77777777" w:rsidR="00BB6A0B" w:rsidRDefault="006A6B1B">
    <w:pPr>
      <w:pStyle w:val="Encabezado"/>
    </w:pPr>
    <w:r>
      <w:rPr>
        <w:noProof/>
        <w:lang w:eastAsia="es-MX"/>
      </w:rPr>
      <w:pict w14:anchorId="44ED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49" type="#_x0000_t75" alt="hoja membretada s dir-01" style="position:absolute;margin-left:-74pt;margin-top:-116.05pt;width:612pt;height:808pt;z-index:-251658752;visibility:visible;mso-wrap-edited:f;mso-width-percent:0;mso-height-percent:0;mso-position-horizontal-relative:margin;mso-position-vertical-relative:margin;mso-width-percent:0;mso-height-percent:0"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C82"/>
    <w:multiLevelType w:val="hybridMultilevel"/>
    <w:tmpl w:val="149C1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B15664"/>
    <w:multiLevelType w:val="multilevel"/>
    <w:tmpl w:val="227EB724"/>
    <w:lvl w:ilvl="0">
      <w:start w:val="1"/>
      <w:numFmt w:val="decimal"/>
      <w:lvlText w:val="%1"/>
      <w:lvlJc w:val="left"/>
      <w:pPr>
        <w:ind w:left="855" w:hanging="855"/>
      </w:pPr>
      <w:rPr>
        <w:rFonts w:hint="default"/>
        <w:b/>
      </w:rPr>
    </w:lvl>
    <w:lvl w:ilvl="1">
      <w:start w:val="1"/>
      <w:numFmt w:val="decimal"/>
      <w:lvlText w:val="%1.%2"/>
      <w:lvlJc w:val="left"/>
      <w:pPr>
        <w:ind w:left="1209" w:hanging="855"/>
      </w:pPr>
      <w:rPr>
        <w:rFonts w:hint="default"/>
        <w:b/>
      </w:rPr>
    </w:lvl>
    <w:lvl w:ilvl="2">
      <w:start w:val="1"/>
      <w:numFmt w:val="decimal"/>
      <w:lvlText w:val="%1.%2.%3"/>
      <w:lvlJc w:val="left"/>
      <w:pPr>
        <w:ind w:left="1563" w:hanging="855"/>
      </w:pPr>
      <w:rPr>
        <w:rFonts w:hint="default"/>
        <w:b/>
      </w:rPr>
    </w:lvl>
    <w:lvl w:ilvl="3">
      <w:start w:val="1"/>
      <w:numFmt w:val="decimal"/>
      <w:lvlText w:val="%1.%2.%3.%4"/>
      <w:lvlJc w:val="left"/>
      <w:pPr>
        <w:ind w:left="1917" w:hanging="855"/>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 w15:restartNumberingAfterBreak="0">
    <w:nsid w:val="19977D59"/>
    <w:multiLevelType w:val="hybridMultilevel"/>
    <w:tmpl w:val="BA222C48"/>
    <w:lvl w:ilvl="0" w:tplc="080A001B">
      <w:start w:val="1"/>
      <w:numFmt w:val="lowerRoman"/>
      <w:lvlText w:val="%1."/>
      <w:lvlJc w:val="righ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4" w15:restartNumberingAfterBreak="0">
    <w:nsid w:val="1EA95FBC"/>
    <w:multiLevelType w:val="hybridMultilevel"/>
    <w:tmpl w:val="084A7944"/>
    <w:lvl w:ilvl="0" w:tplc="4EEE5C3E">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5" w15:restartNumberingAfterBreak="0">
    <w:nsid w:val="25F72AD6"/>
    <w:multiLevelType w:val="hybridMultilevel"/>
    <w:tmpl w:val="37BCB11E"/>
    <w:lvl w:ilvl="0" w:tplc="080A0013">
      <w:start w:val="1"/>
      <w:numFmt w:val="upperRoman"/>
      <w:lvlText w:val="%1."/>
      <w:lvlJc w:val="righ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030FA2"/>
    <w:multiLevelType w:val="hybridMultilevel"/>
    <w:tmpl w:val="E16C8014"/>
    <w:lvl w:ilvl="0" w:tplc="080A0001">
      <w:start w:val="1"/>
      <w:numFmt w:val="bullet"/>
      <w:lvlText w:val=""/>
      <w:lvlJc w:val="left"/>
      <w:pPr>
        <w:ind w:left="8766" w:hanging="360"/>
      </w:pPr>
      <w:rPr>
        <w:rFonts w:ascii="Symbol" w:hAnsi="Symbol" w:hint="default"/>
      </w:rPr>
    </w:lvl>
    <w:lvl w:ilvl="1" w:tplc="080A0003" w:tentative="1">
      <w:start w:val="1"/>
      <w:numFmt w:val="bullet"/>
      <w:lvlText w:val="o"/>
      <w:lvlJc w:val="left"/>
      <w:pPr>
        <w:ind w:left="1482" w:hanging="360"/>
      </w:pPr>
      <w:rPr>
        <w:rFonts w:ascii="Courier New" w:hAnsi="Courier New" w:cs="Courier New" w:hint="default"/>
      </w:rPr>
    </w:lvl>
    <w:lvl w:ilvl="2" w:tplc="080A0005" w:tentative="1">
      <w:start w:val="1"/>
      <w:numFmt w:val="bullet"/>
      <w:lvlText w:val=""/>
      <w:lvlJc w:val="left"/>
      <w:pPr>
        <w:ind w:left="2202" w:hanging="360"/>
      </w:pPr>
      <w:rPr>
        <w:rFonts w:ascii="Wingdings" w:hAnsi="Wingdings" w:hint="default"/>
      </w:rPr>
    </w:lvl>
    <w:lvl w:ilvl="3" w:tplc="080A0001" w:tentative="1">
      <w:start w:val="1"/>
      <w:numFmt w:val="bullet"/>
      <w:lvlText w:val=""/>
      <w:lvlJc w:val="left"/>
      <w:pPr>
        <w:ind w:left="2922" w:hanging="360"/>
      </w:pPr>
      <w:rPr>
        <w:rFonts w:ascii="Symbol" w:hAnsi="Symbol" w:hint="default"/>
      </w:rPr>
    </w:lvl>
    <w:lvl w:ilvl="4" w:tplc="080A0003" w:tentative="1">
      <w:start w:val="1"/>
      <w:numFmt w:val="bullet"/>
      <w:lvlText w:val="o"/>
      <w:lvlJc w:val="left"/>
      <w:pPr>
        <w:ind w:left="3642" w:hanging="360"/>
      </w:pPr>
      <w:rPr>
        <w:rFonts w:ascii="Courier New" w:hAnsi="Courier New" w:cs="Courier New" w:hint="default"/>
      </w:rPr>
    </w:lvl>
    <w:lvl w:ilvl="5" w:tplc="080A0005" w:tentative="1">
      <w:start w:val="1"/>
      <w:numFmt w:val="bullet"/>
      <w:lvlText w:val=""/>
      <w:lvlJc w:val="left"/>
      <w:pPr>
        <w:ind w:left="4362" w:hanging="360"/>
      </w:pPr>
      <w:rPr>
        <w:rFonts w:ascii="Wingdings" w:hAnsi="Wingdings" w:hint="default"/>
      </w:rPr>
    </w:lvl>
    <w:lvl w:ilvl="6" w:tplc="080A0001" w:tentative="1">
      <w:start w:val="1"/>
      <w:numFmt w:val="bullet"/>
      <w:lvlText w:val=""/>
      <w:lvlJc w:val="left"/>
      <w:pPr>
        <w:ind w:left="5082" w:hanging="360"/>
      </w:pPr>
      <w:rPr>
        <w:rFonts w:ascii="Symbol" w:hAnsi="Symbol" w:hint="default"/>
      </w:rPr>
    </w:lvl>
    <w:lvl w:ilvl="7" w:tplc="080A0003" w:tentative="1">
      <w:start w:val="1"/>
      <w:numFmt w:val="bullet"/>
      <w:lvlText w:val="o"/>
      <w:lvlJc w:val="left"/>
      <w:pPr>
        <w:ind w:left="5802" w:hanging="360"/>
      </w:pPr>
      <w:rPr>
        <w:rFonts w:ascii="Courier New" w:hAnsi="Courier New" w:cs="Courier New" w:hint="default"/>
      </w:rPr>
    </w:lvl>
    <w:lvl w:ilvl="8" w:tplc="080A0005" w:tentative="1">
      <w:start w:val="1"/>
      <w:numFmt w:val="bullet"/>
      <w:lvlText w:val=""/>
      <w:lvlJc w:val="left"/>
      <w:pPr>
        <w:ind w:left="6522" w:hanging="360"/>
      </w:pPr>
      <w:rPr>
        <w:rFonts w:ascii="Wingdings" w:hAnsi="Wingdings" w:hint="default"/>
      </w:rPr>
    </w:lvl>
  </w:abstractNum>
  <w:abstractNum w:abstractNumId="7" w15:restartNumberingAfterBreak="0">
    <w:nsid w:val="3C886503"/>
    <w:multiLevelType w:val="hybridMultilevel"/>
    <w:tmpl w:val="0A62B07C"/>
    <w:lvl w:ilvl="0" w:tplc="080A0001">
      <w:start w:val="1"/>
      <w:numFmt w:val="bullet"/>
      <w:lvlText w:val=""/>
      <w:lvlJc w:val="left"/>
      <w:pPr>
        <w:ind w:left="8724" w:hanging="360"/>
      </w:pPr>
      <w:rPr>
        <w:rFonts w:ascii="Symbol" w:hAnsi="Symbol" w:hint="default"/>
      </w:rPr>
    </w:lvl>
    <w:lvl w:ilvl="1" w:tplc="080A0003">
      <w:start w:val="1"/>
      <w:numFmt w:val="bullet"/>
      <w:lvlText w:val="o"/>
      <w:lvlJc w:val="left"/>
      <w:pPr>
        <w:ind w:left="8735" w:hanging="360"/>
      </w:pPr>
      <w:rPr>
        <w:rFonts w:ascii="Courier New" w:hAnsi="Courier New" w:cs="Courier New" w:hint="default"/>
      </w:rPr>
    </w:lvl>
    <w:lvl w:ilvl="2" w:tplc="080A0005" w:tentative="1">
      <w:start w:val="1"/>
      <w:numFmt w:val="bullet"/>
      <w:lvlText w:val=""/>
      <w:lvlJc w:val="left"/>
      <w:pPr>
        <w:ind w:left="9455" w:hanging="360"/>
      </w:pPr>
      <w:rPr>
        <w:rFonts w:ascii="Wingdings" w:hAnsi="Wingdings" w:hint="default"/>
      </w:rPr>
    </w:lvl>
    <w:lvl w:ilvl="3" w:tplc="080A0001" w:tentative="1">
      <w:start w:val="1"/>
      <w:numFmt w:val="bullet"/>
      <w:lvlText w:val=""/>
      <w:lvlJc w:val="left"/>
      <w:pPr>
        <w:ind w:left="10175" w:hanging="360"/>
      </w:pPr>
      <w:rPr>
        <w:rFonts w:ascii="Symbol" w:hAnsi="Symbol" w:hint="default"/>
      </w:rPr>
    </w:lvl>
    <w:lvl w:ilvl="4" w:tplc="080A0003">
      <w:start w:val="1"/>
      <w:numFmt w:val="bullet"/>
      <w:lvlText w:val="o"/>
      <w:lvlJc w:val="left"/>
      <w:pPr>
        <w:ind w:left="10895" w:hanging="360"/>
      </w:pPr>
      <w:rPr>
        <w:rFonts w:ascii="Courier New" w:hAnsi="Courier New" w:cs="Courier New" w:hint="default"/>
      </w:rPr>
    </w:lvl>
    <w:lvl w:ilvl="5" w:tplc="080A0005" w:tentative="1">
      <w:start w:val="1"/>
      <w:numFmt w:val="bullet"/>
      <w:lvlText w:val=""/>
      <w:lvlJc w:val="left"/>
      <w:pPr>
        <w:ind w:left="11615" w:hanging="360"/>
      </w:pPr>
      <w:rPr>
        <w:rFonts w:ascii="Wingdings" w:hAnsi="Wingdings" w:hint="default"/>
      </w:rPr>
    </w:lvl>
    <w:lvl w:ilvl="6" w:tplc="080A0001" w:tentative="1">
      <w:start w:val="1"/>
      <w:numFmt w:val="bullet"/>
      <w:lvlText w:val=""/>
      <w:lvlJc w:val="left"/>
      <w:pPr>
        <w:ind w:left="12335" w:hanging="360"/>
      </w:pPr>
      <w:rPr>
        <w:rFonts w:ascii="Symbol" w:hAnsi="Symbol" w:hint="default"/>
      </w:rPr>
    </w:lvl>
    <w:lvl w:ilvl="7" w:tplc="080A0003" w:tentative="1">
      <w:start w:val="1"/>
      <w:numFmt w:val="bullet"/>
      <w:lvlText w:val="o"/>
      <w:lvlJc w:val="left"/>
      <w:pPr>
        <w:ind w:left="13055" w:hanging="360"/>
      </w:pPr>
      <w:rPr>
        <w:rFonts w:ascii="Courier New" w:hAnsi="Courier New" w:cs="Courier New" w:hint="default"/>
      </w:rPr>
    </w:lvl>
    <w:lvl w:ilvl="8" w:tplc="080A0005" w:tentative="1">
      <w:start w:val="1"/>
      <w:numFmt w:val="bullet"/>
      <w:lvlText w:val=""/>
      <w:lvlJc w:val="left"/>
      <w:pPr>
        <w:ind w:left="13775" w:hanging="360"/>
      </w:pPr>
      <w:rPr>
        <w:rFonts w:ascii="Wingdings" w:hAnsi="Wingdings" w:hint="default"/>
      </w:rPr>
    </w:lvl>
  </w:abstractNum>
  <w:abstractNum w:abstractNumId="8" w15:restartNumberingAfterBreak="0">
    <w:nsid w:val="45EE7362"/>
    <w:multiLevelType w:val="hybridMultilevel"/>
    <w:tmpl w:val="21CC11F4"/>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758705C"/>
    <w:multiLevelType w:val="hybridMultilevel"/>
    <w:tmpl w:val="8FE0EDEE"/>
    <w:lvl w:ilvl="0" w:tplc="7B74B7F4">
      <w:start w:val="1"/>
      <w:numFmt w:val="lowerLetter"/>
      <w:lvlText w:val="%1)"/>
      <w:lvlJc w:val="left"/>
      <w:pPr>
        <w:ind w:left="1980" w:hanging="42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0" w15:restartNumberingAfterBreak="0">
    <w:nsid w:val="6E3F265B"/>
    <w:multiLevelType w:val="multilevel"/>
    <w:tmpl w:val="784A3626"/>
    <w:lvl w:ilvl="0">
      <w:start w:val="3"/>
      <w:numFmt w:val="upperRoman"/>
      <w:pStyle w:val="Ttulo2"/>
      <w:lvlText w:val="%1."/>
      <w:lvlJc w:val="right"/>
      <w:pPr>
        <w:ind w:left="720" w:hanging="360"/>
      </w:pPr>
      <w:rPr>
        <w:rFonts w:ascii="ITC Avant Garde" w:hAnsi="ITC Avant Garde" w:hint="default"/>
        <w:b/>
        <w:sz w:val="22"/>
      </w:rPr>
    </w:lvl>
    <w:lvl w:ilvl="1">
      <w:start w:val="1"/>
      <w:numFmt w:val="decimal"/>
      <w:suff w:val="space"/>
      <w:lvlText w:val="%1.%2. "/>
      <w:lvlJc w:val="left"/>
      <w:pPr>
        <w:ind w:left="5747"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FFC646E"/>
    <w:multiLevelType w:val="hybridMultilevel"/>
    <w:tmpl w:val="2628277E"/>
    <w:lvl w:ilvl="0" w:tplc="2FC4C696">
      <w:start w:val="1"/>
      <w:numFmt w:val="lowerLetter"/>
      <w:lvlText w:val="%1)"/>
      <w:lvlJc w:val="left"/>
      <w:pPr>
        <w:ind w:left="1980" w:hanging="42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num w:numId="1">
    <w:abstractNumId w:val="8"/>
  </w:num>
  <w:num w:numId="2">
    <w:abstractNumId w:val="1"/>
  </w:num>
  <w:num w:numId="3">
    <w:abstractNumId w:val="3"/>
  </w:num>
  <w:num w:numId="4">
    <w:abstractNumId w:val="4"/>
  </w:num>
  <w:num w:numId="5">
    <w:abstractNumId w:val="5"/>
  </w:num>
  <w:num w:numId="6">
    <w:abstractNumId w:val="10"/>
  </w:num>
  <w:num w:numId="7">
    <w:abstractNumId w:val="7"/>
  </w:num>
  <w:num w:numId="8">
    <w:abstractNumId w:val="6"/>
  </w:num>
  <w:num w:numId="9">
    <w:abstractNumId w:val="0"/>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numStart w:val="1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1DD"/>
    <w:rsid w:val="00011227"/>
    <w:rsid w:val="00015C2E"/>
    <w:rsid w:val="00024EF0"/>
    <w:rsid w:val="0003362F"/>
    <w:rsid w:val="00036160"/>
    <w:rsid w:val="0004749E"/>
    <w:rsid w:val="00050A90"/>
    <w:rsid w:val="000577B5"/>
    <w:rsid w:val="000711A6"/>
    <w:rsid w:val="00081414"/>
    <w:rsid w:val="00086F4B"/>
    <w:rsid w:val="000B29E7"/>
    <w:rsid w:val="000B33AD"/>
    <w:rsid w:val="000B58EC"/>
    <w:rsid w:val="000F1667"/>
    <w:rsid w:val="000F40CA"/>
    <w:rsid w:val="0010495D"/>
    <w:rsid w:val="0011347F"/>
    <w:rsid w:val="00114F1F"/>
    <w:rsid w:val="001230AA"/>
    <w:rsid w:val="00142C05"/>
    <w:rsid w:val="001461F4"/>
    <w:rsid w:val="00173F38"/>
    <w:rsid w:val="001B163B"/>
    <w:rsid w:val="001B4619"/>
    <w:rsid w:val="001C3F90"/>
    <w:rsid w:val="001E672A"/>
    <w:rsid w:val="001F31EE"/>
    <w:rsid w:val="0020545C"/>
    <w:rsid w:val="00226330"/>
    <w:rsid w:val="002322A9"/>
    <w:rsid w:val="00240043"/>
    <w:rsid w:val="0028705D"/>
    <w:rsid w:val="00290BDC"/>
    <w:rsid w:val="00297A60"/>
    <w:rsid w:val="002A3C3A"/>
    <w:rsid w:val="002B3D9C"/>
    <w:rsid w:val="00301288"/>
    <w:rsid w:val="0031638B"/>
    <w:rsid w:val="00317527"/>
    <w:rsid w:val="0032512C"/>
    <w:rsid w:val="0033402E"/>
    <w:rsid w:val="003352AD"/>
    <w:rsid w:val="00340F7D"/>
    <w:rsid w:val="00343C1A"/>
    <w:rsid w:val="003650BB"/>
    <w:rsid w:val="00377CBA"/>
    <w:rsid w:val="00387312"/>
    <w:rsid w:val="003953DA"/>
    <w:rsid w:val="003A35DA"/>
    <w:rsid w:val="003A3AF9"/>
    <w:rsid w:val="003A50DE"/>
    <w:rsid w:val="003C1BF1"/>
    <w:rsid w:val="003E6265"/>
    <w:rsid w:val="003F1E52"/>
    <w:rsid w:val="003F1F15"/>
    <w:rsid w:val="003F5473"/>
    <w:rsid w:val="00401260"/>
    <w:rsid w:val="00404C0B"/>
    <w:rsid w:val="0040628E"/>
    <w:rsid w:val="00421BF1"/>
    <w:rsid w:val="00457A8B"/>
    <w:rsid w:val="00493105"/>
    <w:rsid w:val="004D3BA7"/>
    <w:rsid w:val="004E2287"/>
    <w:rsid w:val="004E343B"/>
    <w:rsid w:val="004E4CC7"/>
    <w:rsid w:val="005002AA"/>
    <w:rsid w:val="005105C3"/>
    <w:rsid w:val="00511DA9"/>
    <w:rsid w:val="00522D16"/>
    <w:rsid w:val="00542C18"/>
    <w:rsid w:val="005642DD"/>
    <w:rsid w:val="00582BD6"/>
    <w:rsid w:val="00594F1F"/>
    <w:rsid w:val="00595151"/>
    <w:rsid w:val="005B03CA"/>
    <w:rsid w:val="005B4F86"/>
    <w:rsid w:val="005C4704"/>
    <w:rsid w:val="005C765A"/>
    <w:rsid w:val="005C78E2"/>
    <w:rsid w:val="005D04FC"/>
    <w:rsid w:val="005D1983"/>
    <w:rsid w:val="005D31B6"/>
    <w:rsid w:val="005E7BBE"/>
    <w:rsid w:val="006051DD"/>
    <w:rsid w:val="00623730"/>
    <w:rsid w:val="00626B37"/>
    <w:rsid w:val="006314C5"/>
    <w:rsid w:val="0063343A"/>
    <w:rsid w:val="0063527F"/>
    <w:rsid w:val="00635534"/>
    <w:rsid w:val="006442BB"/>
    <w:rsid w:val="00646089"/>
    <w:rsid w:val="00663B54"/>
    <w:rsid w:val="00672D0A"/>
    <w:rsid w:val="0067713B"/>
    <w:rsid w:val="00677B07"/>
    <w:rsid w:val="00681C66"/>
    <w:rsid w:val="006A6B1B"/>
    <w:rsid w:val="006C4DD2"/>
    <w:rsid w:val="006C6FCE"/>
    <w:rsid w:val="006E0EEE"/>
    <w:rsid w:val="006E2278"/>
    <w:rsid w:val="007002C0"/>
    <w:rsid w:val="00704F51"/>
    <w:rsid w:val="00721257"/>
    <w:rsid w:val="007243B7"/>
    <w:rsid w:val="00735992"/>
    <w:rsid w:val="007406F2"/>
    <w:rsid w:val="00740AF6"/>
    <w:rsid w:val="007448D0"/>
    <w:rsid w:val="00750DC6"/>
    <w:rsid w:val="007728D8"/>
    <w:rsid w:val="00773300"/>
    <w:rsid w:val="0078795B"/>
    <w:rsid w:val="00793F28"/>
    <w:rsid w:val="007C453E"/>
    <w:rsid w:val="007D31FF"/>
    <w:rsid w:val="007D5E9C"/>
    <w:rsid w:val="007F346F"/>
    <w:rsid w:val="00812D26"/>
    <w:rsid w:val="00814FE3"/>
    <w:rsid w:val="00821BDC"/>
    <w:rsid w:val="00824A3E"/>
    <w:rsid w:val="008253F1"/>
    <w:rsid w:val="0082755C"/>
    <w:rsid w:val="008420C6"/>
    <w:rsid w:val="00864E11"/>
    <w:rsid w:val="00872FB9"/>
    <w:rsid w:val="00884DDC"/>
    <w:rsid w:val="008A5FF9"/>
    <w:rsid w:val="008C5D54"/>
    <w:rsid w:val="008F6593"/>
    <w:rsid w:val="00903576"/>
    <w:rsid w:val="00941C94"/>
    <w:rsid w:val="00956C73"/>
    <w:rsid w:val="0097529C"/>
    <w:rsid w:val="009C096A"/>
    <w:rsid w:val="009D0BFD"/>
    <w:rsid w:val="00A024FB"/>
    <w:rsid w:val="00A13A15"/>
    <w:rsid w:val="00A1421C"/>
    <w:rsid w:val="00A3118B"/>
    <w:rsid w:val="00A360D0"/>
    <w:rsid w:val="00A54135"/>
    <w:rsid w:val="00A7368E"/>
    <w:rsid w:val="00AE0DEA"/>
    <w:rsid w:val="00AF42A4"/>
    <w:rsid w:val="00AF5A5C"/>
    <w:rsid w:val="00B025D1"/>
    <w:rsid w:val="00B231CE"/>
    <w:rsid w:val="00B25979"/>
    <w:rsid w:val="00B4708D"/>
    <w:rsid w:val="00B550DB"/>
    <w:rsid w:val="00B70BD3"/>
    <w:rsid w:val="00B7567C"/>
    <w:rsid w:val="00B93937"/>
    <w:rsid w:val="00BA5529"/>
    <w:rsid w:val="00BB1F98"/>
    <w:rsid w:val="00BB6A0B"/>
    <w:rsid w:val="00BC2262"/>
    <w:rsid w:val="00BD4B2D"/>
    <w:rsid w:val="00BF05B1"/>
    <w:rsid w:val="00BF4EEC"/>
    <w:rsid w:val="00BF53A5"/>
    <w:rsid w:val="00C04F5B"/>
    <w:rsid w:val="00C624B4"/>
    <w:rsid w:val="00C639F5"/>
    <w:rsid w:val="00C73249"/>
    <w:rsid w:val="00C73676"/>
    <w:rsid w:val="00C8657F"/>
    <w:rsid w:val="00C9799C"/>
    <w:rsid w:val="00CD5F9E"/>
    <w:rsid w:val="00CE11DD"/>
    <w:rsid w:val="00CE1BD8"/>
    <w:rsid w:val="00CE7A10"/>
    <w:rsid w:val="00D024A4"/>
    <w:rsid w:val="00D2471F"/>
    <w:rsid w:val="00D269EB"/>
    <w:rsid w:val="00D403CE"/>
    <w:rsid w:val="00D60CCE"/>
    <w:rsid w:val="00D82951"/>
    <w:rsid w:val="00D83613"/>
    <w:rsid w:val="00D91FCA"/>
    <w:rsid w:val="00DD5A0B"/>
    <w:rsid w:val="00DD5E68"/>
    <w:rsid w:val="00DE685D"/>
    <w:rsid w:val="00E11369"/>
    <w:rsid w:val="00E2612A"/>
    <w:rsid w:val="00E322C8"/>
    <w:rsid w:val="00E3668D"/>
    <w:rsid w:val="00E44A4D"/>
    <w:rsid w:val="00E47B82"/>
    <w:rsid w:val="00E5768B"/>
    <w:rsid w:val="00E612D5"/>
    <w:rsid w:val="00E621CB"/>
    <w:rsid w:val="00E64094"/>
    <w:rsid w:val="00E71B58"/>
    <w:rsid w:val="00E92C13"/>
    <w:rsid w:val="00EB2BA2"/>
    <w:rsid w:val="00EB35B6"/>
    <w:rsid w:val="00EB7A55"/>
    <w:rsid w:val="00EE33AB"/>
    <w:rsid w:val="00EE3732"/>
    <w:rsid w:val="00F20A3A"/>
    <w:rsid w:val="00F25421"/>
    <w:rsid w:val="00F33CBE"/>
    <w:rsid w:val="00F43323"/>
    <w:rsid w:val="00F55C92"/>
    <w:rsid w:val="00F73233"/>
    <w:rsid w:val="00F76D2C"/>
    <w:rsid w:val="00F82444"/>
    <w:rsid w:val="00F955BF"/>
    <w:rsid w:val="00FC26D4"/>
    <w:rsid w:val="00FC672E"/>
    <w:rsid w:val="00FF2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588ABE"/>
  <w15:chartTrackingRefBased/>
  <w15:docId w15:val="{940A767E-8933-487C-844C-835A2EC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67C"/>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0F16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26B37"/>
    <w:pPr>
      <w:keepNext/>
      <w:numPr>
        <w:numId w:val="6"/>
      </w:numPr>
      <w:spacing w:before="240" w:after="120"/>
      <w:jc w:val="both"/>
      <w:outlineLvl w:val="1"/>
    </w:pPr>
    <w:rPr>
      <w:rFonts w:ascii="ITC Avant Garde" w:eastAsia="Times New Roman" w:hAnsi="ITC Avant Garde"/>
      <w:b/>
      <w:color w:val="000000"/>
      <w:lang w:eastAsia="es-MX"/>
    </w:rPr>
  </w:style>
  <w:style w:type="paragraph" w:styleId="Ttulo3">
    <w:name w:val="heading 3"/>
    <w:basedOn w:val="Normal"/>
    <w:next w:val="Normal"/>
    <w:link w:val="Ttulo3Car"/>
    <w:uiPriority w:val="9"/>
    <w:semiHidden/>
    <w:unhideWhenUsed/>
    <w:qFormat/>
    <w:rsid w:val="003650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677B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0">
    <w:name w:val="estilo30"/>
    <w:basedOn w:val="Normal"/>
    <w:rsid w:val="00CE11DD"/>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Listas,lp1,CNBV Parrafo1,List Paragraph-Thesis,Dot pt"/>
    <w:basedOn w:val="Normal"/>
    <w:link w:val="PrrafodelistaCar"/>
    <w:uiPriority w:val="34"/>
    <w:qFormat/>
    <w:rsid w:val="00CE11DD"/>
    <w:pPr>
      <w:spacing w:after="0" w:line="240" w:lineRule="auto"/>
      <w:ind w:left="708"/>
    </w:pPr>
    <w:rPr>
      <w:rFonts w:ascii="Arial" w:eastAsia="Times New Roman" w:hAnsi="Arial"/>
      <w:sz w:val="24"/>
      <w:szCs w:val="20"/>
      <w:lang w:eastAsia="es-ES"/>
    </w:rPr>
  </w:style>
  <w:style w:type="character" w:customStyle="1" w:styleId="apple-converted-space">
    <w:name w:val="apple-converted-space"/>
    <w:basedOn w:val="Fuentedeprrafopredeter"/>
    <w:rsid w:val="00CE11DD"/>
  </w:style>
  <w:style w:type="paragraph" w:styleId="Textoindependiente">
    <w:name w:val="Body Text"/>
    <w:basedOn w:val="Normal"/>
    <w:link w:val="TextoindependienteCar"/>
    <w:uiPriority w:val="99"/>
    <w:unhideWhenUsed/>
    <w:rsid w:val="00CE11DD"/>
    <w:pPr>
      <w:spacing w:after="120"/>
    </w:pPr>
  </w:style>
  <w:style w:type="character" w:customStyle="1" w:styleId="TextoindependienteCar">
    <w:name w:val="Texto independiente Car"/>
    <w:basedOn w:val="Fuentedeprrafopredeter"/>
    <w:link w:val="Textoindependiente"/>
    <w:uiPriority w:val="99"/>
    <w:rsid w:val="00CE11DD"/>
    <w:rPr>
      <w:rFonts w:ascii="Calibri" w:eastAsia="Calibri" w:hAnsi="Calibri" w:cs="Times New Roman"/>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Numeración 1 Car,Cuadrícula media 1 - Énfasis 21 Car,Listas Car"/>
    <w:link w:val="Prrafodelista"/>
    <w:uiPriority w:val="34"/>
    <w:qFormat/>
    <w:rsid w:val="00CE11DD"/>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unhideWhenUsed/>
    <w:rsid w:val="00626B37"/>
    <w:pPr>
      <w:spacing w:after="120" w:line="480" w:lineRule="auto"/>
    </w:pPr>
  </w:style>
  <w:style w:type="character" w:customStyle="1" w:styleId="Textoindependiente2Car">
    <w:name w:val="Texto independiente 2 Car"/>
    <w:basedOn w:val="Fuentedeprrafopredeter"/>
    <w:link w:val="Textoindependiente2"/>
    <w:uiPriority w:val="99"/>
    <w:rsid w:val="00626B37"/>
    <w:rPr>
      <w:rFonts w:ascii="Calibri" w:eastAsia="Calibri" w:hAnsi="Calibri" w:cs="Times New Roman"/>
    </w:rPr>
  </w:style>
  <w:style w:type="character" w:customStyle="1" w:styleId="Ttulo2Car">
    <w:name w:val="Título 2 Car"/>
    <w:basedOn w:val="Fuentedeprrafopredeter"/>
    <w:link w:val="Ttulo2"/>
    <w:uiPriority w:val="9"/>
    <w:rsid w:val="00626B37"/>
    <w:rPr>
      <w:rFonts w:ascii="ITC Avant Garde" w:eastAsia="Times New Roman" w:hAnsi="ITC Avant Garde" w:cs="Times New Roman"/>
      <w:b/>
      <w:color w:val="000000"/>
      <w:lang w:eastAsia="es-MX"/>
    </w:rPr>
  </w:style>
  <w:style w:type="table" w:styleId="Tablaconcuadrcula">
    <w:name w:val="Table Grid"/>
    <w:basedOn w:val="Tablanormal"/>
    <w:rsid w:val="00626B37"/>
    <w:pPr>
      <w:spacing w:after="0" w:line="240" w:lineRule="auto"/>
    </w:pPr>
    <w:rPr>
      <w:rFonts w:ascii="Calibri" w:eastAsia="Calibri" w:hAnsi="Calibri" w:cs="Times New Roman"/>
      <w:bCs/>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
    <w:name w:val="Fuente"/>
    <w:basedOn w:val="Prrafodelista"/>
    <w:link w:val="FuenteChar"/>
    <w:qFormat/>
    <w:rsid w:val="00626B37"/>
    <w:pPr>
      <w:spacing w:after="200" w:line="276" w:lineRule="auto"/>
      <w:ind w:left="851"/>
      <w:contextualSpacing/>
      <w:jc w:val="both"/>
    </w:pPr>
    <w:rPr>
      <w:rFonts w:asciiTheme="minorHAnsi" w:eastAsiaTheme="minorEastAsia" w:hAnsiTheme="minorHAnsi" w:cstheme="minorBidi"/>
      <w:sz w:val="16"/>
      <w:szCs w:val="16"/>
      <w:lang w:val="es-MX" w:eastAsia="en-US" w:bidi="en-US"/>
    </w:rPr>
  </w:style>
  <w:style w:type="character" w:customStyle="1" w:styleId="FuenteChar">
    <w:name w:val="Fuente Char"/>
    <w:basedOn w:val="Fuentedeprrafopredeter"/>
    <w:link w:val="Fuente"/>
    <w:rsid w:val="00626B37"/>
    <w:rPr>
      <w:rFonts w:eastAsiaTheme="minorEastAsia"/>
      <w:sz w:val="16"/>
      <w:szCs w:val="16"/>
      <w:lang w:bidi="en-US"/>
    </w:rPr>
  </w:style>
  <w:style w:type="character" w:customStyle="1" w:styleId="Ttulo1Car">
    <w:name w:val="Título 1 Car"/>
    <w:basedOn w:val="Fuentedeprrafopredeter"/>
    <w:link w:val="Ttulo1"/>
    <w:uiPriority w:val="9"/>
    <w:rsid w:val="000F1667"/>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0F1667"/>
    <w:pPr>
      <w:ind w:left="283" w:hanging="283"/>
      <w:contextualSpacing/>
    </w:pPr>
  </w:style>
  <w:style w:type="paragraph" w:styleId="Lista2">
    <w:name w:val="List 2"/>
    <w:basedOn w:val="Normal"/>
    <w:uiPriority w:val="99"/>
    <w:unhideWhenUsed/>
    <w:rsid w:val="000F1667"/>
    <w:pPr>
      <w:ind w:left="566" w:hanging="283"/>
      <w:contextualSpacing/>
    </w:pPr>
  </w:style>
  <w:style w:type="paragraph" w:styleId="Sangradetextonormal">
    <w:name w:val="Body Text Indent"/>
    <w:basedOn w:val="Normal"/>
    <w:link w:val="SangradetextonormalCar"/>
    <w:uiPriority w:val="99"/>
    <w:unhideWhenUsed/>
    <w:rsid w:val="000F1667"/>
    <w:pPr>
      <w:spacing w:after="120"/>
      <w:ind w:left="283"/>
    </w:pPr>
  </w:style>
  <w:style w:type="character" w:customStyle="1" w:styleId="SangradetextonormalCar">
    <w:name w:val="Sangría de texto normal Car"/>
    <w:basedOn w:val="Fuentedeprrafopredeter"/>
    <w:link w:val="Sangradetextonormal"/>
    <w:uiPriority w:val="99"/>
    <w:rsid w:val="000F1667"/>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0F1667"/>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F1667"/>
    <w:rPr>
      <w:rFonts w:ascii="Calibri" w:eastAsia="Calibri" w:hAnsi="Calibri" w:cs="Times New Roman"/>
    </w:rPr>
  </w:style>
  <w:style w:type="paragraph" w:styleId="Textonotapie">
    <w:name w:val="footnote text"/>
    <w:basedOn w:val="Normal"/>
    <w:link w:val="TextonotapieCar"/>
    <w:unhideWhenUsed/>
    <w:rsid w:val="000F1667"/>
    <w:pPr>
      <w:spacing w:after="0" w:line="240" w:lineRule="auto"/>
    </w:pPr>
    <w:rPr>
      <w:sz w:val="20"/>
      <w:szCs w:val="20"/>
    </w:rPr>
  </w:style>
  <w:style w:type="character" w:customStyle="1" w:styleId="TextonotapieCar">
    <w:name w:val="Texto nota pie Car"/>
    <w:basedOn w:val="Fuentedeprrafopredeter"/>
    <w:link w:val="Textonotapie"/>
    <w:rsid w:val="000F1667"/>
    <w:rPr>
      <w:rFonts w:ascii="Calibri" w:eastAsia="Calibri" w:hAnsi="Calibri" w:cs="Times New Roman"/>
      <w:sz w:val="20"/>
      <w:szCs w:val="20"/>
    </w:rPr>
  </w:style>
  <w:style w:type="character" w:styleId="Refdenotaalpie">
    <w:name w:val="footnote reference"/>
    <w:basedOn w:val="Fuentedeprrafopredeter"/>
    <w:unhideWhenUsed/>
    <w:rsid w:val="000F1667"/>
    <w:rPr>
      <w:vertAlign w:val="superscript"/>
    </w:rPr>
  </w:style>
  <w:style w:type="character" w:styleId="Hipervnculo">
    <w:name w:val="Hyperlink"/>
    <w:basedOn w:val="Fuentedeprrafopredeter"/>
    <w:uiPriority w:val="99"/>
    <w:unhideWhenUsed/>
    <w:rsid w:val="00BD4B2D"/>
    <w:rPr>
      <w:color w:val="0563C1" w:themeColor="hyperlink"/>
      <w:u w:val="single"/>
    </w:rPr>
  </w:style>
  <w:style w:type="paragraph" w:styleId="Sinespaciado">
    <w:name w:val="No Spacing"/>
    <w:uiPriority w:val="1"/>
    <w:qFormat/>
    <w:rsid w:val="00B25979"/>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EE37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3732"/>
    <w:rPr>
      <w:rFonts w:ascii="Segoe UI" w:eastAsia="Calibri" w:hAnsi="Segoe UI" w:cs="Segoe UI"/>
      <w:sz w:val="18"/>
      <w:szCs w:val="18"/>
    </w:rPr>
  </w:style>
  <w:style w:type="paragraph" w:styleId="Encabezado">
    <w:name w:val="header"/>
    <w:basedOn w:val="Normal"/>
    <w:link w:val="EncabezadoCar"/>
    <w:uiPriority w:val="99"/>
    <w:unhideWhenUsed/>
    <w:rsid w:val="00BB6A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6A0B"/>
    <w:rPr>
      <w:rFonts w:ascii="Calibri" w:eastAsia="Calibri" w:hAnsi="Calibri" w:cs="Times New Roman"/>
    </w:rPr>
  </w:style>
  <w:style w:type="paragraph" w:styleId="Piedepgina">
    <w:name w:val="footer"/>
    <w:basedOn w:val="Normal"/>
    <w:link w:val="PiedepginaCar"/>
    <w:uiPriority w:val="99"/>
    <w:unhideWhenUsed/>
    <w:rsid w:val="00BB6A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6A0B"/>
    <w:rPr>
      <w:rFonts w:ascii="Calibri" w:eastAsia="Calibri" w:hAnsi="Calibri" w:cs="Times New Roman"/>
    </w:rPr>
  </w:style>
  <w:style w:type="character" w:customStyle="1" w:styleId="N1IFTCar">
    <w:name w:val="N1 IFT Car"/>
    <w:basedOn w:val="Fuentedeprrafopredeter"/>
    <w:link w:val="N1IFT"/>
    <w:locked/>
    <w:rsid w:val="00EB7A55"/>
    <w:rPr>
      <w:rFonts w:ascii="ITC Avant Garde" w:hAnsi="ITC Avant Garde"/>
      <w:b/>
      <w:bCs/>
      <w:color w:val="000000"/>
      <w:lang w:eastAsia="es-ES"/>
    </w:rPr>
  </w:style>
  <w:style w:type="paragraph" w:customStyle="1" w:styleId="N1IFT">
    <w:name w:val="N1 IFT"/>
    <w:basedOn w:val="Normal"/>
    <w:link w:val="N1IFTCar"/>
    <w:rsid w:val="00EB7A55"/>
    <w:pPr>
      <w:jc w:val="both"/>
    </w:pPr>
    <w:rPr>
      <w:rFonts w:ascii="ITC Avant Garde" w:eastAsiaTheme="minorHAnsi" w:hAnsi="ITC Avant Garde" w:cstheme="minorBidi"/>
      <w:b/>
      <w:bCs/>
      <w:color w:val="000000"/>
      <w:lang w:eastAsia="es-ES"/>
    </w:rPr>
  </w:style>
  <w:style w:type="paragraph" w:customStyle="1" w:styleId="Texto">
    <w:name w:val="Texto"/>
    <w:basedOn w:val="Normal"/>
    <w:link w:val="TextoCar"/>
    <w:rsid w:val="005B4F86"/>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5B4F86"/>
    <w:rPr>
      <w:rFonts w:ascii="Arial" w:eastAsia="Times New Roman" w:hAnsi="Arial" w:cs="Arial"/>
      <w:sz w:val="18"/>
      <w:szCs w:val="20"/>
      <w:lang w:val="es-ES" w:eastAsia="es-ES"/>
    </w:rPr>
  </w:style>
  <w:style w:type="paragraph" w:customStyle="1" w:styleId="ANOTACION">
    <w:name w:val="ANOTACION"/>
    <w:basedOn w:val="Normal"/>
    <w:link w:val="ANOTACIONCar"/>
    <w:rsid w:val="005B4F86"/>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B4F86"/>
    <w:rPr>
      <w:rFonts w:ascii="Times New Roman" w:eastAsia="Times New Roman" w:hAnsi="Times New Roman" w:cs="Times New Roman"/>
      <w:b/>
      <w:sz w:val="18"/>
      <w:szCs w:val="20"/>
      <w:lang w:val="es-ES_tradnl" w:eastAsia="es-ES"/>
    </w:rPr>
  </w:style>
  <w:style w:type="character" w:customStyle="1" w:styleId="FirmasDGDTRCar">
    <w:name w:val="Firmas DGDTR Car"/>
    <w:basedOn w:val="Fuentedeprrafopredeter"/>
    <w:link w:val="FirmasDGDTR"/>
    <w:locked/>
    <w:rsid w:val="00F43323"/>
    <w:rPr>
      <w:rFonts w:ascii="ITC Avant Garde" w:eastAsiaTheme="minorEastAsia" w:hAnsi="ITC Avant Garde" w:cs="Arial"/>
      <w:b/>
      <w:color w:val="000000"/>
      <w:lang w:val="es-ES_tradnl" w:eastAsia="es-ES"/>
    </w:rPr>
  </w:style>
  <w:style w:type="paragraph" w:customStyle="1" w:styleId="FirmasDGDTR">
    <w:name w:val="Firmas DGDTR"/>
    <w:basedOn w:val="Normal"/>
    <w:link w:val="FirmasDGDTRCar"/>
    <w:qFormat/>
    <w:rsid w:val="00F43323"/>
    <w:pPr>
      <w:spacing w:after="0" w:line="240" w:lineRule="auto"/>
      <w:jc w:val="center"/>
    </w:pPr>
    <w:rPr>
      <w:rFonts w:ascii="ITC Avant Garde" w:eastAsiaTheme="minorEastAsia" w:hAnsi="ITC Avant Garde" w:cs="Arial"/>
      <w:b/>
      <w:color w:val="000000"/>
      <w:lang w:val="es-ES_tradnl" w:eastAsia="es-ES"/>
    </w:rPr>
  </w:style>
  <w:style w:type="character" w:styleId="Refdecomentario">
    <w:name w:val="annotation reference"/>
    <w:basedOn w:val="Fuentedeprrafopredeter"/>
    <w:uiPriority w:val="99"/>
    <w:semiHidden/>
    <w:unhideWhenUsed/>
    <w:rsid w:val="003650BB"/>
    <w:rPr>
      <w:sz w:val="16"/>
      <w:szCs w:val="16"/>
    </w:rPr>
  </w:style>
  <w:style w:type="paragraph" w:styleId="Textocomentario">
    <w:name w:val="annotation text"/>
    <w:basedOn w:val="Normal"/>
    <w:link w:val="TextocomentarioCar"/>
    <w:uiPriority w:val="99"/>
    <w:unhideWhenUsed/>
    <w:rsid w:val="003650BB"/>
    <w:pPr>
      <w:spacing w:line="240" w:lineRule="auto"/>
    </w:pPr>
    <w:rPr>
      <w:sz w:val="20"/>
      <w:szCs w:val="20"/>
      <w:lang w:val="es-MX"/>
    </w:rPr>
  </w:style>
  <w:style w:type="character" w:customStyle="1" w:styleId="TextocomentarioCar">
    <w:name w:val="Texto comentario Car"/>
    <w:basedOn w:val="Fuentedeprrafopredeter"/>
    <w:link w:val="Textocomentario"/>
    <w:uiPriority w:val="99"/>
    <w:rsid w:val="003650BB"/>
    <w:rPr>
      <w:rFonts w:ascii="Calibri" w:eastAsia="Calibri" w:hAnsi="Calibri" w:cs="Times New Roman"/>
      <w:sz w:val="20"/>
      <w:szCs w:val="20"/>
    </w:rPr>
  </w:style>
  <w:style w:type="character" w:customStyle="1" w:styleId="Ttulo3Car">
    <w:name w:val="Título 3 Car"/>
    <w:basedOn w:val="Fuentedeprrafopredeter"/>
    <w:link w:val="Ttulo3"/>
    <w:uiPriority w:val="9"/>
    <w:semiHidden/>
    <w:rsid w:val="003650BB"/>
    <w:rPr>
      <w:rFonts w:asciiTheme="majorHAnsi" w:eastAsiaTheme="majorEastAsia" w:hAnsiTheme="majorHAnsi" w:cstheme="majorBidi"/>
      <w:color w:val="1F4D78" w:themeColor="accent1" w:themeShade="7F"/>
      <w:sz w:val="24"/>
      <w:szCs w:val="24"/>
      <w:lang w:val="es-ES"/>
    </w:rPr>
  </w:style>
  <w:style w:type="paragraph" w:styleId="Asuntodelcomentario">
    <w:name w:val="annotation subject"/>
    <w:basedOn w:val="Textocomentario"/>
    <w:next w:val="Textocomentario"/>
    <w:link w:val="AsuntodelcomentarioCar"/>
    <w:uiPriority w:val="99"/>
    <w:semiHidden/>
    <w:unhideWhenUsed/>
    <w:rsid w:val="00343C1A"/>
    <w:rPr>
      <w:b/>
      <w:bCs/>
      <w:lang w:val="es-ES"/>
    </w:rPr>
  </w:style>
  <w:style w:type="character" w:customStyle="1" w:styleId="AsuntodelcomentarioCar">
    <w:name w:val="Asunto del comentario Car"/>
    <w:basedOn w:val="TextocomentarioCar"/>
    <w:link w:val="Asuntodelcomentario"/>
    <w:uiPriority w:val="99"/>
    <w:semiHidden/>
    <w:rsid w:val="00343C1A"/>
    <w:rPr>
      <w:rFonts w:ascii="Calibri" w:eastAsia="Calibri" w:hAnsi="Calibri" w:cs="Times New Roman"/>
      <w:b/>
      <w:bCs/>
      <w:sz w:val="20"/>
      <w:szCs w:val="20"/>
      <w:lang w:val="es-ES"/>
    </w:rPr>
  </w:style>
  <w:style w:type="character" w:customStyle="1" w:styleId="Ttulo4Car">
    <w:name w:val="Título 4 Car"/>
    <w:basedOn w:val="Fuentedeprrafopredeter"/>
    <w:link w:val="Ttulo4"/>
    <w:uiPriority w:val="9"/>
    <w:rsid w:val="00677B07"/>
    <w:rPr>
      <w:rFonts w:asciiTheme="majorHAnsi" w:eastAsiaTheme="majorEastAsia" w:hAnsiTheme="majorHAnsi" w:cstheme="majorBidi"/>
      <w:i/>
      <w:iCs/>
      <w:color w:val="2E74B5" w:themeColor="accent1" w:themeShade="BF"/>
      <w:lang w:val="es-ES"/>
    </w:rPr>
  </w:style>
  <w:style w:type="paragraph" w:styleId="NormalWeb">
    <w:name w:val="Normal (Web)"/>
    <w:basedOn w:val="Normal"/>
    <w:uiPriority w:val="99"/>
    <w:unhideWhenUsed/>
    <w:rsid w:val="00677B07"/>
    <w:pPr>
      <w:spacing w:after="0" w:line="240" w:lineRule="auto"/>
    </w:pPr>
    <w:rPr>
      <w:rFonts w:ascii="Times New Roman" w:eastAsiaTheme="minorHAnsi"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82066">
      <w:bodyDiv w:val="1"/>
      <w:marLeft w:val="0"/>
      <w:marRight w:val="0"/>
      <w:marTop w:val="0"/>
      <w:marBottom w:val="0"/>
      <w:divBdr>
        <w:top w:val="none" w:sz="0" w:space="0" w:color="auto"/>
        <w:left w:val="none" w:sz="0" w:space="0" w:color="auto"/>
        <w:bottom w:val="none" w:sz="0" w:space="0" w:color="auto"/>
        <w:right w:val="none" w:sz="0" w:space="0" w:color="auto"/>
      </w:divBdr>
    </w:div>
    <w:div w:id="1577087480">
      <w:bodyDiv w:val="1"/>
      <w:marLeft w:val="0"/>
      <w:marRight w:val="0"/>
      <w:marTop w:val="0"/>
      <w:marBottom w:val="0"/>
      <w:divBdr>
        <w:top w:val="none" w:sz="0" w:space="0" w:color="auto"/>
        <w:left w:val="none" w:sz="0" w:space="0" w:color="auto"/>
        <w:bottom w:val="none" w:sz="0" w:space="0" w:color="auto"/>
        <w:right w:val="none" w:sz="0" w:space="0" w:color="auto"/>
      </w:divBdr>
    </w:div>
    <w:div w:id="204513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4b0fcd7487e5d1ec88ef671f37e3486">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C4E82-59E1-412B-89D0-47C01F9E2D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CDF33C-3FF1-4819-8E04-C25439EF1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F943D8-2F4C-4080-8ACB-B63959FF7E7B}">
  <ds:schemaRefs>
    <ds:schemaRef ds:uri="http://schemas.microsoft.com/sharepoint/v3/contenttype/forms"/>
  </ds:schemaRefs>
</ds:datastoreItem>
</file>

<file path=customXml/itemProps4.xml><?xml version="1.0" encoding="utf-8"?>
<ds:datastoreItem xmlns:ds="http://schemas.openxmlformats.org/officeDocument/2006/customXml" ds:itemID="{E03B3AF1-3DE8-4A8E-8A48-B9265741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1740</Words>
  <Characters>9573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Ignacio Reyes Sanchez</dc:creator>
  <cp:keywords/>
  <dc:description/>
  <cp:lastModifiedBy>Josue Teoyotl Calderon</cp:lastModifiedBy>
  <cp:revision>3</cp:revision>
  <cp:lastPrinted>2022-02-24T02:09:00Z</cp:lastPrinted>
  <dcterms:created xsi:type="dcterms:W3CDTF">2022-02-23T17:05:00Z</dcterms:created>
  <dcterms:modified xsi:type="dcterms:W3CDTF">2022-02-24T02:09:00Z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