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507CF" w14:textId="77777777" w:rsidR="002773C7" w:rsidRPr="002773C7" w:rsidRDefault="002773C7" w:rsidP="002773C7">
      <w:pPr>
        <w:pStyle w:val="Ttulo1"/>
        <w:spacing w:before="0" w:line="276" w:lineRule="auto"/>
        <w:jc w:val="center"/>
        <w:rPr>
          <w:rFonts w:ascii="Arial" w:hAnsi="Arial" w:cs="Arial"/>
          <w:b/>
          <w:color w:val="auto"/>
          <w:sz w:val="26"/>
          <w:szCs w:val="26"/>
        </w:rPr>
      </w:pPr>
      <w:r w:rsidRPr="002773C7">
        <w:rPr>
          <w:rFonts w:ascii="Arial" w:hAnsi="Arial" w:cs="Arial"/>
          <w:b/>
          <w:color w:val="auto"/>
          <w:sz w:val="26"/>
          <w:szCs w:val="26"/>
        </w:rPr>
        <w:t>Anexo Único</w:t>
      </w:r>
    </w:p>
    <w:p w14:paraId="03B96F24" w14:textId="77777777" w:rsidR="002773C7" w:rsidRPr="002773C7" w:rsidRDefault="002773C7" w:rsidP="002773C7">
      <w:pPr>
        <w:spacing w:line="276" w:lineRule="auto"/>
        <w:rPr>
          <w:rFonts w:ascii="Arial" w:hAnsi="Arial" w:cs="Arial"/>
          <w:b/>
          <w:sz w:val="26"/>
          <w:szCs w:val="26"/>
        </w:rPr>
      </w:pPr>
    </w:p>
    <w:p w14:paraId="7BE96183" w14:textId="77777777" w:rsidR="002773C7" w:rsidRPr="002773C7" w:rsidRDefault="002773C7" w:rsidP="002773C7">
      <w:pPr>
        <w:pStyle w:val="Ttulo2"/>
        <w:spacing w:before="0" w:line="276" w:lineRule="auto"/>
        <w:jc w:val="both"/>
        <w:rPr>
          <w:rFonts w:ascii="Arial" w:hAnsi="Arial" w:cs="Arial"/>
          <w:b/>
          <w:color w:val="auto"/>
        </w:rPr>
      </w:pPr>
      <w:r w:rsidRPr="002773C7">
        <w:rPr>
          <w:rFonts w:ascii="Arial" w:hAnsi="Arial" w:cs="Arial"/>
          <w:b/>
          <w:color w:val="auto"/>
        </w:rPr>
        <w:t>Anteproyecto de “Acuerdo mediante el cual el Pleno del Instituto Federal de Telecomunicaciones actualiza las condiciones técnicas de operación para el uso de la banda de frecuencias 57-64 GHz, clasificada como espectro libre”</w:t>
      </w:r>
    </w:p>
    <w:p w14:paraId="434EC996" w14:textId="77777777" w:rsidR="002773C7" w:rsidRPr="002773C7" w:rsidRDefault="002773C7" w:rsidP="002773C7">
      <w:pPr>
        <w:spacing w:line="276" w:lineRule="auto"/>
        <w:rPr>
          <w:rFonts w:ascii="Arial" w:hAnsi="Arial" w:cs="Arial"/>
          <w:b/>
          <w:sz w:val="26"/>
          <w:szCs w:val="26"/>
        </w:rPr>
      </w:pPr>
    </w:p>
    <w:p w14:paraId="40986804" w14:textId="77777777" w:rsidR="002773C7" w:rsidRPr="002773C7" w:rsidRDefault="002773C7" w:rsidP="002773C7">
      <w:pPr>
        <w:pStyle w:val="Ttulo3"/>
        <w:numPr>
          <w:ilvl w:val="0"/>
          <w:numId w:val="0"/>
        </w:numPr>
        <w:spacing w:line="276" w:lineRule="auto"/>
        <w:contextualSpacing w:val="0"/>
        <w:rPr>
          <w:rFonts w:ascii="Arial" w:hAnsi="Arial" w:cs="Arial"/>
          <w:color w:val="auto"/>
          <w:sz w:val="26"/>
          <w:szCs w:val="26"/>
        </w:rPr>
      </w:pPr>
      <w:r w:rsidRPr="002773C7">
        <w:rPr>
          <w:rFonts w:ascii="Arial" w:hAnsi="Arial" w:cs="Arial"/>
          <w:color w:val="auto"/>
          <w:sz w:val="26"/>
          <w:szCs w:val="26"/>
        </w:rPr>
        <w:t>Antecedentes</w:t>
      </w:r>
    </w:p>
    <w:p w14:paraId="31DB4A34" w14:textId="77777777" w:rsidR="002773C7" w:rsidRPr="002773C7" w:rsidRDefault="002773C7" w:rsidP="002773C7">
      <w:pPr>
        <w:spacing w:line="276" w:lineRule="auto"/>
        <w:rPr>
          <w:rFonts w:ascii="Arial" w:hAnsi="Arial" w:cs="Arial"/>
        </w:rPr>
      </w:pPr>
    </w:p>
    <w:p w14:paraId="44BA842F" w14:textId="77777777" w:rsidR="002773C7" w:rsidRPr="002773C7" w:rsidRDefault="002773C7" w:rsidP="002773C7">
      <w:pPr>
        <w:pStyle w:val="Prrafodelista"/>
        <w:numPr>
          <w:ilvl w:val="0"/>
          <w:numId w:val="49"/>
        </w:numPr>
        <w:suppressAutoHyphens/>
        <w:spacing w:line="276" w:lineRule="auto"/>
        <w:ind w:left="0" w:right="49" w:firstLine="0"/>
        <w:contextualSpacing w:val="0"/>
        <w:jc w:val="both"/>
        <w:rPr>
          <w:rFonts w:ascii="Arial" w:hAnsi="Arial" w:cs="Arial"/>
          <w:kern w:val="1"/>
          <w:sz w:val="22"/>
          <w:szCs w:val="22"/>
          <w:lang w:eastAsia="ar-SA"/>
        </w:rPr>
      </w:pPr>
      <w:r w:rsidRPr="002773C7">
        <w:rPr>
          <w:rFonts w:ascii="Arial" w:hAnsi="Arial" w:cs="Arial"/>
          <w:kern w:val="1"/>
          <w:sz w:val="22"/>
          <w:szCs w:val="22"/>
          <w:lang w:eastAsia="ar-SA"/>
        </w:rPr>
        <w:t>El 11 de junio de 2013 se publicó en el Diario Oficial de la Federación (“DOF”) el “</w:t>
      </w:r>
      <w:r w:rsidRPr="002773C7">
        <w:rPr>
          <w:rFonts w:ascii="Arial" w:hAnsi="Arial" w:cs="Arial"/>
          <w:i/>
          <w:kern w:val="1"/>
          <w:sz w:val="22"/>
          <w:szCs w:val="22"/>
          <w:lang w:eastAsia="ar-SA"/>
        </w:rPr>
        <w:t>DECRETO por el que se reforman y adicionan diversas disposiciones de los artículos 6o., 7o., 27, 28, 73, 78, 94 y 105 de la Constitución Política de los Estados Unidos Mexicanos, en materia de telecomunicaciones”</w:t>
      </w:r>
      <w:r w:rsidRPr="002773C7">
        <w:rPr>
          <w:rFonts w:ascii="Arial" w:hAnsi="Arial" w:cs="Arial"/>
          <w:kern w:val="1"/>
          <w:sz w:val="22"/>
          <w:szCs w:val="22"/>
          <w:lang w:eastAsia="ar-SA"/>
        </w:rPr>
        <w:t>, mediante el cual se creó al Instituto Federal de Telecomunicaciones (“Instituto”) como un órgano autónomo, con personalidad jurídica y patrimonio propio.</w:t>
      </w:r>
    </w:p>
    <w:p w14:paraId="426DCA01" w14:textId="77777777" w:rsidR="002773C7" w:rsidRPr="002773C7" w:rsidRDefault="002773C7" w:rsidP="002773C7">
      <w:pPr>
        <w:pStyle w:val="Prrafodelista"/>
        <w:suppressAutoHyphens/>
        <w:spacing w:line="276" w:lineRule="auto"/>
        <w:ind w:left="0" w:right="49"/>
        <w:contextualSpacing w:val="0"/>
        <w:jc w:val="both"/>
        <w:rPr>
          <w:rFonts w:ascii="Arial" w:hAnsi="Arial" w:cs="Arial"/>
          <w:kern w:val="1"/>
          <w:sz w:val="22"/>
          <w:szCs w:val="22"/>
          <w:lang w:eastAsia="ar-SA"/>
        </w:rPr>
      </w:pPr>
    </w:p>
    <w:p w14:paraId="08EB546B" w14:textId="77777777" w:rsidR="002773C7" w:rsidRPr="002773C7" w:rsidRDefault="002773C7" w:rsidP="002773C7">
      <w:pPr>
        <w:pStyle w:val="Prrafodelista"/>
        <w:numPr>
          <w:ilvl w:val="0"/>
          <w:numId w:val="49"/>
        </w:numPr>
        <w:suppressAutoHyphens/>
        <w:spacing w:line="276" w:lineRule="auto"/>
        <w:ind w:left="0" w:right="49" w:firstLine="0"/>
        <w:contextualSpacing w:val="0"/>
        <w:jc w:val="both"/>
        <w:rPr>
          <w:rFonts w:ascii="Arial" w:hAnsi="Arial" w:cs="Arial"/>
          <w:kern w:val="1"/>
          <w:sz w:val="22"/>
          <w:szCs w:val="22"/>
          <w:lang w:eastAsia="ar-SA"/>
        </w:rPr>
      </w:pPr>
      <w:r w:rsidRPr="002773C7">
        <w:rPr>
          <w:rFonts w:ascii="Arial" w:hAnsi="Arial" w:cs="Arial"/>
          <w:kern w:val="1"/>
          <w:sz w:val="22"/>
          <w:szCs w:val="22"/>
          <w:lang w:eastAsia="ar-SA"/>
        </w:rPr>
        <w:t>El 14 de julio de 2014 se publicó en el DOF el “</w:t>
      </w:r>
      <w:r w:rsidRPr="002773C7">
        <w:rPr>
          <w:rFonts w:ascii="Arial" w:hAnsi="Arial" w:cs="Arial"/>
          <w:i/>
          <w:kern w:val="1"/>
          <w:sz w:val="22"/>
          <w:szCs w:val="22"/>
          <w:lang w:eastAsia="ar-SA"/>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2773C7">
        <w:rPr>
          <w:rFonts w:ascii="Arial" w:hAnsi="Arial" w:cs="Arial"/>
          <w:kern w:val="1"/>
          <w:sz w:val="22"/>
          <w:szCs w:val="22"/>
          <w:lang w:eastAsia="ar-SA"/>
        </w:rPr>
        <w:t>, entrando en vigor la Ley Federal de Telecomunicaciones y Radiodifusión (“Ley”) el 13 de agosto de 2014.</w:t>
      </w:r>
    </w:p>
    <w:p w14:paraId="47124E5C" w14:textId="77777777" w:rsidR="002773C7" w:rsidRPr="002773C7" w:rsidRDefault="002773C7" w:rsidP="002773C7">
      <w:pPr>
        <w:spacing w:line="276" w:lineRule="auto"/>
        <w:jc w:val="both"/>
        <w:rPr>
          <w:rFonts w:ascii="Arial" w:eastAsia="Calibri" w:hAnsi="Arial" w:cs="Arial"/>
          <w:sz w:val="22"/>
          <w:szCs w:val="22"/>
          <w:lang w:eastAsia="es-MX"/>
        </w:rPr>
      </w:pPr>
    </w:p>
    <w:p w14:paraId="2454EFD2" w14:textId="77777777" w:rsidR="002773C7" w:rsidRPr="002773C7" w:rsidRDefault="002773C7" w:rsidP="002773C7">
      <w:pPr>
        <w:pStyle w:val="Prrafodelista"/>
        <w:numPr>
          <w:ilvl w:val="0"/>
          <w:numId w:val="49"/>
        </w:numPr>
        <w:suppressAutoHyphens/>
        <w:spacing w:line="276" w:lineRule="auto"/>
        <w:ind w:left="0" w:right="49" w:firstLine="0"/>
        <w:contextualSpacing w:val="0"/>
        <w:jc w:val="both"/>
        <w:rPr>
          <w:rFonts w:ascii="Arial" w:hAnsi="Arial" w:cs="Arial"/>
          <w:kern w:val="1"/>
          <w:sz w:val="22"/>
          <w:szCs w:val="22"/>
          <w:lang w:eastAsia="ar-SA"/>
        </w:rPr>
      </w:pPr>
      <w:r w:rsidRPr="002773C7">
        <w:rPr>
          <w:rFonts w:ascii="Arial" w:eastAsia="Calibri" w:hAnsi="Arial" w:cs="Arial"/>
          <w:sz w:val="22"/>
          <w:szCs w:val="22"/>
          <w:lang w:eastAsia="es-MX"/>
        </w:rPr>
        <w:t>El 4 de septiembre de 2014 se publicó en el DOF el “</w:t>
      </w:r>
      <w:r w:rsidRPr="002773C7">
        <w:rPr>
          <w:rFonts w:ascii="Arial" w:eastAsia="Calibri" w:hAnsi="Arial" w:cs="Arial"/>
          <w:i/>
          <w:sz w:val="22"/>
          <w:szCs w:val="22"/>
          <w:lang w:eastAsia="es-MX"/>
        </w:rPr>
        <w:t>Estatuto Orgánico del Instituto Federal de Telecomunicaciones</w:t>
      </w:r>
      <w:r w:rsidRPr="002773C7">
        <w:rPr>
          <w:rFonts w:ascii="Arial" w:eastAsia="Calibri" w:hAnsi="Arial" w:cs="Arial"/>
          <w:sz w:val="22"/>
          <w:szCs w:val="22"/>
          <w:lang w:eastAsia="es-MX"/>
        </w:rPr>
        <w:t xml:space="preserve"> (“Estatuto Orgánico”), el cual entró en vigor el 26 de septiembre de 2014.</w:t>
      </w:r>
    </w:p>
    <w:p w14:paraId="6981214E" w14:textId="77777777" w:rsidR="002773C7" w:rsidRPr="002773C7" w:rsidRDefault="002773C7" w:rsidP="002773C7">
      <w:pPr>
        <w:spacing w:line="276" w:lineRule="auto"/>
        <w:jc w:val="both"/>
        <w:rPr>
          <w:rFonts w:ascii="Arial" w:hAnsi="Arial" w:cs="Arial"/>
          <w:kern w:val="1"/>
          <w:sz w:val="22"/>
          <w:szCs w:val="22"/>
          <w:lang w:eastAsia="ar-SA"/>
        </w:rPr>
      </w:pPr>
    </w:p>
    <w:p w14:paraId="19E79B42" w14:textId="77777777" w:rsidR="002773C7" w:rsidRPr="002773C7" w:rsidRDefault="002773C7" w:rsidP="002773C7">
      <w:pPr>
        <w:pStyle w:val="Prrafodelista"/>
        <w:numPr>
          <w:ilvl w:val="0"/>
          <w:numId w:val="49"/>
        </w:numPr>
        <w:suppressAutoHyphens/>
        <w:spacing w:line="276" w:lineRule="auto"/>
        <w:ind w:left="0" w:right="49" w:firstLine="0"/>
        <w:contextualSpacing w:val="0"/>
        <w:jc w:val="both"/>
        <w:rPr>
          <w:rFonts w:ascii="Arial" w:hAnsi="Arial" w:cs="Arial"/>
          <w:kern w:val="1"/>
          <w:sz w:val="22"/>
          <w:szCs w:val="22"/>
          <w:lang w:eastAsia="ar-SA"/>
        </w:rPr>
      </w:pPr>
      <w:r w:rsidRPr="002773C7">
        <w:rPr>
          <w:rFonts w:ascii="Arial" w:hAnsi="Arial" w:cs="Arial"/>
          <w:kern w:val="1"/>
          <w:sz w:val="22"/>
          <w:szCs w:val="22"/>
          <w:lang w:eastAsia="ar-SA"/>
        </w:rPr>
        <w:t>El 20 de octubre de 2015 se publicó en el DOF el “</w:t>
      </w:r>
      <w:r w:rsidRPr="002773C7">
        <w:rPr>
          <w:rFonts w:ascii="Arial" w:hAnsi="Arial" w:cs="Arial"/>
          <w:i/>
          <w:kern w:val="1"/>
          <w:sz w:val="22"/>
          <w:szCs w:val="22"/>
          <w:lang w:eastAsia="ar-SA"/>
        </w:rPr>
        <w:t>Acuerdo mediante el cual el Pleno del Instituto Federal de Telecomunicaciones aprueba el Cuadro Nacional de Atribución de Frecuencias”</w:t>
      </w:r>
      <w:r w:rsidRPr="002773C7">
        <w:rPr>
          <w:rStyle w:val="Refdenotaalpie"/>
          <w:rFonts w:ascii="Arial" w:hAnsi="Arial" w:cs="Arial"/>
          <w:i/>
          <w:kern w:val="1"/>
          <w:sz w:val="22"/>
          <w:szCs w:val="22"/>
          <w:lang w:eastAsia="ar-SA"/>
        </w:rPr>
        <w:footnoteReference w:id="2"/>
      </w:r>
      <w:r w:rsidRPr="002773C7">
        <w:rPr>
          <w:rFonts w:ascii="Arial" w:hAnsi="Arial" w:cs="Arial"/>
          <w:kern w:val="1"/>
          <w:sz w:val="22"/>
          <w:szCs w:val="22"/>
          <w:lang w:eastAsia="ar-SA"/>
        </w:rPr>
        <w:t xml:space="preserve"> (“CNAF”) el cual entró en vigor el 20 de octubre de 2015 y cuya última actualización fue publicada en el medio de difusión citado el 30 de diciembre de 2021.</w:t>
      </w:r>
    </w:p>
    <w:p w14:paraId="653BF85C" w14:textId="77777777" w:rsidR="002773C7" w:rsidRPr="002773C7" w:rsidRDefault="002773C7" w:rsidP="002773C7">
      <w:pPr>
        <w:spacing w:line="276" w:lineRule="auto"/>
        <w:jc w:val="both"/>
        <w:rPr>
          <w:rFonts w:ascii="Arial" w:hAnsi="Arial" w:cs="Arial"/>
          <w:kern w:val="1"/>
          <w:sz w:val="22"/>
          <w:szCs w:val="22"/>
          <w:lang w:eastAsia="ar-SA"/>
        </w:rPr>
      </w:pPr>
    </w:p>
    <w:p w14:paraId="48B3C2E7" w14:textId="77777777" w:rsidR="002773C7" w:rsidRPr="002773C7" w:rsidRDefault="002773C7" w:rsidP="002773C7">
      <w:pPr>
        <w:pStyle w:val="Prrafodelista"/>
        <w:numPr>
          <w:ilvl w:val="0"/>
          <w:numId w:val="49"/>
        </w:numPr>
        <w:suppressAutoHyphens/>
        <w:spacing w:line="276" w:lineRule="auto"/>
        <w:ind w:left="0" w:right="49" w:firstLine="0"/>
        <w:contextualSpacing w:val="0"/>
        <w:jc w:val="both"/>
        <w:rPr>
          <w:rFonts w:ascii="Arial" w:hAnsi="Arial" w:cs="Arial"/>
          <w:kern w:val="1"/>
          <w:sz w:val="22"/>
          <w:szCs w:val="22"/>
          <w:lang w:eastAsia="ar-SA"/>
        </w:rPr>
      </w:pPr>
      <w:r w:rsidRPr="002773C7">
        <w:rPr>
          <w:rFonts w:ascii="Arial" w:hAnsi="Arial" w:cs="Arial"/>
          <w:kern w:val="1"/>
          <w:sz w:val="22"/>
          <w:szCs w:val="22"/>
          <w:lang w:eastAsia="ar-SA"/>
        </w:rPr>
        <w:t xml:space="preserve">El 9 de mayo de 2017 se publicó en el DOF el </w:t>
      </w:r>
      <w:r w:rsidRPr="002773C7">
        <w:rPr>
          <w:rFonts w:ascii="Arial" w:hAnsi="Arial" w:cs="Arial"/>
          <w:i/>
          <w:kern w:val="1"/>
          <w:sz w:val="22"/>
          <w:szCs w:val="22"/>
          <w:lang w:eastAsia="ar-SA"/>
        </w:rPr>
        <w:t>“Acuerdo mediante el cual el Pleno del Instituto Federal de Telecomunicaciones clasifica la banda de frecuencias 57-64 GHz como espectro libre y expide las condiciones técnicas de operación”</w:t>
      </w:r>
      <w:r w:rsidRPr="002773C7">
        <w:rPr>
          <w:rStyle w:val="Refdenotaalpie"/>
          <w:rFonts w:ascii="Arial" w:hAnsi="Arial" w:cs="Arial"/>
          <w:i/>
          <w:kern w:val="1"/>
          <w:sz w:val="22"/>
          <w:szCs w:val="22"/>
          <w:lang w:eastAsia="ar-SA"/>
        </w:rPr>
        <w:footnoteReference w:id="3"/>
      </w:r>
      <w:r w:rsidRPr="002773C7">
        <w:rPr>
          <w:rFonts w:ascii="Arial" w:hAnsi="Arial" w:cs="Arial"/>
          <w:kern w:val="1"/>
          <w:sz w:val="22"/>
          <w:szCs w:val="22"/>
          <w:lang w:eastAsia="ar-SA"/>
        </w:rPr>
        <w:t xml:space="preserve"> (“Acuerdo que clasifica la banda 57-64 GHz”) el cual entró en vigor el 10 de mayo de 2017.</w:t>
      </w:r>
    </w:p>
    <w:p w14:paraId="3348FDD2" w14:textId="77777777" w:rsidR="002773C7" w:rsidRPr="002773C7" w:rsidRDefault="002773C7" w:rsidP="002773C7">
      <w:pPr>
        <w:spacing w:line="276" w:lineRule="auto"/>
        <w:jc w:val="both"/>
        <w:rPr>
          <w:rFonts w:ascii="Arial" w:hAnsi="Arial" w:cs="Arial"/>
          <w:kern w:val="1"/>
          <w:sz w:val="22"/>
          <w:szCs w:val="22"/>
          <w:lang w:eastAsia="ar-SA"/>
        </w:rPr>
      </w:pPr>
    </w:p>
    <w:p w14:paraId="123E3C54" w14:textId="77777777" w:rsidR="002773C7" w:rsidRPr="002773C7" w:rsidRDefault="002773C7" w:rsidP="002773C7">
      <w:pPr>
        <w:pStyle w:val="Prrafodelista"/>
        <w:numPr>
          <w:ilvl w:val="0"/>
          <w:numId w:val="49"/>
        </w:numPr>
        <w:suppressAutoHyphens/>
        <w:spacing w:line="276" w:lineRule="auto"/>
        <w:ind w:left="0" w:right="49" w:firstLine="0"/>
        <w:contextualSpacing w:val="0"/>
        <w:jc w:val="both"/>
        <w:rPr>
          <w:rFonts w:ascii="Arial" w:hAnsi="Arial" w:cs="Arial"/>
          <w:kern w:val="1"/>
          <w:sz w:val="22"/>
          <w:szCs w:val="22"/>
          <w:lang w:eastAsia="ar-SA"/>
        </w:rPr>
      </w:pPr>
      <w:r w:rsidRPr="002773C7">
        <w:rPr>
          <w:rFonts w:ascii="Arial" w:hAnsi="Arial" w:cs="Arial"/>
          <w:kern w:val="1"/>
          <w:sz w:val="22"/>
          <w:szCs w:val="22"/>
          <w:lang w:eastAsia="ar-SA"/>
        </w:rPr>
        <w:t xml:space="preserve">El 8 de noviembre de 2017 se publicó en el DOF el </w:t>
      </w:r>
      <w:r w:rsidRPr="002773C7">
        <w:rPr>
          <w:rFonts w:ascii="Arial" w:hAnsi="Arial" w:cs="Arial"/>
          <w:i/>
          <w:kern w:val="1"/>
          <w:sz w:val="22"/>
          <w:szCs w:val="22"/>
          <w:lang w:eastAsia="ar-SA"/>
        </w:rPr>
        <w:t>“Acuerdo mediante el cual el Pleno del Instituto Federal de Telecomunicaciones aprueba y emite los Lineamientos de Consulta Pública y Análisis de Impacto Regulatorio del Instituto Federal de Telecomunicaciones”</w:t>
      </w:r>
      <w:r w:rsidRPr="002773C7">
        <w:rPr>
          <w:rFonts w:ascii="Arial" w:hAnsi="Arial" w:cs="Arial"/>
          <w:kern w:val="1"/>
          <w:sz w:val="22"/>
          <w:szCs w:val="22"/>
          <w:lang w:eastAsia="ar-SA"/>
        </w:rPr>
        <w:t xml:space="preserve"> (“Lineamientos de Consulta Pública”), mismos que entraron en vigor el 1 de enero de 2018.</w:t>
      </w:r>
    </w:p>
    <w:p w14:paraId="789D3096" w14:textId="77777777" w:rsidR="002773C7" w:rsidRPr="002773C7" w:rsidRDefault="002773C7" w:rsidP="002773C7">
      <w:pPr>
        <w:spacing w:line="276" w:lineRule="auto"/>
        <w:jc w:val="both"/>
        <w:rPr>
          <w:rFonts w:ascii="Arial" w:hAnsi="Arial" w:cs="Arial"/>
          <w:kern w:val="1"/>
          <w:sz w:val="22"/>
          <w:szCs w:val="22"/>
          <w:lang w:eastAsia="ar-SA"/>
        </w:rPr>
      </w:pPr>
    </w:p>
    <w:p w14:paraId="415DF509" w14:textId="04ABEB22" w:rsidR="002773C7" w:rsidRPr="002773C7" w:rsidRDefault="002773C7" w:rsidP="002773C7">
      <w:pPr>
        <w:pStyle w:val="Prrafodelista"/>
        <w:numPr>
          <w:ilvl w:val="0"/>
          <w:numId w:val="49"/>
        </w:numPr>
        <w:suppressAutoHyphens/>
        <w:spacing w:line="276" w:lineRule="auto"/>
        <w:ind w:left="0" w:right="49" w:firstLine="0"/>
        <w:contextualSpacing w:val="0"/>
        <w:jc w:val="both"/>
        <w:rPr>
          <w:rFonts w:ascii="Arial" w:hAnsi="Arial" w:cs="Arial"/>
          <w:kern w:val="1"/>
          <w:sz w:val="22"/>
          <w:szCs w:val="22"/>
          <w:lang w:eastAsia="ar-SA"/>
        </w:rPr>
      </w:pPr>
      <w:r w:rsidRPr="002773C7">
        <w:rPr>
          <w:rFonts w:ascii="Arial" w:hAnsi="Arial" w:cs="Arial"/>
          <w:kern w:val="1"/>
          <w:sz w:val="22"/>
          <w:szCs w:val="22"/>
          <w:lang w:eastAsia="ar-SA"/>
        </w:rPr>
        <w:t xml:space="preserve">El 10 de marzo de 2021, mediante Acuerdo P/IFT/100321/102, aprobado en su V Sesión Ordinaria, el Pleno del Instituto determinó someter a Consulta Pública por un período de 20 días hábiles el </w:t>
      </w:r>
      <w:r w:rsidRPr="002773C7">
        <w:rPr>
          <w:rFonts w:ascii="Arial" w:hAnsi="Arial" w:cs="Arial"/>
          <w:i/>
          <w:iCs/>
          <w:kern w:val="1"/>
          <w:sz w:val="22"/>
          <w:szCs w:val="22"/>
          <w:lang w:eastAsia="ar-SA"/>
        </w:rPr>
        <w:t>“Anteproyecto de Acuerdo mediante el cual el Pleno del Instituto Federal de Telecomunicaciones actualiza las condiciones técnicas de operación de la banda de frecuencias 57-64 GHz, clasificada como espectro libre”</w:t>
      </w:r>
      <w:r w:rsidRPr="002773C7">
        <w:rPr>
          <w:rFonts w:ascii="Arial" w:hAnsi="Arial" w:cs="Arial"/>
          <w:kern w:val="1"/>
          <w:sz w:val="22"/>
          <w:szCs w:val="22"/>
          <w:lang w:eastAsia="ar-SA"/>
        </w:rPr>
        <w:t>.</w:t>
      </w:r>
    </w:p>
    <w:p w14:paraId="4C8E2E90" w14:textId="77777777" w:rsidR="002773C7" w:rsidRPr="002773C7" w:rsidRDefault="002773C7" w:rsidP="002773C7">
      <w:pPr>
        <w:spacing w:line="276" w:lineRule="auto"/>
        <w:jc w:val="both"/>
        <w:rPr>
          <w:rFonts w:ascii="Arial" w:hAnsi="Arial" w:cs="Arial"/>
          <w:kern w:val="1"/>
          <w:sz w:val="22"/>
          <w:szCs w:val="22"/>
          <w:lang w:eastAsia="ar-SA"/>
        </w:rPr>
      </w:pPr>
    </w:p>
    <w:p w14:paraId="059D316B" w14:textId="77777777" w:rsidR="002773C7" w:rsidRPr="002773C7" w:rsidRDefault="002773C7" w:rsidP="002773C7">
      <w:pPr>
        <w:pStyle w:val="Prrafodelista"/>
        <w:numPr>
          <w:ilvl w:val="0"/>
          <w:numId w:val="49"/>
        </w:numPr>
        <w:suppressAutoHyphens/>
        <w:spacing w:line="276" w:lineRule="auto"/>
        <w:ind w:left="0" w:right="49" w:firstLine="0"/>
        <w:contextualSpacing w:val="0"/>
        <w:jc w:val="both"/>
        <w:rPr>
          <w:rFonts w:ascii="Arial" w:hAnsi="Arial" w:cs="Arial"/>
          <w:kern w:val="1"/>
          <w:sz w:val="22"/>
          <w:szCs w:val="22"/>
          <w:lang w:eastAsia="ar-SA"/>
        </w:rPr>
      </w:pPr>
      <w:r w:rsidRPr="002773C7">
        <w:rPr>
          <w:rFonts w:ascii="Arial" w:hAnsi="Arial" w:cs="Arial"/>
          <w:kern w:val="1"/>
          <w:sz w:val="22"/>
          <w:szCs w:val="22"/>
          <w:lang w:eastAsia="ar-SA"/>
        </w:rPr>
        <w:t>Del 17 de marzo al 20 de abril de 2021 se llevó a cabo, por un periodo de 20 días hábiles, un primer proceso de Consulta Pública, respecto del “</w:t>
      </w:r>
      <w:r w:rsidRPr="002773C7">
        <w:rPr>
          <w:rFonts w:ascii="Arial" w:hAnsi="Arial" w:cs="Arial"/>
          <w:i/>
          <w:kern w:val="1"/>
          <w:sz w:val="22"/>
          <w:szCs w:val="22"/>
          <w:lang w:eastAsia="ar-SA"/>
        </w:rPr>
        <w:t xml:space="preserve">Anteproyecto de </w:t>
      </w:r>
      <w:r w:rsidRPr="002773C7">
        <w:rPr>
          <w:rFonts w:ascii="Arial" w:hAnsi="Arial" w:cs="Arial"/>
          <w:i/>
          <w:kern w:val="2"/>
          <w:sz w:val="22"/>
          <w:szCs w:val="22"/>
          <w:lang w:val="es-ES_tradnl" w:eastAsia="ar-SA"/>
        </w:rPr>
        <w:t>Acuerdo mediante el cual el Pleno del Instituto Federal de Telecomunicaciones actualiza las condiciones técnicas de operación de la banda de frecuencias 57-64 GHz, clasificada como espectro libre”,</w:t>
      </w:r>
      <w:r w:rsidRPr="002773C7">
        <w:rPr>
          <w:rFonts w:ascii="Arial" w:hAnsi="Arial" w:cs="Arial"/>
          <w:kern w:val="1"/>
          <w:sz w:val="22"/>
          <w:szCs w:val="22"/>
          <w:lang w:eastAsia="ar-SA"/>
        </w:rPr>
        <w:t xml:space="preserve"> con el objeto de transparentar y dar a conocer la propuesta regulatoria del Instituto.</w:t>
      </w:r>
    </w:p>
    <w:p w14:paraId="7A7D86F2" w14:textId="77777777" w:rsidR="002773C7" w:rsidRPr="002773C7" w:rsidRDefault="002773C7" w:rsidP="002773C7">
      <w:pPr>
        <w:spacing w:line="276" w:lineRule="auto"/>
        <w:jc w:val="both"/>
        <w:rPr>
          <w:rFonts w:ascii="Arial" w:hAnsi="Arial" w:cs="Arial"/>
        </w:rPr>
      </w:pPr>
    </w:p>
    <w:p w14:paraId="3CAEF125" w14:textId="77777777" w:rsidR="002773C7" w:rsidRPr="002773C7" w:rsidRDefault="002773C7" w:rsidP="002773C7">
      <w:pPr>
        <w:pStyle w:val="Prrafodelista"/>
        <w:suppressAutoHyphens/>
        <w:spacing w:line="276" w:lineRule="auto"/>
        <w:ind w:left="0" w:right="49"/>
        <w:contextualSpacing w:val="0"/>
        <w:jc w:val="both"/>
        <w:rPr>
          <w:rFonts w:ascii="Arial" w:hAnsi="Arial" w:cs="Arial"/>
          <w:kern w:val="1"/>
          <w:sz w:val="22"/>
          <w:szCs w:val="22"/>
          <w:lang w:eastAsia="ar-SA"/>
        </w:rPr>
      </w:pPr>
      <w:r w:rsidRPr="002773C7">
        <w:rPr>
          <w:rFonts w:ascii="Arial" w:hAnsi="Arial" w:cs="Arial"/>
          <w:kern w:val="1"/>
          <w:sz w:val="22"/>
          <w:szCs w:val="22"/>
          <w:lang w:eastAsia="ar-SA"/>
        </w:rPr>
        <w:t>Durante dicho período fueron recibidos 3 (tres) escritos con comentarios, información, opiniones, aportaciones u otros elementos de análisis, mismos que fueron publicados, analizados y tomados en consideración en la elaboración de la presente disposición administrativa de carácter general.</w:t>
      </w:r>
    </w:p>
    <w:p w14:paraId="1E65DC67" w14:textId="77777777" w:rsidR="002773C7" w:rsidRPr="002773C7" w:rsidRDefault="002773C7" w:rsidP="002773C7">
      <w:pPr>
        <w:pStyle w:val="Prrafodelista"/>
        <w:suppressAutoHyphens/>
        <w:spacing w:line="276" w:lineRule="auto"/>
        <w:ind w:left="0" w:right="49"/>
        <w:contextualSpacing w:val="0"/>
        <w:jc w:val="both"/>
        <w:rPr>
          <w:rFonts w:ascii="Arial" w:hAnsi="Arial" w:cs="Arial"/>
          <w:kern w:val="1"/>
          <w:sz w:val="22"/>
          <w:szCs w:val="22"/>
          <w:lang w:eastAsia="ar-SA"/>
        </w:rPr>
      </w:pPr>
    </w:p>
    <w:p w14:paraId="44C52B97" w14:textId="77777777" w:rsidR="002773C7" w:rsidRPr="002773C7" w:rsidRDefault="002773C7" w:rsidP="002773C7">
      <w:pPr>
        <w:pStyle w:val="Prrafodelista"/>
        <w:numPr>
          <w:ilvl w:val="0"/>
          <w:numId w:val="49"/>
        </w:numPr>
        <w:suppressAutoHyphens/>
        <w:spacing w:line="276" w:lineRule="auto"/>
        <w:ind w:left="0" w:right="49" w:firstLine="0"/>
        <w:contextualSpacing w:val="0"/>
        <w:jc w:val="both"/>
        <w:rPr>
          <w:rFonts w:ascii="Arial" w:hAnsi="Arial" w:cs="Arial"/>
          <w:kern w:val="1"/>
          <w:sz w:val="22"/>
          <w:szCs w:val="22"/>
          <w:lang w:eastAsia="ar-SA"/>
        </w:rPr>
      </w:pPr>
      <w:r w:rsidRPr="002773C7">
        <w:rPr>
          <w:rFonts w:ascii="Arial" w:hAnsi="Arial" w:cs="Arial"/>
          <w:kern w:val="1"/>
          <w:sz w:val="22"/>
          <w:szCs w:val="22"/>
          <w:lang w:eastAsia="ar-SA"/>
        </w:rPr>
        <w:t xml:space="preserve">Mediante oficio IFT/222/UER/DG-PLES/246/2021 de fecha 23 de noviembre de 2021, la Unidad de Espectro Radioeléctrico (“UER”) remitió a la Coordinación General de Mejora Regulatoria (“CGMR”) de este Instituto, el Análisis de Impacto Regulatorio (“AIR”) respecto al </w:t>
      </w:r>
      <w:r w:rsidRPr="002773C7">
        <w:rPr>
          <w:rFonts w:ascii="Arial" w:hAnsi="Arial" w:cs="Arial"/>
          <w:i/>
          <w:kern w:val="1"/>
          <w:sz w:val="22"/>
          <w:szCs w:val="22"/>
          <w:lang w:eastAsia="ar-SA"/>
        </w:rPr>
        <w:t>“Anteproyecto de</w:t>
      </w:r>
      <w:r w:rsidRPr="002773C7">
        <w:rPr>
          <w:rFonts w:ascii="Arial" w:hAnsi="Arial" w:cs="Arial"/>
          <w:kern w:val="1"/>
          <w:sz w:val="22"/>
          <w:szCs w:val="22"/>
          <w:lang w:eastAsia="ar-SA"/>
        </w:rPr>
        <w:t xml:space="preserve"> </w:t>
      </w:r>
      <w:r w:rsidRPr="002773C7">
        <w:rPr>
          <w:rFonts w:ascii="Arial" w:hAnsi="Arial" w:cs="Arial"/>
          <w:i/>
          <w:kern w:val="2"/>
          <w:sz w:val="22"/>
          <w:szCs w:val="22"/>
          <w:lang w:val="es-ES_tradnl" w:eastAsia="ar-SA"/>
        </w:rPr>
        <w:t>Acuerdo mediante el cual el Pleno del Instituto Federal de Telecomunicaciones actualiza las condiciones técnicas de operación de la banda de frecuencias 57-64 GHz, clasificada como espectro libre”,</w:t>
      </w:r>
      <w:r w:rsidRPr="002773C7">
        <w:rPr>
          <w:rFonts w:ascii="Arial" w:hAnsi="Arial" w:cs="Arial"/>
          <w:kern w:val="1"/>
          <w:sz w:val="22"/>
          <w:szCs w:val="22"/>
          <w:lang w:eastAsia="ar-SA"/>
        </w:rPr>
        <w:t xml:space="preserve"> para que la CGMR emitiera su opinión no vinculante, con relación a dicho documento.</w:t>
      </w:r>
    </w:p>
    <w:p w14:paraId="5B262755" w14:textId="77777777" w:rsidR="002773C7" w:rsidRPr="002773C7" w:rsidRDefault="002773C7" w:rsidP="002773C7">
      <w:pPr>
        <w:pStyle w:val="Prrafodelista"/>
        <w:suppressAutoHyphens/>
        <w:spacing w:line="276" w:lineRule="auto"/>
        <w:ind w:left="0" w:right="49"/>
        <w:contextualSpacing w:val="0"/>
        <w:jc w:val="both"/>
        <w:rPr>
          <w:rFonts w:ascii="Arial" w:hAnsi="Arial" w:cs="Arial"/>
          <w:kern w:val="1"/>
          <w:sz w:val="22"/>
          <w:szCs w:val="22"/>
          <w:lang w:eastAsia="ar-SA"/>
        </w:rPr>
      </w:pPr>
    </w:p>
    <w:p w14:paraId="61BFBBCC" w14:textId="77777777" w:rsidR="002773C7" w:rsidRPr="002773C7" w:rsidRDefault="002773C7" w:rsidP="002773C7">
      <w:pPr>
        <w:pStyle w:val="Prrafodelista"/>
        <w:numPr>
          <w:ilvl w:val="0"/>
          <w:numId w:val="49"/>
        </w:numPr>
        <w:suppressAutoHyphens/>
        <w:spacing w:line="276" w:lineRule="auto"/>
        <w:ind w:left="0" w:right="49" w:firstLine="0"/>
        <w:contextualSpacing w:val="0"/>
        <w:jc w:val="both"/>
        <w:rPr>
          <w:rFonts w:ascii="Arial" w:hAnsi="Arial" w:cs="Arial"/>
          <w:kern w:val="1"/>
          <w:sz w:val="22"/>
          <w:szCs w:val="22"/>
          <w:lang w:eastAsia="ar-SA"/>
        </w:rPr>
      </w:pPr>
      <w:r w:rsidRPr="002773C7">
        <w:rPr>
          <w:rFonts w:ascii="Arial" w:hAnsi="Arial" w:cs="Arial"/>
          <w:kern w:val="1"/>
          <w:sz w:val="22"/>
          <w:szCs w:val="22"/>
          <w:lang w:eastAsia="ar-SA"/>
        </w:rPr>
        <w:t xml:space="preserve">Con oficio IFT/211/CGMR/207/2021 de fecha 7 de diciembre de 2021, la CGMR emitió opinión no vinculante, en relación con el AIR del </w:t>
      </w:r>
      <w:r w:rsidRPr="002773C7">
        <w:rPr>
          <w:rFonts w:ascii="Arial" w:hAnsi="Arial" w:cs="Arial"/>
          <w:i/>
          <w:kern w:val="1"/>
          <w:sz w:val="22"/>
          <w:szCs w:val="22"/>
          <w:lang w:eastAsia="ar-SA"/>
        </w:rPr>
        <w:t>“Anteproyecto de</w:t>
      </w:r>
      <w:r w:rsidRPr="002773C7">
        <w:rPr>
          <w:rFonts w:ascii="Arial" w:hAnsi="Arial" w:cs="Arial"/>
          <w:i/>
          <w:kern w:val="2"/>
          <w:sz w:val="22"/>
          <w:szCs w:val="22"/>
          <w:lang w:val="es-ES_tradnl" w:eastAsia="ar-SA"/>
        </w:rPr>
        <w:t xml:space="preserve"> Acuerdo mediante el cual el Pleno del Instituto Federal de Telecomunicaciones actualiza las condiciones técnicas de operación de la banda de frecuencias 57-64 GHz, clasificada como espectro libre”.</w:t>
      </w:r>
    </w:p>
    <w:p w14:paraId="13946BBC" w14:textId="77777777" w:rsidR="002773C7" w:rsidRPr="002773C7" w:rsidRDefault="002773C7" w:rsidP="002773C7">
      <w:pPr>
        <w:spacing w:line="276" w:lineRule="auto"/>
        <w:jc w:val="both"/>
        <w:rPr>
          <w:rFonts w:ascii="Arial" w:hAnsi="Arial" w:cs="Arial"/>
          <w:lang w:val="es-ES_tradnl"/>
        </w:rPr>
      </w:pPr>
    </w:p>
    <w:p w14:paraId="3FF5D0FB" w14:textId="02E9458D" w:rsidR="002773C7" w:rsidRPr="002773C7" w:rsidRDefault="002773C7" w:rsidP="00D8142B">
      <w:pPr>
        <w:pStyle w:val="Prrafodelista"/>
        <w:suppressAutoHyphens/>
        <w:spacing w:line="276" w:lineRule="auto"/>
        <w:ind w:left="0" w:right="49"/>
        <w:contextualSpacing w:val="0"/>
        <w:jc w:val="both"/>
        <w:rPr>
          <w:rFonts w:ascii="Arial" w:hAnsi="Arial" w:cs="Arial"/>
          <w:sz w:val="22"/>
          <w:lang w:val="es-ES_tradnl"/>
        </w:rPr>
      </w:pPr>
      <w:r w:rsidRPr="002773C7">
        <w:rPr>
          <w:rFonts w:ascii="Arial" w:hAnsi="Arial" w:cs="Arial"/>
          <w:b/>
          <w:sz w:val="22"/>
          <w:lang w:val="es-ES_tradnl"/>
        </w:rPr>
        <w:t xml:space="preserve">Décimo </w:t>
      </w:r>
      <w:proofErr w:type="gramStart"/>
      <w:r w:rsidRPr="002773C7">
        <w:rPr>
          <w:rFonts w:ascii="Arial" w:hAnsi="Arial" w:cs="Arial"/>
          <w:b/>
          <w:sz w:val="22"/>
          <w:lang w:val="es-ES_tradnl"/>
        </w:rPr>
        <w:t>Primero.-</w:t>
      </w:r>
      <w:proofErr w:type="gramEnd"/>
      <w:r w:rsidRPr="002773C7">
        <w:rPr>
          <w:rFonts w:ascii="Arial" w:hAnsi="Arial" w:cs="Arial"/>
          <w:b/>
          <w:sz w:val="22"/>
          <w:lang w:val="es-ES_tradnl"/>
        </w:rPr>
        <w:tab/>
      </w:r>
      <w:r w:rsidRPr="002773C7">
        <w:rPr>
          <w:rFonts w:ascii="Arial" w:hAnsi="Arial" w:cs="Arial"/>
          <w:sz w:val="22"/>
          <w:lang w:val="es-ES_tradnl"/>
        </w:rPr>
        <w:t>El ____ de febrero de 2022, la CGMR en coordinación con la UER publicó en el portal de internet del Instituto, el informe de consideraciones que contempla las respuestas a los comentarios, información, opiniones, aportaciones u otros elementos de análisis recibidos durante el primer proceso de Consulta Pública indicado en el Antecedente Octavo del presente Acuerdo.</w:t>
      </w:r>
    </w:p>
    <w:p w14:paraId="545F042D" w14:textId="77777777" w:rsidR="002773C7" w:rsidRPr="002773C7" w:rsidRDefault="002773C7" w:rsidP="002773C7">
      <w:pPr>
        <w:spacing w:line="276" w:lineRule="auto"/>
        <w:jc w:val="both"/>
        <w:rPr>
          <w:rFonts w:ascii="Arial" w:hAnsi="Arial" w:cs="Arial"/>
          <w:kern w:val="1"/>
          <w:sz w:val="22"/>
          <w:szCs w:val="22"/>
          <w:lang w:eastAsia="ar-SA"/>
        </w:rPr>
      </w:pPr>
    </w:p>
    <w:p w14:paraId="5C3007C4" w14:textId="78860FC0" w:rsidR="002773C7" w:rsidRPr="002773C7" w:rsidRDefault="002773C7" w:rsidP="00D8142B">
      <w:pPr>
        <w:pStyle w:val="Prrafodelista"/>
        <w:suppressAutoHyphens/>
        <w:spacing w:line="276" w:lineRule="auto"/>
        <w:ind w:left="0" w:right="49"/>
        <w:contextualSpacing w:val="0"/>
        <w:jc w:val="both"/>
        <w:rPr>
          <w:rFonts w:ascii="Arial" w:hAnsi="Arial" w:cs="Arial"/>
          <w:lang w:val="es-ES_tradnl"/>
        </w:rPr>
      </w:pPr>
      <w:r w:rsidRPr="002773C7">
        <w:rPr>
          <w:rFonts w:ascii="Arial" w:hAnsi="Arial" w:cs="Arial"/>
          <w:b/>
          <w:sz w:val="22"/>
          <w:lang w:val="es-ES_tradnl"/>
        </w:rPr>
        <w:t xml:space="preserve">Décimo </w:t>
      </w:r>
      <w:proofErr w:type="gramStart"/>
      <w:r w:rsidRPr="002773C7">
        <w:rPr>
          <w:rFonts w:ascii="Arial" w:hAnsi="Arial" w:cs="Arial"/>
          <w:b/>
          <w:sz w:val="22"/>
          <w:lang w:val="es-ES_tradnl"/>
        </w:rPr>
        <w:t>Segundo.-</w:t>
      </w:r>
      <w:proofErr w:type="gramEnd"/>
      <w:r w:rsidRPr="002773C7">
        <w:rPr>
          <w:rFonts w:ascii="Arial" w:hAnsi="Arial" w:cs="Arial"/>
          <w:b/>
          <w:sz w:val="22"/>
          <w:lang w:val="es-ES_tradnl"/>
        </w:rPr>
        <w:tab/>
      </w:r>
      <w:r w:rsidRPr="002773C7">
        <w:rPr>
          <w:rFonts w:ascii="Arial" w:hAnsi="Arial" w:cs="Arial"/>
          <w:kern w:val="1"/>
          <w:sz w:val="22"/>
          <w:szCs w:val="22"/>
          <w:lang w:eastAsia="ar-SA"/>
        </w:rPr>
        <w:t xml:space="preserve">El </w:t>
      </w:r>
      <w:r w:rsidRPr="002773C7">
        <w:rPr>
          <w:rFonts w:ascii="Arial" w:hAnsi="Arial" w:cs="Arial"/>
          <w:kern w:val="1"/>
          <w:sz w:val="22"/>
          <w:szCs w:val="22"/>
          <w:u w:val="single"/>
          <w:lang w:eastAsia="ar-SA"/>
        </w:rPr>
        <w:t xml:space="preserve">   </w:t>
      </w:r>
      <w:r w:rsidRPr="002773C7">
        <w:rPr>
          <w:rFonts w:ascii="Arial" w:hAnsi="Arial" w:cs="Arial"/>
          <w:kern w:val="1"/>
          <w:sz w:val="22"/>
          <w:szCs w:val="22"/>
          <w:lang w:eastAsia="ar-SA"/>
        </w:rPr>
        <w:t xml:space="preserve"> de </w:t>
      </w:r>
      <w:r w:rsidRPr="002773C7">
        <w:rPr>
          <w:rFonts w:ascii="Arial" w:hAnsi="Arial" w:cs="Arial"/>
          <w:kern w:val="1"/>
          <w:sz w:val="22"/>
          <w:szCs w:val="22"/>
          <w:u w:val="single"/>
          <w:lang w:eastAsia="ar-SA"/>
        </w:rPr>
        <w:t xml:space="preserve">       </w:t>
      </w:r>
      <w:r w:rsidRPr="002773C7">
        <w:rPr>
          <w:rFonts w:ascii="Arial" w:hAnsi="Arial" w:cs="Arial"/>
          <w:kern w:val="1"/>
          <w:sz w:val="22"/>
          <w:szCs w:val="22"/>
          <w:lang w:eastAsia="ar-SA"/>
        </w:rPr>
        <w:t xml:space="preserve"> </w:t>
      </w:r>
      <w:proofErr w:type="spellStart"/>
      <w:r w:rsidRPr="002773C7">
        <w:rPr>
          <w:rFonts w:ascii="Arial" w:hAnsi="Arial" w:cs="Arial"/>
          <w:kern w:val="1"/>
          <w:sz w:val="22"/>
          <w:szCs w:val="22"/>
          <w:lang w:eastAsia="ar-SA"/>
        </w:rPr>
        <w:t>de</w:t>
      </w:r>
      <w:proofErr w:type="spellEnd"/>
      <w:r w:rsidRPr="002773C7">
        <w:rPr>
          <w:rFonts w:ascii="Arial" w:hAnsi="Arial" w:cs="Arial"/>
          <w:kern w:val="1"/>
          <w:sz w:val="22"/>
          <w:szCs w:val="22"/>
          <w:lang w:eastAsia="ar-SA"/>
        </w:rPr>
        <w:t xml:space="preserve"> 2022, el Pleno del Instituto determinó someter a Consulta Pública, por un período de 20 días hábiles, el </w:t>
      </w:r>
      <w:r w:rsidRPr="002773C7">
        <w:rPr>
          <w:rFonts w:ascii="Arial" w:hAnsi="Arial" w:cs="Arial"/>
          <w:i/>
          <w:iCs/>
          <w:kern w:val="1"/>
          <w:sz w:val="22"/>
          <w:szCs w:val="22"/>
          <w:lang w:eastAsia="ar-SA"/>
        </w:rPr>
        <w:t>“Anteproyecto de Acuerdo mediante el cual el Pleno del Instituto Federal de Telecomunicaciones actualiza las condiciones técnicas de operación para el uso de la banda de frecuencias 57-64 GHz, clasificada como espectro libre”</w:t>
      </w:r>
      <w:r w:rsidRPr="002773C7">
        <w:rPr>
          <w:rFonts w:ascii="Arial" w:hAnsi="Arial" w:cs="Arial"/>
          <w:kern w:val="1"/>
          <w:sz w:val="22"/>
          <w:szCs w:val="22"/>
          <w:lang w:eastAsia="ar-SA"/>
        </w:rPr>
        <w:t>, mediante Acuerdo P/IFT/</w:t>
      </w:r>
      <w:r w:rsidRPr="002773C7">
        <w:rPr>
          <w:rFonts w:ascii="Arial" w:hAnsi="Arial" w:cs="Arial"/>
          <w:kern w:val="1"/>
          <w:sz w:val="22"/>
          <w:szCs w:val="22"/>
          <w:u w:val="single"/>
          <w:lang w:eastAsia="ar-SA"/>
        </w:rPr>
        <w:t xml:space="preserve">     / ,</w:t>
      </w:r>
      <w:r w:rsidRPr="002773C7">
        <w:rPr>
          <w:rFonts w:ascii="Arial" w:hAnsi="Arial" w:cs="Arial"/>
          <w:kern w:val="1"/>
          <w:sz w:val="22"/>
          <w:szCs w:val="22"/>
          <w:lang w:eastAsia="ar-SA"/>
        </w:rPr>
        <w:t xml:space="preserve"> aprobado en su __ Sesión </w:t>
      </w:r>
      <w:r w:rsidRPr="002773C7">
        <w:rPr>
          <w:rFonts w:ascii="Arial" w:hAnsi="Arial" w:cs="Arial"/>
          <w:kern w:val="1"/>
          <w:sz w:val="22"/>
          <w:szCs w:val="22"/>
          <w:u w:val="single"/>
          <w:lang w:eastAsia="ar-SA"/>
        </w:rPr>
        <w:t xml:space="preserve">   </w:t>
      </w:r>
      <w:r w:rsidRPr="002773C7">
        <w:rPr>
          <w:rFonts w:ascii="Arial" w:hAnsi="Arial" w:cs="Arial"/>
          <w:kern w:val="1"/>
          <w:sz w:val="22"/>
          <w:szCs w:val="22"/>
          <w:lang w:eastAsia="ar-SA"/>
        </w:rPr>
        <w:t>.</w:t>
      </w:r>
    </w:p>
    <w:p w14:paraId="39A6C6BE" w14:textId="77777777" w:rsidR="002773C7" w:rsidRPr="002773C7" w:rsidRDefault="002773C7" w:rsidP="002773C7">
      <w:pPr>
        <w:spacing w:line="276" w:lineRule="auto"/>
        <w:jc w:val="both"/>
        <w:rPr>
          <w:rFonts w:ascii="Arial" w:hAnsi="Arial" w:cs="Arial"/>
          <w:kern w:val="1"/>
          <w:sz w:val="22"/>
          <w:szCs w:val="22"/>
          <w:lang w:eastAsia="ar-SA"/>
        </w:rPr>
      </w:pPr>
    </w:p>
    <w:p w14:paraId="4E232703" w14:textId="75E871DE" w:rsidR="002773C7" w:rsidRPr="002773C7" w:rsidRDefault="002773C7" w:rsidP="00D8142B">
      <w:pPr>
        <w:pStyle w:val="Prrafodelista"/>
        <w:suppressAutoHyphens/>
        <w:spacing w:line="276" w:lineRule="auto"/>
        <w:ind w:left="0" w:right="49"/>
        <w:contextualSpacing w:val="0"/>
        <w:jc w:val="both"/>
        <w:rPr>
          <w:rFonts w:ascii="Arial" w:hAnsi="Arial" w:cs="Arial"/>
          <w:lang w:val="es-ES_tradnl"/>
        </w:rPr>
      </w:pPr>
      <w:r w:rsidRPr="002773C7">
        <w:rPr>
          <w:rFonts w:ascii="Arial" w:hAnsi="Arial" w:cs="Arial"/>
          <w:b/>
          <w:sz w:val="22"/>
          <w:lang w:val="es-ES_tradnl"/>
        </w:rPr>
        <w:lastRenderedPageBreak/>
        <w:t xml:space="preserve">Décimo </w:t>
      </w:r>
      <w:proofErr w:type="gramStart"/>
      <w:r w:rsidRPr="002773C7">
        <w:rPr>
          <w:rFonts w:ascii="Arial" w:hAnsi="Arial" w:cs="Arial"/>
          <w:b/>
          <w:sz w:val="22"/>
          <w:lang w:val="es-ES_tradnl"/>
        </w:rPr>
        <w:t>Tercero.-</w:t>
      </w:r>
      <w:proofErr w:type="gramEnd"/>
      <w:r w:rsidRPr="002773C7">
        <w:rPr>
          <w:rFonts w:ascii="Arial" w:hAnsi="Arial" w:cs="Arial"/>
          <w:b/>
          <w:sz w:val="22"/>
          <w:lang w:val="es-ES_tradnl"/>
        </w:rPr>
        <w:tab/>
      </w:r>
      <w:r w:rsidRPr="002773C7">
        <w:rPr>
          <w:rFonts w:ascii="Arial" w:hAnsi="Arial" w:cs="Arial"/>
          <w:kern w:val="1"/>
          <w:sz w:val="22"/>
          <w:szCs w:val="22"/>
          <w:lang w:eastAsia="ar-SA"/>
        </w:rPr>
        <w:t xml:space="preserve">Del </w:t>
      </w:r>
      <w:r w:rsidRPr="002773C7">
        <w:rPr>
          <w:rFonts w:ascii="Arial" w:hAnsi="Arial" w:cs="Arial"/>
          <w:kern w:val="1"/>
          <w:sz w:val="22"/>
          <w:szCs w:val="22"/>
          <w:u w:val="single"/>
          <w:lang w:eastAsia="ar-SA"/>
        </w:rPr>
        <w:t xml:space="preserve">   </w:t>
      </w:r>
      <w:r w:rsidRPr="002773C7">
        <w:rPr>
          <w:rFonts w:ascii="Arial" w:hAnsi="Arial" w:cs="Arial"/>
          <w:kern w:val="1"/>
          <w:sz w:val="22"/>
          <w:szCs w:val="22"/>
          <w:lang w:eastAsia="ar-SA"/>
        </w:rPr>
        <w:t xml:space="preserve"> de </w:t>
      </w:r>
      <w:r w:rsidRPr="002773C7">
        <w:rPr>
          <w:rFonts w:ascii="Arial" w:hAnsi="Arial" w:cs="Arial"/>
          <w:kern w:val="1"/>
          <w:sz w:val="22"/>
          <w:szCs w:val="22"/>
          <w:u w:val="single"/>
          <w:lang w:eastAsia="ar-SA"/>
        </w:rPr>
        <w:t xml:space="preserve">      </w:t>
      </w:r>
      <w:r w:rsidRPr="002773C7">
        <w:rPr>
          <w:rFonts w:ascii="Arial" w:hAnsi="Arial" w:cs="Arial"/>
          <w:kern w:val="1"/>
          <w:sz w:val="22"/>
          <w:szCs w:val="22"/>
          <w:lang w:eastAsia="ar-SA"/>
        </w:rPr>
        <w:t xml:space="preserve"> al </w:t>
      </w:r>
      <w:r w:rsidRPr="002773C7">
        <w:rPr>
          <w:rFonts w:ascii="Arial" w:hAnsi="Arial" w:cs="Arial"/>
          <w:kern w:val="1"/>
          <w:sz w:val="22"/>
          <w:szCs w:val="22"/>
          <w:u w:val="single"/>
          <w:lang w:eastAsia="ar-SA"/>
        </w:rPr>
        <w:t xml:space="preserve">   </w:t>
      </w:r>
      <w:r w:rsidRPr="002773C7">
        <w:rPr>
          <w:rFonts w:ascii="Arial" w:hAnsi="Arial" w:cs="Arial"/>
          <w:kern w:val="1"/>
          <w:sz w:val="22"/>
          <w:szCs w:val="22"/>
          <w:lang w:eastAsia="ar-SA"/>
        </w:rPr>
        <w:t xml:space="preserve"> de </w:t>
      </w:r>
      <w:r w:rsidRPr="002773C7">
        <w:rPr>
          <w:rFonts w:ascii="Arial" w:hAnsi="Arial" w:cs="Arial"/>
          <w:kern w:val="1"/>
          <w:sz w:val="22"/>
          <w:szCs w:val="22"/>
          <w:u w:val="single"/>
          <w:lang w:eastAsia="ar-SA"/>
        </w:rPr>
        <w:t xml:space="preserve">     </w:t>
      </w:r>
      <w:r w:rsidRPr="002773C7">
        <w:rPr>
          <w:rFonts w:ascii="Arial" w:hAnsi="Arial" w:cs="Arial"/>
          <w:kern w:val="1"/>
          <w:sz w:val="22"/>
          <w:szCs w:val="22"/>
          <w:lang w:eastAsia="ar-SA"/>
        </w:rPr>
        <w:t xml:space="preserve"> </w:t>
      </w:r>
      <w:proofErr w:type="spellStart"/>
      <w:r w:rsidRPr="002773C7">
        <w:rPr>
          <w:rFonts w:ascii="Arial" w:hAnsi="Arial" w:cs="Arial"/>
          <w:kern w:val="1"/>
          <w:sz w:val="22"/>
          <w:szCs w:val="22"/>
          <w:lang w:eastAsia="ar-SA"/>
        </w:rPr>
        <w:t>de</w:t>
      </w:r>
      <w:proofErr w:type="spellEnd"/>
      <w:r w:rsidRPr="002773C7">
        <w:rPr>
          <w:rFonts w:ascii="Arial" w:hAnsi="Arial" w:cs="Arial"/>
          <w:kern w:val="1"/>
          <w:sz w:val="22"/>
          <w:szCs w:val="22"/>
          <w:lang w:eastAsia="ar-SA"/>
        </w:rPr>
        <w:t xml:space="preserve"> 2022 se llevó a cabo el proceso de Consulta Pública, respecto del </w:t>
      </w:r>
      <w:r w:rsidRPr="002773C7">
        <w:rPr>
          <w:rFonts w:ascii="Arial" w:hAnsi="Arial" w:cs="Arial"/>
          <w:i/>
          <w:kern w:val="1"/>
          <w:sz w:val="22"/>
          <w:szCs w:val="22"/>
          <w:lang w:eastAsia="ar-SA"/>
        </w:rPr>
        <w:t>“Anteproyecto de</w:t>
      </w:r>
      <w:r w:rsidRPr="002773C7">
        <w:rPr>
          <w:rFonts w:ascii="Arial" w:hAnsi="Arial" w:cs="Arial"/>
          <w:kern w:val="1"/>
          <w:sz w:val="22"/>
          <w:szCs w:val="22"/>
          <w:lang w:eastAsia="ar-SA"/>
        </w:rPr>
        <w:t xml:space="preserve"> </w:t>
      </w:r>
      <w:r w:rsidRPr="002773C7">
        <w:rPr>
          <w:rFonts w:ascii="Arial" w:hAnsi="Arial" w:cs="Arial"/>
          <w:i/>
          <w:kern w:val="1"/>
          <w:sz w:val="22"/>
          <w:szCs w:val="22"/>
          <w:lang w:eastAsia="ar-SA"/>
        </w:rPr>
        <w:t>Acuerdo mediante el cual el Pleno del Instituto Federal de Telecomunicaciones actualiza las condiciones técnicas de operación para el uso de la banda de frecuencias 57-64 GHz, clasificada como espectro libre”</w:t>
      </w:r>
      <w:r w:rsidRPr="002773C7">
        <w:rPr>
          <w:rFonts w:ascii="Arial" w:hAnsi="Arial" w:cs="Arial"/>
          <w:i/>
          <w:kern w:val="2"/>
          <w:sz w:val="22"/>
          <w:szCs w:val="22"/>
          <w:lang w:val="es-ES_tradnl" w:eastAsia="ar-SA"/>
        </w:rPr>
        <w:t>,</w:t>
      </w:r>
      <w:r w:rsidRPr="002773C7">
        <w:rPr>
          <w:rFonts w:ascii="Arial" w:hAnsi="Arial" w:cs="Arial"/>
          <w:kern w:val="1"/>
          <w:sz w:val="22"/>
          <w:szCs w:val="22"/>
          <w:lang w:eastAsia="ar-SA"/>
        </w:rPr>
        <w:t xml:space="preserve"> con el objeto de transparentar y dar a conocer la propuesta regulatoria del Instituto.</w:t>
      </w:r>
    </w:p>
    <w:p w14:paraId="359C7C93" w14:textId="77777777" w:rsidR="002773C7" w:rsidRPr="002773C7" w:rsidRDefault="002773C7" w:rsidP="002773C7">
      <w:pPr>
        <w:spacing w:line="276" w:lineRule="auto"/>
        <w:jc w:val="both"/>
        <w:rPr>
          <w:rFonts w:ascii="Arial" w:hAnsi="Arial" w:cs="Arial"/>
          <w:kern w:val="1"/>
          <w:sz w:val="22"/>
          <w:szCs w:val="22"/>
          <w:lang w:eastAsia="ar-SA"/>
        </w:rPr>
      </w:pPr>
    </w:p>
    <w:p w14:paraId="4F63EF1D" w14:textId="77777777" w:rsidR="002773C7" w:rsidRPr="002773C7" w:rsidRDefault="002773C7" w:rsidP="002773C7">
      <w:pPr>
        <w:pStyle w:val="Prrafodelista"/>
        <w:suppressAutoHyphens/>
        <w:spacing w:line="276" w:lineRule="auto"/>
        <w:ind w:left="0" w:right="49"/>
        <w:contextualSpacing w:val="0"/>
        <w:jc w:val="both"/>
        <w:rPr>
          <w:rFonts w:ascii="Arial" w:hAnsi="Arial" w:cs="Arial"/>
          <w:lang w:val="es-ES_tradnl"/>
        </w:rPr>
      </w:pPr>
      <w:r w:rsidRPr="002773C7">
        <w:rPr>
          <w:rFonts w:ascii="Arial" w:hAnsi="Arial" w:cs="Arial"/>
          <w:kern w:val="1"/>
          <w:sz w:val="22"/>
          <w:szCs w:val="22"/>
          <w:lang w:eastAsia="ar-SA"/>
        </w:rPr>
        <w:t xml:space="preserve">Durante dicho período fueron recibidos </w:t>
      </w:r>
      <w:r w:rsidRPr="002773C7">
        <w:rPr>
          <w:rFonts w:ascii="Arial" w:hAnsi="Arial" w:cs="Arial"/>
          <w:kern w:val="1"/>
          <w:sz w:val="22"/>
          <w:szCs w:val="22"/>
          <w:u w:val="single"/>
          <w:lang w:eastAsia="ar-SA"/>
        </w:rPr>
        <w:t xml:space="preserve">   </w:t>
      </w:r>
      <w:r w:rsidRPr="002773C7">
        <w:rPr>
          <w:rFonts w:ascii="Arial" w:hAnsi="Arial" w:cs="Arial"/>
          <w:kern w:val="1"/>
          <w:sz w:val="22"/>
          <w:szCs w:val="22"/>
          <w:lang w:eastAsia="ar-SA"/>
        </w:rPr>
        <w:t xml:space="preserve"> escritos con comentarios, información, opiniones, aportaciones u otros elementos de análisis, mismos que fueron publicados, analizados y tomados en consideración en la elaboración de la presente disposición administrativa de carácter general.</w:t>
      </w:r>
    </w:p>
    <w:p w14:paraId="47D911F6" w14:textId="77777777" w:rsidR="002773C7" w:rsidRPr="002773C7" w:rsidRDefault="002773C7" w:rsidP="002773C7">
      <w:pPr>
        <w:spacing w:line="276" w:lineRule="auto"/>
        <w:jc w:val="both"/>
        <w:rPr>
          <w:rFonts w:ascii="Arial" w:hAnsi="Arial" w:cs="Arial"/>
          <w:kern w:val="1"/>
          <w:sz w:val="22"/>
          <w:szCs w:val="22"/>
          <w:lang w:eastAsia="ar-SA"/>
        </w:rPr>
      </w:pPr>
    </w:p>
    <w:p w14:paraId="6D92EFD1" w14:textId="77777777" w:rsidR="002773C7" w:rsidRPr="002773C7" w:rsidRDefault="002773C7" w:rsidP="00D8142B">
      <w:pPr>
        <w:pStyle w:val="Prrafodelista"/>
        <w:suppressAutoHyphens/>
        <w:spacing w:line="276" w:lineRule="auto"/>
        <w:ind w:left="0" w:right="49"/>
        <w:contextualSpacing w:val="0"/>
        <w:jc w:val="both"/>
        <w:rPr>
          <w:rFonts w:ascii="Arial" w:hAnsi="Arial" w:cs="Arial"/>
          <w:lang w:val="es-ES_tradnl"/>
        </w:rPr>
      </w:pPr>
      <w:r w:rsidRPr="002773C7">
        <w:rPr>
          <w:rFonts w:ascii="Arial" w:hAnsi="Arial" w:cs="Arial"/>
          <w:b/>
          <w:sz w:val="22"/>
          <w:lang w:val="es-ES_tradnl"/>
        </w:rPr>
        <w:t xml:space="preserve">Décimo </w:t>
      </w:r>
      <w:proofErr w:type="gramStart"/>
      <w:r w:rsidRPr="002773C7">
        <w:rPr>
          <w:rFonts w:ascii="Arial" w:hAnsi="Arial" w:cs="Arial"/>
          <w:b/>
          <w:sz w:val="22"/>
          <w:lang w:val="es-ES_tradnl"/>
        </w:rPr>
        <w:t>Cuarto.-</w:t>
      </w:r>
      <w:proofErr w:type="gramEnd"/>
      <w:r w:rsidRPr="002773C7">
        <w:rPr>
          <w:rFonts w:ascii="Arial" w:hAnsi="Arial" w:cs="Arial"/>
          <w:b/>
          <w:sz w:val="22"/>
          <w:lang w:val="es-ES_tradnl"/>
        </w:rPr>
        <w:tab/>
      </w:r>
      <w:r w:rsidRPr="002773C7">
        <w:rPr>
          <w:rFonts w:ascii="Arial" w:hAnsi="Arial" w:cs="Arial"/>
          <w:kern w:val="1"/>
          <w:sz w:val="22"/>
          <w:szCs w:val="22"/>
          <w:lang w:eastAsia="ar-SA"/>
        </w:rPr>
        <w:t>Mediante oficio IFT/222/UER/</w:t>
      </w:r>
      <w:r w:rsidRPr="002773C7">
        <w:rPr>
          <w:rFonts w:ascii="Arial" w:hAnsi="Arial" w:cs="Arial"/>
          <w:kern w:val="1"/>
          <w:sz w:val="22"/>
          <w:szCs w:val="22"/>
          <w:u w:val="single"/>
          <w:lang w:eastAsia="ar-SA"/>
        </w:rPr>
        <w:t xml:space="preserve">   </w:t>
      </w:r>
      <w:r w:rsidRPr="002773C7">
        <w:rPr>
          <w:rFonts w:ascii="Arial" w:hAnsi="Arial" w:cs="Arial"/>
          <w:kern w:val="1"/>
          <w:sz w:val="22"/>
          <w:szCs w:val="22"/>
          <w:lang w:eastAsia="ar-SA"/>
        </w:rPr>
        <w:t xml:space="preserve">/2022 de fecha </w:t>
      </w:r>
      <w:r w:rsidRPr="002773C7">
        <w:rPr>
          <w:rFonts w:ascii="Arial" w:hAnsi="Arial" w:cs="Arial"/>
          <w:kern w:val="1"/>
          <w:sz w:val="22"/>
          <w:szCs w:val="22"/>
          <w:u w:val="single"/>
          <w:lang w:eastAsia="ar-SA"/>
        </w:rPr>
        <w:t xml:space="preserve">   </w:t>
      </w:r>
      <w:r w:rsidRPr="002773C7">
        <w:rPr>
          <w:rFonts w:ascii="Arial" w:hAnsi="Arial" w:cs="Arial"/>
          <w:kern w:val="1"/>
          <w:sz w:val="22"/>
          <w:szCs w:val="22"/>
          <w:lang w:eastAsia="ar-SA"/>
        </w:rPr>
        <w:t xml:space="preserve"> de </w:t>
      </w:r>
      <w:r w:rsidRPr="002773C7">
        <w:rPr>
          <w:rFonts w:ascii="Arial" w:hAnsi="Arial" w:cs="Arial"/>
          <w:kern w:val="1"/>
          <w:sz w:val="22"/>
          <w:szCs w:val="22"/>
          <w:u w:val="single"/>
          <w:lang w:eastAsia="ar-SA"/>
        </w:rPr>
        <w:t xml:space="preserve">       </w:t>
      </w:r>
      <w:r w:rsidRPr="002773C7">
        <w:rPr>
          <w:rFonts w:ascii="Arial" w:hAnsi="Arial" w:cs="Arial"/>
          <w:kern w:val="1"/>
          <w:sz w:val="22"/>
          <w:szCs w:val="22"/>
          <w:lang w:eastAsia="ar-SA"/>
        </w:rPr>
        <w:t xml:space="preserve"> </w:t>
      </w:r>
      <w:proofErr w:type="spellStart"/>
      <w:r w:rsidRPr="002773C7">
        <w:rPr>
          <w:rFonts w:ascii="Arial" w:hAnsi="Arial" w:cs="Arial"/>
          <w:kern w:val="1"/>
          <w:sz w:val="22"/>
          <w:szCs w:val="22"/>
          <w:lang w:eastAsia="ar-SA"/>
        </w:rPr>
        <w:t>de</w:t>
      </w:r>
      <w:proofErr w:type="spellEnd"/>
      <w:r w:rsidRPr="002773C7">
        <w:rPr>
          <w:rFonts w:ascii="Arial" w:hAnsi="Arial" w:cs="Arial"/>
          <w:kern w:val="1"/>
          <w:sz w:val="22"/>
          <w:szCs w:val="22"/>
          <w:lang w:eastAsia="ar-SA"/>
        </w:rPr>
        <w:t xml:space="preserve"> 2022, la UER remitió a la CGMR de este Instituto, el AIR respecto al “</w:t>
      </w:r>
      <w:r w:rsidRPr="002773C7">
        <w:rPr>
          <w:rFonts w:ascii="Arial" w:hAnsi="Arial" w:cs="Arial"/>
          <w:i/>
          <w:kern w:val="1"/>
          <w:sz w:val="22"/>
          <w:szCs w:val="22"/>
          <w:lang w:eastAsia="ar-SA"/>
        </w:rPr>
        <w:t>Anteproyecto de</w:t>
      </w:r>
      <w:r w:rsidRPr="002773C7">
        <w:rPr>
          <w:rFonts w:ascii="Arial" w:hAnsi="Arial" w:cs="Arial"/>
          <w:kern w:val="1"/>
          <w:sz w:val="22"/>
          <w:szCs w:val="22"/>
          <w:lang w:eastAsia="ar-SA"/>
        </w:rPr>
        <w:t xml:space="preserve"> </w:t>
      </w:r>
      <w:r w:rsidRPr="002773C7">
        <w:rPr>
          <w:rFonts w:ascii="Arial" w:hAnsi="Arial" w:cs="Arial"/>
          <w:i/>
          <w:iCs/>
          <w:kern w:val="1"/>
          <w:sz w:val="22"/>
          <w:szCs w:val="22"/>
          <w:lang w:eastAsia="ar-SA"/>
        </w:rPr>
        <w:t>Acuerdo mediante el cual el Pleno del Instituto Federal de Telecomunicaciones actualiza las condiciones técnicas de operación para el uso de la banda de frecuencias 57-64 GHz, clasificada como espectro libre”</w:t>
      </w:r>
      <w:r w:rsidRPr="002773C7">
        <w:rPr>
          <w:rFonts w:ascii="Arial" w:hAnsi="Arial" w:cs="Arial"/>
          <w:iCs/>
          <w:kern w:val="2"/>
          <w:sz w:val="22"/>
          <w:szCs w:val="22"/>
          <w:lang w:val="es-ES_tradnl" w:eastAsia="ar-SA"/>
        </w:rPr>
        <w:t>,</w:t>
      </w:r>
      <w:r w:rsidRPr="002773C7">
        <w:rPr>
          <w:rFonts w:ascii="Arial" w:hAnsi="Arial" w:cs="Arial"/>
          <w:kern w:val="1"/>
          <w:sz w:val="22"/>
          <w:szCs w:val="22"/>
          <w:lang w:eastAsia="ar-SA"/>
        </w:rPr>
        <w:t xml:space="preserve"> para que la CGMR emitiera su opinión no vinculante, con relación a dicho documento.</w:t>
      </w:r>
    </w:p>
    <w:p w14:paraId="390722E2" w14:textId="77777777" w:rsidR="002773C7" w:rsidRPr="002773C7" w:rsidRDefault="002773C7" w:rsidP="002773C7">
      <w:pPr>
        <w:pStyle w:val="Prrafodelista"/>
        <w:suppressAutoHyphens/>
        <w:spacing w:line="276" w:lineRule="auto"/>
        <w:ind w:left="0" w:right="49"/>
        <w:contextualSpacing w:val="0"/>
        <w:jc w:val="both"/>
        <w:rPr>
          <w:rFonts w:ascii="Arial" w:hAnsi="Arial" w:cs="Arial"/>
          <w:lang w:val="es-ES_tradnl"/>
        </w:rPr>
      </w:pPr>
    </w:p>
    <w:p w14:paraId="61D1F89D" w14:textId="77777777" w:rsidR="002773C7" w:rsidRPr="002773C7" w:rsidRDefault="002773C7" w:rsidP="00D8142B">
      <w:pPr>
        <w:pStyle w:val="Prrafodelista"/>
        <w:suppressAutoHyphens/>
        <w:spacing w:line="276" w:lineRule="auto"/>
        <w:ind w:left="0" w:right="49"/>
        <w:contextualSpacing w:val="0"/>
        <w:jc w:val="both"/>
        <w:rPr>
          <w:rFonts w:ascii="Arial" w:hAnsi="Arial" w:cs="Arial"/>
          <w:lang w:val="es-ES_tradnl"/>
        </w:rPr>
      </w:pPr>
      <w:r w:rsidRPr="002773C7">
        <w:rPr>
          <w:rFonts w:ascii="Arial" w:hAnsi="Arial" w:cs="Arial"/>
          <w:b/>
          <w:sz w:val="22"/>
          <w:lang w:val="es-ES_tradnl"/>
        </w:rPr>
        <w:t xml:space="preserve">Décimo </w:t>
      </w:r>
      <w:proofErr w:type="gramStart"/>
      <w:r w:rsidRPr="002773C7">
        <w:rPr>
          <w:rFonts w:ascii="Arial" w:hAnsi="Arial" w:cs="Arial"/>
          <w:b/>
          <w:sz w:val="22"/>
          <w:lang w:val="es-ES_tradnl"/>
        </w:rPr>
        <w:t>Quinto.-</w:t>
      </w:r>
      <w:proofErr w:type="gramEnd"/>
      <w:r w:rsidRPr="002773C7">
        <w:rPr>
          <w:rFonts w:ascii="Arial" w:hAnsi="Arial" w:cs="Arial"/>
          <w:b/>
          <w:sz w:val="22"/>
          <w:lang w:val="es-ES_tradnl"/>
        </w:rPr>
        <w:tab/>
      </w:r>
      <w:r w:rsidRPr="002773C7">
        <w:rPr>
          <w:rFonts w:ascii="Arial" w:hAnsi="Arial" w:cs="Arial"/>
          <w:kern w:val="1"/>
          <w:sz w:val="22"/>
          <w:szCs w:val="22"/>
          <w:lang w:eastAsia="ar-SA"/>
        </w:rPr>
        <w:t>Con oficio IFT/211/CGMR/</w:t>
      </w:r>
      <w:r w:rsidRPr="002773C7">
        <w:rPr>
          <w:rFonts w:ascii="Arial" w:hAnsi="Arial" w:cs="Arial"/>
          <w:kern w:val="1"/>
          <w:sz w:val="22"/>
          <w:szCs w:val="22"/>
          <w:u w:val="single"/>
          <w:lang w:eastAsia="ar-SA"/>
        </w:rPr>
        <w:t xml:space="preserve">   </w:t>
      </w:r>
      <w:r w:rsidRPr="002773C7">
        <w:rPr>
          <w:rFonts w:ascii="Arial" w:hAnsi="Arial" w:cs="Arial"/>
          <w:kern w:val="1"/>
          <w:sz w:val="22"/>
          <w:szCs w:val="22"/>
          <w:lang w:eastAsia="ar-SA"/>
        </w:rPr>
        <w:t xml:space="preserve">/2022 de fecha </w:t>
      </w:r>
      <w:r w:rsidRPr="002773C7">
        <w:rPr>
          <w:rFonts w:ascii="Arial" w:hAnsi="Arial" w:cs="Arial"/>
          <w:kern w:val="1"/>
          <w:sz w:val="22"/>
          <w:szCs w:val="22"/>
          <w:u w:val="single"/>
          <w:lang w:eastAsia="ar-SA"/>
        </w:rPr>
        <w:t xml:space="preserve">   </w:t>
      </w:r>
      <w:r w:rsidRPr="002773C7">
        <w:rPr>
          <w:rFonts w:ascii="Arial" w:hAnsi="Arial" w:cs="Arial"/>
          <w:kern w:val="1"/>
          <w:sz w:val="22"/>
          <w:szCs w:val="22"/>
          <w:lang w:eastAsia="ar-SA"/>
        </w:rPr>
        <w:t xml:space="preserve">de </w:t>
      </w:r>
      <w:r w:rsidRPr="002773C7">
        <w:rPr>
          <w:rFonts w:ascii="Arial" w:hAnsi="Arial" w:cs="Arial"/>
          <w:kern w:val="1"/>
          <w:sz w:val="22"/>
          <w:szCs w:val="22"/>
          <w:u w:val="single"/>
          <w:lang w:eastAsia="ar-SA"/>
        </w:rPr>
        <w:t xml:space="preserve">       </w:t>
      </w:r>
      <w:r w:rsidRPr="002773C7">
        <w:rPr>
          <w:rFonts w:ascii="Arial" w:hAnsi="Arial" w:cs="Arial"/>
          <w:kern w:val="1"/>
          <w:sz w:val="22"/>
          <w:szCs w:val="22"/>
          <w:lang w:eastAsia="ar-SA"/>
        </w:rPr>
        <w:t xml:space="preserve"> </w:t>
      </w:r>
      <w:proofErr w:type="spellStart"/>
      <w:r w:rsidRPr="002773C7">
        <w:rPr>
          <w:rFonts w:ascii="Arial" w:hAnsi="Arial" w:cs="Arial"/>
          <w:kern w:val="1"/>
          <w:sz w:val="22"/>
          <w:szCs w:val="22"/>
          <w:lang w:eastAsia="ar-SA"/>
        </w:rPr>
        <w:t>de</w:t>
      </w:r>
      <w:proofErr w:type="spellEnd"/>
      <w:r w:rsidRPr="002773C7">
        <w:rPr>
          <w:rFonts w:ascii="Arial" w:hAnsi="Arial" w:cs="Arial"/>
          <w:kern w:val="1"/>
          <w:sz w:val="22"/>
          <w:szCs w:val="22"/>
          <w:lang w:eastAsia="ar-SA"/>
        </w:rPr>
        <w:t xml:space="preserve"> 2022, la CGMR emitió opinión no vinculante, en relación con el Análisis de Impacto Regulatorio del </w:t>
      </w:r>
      <w:r w:rsidRPr="002773C7">
        <w:rPr>
          <w:rFonts w:ascii="Arial" w:hAnsi="Arial" w:cs="Arial"/>
          <w:i/>
          <w:kern w:val="1"/>
          <w:sz w:val="22"/>
          <w:szCs w:val="22"/>
          <w:lang w:eastAsia="ar-SA"/>
        </w:rPr>
        <w:t>“Anteproyecto de Acuerdo mediante el cual el Pleno del Instituto Federal de Telecomunicaciones actualiza las condiciones técnicas de operación para el uso de la banda de frecuencias 57-64 GHz, clasificada como espectro libre”.</w:t>
      </w:r>
    </w:p>
    <w:p w14:paraId="4F3B87EF" w14:textId="77777777" w:rsidR="002773C7" w:rsidRPr="002773C7" w:rsidRDefault="002773C7" w:rsidP="002773C7">
      <w:pPr>
        <w:spacing w:line="276" w:lineRule="auto"/>
        <w:jc w:val="both"/>
        <w:rPr>
          <w:rFonts w:ascii="Arial" w:hAnsi="Arial" w:cs="Arial"/>
          <w:lang w:val="es-ES_tradnl"/>
        </w:rPr>
      </w:pPr>
    </w:p>
    <w:p w14:paraId="39DAC10E" w14:textId="55D41798" w:rsidR="002773C7" w:rsidRPr="002773C7" w:rsidRDefault="002773C7" w:rsidP="00D8142B">
      <w:pPr>
        <w:pStyle w:val="Prrafodelista"/>
        <w:suppressAutoHyphens/>
        <w:spacing w:line="276" w:lineRule="auto"/>
        <w:ind w:left="0" w:right="49"/>
        <w:contextualSpacing w:val="0"/>
        <w:jc w:val="both"/>
        <w:rPr>
          <w:rFonts w:ascii="Arial" w:hAnsi="Arial" w:cs="Arial"/>
          <w:sz w:val="22"/>
          <w:lang w:val="es-ES_tradnl"/>
        </w:rPr>
      </w:pPr>
      <w:r w:rsidRPr="002773C7">
        <w:rPr>
          <w:rFonts w:ascii="Arial" w:hAnsi="Arial" w:cs="Arial"/>
          <w:b/>
          <w:sz w:val="22"/>
          <w:lang w:val="es-ES_tradnl"/>
        </w:rPr>
        <w:t xml:space="preserve">Décimo </w:t>
      </w:r>
      <w:proofErr w:type="gramStart"/>
      <w:r w:rsidRPr="002773C7">
        <w:rPr>
          <w:rFonts w:ascii="Arial" w:hAnsi="Arial" w:cs="Arial"/>
          <w:b/>
          <w:sz w:val="22"/>
          <w:lang w:val="es-ES_tradnl"/>
        </w:rPr>
        <w:t>Sexto.-</w:t>
      </w:r>
      <w:proofErr w:type="gramEnd"/>
      <w:r w:rsidRPr="002773C7">
        <w:rPr>
          <w:rFonts w:ascii="Arial" w:hAnsi="Arial" w:cs="Arial"/>
          <w:b/>
          <w:sz w:val="22"/>
          <w:lang w:val="es-ES_tradnl"/>
        </w:rPr>
        <w:tab/>
      </w:r>
      <w:r w:rsidRPr="002773C7">
        <w:rPr>
          <w:rFonts w:ascii="Arial" w:hAnsi="Arial" w:cs="Arial"/>
          <w:sz w:val="22"/>
          <w:lang w:val="es-ES_tradnl"/>
        </w:rPr>
        <w:t xml:space="preserve">El ____ de ____ </w:t>
      </w:r>
      <w:proofErr w:type="spellStart"/>
      <w:r w:rsidRPr="002773C7">
        <w:rPr>
          <w:rFonts w:ascii="Arial" w:hAnsi="Arial" w:cs="Arial"/>
          <w:sz w:val="22"/>
          <w:lang w:val="es-ES_tradnl"/>
        </w:rPr>
        <w:t>de</w:t>
      </w:r>
      <w:proofErr w:type="spellEnd"/>
      <w:r w:rsidRPr="002773C7">
        <w:rPr>
          <w:rFonts w:ascii="Arial" w:hAnsi="Arial" w:cs="Arial"/>
          <w:sz w:val="22"/>
          <w:lang w:val="es-ES_tradnl"/>
        </w:rPr>
        <w:t xml:space="preserve"> 2022, la CGMR en coordinación con la UER publicó en el portal de internet del Instituto, el informe de consideraciones que contempla las respuestas a los comentarios, información, opiniones, aportaciones u otros elementos de análisis recibidos durante el segundo proceso de Consulta Pública indicado en el Antecedente Decimotercero del presente Acuerdo.</w:t>
      </w:r>
    </w:p>
    <w:p w14:paraId="182CF8C6" w14:textId="77777777" w:rsidR="002773C7" w:rsidRPr="002773C7" w:rsidRDefault="002773C7" w:rsidP="002773C7">
      <w:pPr>
        <w:pStyle w:val="Default"/>
        <w:tabs>
          <w:tab w:val="left" w:pos="0"/>
        </w:tabs>
        <w:spacing w:line="276" w:lineRule="auto"/>
        <w:ind w:left="426" w:hanging="426"/>
        <w:rPr>
          <w:rFonts w:ascii="Arial" w:hAnsi="Arial" w:cs="Arial"/>
          <w:color w:val="auto"/>
          <w:sz w:val="22"/>
          <w:szCs w:val="22"/>
          <w:lang w:val="es-ES_tradnl"/>
        </w:rPr>
      </w:pPr>
    </w:p>
    <w:p w14:paraId="105090BC" w14:textId="77777777" w:rsidR="002773C7" w:rsidRPr="002773C7" w:rsidRDefault="002773C7" w:rsidP="002773C7">
      <w:pPr>
        <w:pStyle w:val="Default"/>
        <w:tabs>
          <w:tab w:val="left" w:pos="0"/>
        </w:tabs>
        <w:spacing w:line="276" w:lineRule="auto"/>
        <w:ind w:left="426" w:hanging="426"/>
        <w:rPr>
          <w:rFonts w:ascii="Arial" w:hAnsi="Arial" w:cs="Arial"/>
          <w:color w:val="auto"/>
          <w:sz w:val="22"/>
          <w:szCs w:val="22"/>
        </w:rPr>
      </w:pPr>
      <w:r w:rsidRPr="002773C7">
        <w:rPr>
          <w:rFonts w:ascii="Arial" w:hAnsi="Arial" w:cs="Arial"/>
          <w:color w:val="auto"/>
          <w:sz w:val="22"/>
          <w:szCs w:val="22"/>
        </w:rPr>
        <w:t>En virtud de los Antecedentes señalados y,</w:t>
      </w:r>
    </w:p>
    <w:p w14:paraId="7DCD36BD" w14:textId="77777777" w:rsidR="002773C7" w:rsidRPr="002773C7" w:rsidRDefault="002773C7" w:rsidP="002773C7">
      <w:pPr>
        <w:pStyle w:val="Default"/>
        <w:tabs>
          <w:tab w:val="left" w:pos="0"/>
        </w:tabs>
        <w:spacing w:line="276" w:lineRule="auto"/>
        <w:ind w:left="426" w:hanging="426"/>
        <w:rPr>
          <w:rFonts w:ascii="Arial" w:hAnsi="Arial" w:cs="Arial"/>
          <w:color w:val="auto"/>
          <w:sz w:val="22"/>
          <w:szCs w:val="22"/>
          <w:lang w:val="es-ES_tradnl"/>
        </w:rPr>
      </w:pPr>
    </w:p>
    <w:p w14:paraId="44B9E493" w14:textId="77777777" w:rsidR="002773C7" w:rsidRPr="00BA7B62" w:rsidRDefault="002773C7" w:rsidP="002773C7">
      <w:pPr>
        <w:pStyle w:val="Ttulo3"/>
        <w:numPr>
          <w:ilvl w:val="0"/>
          <w:numId w:val="0"/>
        </w:numPr>
        <w:spacing w:line="276" w:lineRule="auto"/>
        <w:contextualSpacing w:val="0"/>
        <w:rPr>
          <w:rFonts w:ascii="Arial" w:hAnsi="Arial" w:cs="Arial"/>
          <w:color w:val="auto"/>
          <w:sz w:val="26"/>
          <w:szCs w:val="26"/>
        </w:rPr>
      </w:pPr>
      <w:r w:rsidRPr="00BA7B62">
        <w:rPr>
          <w:rFonts w:ascii="Arial" w:hAnsi="Arial" w:cs="Arial"/>
          <w:color w:val="auto"/>
          <w:sz w:val="26"/>
          <w:szCs w:val="26"/>
        </w:rPr>
        <w:t>Considerando</w:t>
      </w:r>
    </w:p>
    <w:p w14:paraId="2A82B53E" w14:textId="77777777" w:rsidR="002773C7" w:rsidRPr="002773C7" w:rsidRDefault="002773C7" w:rsidP="002773C7">
      <w:pPr>
        <w:pStyle w:val="Default"/>
        <w:tabs>
          <w:tab w:val="left" w:pos="0"/>
        </w:tabs>
        <w:spacing w:line="276" w:lineRule="auto"/>
        <w:ind w:left="426" w:hanging="426"/>
        <w:rPr>
          <w:rFonts w:ascii="Arial" w:hAnsi="Arial" w:cs="Arial"/>
          <w:color w:val="auto"/>
          <w:sz w:val="22"/>
          <w:szCs w:val="22"/>
          <w:lang w:val="es-ES_tradnl"/>
        </w:rPr>
      </w:pPr>
    </w:p>
    <w:p w14:paraId="736FDD31" w14:textId="449A1456" w:rsidR="002773C7" w:rsidRPr="002773C7" w:rsidRDefault="002773C7" w:rsidP="002773C7">
      <w:pPr>
        <w:spacing w:line="276" w:lineRule="auto"/>
        <w:jc w:val="both"/>
        <w:rPr>
          <w:rFonts w:ascii="Arial" w:hAnsi="Arial" w:cs="Arial"/>
          <w:sz w:val="22"/>
          <w:szCs w:val="22"/>
        </w:rPr>
      </w:pPr>
      <w:proofErr w:type="gramStart"/>
      <w:r w:rsidRPr="002773C7">
        <w:rPr>
          <w:rFonts w:ascii="Arial" w:hAnsi="Arial" w:cs="Arial"/>
          <w:b/>
          <w:sz w:val="22"/>
          <w:szCs w:val="22"/>
        </w:rPr>
        <w:t>Primero.-</w:t>
      </w:r>
      <w:proofErr w:type="gramEnd"/>
      <w:r w:rsidRPr="002773C7">
        <w:rPr>
          <w:rFonts w:ascii="Arial" w:hAnsi="Arial" w:cs="Arial"/>
          <w:b/>
          <w:sz w:val="22"/>
          <w:szCs w:val="22"/>
        </w:rPr>
        <w:t xml:space="preserve"> Competencia del Instituto.</w:t>
      </w:r>
      <w:r w:rsidRPr="002773C7">
        <w:rPr>
          <w:rFonts w:ascii="Arial" w:hAnsi="Arial" w:cs="Arial"/>
          <w:sz w:val="22"/>
          <w:szCs w:val="22"/>
        </w:rPr>
        <w:t xml:space="preserve"> De conformidad con lo dispuesto en los artículos 6o., párrafo tercero y apartado B, fracción II; 27, párrafos cuarto y sexto y 28, párrafos décimo quinto y décimo sexto de la Constitución Política de los Estados Unidos Mexicanos (“Constitución”); y 7 de la Ley, el Instituto es un órgano autónomo con personalidad jurídica y patrimonio propio que tiene por objeto el desarrollo eficiente de la radiodifusión y las telecomunicaciones, además de ser también la autoridad en materia de competencia económica de los sectores de radiodifusión y telecomunicaciones.</w:t>
      </w:r>
    </w:p>
    <w:p w14:paraId="2585A08E" w14:textId="77777777" w:rsidR="002773C7" w:rsidRPr="002773C7" w:rsidRDefault="002773C7" w:rsidP="002773C7">
      <w:pPr>
        <w:spacing w:line="276" w:lineRule="auto"/>
        <w:jc w:val="both"/>
        <w:rPr>
          <w:rFonts w:ascii="Arial" w:hAnsi="Arial" w:cs="Arial"/>
          <w:sz w:val="22"/>
          <w:szCs w:val="22"/>
          <w:lang w:eastAsia="es-MX"/>
        </w:rPr>
      </w:pPr>
    </w:p>
    <w:p w14:paraId="126D35E4" w14:textId="77777777" w:rsidR="002773C7" w:rsidRPr="002773C7" w:rsidRDefault="002773C7" w:rsidP="002773C7">
      <w:pPr>
        <w:pStyle w:val="ANOTACION"/>
        <w:spacing w:before="0" w:after="0" w:line="276" w:lineRule="auto"/>
        <w:jc w:val="both"/>
        <w:rPr>
          <w:rFonts w:ascii="Arial" w:hAnsi="Arial" w:cs="Arial"/>
          <w:sz w:val="22"/>
          <w:szCs w:val="22"/>
          <w:lang w:eastAsia="es-MX"/>
        </w:rPr>
      </w:pPr>
      <w:r w:rsidRPr="002773C7">
        <w:rPr>
          <w:rFonts w:ascii="Arial" w:hAnsi="Arial" w:cs="Arial"/>
          <w:b w:val="0"/>
          <w:sz w:val="22"/>
          <w:szCs w:val="22"/>
          <w:lang w:eastAsia="es-MX"/>
        </w:rPr>
        <w:t xml:space="preserve">Para tal efecto, tiene a su cargo la regulación, promoción y supervisión del uso, aprovechamiento y explotación del espectro radioeléctrico, los recursos orbitales, los servicios satelitales, las redes </w:t>
      </w:r>
      <w:r w:rsidRPr="002773C7">
        <w:rPr>
          <w:rFonts w:ascii="Arial" w:hAnsi="Arial" w:cs="Arial"/>
          <w:b w:val="0"/>
          <w:sz w:val="22"/>
          <w:szCs w:val="22"/>
          <w:lang w:eastAsia="es-MX"/>
        </w:rPr>
        <w:lastRenderedPageBreak/>
        <w:t>públicas de telecomunicaciones y la prestación de los servicios de radiodifusión y de telecomunicaciones, así como del acceso a la infraestructura activa y pasiva y otros insumos esenciales.</w:t>
      </w:r>
    </w:p>
    <w:p w14:paraId="02B91831" w14:textId="77777777" w:rsidR="002773C7" w:rsidRPr="002773C7" w:rsidRDefault="002773C7" w:rsidP="002773C7">
      <w:pPr>
        <w:spacing w:line="276" w:lineRule="auto"/>
        <w:jc w:val="both"/>
        <w:rPr>
          <w:rFonts w:ascii="Arial" w:hAnsi="Arial" w:cs="Arial"/>
          <w:sz w:val="22"/>
          <w:szCs w:val="22"/>
        </w:rPr>
      </w:pPr>
    </w:p>
    <w:p w14:paraId="11E1B14C" w14:textId="77777777" w:rsidR="002773C7" w:rsidRPr="002773C7" w:rsidRDefault="002773C7" w:rsidP="002773C7">
      <w:pPr>
        <w:pStyle w:val="ANOTACION"/>
        <w:spacing w:before="0" w:after="0" w:line="276" w:lineRule="auto"/>
        <w:jc w:val="both"/>
        <w:rPr>
          <w:rFonts w:ascii="Arial" w:hAnsi="Arial" w:cs="Arial"/>
          <w:b w:val="0"/>
          <w:sz w:val="22"/>
          <w:szCs w:val="22"/>
          <w:lang w:eastAsia="es-MX"/>
        </w:rPr>
      </w:pPr>
      <w:r w:rsidRPr="002773C7">
        <w:rPr>
          <w:rFonts w:ascii="Arial" w:hAnsi="Arial" w:cs="Arial"/>
          <w:b w:val="0"/>
          <w:sz w:val="22"/>
          <w:szCs w:val="22"/>
          <w:lang w:eastAsia="es-MX"/>
        </w:rPr>
        <w:t xml:space="preserve">Ahora bien, de conformidad con los artículos 28, párrafo vigésimo, fracción IV de la Constitución y 15, fracciones I y LVI de la Ley, el Pleno del Instituto tiene la facultad de emitir disposiciones administrativas de carácter general para el cumplimiento de su función de regulación, para la promoción, supervisión y administración del uso, aprovechamiento y explotación del espectro radioeléctrico. Asimismo, de conformidad con los artículos 54, 55 fracción II, 56 y 64 de la Ley, la administración del espectro radioeléctrico incluye la elaboración y aprobación de planes y programas de uso, así como, el establecimiento de las condiciones para la atribución de una banda de frecuencias. </w:t>
      </w:r>
    </w:p>
    <w:p w14:paraId="1A5B6B82" w14:textId="77777777" w:rsidR="002773C7" w:rsidRPr="002773C7" w:rsidRDefault="002773C7" w:rsidP="002773C7">
      <w:pPr>
        <w:spacing w:line="276" w:lineRule="auto"/>
        <w:jc w:val="both"/>
        <w:rPr>
          <w:rFonts w:ascii="Arial" w:hAnsi="Arial" w:cs="Arial"/>
          <w:sz w:val="22"/>
          <w:szCs w:val="22"/>
          <w:lang w:eastAsia="es-MX"/>
        </w:rPr>
      </w:pPr>
    </w:p>
    <w:p w14:paraId="40381BDD" w14:textId="77777777" w:rsidR="002773C7" w:rsidRPr="002773C7" w:rsidRDefault="002773C7" w:rsidP="002773C7">
      <w:pPr>
        <w:pStyle w:val="ANOTACION"/>
        <w:spacing w:before="0" w:after="0" w:line="276" w:lineRule="auto"/>
        <w:jc w:val="both"/>
        <w:rPr>
          <w:rFonts w:ascii="Arial" w:hAnsi="Arial" w:cs="Arial"/>
          <w:sz w:val="22"/>
          <w:szCs w:val="22"/>
          <w:lang w:eastAsia="es-MX"/>
        </w:rPr>
      </w:pPr>
      <w:r w:rsidRPr="002773C7">
        <w:rPr>
          <w:rFonts w:ascii="Arial" w:hAnsi="Arial" w:cs="Arial"/>
          <w:b w:val="0"/>
          <w:sz w:val="22"/>
          <w:szCs w:val="22"/>
          <w:lang w:eastAsia="es-MX"/>
        </w:rPr>
        <w:t>En ese sentido, el Pleno del Instituto, como órgano máximo de gobierno del Instituto, es competente para emitir el presente Acuerdo, con fundamento en los artículos 16 y 17, fracción I de la Ley, y</w:t>
      </w:r>
      <w:r w:rsidRPr="002773C7" w:rsidDel="00422A84">
        <w:rPr>
          <w:rFonts w:ascii="Arial" w:hAnsi="Arial" w:cs="Arial"/>
          <w:b w:val="0"/>
          <w:sz w:val="22"/>
          <w:szCs w:val="22"/>
          <w:lang w:eastAsia="es-MX"/>
        </w:rPr>
        <w:t xml:space="preserve"> 4</w:t>
      </w:r>
      <w:r w:rsidRPr="002773C7">
        <w:rPr>
          <w:rFonts w:ascii="Arial" w:hAnsi="Arial" w:cs="Arial"/>
          <w:b w:val="0"/>
          <w:sz w:val="22"/>
          <w:szCs w:val="22"/>
          <w:lang w:eastAsia="es-MX"/>
        </w:rPr>
        <w:t>,</w:t>
      </w:r>
      <w:r w:rsidRPr="002773C7" w:rsidDel="00422A84">
        <w:rPr>
          <w:rFonts w:ascii="Arial" w:hAnsi="Arial" w:cs="Arial"/>
          <w:b w:val="0"/>
          <w:sz w:val="22"/>
          <w:szCs w:val="22"/>
          <w:lang w:eastAsia="es-MX"/>
        </w:rPr>
        <w:t xml:space="preserve"> fracción I y 6</w:t>
      </w:r>
      <w:r w:rsidRPr="002773C7">
        <w:rPr>
          <w:rFonts w:ascii="Arial" w:hAnsi="Arial" w:cs="Arial"/>
          <w:b w:val="0"/>
          <w:sz w:val="22"/>
          <w:szCs w:val="22"/>
          <w:lang w:eastAsia="es-MX"/>
        </w:rPr>
        <w:t xml:space="preserve">, fracciones I </w:t>
      </w:r>
      <w:r w:rsidRPr="002773C7" w:rsidDel="00422A84">
        <w:rPr>
          <w:rFonts w:ascii="Arial" w:hAnsi="Arial" w:cs="Arial"/>
          <w:b w:val="0"/>
          <w:sz w:val="22"/>
          <w:szCs w:val="22"/>
          <w:lang w:eastAsia="es-MX"/>
        </w:rPr>
        <w:t>y XXXVIII del Estatuto Orgánico</w:t>
      </w:r>
      <w:r w:rsidRPr="002773C7">
        <w:rPr>
          <w:rFonts w:ascii="Arial" w:hAnsi="Arial" w:cs="Arial"/>
          <w:b w:val="0"/>
          <w:sz w:val="22"/>
          <w:szCs w:val="22"/>
          <w:lang w:eastAsia="es-MX"/>
        </w:rPr>
        <w:t>.</w:t>
      </w:r>
    </w:p>
    <w:p w14:paraId="4391CB9F" w14:textId="77777777" w:rsidR="002773C7" w:rsidRPr="002773C7" w:rsidRDefault="002773C7" w:rsidP="002773C7">
      <w:pPr>
        <w:spacing w:line="276" w:lineRule="auto"/>
        <w:jc w:val="both"/>
        <w:rPr>
          <w:rFonts w:ascii="Arial" w:hAnsi="Arial" w:cs="Arial"/>
          <w:sz w:val="22"/>
          <w:szCs w:val="22"/>
          <w:lang w:eastAsia="es-MX"/>
        </w:rPr>
      </w:pPr>
    </w:p>
    <w:p w14:paraId="4B3D6089" w14:textId="77777777" w:rsidR="002773C7" w:rsidRPr="002773C7" w:rsidRDefault="002773C7" w:rsidP="002773C7">
      <w:pPr>
        <w:spacing w:line="276" w:lineRule="auto"/>
        <w:jc w:val="both"/>
        <w:rPr>
          <w:rFonts w:ascii="Arial" w:hAnsi="Arial" w:cs="Arial"/>
          <w:sz w:val="22"/>
          <w:szCs w:val="22"/>
        </w:rPr>
      </w:pPr>
      <w:proofErr w:type="gramStart"/>
      <w:r w:rsidRPr="002773C7">
        <w:rPr>
          <w:rFonts w:ascii="Arial" w:hAnsi="Arial" w:cs="Arial"/>
          <w:b/>
          <w:sz w:val="22"/>
          <w:szCs w:val="22"/>
        </w:rPr>
        <w:t>Segundo.-</w:t>
      </w:r>
      <w:proofErr w:type="gramEnd"/>
      <w:r w:rsidRPr="002773C7">
        <w:rPr>
          <w:rFonts w:ascii="Arial" w:hAnsi="Arial" w:cs="Arial"/>
          <w:b/>
          <w:sz w:val="22"/>
          <w:szCs w:val="22"/>
        </w:rPr>
        <w:t xml:space="preserve"> Clasificación de bandas como espectro libre.</w:t>
      </w:r>
      <w:r w:rsidRPr="002773C7">
        <w:rPr>
          <w:rFonts w:ascii="Arial" w:hAnsi="Arial" w:cs="Arial"/>
          <w:sz w:val="22"/>
          <w:szCs w:val="22"/>
        </w:rPr>
        <w:t xml:space="preserve"> El artículo 27, párrafos cuarto y sexto de la Constitución establecen, respectivamente que, corresponde a la Nación el dominio directo, entre otros bienes, del espacio situado sobre el territorio nacional, en la extensión y términos que fije el derecho internacional, de tal forma que el dominio que ejerce la Nación sobre este bien es inalienable e imprescriptible y su explotación, uso y aprovechamiento por los particulares no podrá realizarse sino mediante concesiones que, en el caso de las ondas electromagnéticas del espectro radioeléctrico que se propagan en dicho espacio, serán otorgadas por el Instituto.</w:t>
      </w:r>
    </w:p>
    <w:p w14:paraId="0CAD5671" w14:textId="77777777" w:rsidR="002773C7" w:rsidRPr="002773C7" w:rsidRDefault="002773C7" w:rsidP="002773C7">
      <w:pPr>
        <w:spacing w:line="276" w:lineRule="auto"/>
        <w:jc w:val="both"/>
        <w:rPr>
          <w:rFonts w:ascii="Arial" w:hAnsi="Arial" w:cs="Arial"/>
          <w:sz w:val="22"/>
          <w:szCs w:val="22"/>
        </w:rPr>
      </w:pPr>
    </w:p>
    <w:p w14:paraId="70D9EB63" w14:textId="77777777" w:rsidR="002773C7" w:rsidRPr="002773C7" w:rsidRDefault="002773C7" w:rsidP="002773C7">
      <w:pPr>
        <w:suppressAutoHyphens/>
        <w:spacing w:line="276" w:lineRule="auto"/>
        <w:ind w:right="51"/>
        <w:jc w:val="both"/>
        <w:rPr>
          <w:rFonts w:ascii="Arial" w:eastAsia="Times New Roman" w:hAnsi="Arial" w:cs="Arial"/>
          <w:kern w:val="1"/>
          <w:sz w:val="22"/>
          <w:szCs w:val="22"/>
          <w:lang w:eastAsia="ar-SA"/>
        </w:rPr>
      </w:pPr>
      <w:r w:rsidRPr="002773C7">
        <w:rPr>
          <w:rFonts w:ascii="Arial" w:eastAsia="Times New Roman" w:hAnsi="Arial" w:cs="Arial"/>
          <w:kern w:val="1"/>
          <w:sz w:val="22"/>
          <w:szCs w:val="22"/>
          <w:lang w:eastAsia="ar-SA"/>
        </w:rPr>
        <w:t>Así también, los artículos 2, cuarto párrafo y 5 de la Ley disponen que en todo momento el Estado mantendrá el dominio originario, inalienable e imprescriptible sobre el espectro radioeléctrico, otorgándole a este bien el carácter de vías generales de comunicación.</w:t>
      </w:r>
    </w:p>
    <w:p w14:paraId="732839F6" w14:textId="77777777" w:rsidR="002773C7" w:rsidRPr="002773C7" w:rsidRDefault="002773C7" w:rsidP="002773C7">
      <w:pPr>
        <w:pStyle w:val="Prrafodelista"/>
        <w:suppressAutoHyphens/>
        <w:spacing w:line="276" w:lineRule="auto"/>
        <w:ind w:left="0" w:right="48"/>
        <w:contextualSpacing w:val="0"/>
        <w:jc w:val="both"/>
        <w:rPr>
          <w:rFonts w:ascii="Arial" w:hAnsi="Arial" w:cs="Arial"/>
          <w:kern w:val="1"/>
          <w:sz w:val="22"/>
          <w:szCs w:val="22"/>
          <w:lang w:eastAsia="ar-SA"/>
        </w:rPr>
      </w:pPr>
    </w:p>
    <w:p w14:paraId="69447C17" w14:textId="77777777" w:rsidR="002773C7" w:rsidRPr="002773C7" w:rsidRDefault="002773C7" w:rsidP="002773C7">
      <w:pPr>
        <w:pStyle w:val="Prrafodelista"/>
        <w:suppressAutoHyphens/>
        <w:spacing w:line="276" w:lineRule="auto"/>
        <w:ind w:left="0" w:right="48"/>
        <w:contextualSpacing w:val="0"/>
        <w:jc w:val="both"/>
        <w:rPr>
          <w:rFonts w:ascii="Arial" w:hAnsi="Arial" w:cs="Arial"/>
          <w:kern w:val="1"/>
          <w:sz w:val="22"/>
          <w:szCs w:val="22"/>
          <w:lang w:eastAsia="ar-SA"/>
        </w:rPr>
      </w:pPr>
      <w:r w:rsidRPr="002773C7">
        <w:rPr>
          <w:rFonts w:ascii="Arial" w:hAnsi="Arial" w:cs="Arial"/>
          <w:kern w:val="1"/>
          <w:sz w:val="22"/>
          <w:szCs w:val="22"/>
          <w:lang w:eastAsia="ar-SA"/>
        </w:rPr>
        <w:t>Por su parte, el artículo 3, fracción XXI de la Ley, define espectro radioeléctrico como se señala a continuación:</w:t>
      </w:r>
    </w:p>
    <w:p w14:paraId="03596396" w14:textId="77777777" w:rsidR="002773C7" w:rsidRPr="002773C7" w:rsidRDefault="002773C7" w:rsidP="002773C7">
      <w:pPr>
        <w:spacing w:line="276" w:lineRule="auto"/>
        <w:ind w:left="1134" w:right="1253"/>
        <w:jc w:val="both"/>
        <w:rPr>
          <w:rFonts w:ascii="Arial" w:hAnsi="Arial" w:cs="Arial"/>
          <w:i/>
          <w:sz w:val="22"/>
          <w:szCs w:val="22"/>
        </w:rPr>
      </w:pPr>
    </w:p>
    <w:p w14:paraId="174E342E" w14:textId="77777777" w:rsidR="002773C7" w:rsidRPr="002773C7" w:rsidRDefault="002773C7" w:rsidP="002773C7">
      <w:pPr>
        <w:spacing w:line="276" w:lineRule="auto"/>
        <w:ind w:left="851" w:right="899"/>
        <w:jc w:val="both"/>
        <w:rPr>
          <w:rFonts w:ascii="Arial" w:hAnsi="Arial" w:cs="Arial"/>
          <w:i/>
          <w:sz w:val="22"/>
          <w:szCs w:val="22"/>
        </w:rPr>
      </w:pPr>
      <w:r w:rsidRPr="002773C7">
        <w:rPr>
          <w:rFonts w:ascii="Arial" w:hAnsi="Arial" w:cs="Arial"/>
          <w:i/>
          <w:sz w:val="22"/>
          <w:szCs w:val="22"/>
        </w:rPr>
        <w:t>“</w:t>
      </w:r>
      <w:r w:rsidRPr="002773C7">
        <w:rPr>
          <w:rFonts w:ascii="Arial" w:hAnsi="Arial" w:cs="Arial"/>
          <w:b/>
          <w:i/>
          <w:sz w:val="22"/>
          <w:szCs w:val="22"/>
        </w:rPr>
        <w:t>Artículo 3</w:t>
      </w:r>
      <w:r w:rsidRPr="002773C7">
        <w:rPr>
          <w:rFonts w:ascii="Arial" w:hAnsi="Arial" w:cs="Arial"/>
          <w:i/>
          <w:sz w:val="22"/>
          <w:szCs w:val="22"/>
        </w:rPr>
        <w:t xml:space="preserve">. Para los efectos de esta Ley se entenderá por: </w:t>
      </w:r>
    </w:p>
    <w:p w14:paraId="2E349584" w14:textId="77777777" w:rsidR="002773C7" w:rsidRPr="002773C7" w:rsidRDefault="002773C7" w:rsidP="002773C7">
      <w:pPr>
        <w:spacing w:line="276" w:lineRule="auto"/>
        <w:ind w:left="851" w:right="899"/>
        <w:jc w:val="both"/>
        <w:rPr>
          <w:rFonts w:ascii="Arial" w:hAnsi="Arial" w:cs="Arial"/>
          <w:i/>
          <w:sz w:val="22"/>
          <w:szCs w:val="22"/>
        </w:rPr>
      </w:pPr>
      <w:r w:rsidRPr="002773C7">
        <w:rPr>
          <w:rFonts w:ascii="Arial" w:hAnsi="Arial" w:cs="Arial"/>
          <w:i/>
          <w:sz w:val="22"/>
          <w:szCs w:val="22"/>
        </w:rPr>
        <w:t>(...)</w:t>
      </w:r>
    </w:p>
    <w:p w14:paraId="3258A366" w14:textId="77777777" w:rsidR="002773C7" w:rsidRPr="002773C7" w:rsidRDefault="002773C7" w:rsidP="002773C7">
      <w:pPr>
        <w:spacing w:line="276" w:lineRule="auto"/>
        <w:ind w:left="851" w:right="899"/>
        <w:jc w:val="both"/>
        <w:rPr>
          <w:rFonts w:ascii="Arial" w:hAnsi="Arial" w:cs="Arial"/>
          <w:i/>
          <w:sz w:val="22"/>
          <w:szCs w:val="22"/>
        </w:rPr>
      </w:pPr>
      <w:r w:rsidRPr="002773C7">
        <w:rPr>
          <w:rFonts w:ascii="Arial" w:hAnsi="Arial" w:cs="Arial"/>
          <w:b/>
          <w:i/>
          <w:sz w:val="22"/>
          <w:szCs w:val="22"/>
        </w:rPr>
        <w:t>XXI.</w:t>
      </w:r>
      <w:r w:rsidRPr="002773C7">
        <w:rPr>
          <w:rFonts w:ascii="Arial" w:hAnsi="Arial" w:cs="Arial"/>
          <w:i/>
          <w:sz w:val="22"/>
          <w:szCs w:val="22"/>
        </w:rPr>
        <w:t xml:space="preserve"> </w:t>
      </w:r>
      <w:r w:rsidRPr="002773C7">
        <w:rPr>
          <w:rFonts w:ascii="Arial" w:hAnsi="Arial" w:cs="Arial"/>
          <w:b/>
          <w:i/>
          <w:sz w:val="22"/>
          <w:szCs w:val="22"/>
        </w:rPr>
        <w:t>Espectro radioeléctrico</w:t>
      </w:r>
      <w:r w:rsidRPr="002773C7">
        <w:rPr>
          <w:rFonts w:ascii="Arial" w:hAnsi="Arial" w:cs="Arial"/>
          <w:i/>
          <w:sz w:val="22"/>
          <w:szCs w:val="22"/>
        </w:rPr>
        <w:t xml:space="preserve">: Espacio que permite la propagación, sin guía artificial, de ondas electromagnéticas cuyas bandas de frecuencias se fijan convencionalmente por debajo de los 3,000 </w:t>
      </w:r>
      <w:proofErr w:type="spellStart"/>
      <w:r w:rsidRPr="002773C7">
        <w:rPr>
          <w:rFonts w:ascii="Arial" w:hAnsi="Arial" w:cs="Arial"/>
          <w:i/>
          <w:sz w:val="22"/>
          <w:szCs w:val="22"/>
        </w:rPr>
        <w:t>gigahertz</w:t>
      </w:r>
      <w:proofErr w:type="spellEnd"/>
      <w:r w:rsidRPr="002773C7">
        <w:rPr>
          <w:rFonts w:ascii="Arial" w:hAnsi="Arial" w:cs="Arial"/>
          <w:i/>
          <w:sz w:val="22"/>
          <w:szCs w:val="22"/>
        </w:rPr>
        <w:t>;</w:t>
      </w:r>
    </w:p>
    <w:p w14:paraId="0D814D9C" w14:textId="77777777" w:rsidR="002773C7" w:rsidRPr="002773C7" w:rsidRDefault="002773C7" w:rsidP="002773C7">
      <w:pPr>
        <w:spacing w:line="276" w:lineRule="auto"/>
        <w:ind w:left="851" w:right="899"/>
        <w:jc w:val="both"/>
        <w:rPr>
          <w:rFonts w:ascii="Arial" w:hAnsi="Arial" w:cs="Arial"/>
          <w:i/>
          <w:sz w:val="22"/>
          <w:szCs w:val="22"/>
        </w:rPr>
      </w:pPr>
      <w:r w:rsidRPr="002773C7">
        <w:rPr>
          <w:rFonts w:ascii="Arial" w:hAnsi="Arial" w:cs="Arial"/>
          <w:i/>
          <w:sz w:val="22"/>
          <w:szCs w:val="22"/>
        </w:rPr>
        <w:t>(...)”</w:t>
      </w:r>
    </w:p>
    <w:p w14:paraId="348B0D13" w14:textId="77777777" w:rsidR="002773C7" w:rsidRPr="002773C7" w:rsidRDefault="002773C7" w:rsidP="002773C7">
      <w:pPr>
        <w:spacing w:line="276" w:lineRule="auto"/>
        <w:jc w:val="both"/>
        <w:rPr>
          <w:rFonts w:ascii="Arial" w:hAnsi="Arial" w:cs="Arial"/>
          <w:i/>
          <w:sz w:val="22"/>
          <w:szCs w:val="22"/>
        </w:rPr>
      </w:pPr>
    </w:p>
    <w:p w14:paraId="55815C9B" w14:textId="77777777" w:rsidR="002773C7" w:rsidRPr="002773C7" w:rsidRDefault="002773C7" w:rsidP="002773C7">
      <w:pPr>
        <w:spacing w:line="276" w:lineRule="auto"/>
        <w:ind w:right="48"/>
        <w:jc w:val="both"/>
        <w:rPr>
          <w:rFonts w:ascii="Arial" w:eastAsiaTheme="majorEastAsia" w:hAnsi="Arial" w:cs="Arial"/>
          <w:b/>
          <w:sz w:val="22"/>
          <w:szCs w:val="22"/>
          <w:lang w:val="es-ES" w:eastAsia="es-MX"/>
        </w:rPr>
      </w:pPr>
      <w:r w:rsidRPr="002773C7">
        <w:rPr>
          <w:rFonts w:ascii="Arial" w:hAnsi="Arial" w:cs="Arial"/>
          <w:sz w:val="22"/>
          <w:szCs w:val="22"/>
        </w:rPr>
        <w:t xml:space="preserve">En esta tesitura, debe considerarse que el espectro radioeléctrico es un bien finito, pero reutilizable, por lo que, desde la iniciativa de la Ley presentada por el Ejecutivo Federal ante la Cámara de Senadores, que posteriormente fue aprobada por el Congreso de la Unión, se consideró que la planificación del espectro radioeléctrico constituye una de las tareas más </w:t>
      </w:r>
      <w:r w:rsidRPr="002773C7">
        <w:rPr>
          <w:rFonts w:ascii="Arial" w:hAnsi="Arial" w:cs="Arial"/>
          <w:sz w:val="22"/>
          <w:szCs w:val="22"/>
        </w:rPr>
        <w:lastRenderedPageBreak/>
        <w:t>relevantes del Estado en materia de telecomunicaciones y radiodifusión, toda vez que este recurso es el elemento primario e indispensable de las comunicaciones inalámbricas, por lo que se convierte en un recurso extremadamente escaso y de gran valor</w:t>
      </w:r>
      <w:r w:rsidRPr="002773C7">
        <w:rPr>
          <w:rFonts w:ascii="Arial" w:eastAsia="Times New Roman" w:hAnsi="Arial" w:cs="Arial"/>
          <w:sz w:val="22"/>
          <w:szCs w:val="22"/>
          <w:vertAlign w:val="superscript"/>
          <w:lang w:val="es-ES" w:eastAsia="es-ES"/>
        </w:rPr>
        <w:footnoteReference w:id="4"/>
      </w:r>
      <w:r w:rsidRPr="002773C7">
        <w:rPr>
          <w:rFonts w:ascii="Arial" w:eastAsia="Arial Unicode MS" w:hAnsi="Arial" w:cs="Arial"/>
          <w:sz w:val="22"/>
          <w:szCs w:val="22"/>
          <w:lang w:val="es-ES" w:eastAsia="es-MX"/>
        </w:rPr>
        <w:t>.</w:t>
      </w:r>
    </w:p>
    <w:p w14:paraId="5ECA83D1" w14:textId="77777777" w:rsidR="002773C7" w:rsidRPr="002773C7" w:rsidRDefault="002773C7" w:rsidP="002773C7">
      <w:pPr>
        <w:spacing w:line="276" w:lineRule="auto"/>
        <w:jc w:val="both"/>
        <w:rPr>
          <w:rFonts w:ascii="Arial" w:hAnsi="Arial" w:cs="Arial"/>
          <w:sz w:val="22"/>
          <w:szCs w:val="22"/>
          <w:lang w:val="es-ES"/>
        </w:rPr>
      </w:pPr>
    </w:p>
    <w:p w14:paraId="1A2FDD24" w14:textId="77777777" w:rsidR="002773C7" w:rsidRPr="002773C7" w:rsidRDefault="002773C7" w:rsidP="002773C7">
      <w:pPr>
        <w:pStyle w:val="Prrafodelista"/>
        <w:spacing w:line="276" w:lineRule="auto"/>
        <w:ind w:left="0"/>
        <w:contextualSpacing w:val="0"/>
        <w:jc w:val="both"/>
        <w:rPr>
          <w:rFonts w:ascii="Arial" w:hAnsi="Arial" w:cs="Arial"/>
          <w:sz w:val="22"/>
          <w:szCs w:val="22"/>
        </w:rPr>
      </w:pPr>
      <w:r w:rsidRPr="002773C7">
        <w:rPr>
          <w:rFonts w:ascii="Arial" w:hAnsi="Arial" w:cs="Arial"/>
          <w:sz w:val="22"/>
          <w:szCs w:val="22"/>
        </w:rPr>
        <w:t xml:space="preserve">Además, se previó que el espectro radioeléctrico, como un bien de dominio público de la Nación y de naturaleza limitada, se debe aprovechar al máximo a través de una regulación eficiente e idónea, que permita el uso, aprovechamiento y explotación de dicho bien en beneficio de la sociedad. </w:t>
      </w:r>
    </w:p>
    <w:p w14:paraId="39437D5A" w14:textId="77777777" w:rsidR="002773C7" w:rsidRPr="002773C7" w:rsidRDefault="002773C7" w:rsidP="002773C7">
      <w:pPr>
        <w:spacing w:line="276" w:lineRule="auto"/>
        <w:ind w:right="-23"/>
        <w:jc w:val="both"/>
        <w:rPr>
          <w:rFonts w:ascii="Arial" w:hAnsi="Arial" w:cs="Arial"/>
          <w:sz w:val="22"/>
          <w:szCs w:val="22"/>
        </w:rPr>
      </w:pPr>
    </w:p>
    <w:p w14:paraId="6D2CC647" w14:textId="77777777" w:rsidR="002773C7" w:rsidRPr="002773C7" w:rsidRDefault="002773C7" w:rsidP="002773C7">
      <w:pPr>
        <w:spacing w:line="276" w:lineRule="auto"/>
        <w:ind w:right="-23"/>
        <w:jc w:val="both"/>
        <w:rPr>
          <w:rFonts w:ascii="Arial" w:hAnsi="Arial" w:cs="Arial"/>
          <w:sz w:val="22"/>
          <w:szCs w:val="22"/>
        </w:rPr>
      </w:pPr>
      <w:r w:rsidRPr="002773C7">
        <w:rPr>
          <w:rFonts w:ascii="Arial" w:hAnsi="Arial" w:cs="Arial"/>
          <w:sz w:val="22"/>
          <w:szCs w:val="22"/>
        </w:rPr>
        <w:t>Por su parte, los artículos 54, 55, fracción II y 56 de la Ley, en la parte aplicable, indican respectivamente, lo siguiente:</w:t>
      </w:r>
    </w:p>
    <w:p w14:paraId="69BF70CD" w14:textId="77777777" w:rsidR="002773C7" w:rsidRPr="002773C7" w:rsidRDefault="002773C7" w:rsidP="002773C7">
      <w:pPr>
        <w:spacing w:line="276" w:lineRule="auto"/>
        <w:ind w:right="-23"/>
        <w:jc w:val="both"/>
        <w:rPr>
          <w:rFonts w:ascii="Arial" w:hAnsi="Arial" w:cs="Arial"/>
          <w:sz w:val="22"/>
          <w:szCs w:val="22"/>
        </w:rPr>
      </w:pPr>
    </w:p>
    <w:p w14:paraId="70574E99" w14:textId="77777777" w:rsidR="002773C7" w:rsidRPr="002773C7" w:rsidRDefault="002773C7" w:rsidP="002773C7">
      <w:pPr>
        <w:spacing w:line="276" w:lineRule="auto"/>
        <w:ind w:left="851" w:right="899"/>
        <w:jc w:val="both"/>
        <w:rPr>
          <w:rFonts w:ascii="Arial" w:eastAsia="Arial Unicode MS" w:hAnsi="Arial" w:cs="Arial"/>
          <w:b/>
          <w:i/>
          <w:sz w:val="22"/>
          <w:szCs w:val="22"/>
          <w:lang w:eastAsia="es-MX"/>
        </w:rPr>
      </w:pPr>
      <w:r w:rsidRPr="002773C7">
        <w:rPr>
          <w:rFonts w:ascii="Arial" w:eastAsia="Arial Unicode MS" w:hAnsi="Arial" w:cs="Arial"/>
          <w:i/>
          <w:sz w:val="22"/>
          <w:szCs w:val="22"/>
          <w:lang w:eastAsia="es-MX"/>
        </w:rPr>
        <w:t>“</w:t>
      </w:r>
      <w:r w:rsidRPr="002773C7">
        <w:rPr>
          <w:rFonts w:ascii="Arial" w:eastAsia="Arial Unicode MS" w:hAnsi="Arial" w:cs="Arial"/>
          <w:b/>
          <w:i/>
          <w:sz w:val="22"/>
          <w:szCs w:val="22"/>
          <w:lang w:eastAsia="es-MX"/>
        </w:rPr>
        <w:t>Artículo 54. El espectro radioeléctrico y los recursos orbitales son bienes del dominio público de la Nación, cuya titularidad y administración corresponden al Estado.</w:t>
      </w:r>
    </w:p>
    <w:p w14:paraId="606F3386" w14:textId="77777777" w:rsidR="002773C7" w:rsidRPr="002773C7" w:rsidRDefault="002773C7" w:rsidP="002773C7">
      <w:pPr>
        <w:spacing w:line="276" w:lineRule="auto"/>
        <w:ind w:left="851" w:right="899"/>
        <w:jc w:val="both"/>
        <w:rPr>
          <w:rFonts w:ascii="Arial" w:eastAsia="Arial Unicode MS" w:hAnsi="Arial" w:cs="Arial"/>
          <w:b/>
          <w:i/>
          <w:sz w:val="22"/>
          <w:szCs w:val="22"/>
          <w:lang w:eastAsia="es-MX"/>
        </w:rPr>
      </w:pPr>
    </w:p>
    <w:p w14:paraId="251883E8" w14:textId="77777777" w:rsidR="002773C7" w:rsidRPr="002773C7" w:rsidRDefault="002773C7" w:rsidP="002773C7">
      <w:pPr>
        <w:spacing w:line="276" w:lineRule="auto"/>
        <w:ind w:left="851" w:right="899"/>
        <w:jc w:val="both"/>
        <w:rPr>
          <w:rFonts w:ascii="Arial" w:eastAsia="Arial Unicode MS" w:hAnsi="Arial" w:cs="Arial"/>
          <w:b/>
          <w:i/>
          <w:sz w:val="22"/>
          <w:szCs w:val="22"/>
          <w:lang w:eastAsia="es-MX"/>
        </w:rPr>
      </w:pPr>
      <w:r w:rsidRPr="002773C7">
        <w:rPr>
          <w:rFonts w:ascii="Arial" w:eastAsia="Arial Unicode MS" w:hAnsi="Arial" w:cs="Arial"/>
          <w:b/>
          <w:i/>
          <w:sz w:val="22"/>
          <w:szCs w:val="22"/>
          <w:lang w:eastAsia="es-MX"/>
        </w:rPr>
        <w:t>Dicha administración se ejercerá por el Instituto en el ejercicio de sus funciones según lo dispuesto por la Constitución, en esta Ley, en los tratados y acuerdos internacionales firmados por México y, en lo aplicable, siguiendo las recomendaciones de la Unión Internacional de Telecomunicaciones y otros organismos internacionales.</w:t>
      </w:r>
    </w:p>
    <w:p w14:paraId="38892829" w14:textId="77777777" w:rsidR="002773C7" w:rsidRPr="002773C7" w:rsidRDefault="002773C7" w:rsidP="002773C7">
      <w:pPr>
        <w:spacing w:line="276" w:lineRule="auto"/>
        <w:ind w:left="851" w:right="899"/>
        <w:jc w:val="both"/>
        <w:rPr>
          <w:rFonts w:ascii="Arial" w:eastAsia="Arial Unicode MS" w:hAnsi="Arial" w:cs="Arial"/>
          <w:i/>
          <w:sz w:val="22"/>
          <w:szCs w:val="22"/>
          <w:lang w:eastAsia="es-MX"/>
        </w:rPr>
      </w:pPr>
    </w:p>
    <w:p w14:paraId="00D66E50" w14:textId="77777777" w:rsidR="002773C7" w:rsidRPr="002773C7" w:rsidRDefault="002773C7" w:rsidP="002773C7">
      <w:pPr>
        <w:spacing w:line="276" w:lineRule="auto"/>
        <w:ind w:left="851" w:right="899"/>
        <w:jc w:val="both"/>
        <w:rPr>
          <w:rFonts w:ascii="Arial" w:eastAsia="Arial Unicode MS" w:hAnsi="Arial" w:cs="Arial"/>
          <w:i/>
          <w:sz w:val="22"/>
          <w:szCs w:val="22"/>
          <w:lang w:eastAsia="es-MX"/>
        </w:rPr>
      </w:pPr>
      <w:r w:rsidRPr="002773C7">
        <w:rPr>
          <w:rFonts w:ascii="Arial" w:eastAsia="Arial Unicode MS" w:hAnsi="Arial" w:cs="Arial"/>
          <w:i/>
          <w:sz w:val="22"/>
          <w:szCs w:val="22"/>
          <w:lang w:eastAsia="es-MX"/>
        </w:rPr>
        <w:t>La administración incluye la elaboración y aprobación de planes y programas de uso, el establecimiento de las condiciones para la atribución de una banda de frecuencias, el otorgamiento de las concesiones, la supervisión de las emisiones radioeléctricas y la aplicación del régimen de sanciones, sin menoscabo de las atribuciones que corresponden al Ejecutivo Federal.</w:t>
      </w:r>
    </w:p>
    <w:p w14:paraId="3D529621" w14:textId="77777777" w:rsidR="002773C7" w:rsidRPr="002773C7" w:rsidRDefault="002773C7" w:rsidP="002773C7">
      <w:pPr>
        <w:spacing w:line="276" w:lineRule="auto"/>
        <w:ind w:left="851" w:right="899"/>
        <w:jc w:val="both"/>
        <w:rPr>
          <w:rFonts w:ascii="Arial" w:eastAsia="Arial Unicode MS" w:hAnsi="Arial" w:cs="Arial"/>
          <w:i/>
          <w:sz w:val="22"/>
          <w:szCs w:val="22"/>
          <w:lang w:eastAsia="es-MX"/>
        </w:rPr>
      </w:pPr>
    </w:p>
    <w:p w14:paraId="24564A21" w14:textId="77777777" w:rsidR="002773C7" w:rsidRPr="002773C7" w:rsidRDefault="002773C7" w:rsidP="002773C7">
      <w:pPr>
        <w:spacing w:line="276" w:lineRule="auto"/>
        <w:ind w:left="851" w:right="899"/>
        <w:jc w:val="both"/>
        <w:rPr>
          <w:rFonts w:ascii="Arial" w:eastAsia="Arial Unicode MS" w:hAnsi="Arial" w:cs="Arial"/>
          <w:i/>
          <w:sz w:val="22"/>
          <w:szCs w:val="22"/>
          <w:lang w:eastAsia="es-MX"/>
        </w:rPr>
      </w:pPr>
      <w:r w:rsidRPr="002773C7">
        <w:rPr>
          <w:rFonts w:ascii="Arial" w:eastAsia="Arial Unicode MS" w:hAnsi="Arial" w:cs="Arial"/>
          <w:b/>
          <w:i/>
          <w:sz w:val="22"/>
          <w:szCs w:val="22"/>
          <w:lang w:eastAsia="es-MX"/>
        </w:rPr>
        <w:t>Al administrar el espectro, el Instituto perseguirá</w:t>
      </w:r>
      <w:r w:rsidRPr="002773C7">
        <w:rPr>
          <w:rFonts w:ascii="Arial" w:eastAsia="Arial Unicode MS" w:hAnsi="Arial" w:cs="Arial"/>
          <w:i/>
          <w:sz w:val="22"/>
          <w:szCs w:val="22"/>
          <w:lang w:eastAsia="es-MX"/>
        </w:rPr>
        <w:t xml:space="preserve"> los siguientes objetivos generales en beneficio de los usuarios:</w:t>
      </w:r>
    </w:p>
    <w:p w14:paraId="1D66A6A3" w14:textId="77777777" w:rsidR="002773C7" w:rsidRPr="002773C7" w:rsidRDefault="002773C7" w:rsidP="002773C7">
      <w:pPr>
        <w:spacing w:line="276" w:lineRule="auto"/>
        <w:ind w:left="851" w:right="899"/>
        <w:jc w:val="both"/>
        <w:rPr>
          <w:rFonts w:ascii="Arial" w:eastAsia="Arial Unicode MS" w:hAnsi="Arial" w:cs="Arial"/>
          <w:i/>
          <w:sz w:val="22"/>
          <w:szCs w:val="22"/>
          <w:lang w:eastAsia="es-MX"/>
        </w:rPr>
      </w:pPr>
    </w:p>
    <w:p w14:paraId="06137C1B" w14:textId="77777777" w:rsidR="002773C7" w:rsidRPr="002773C7" w:rsidRDefault="002773C7" w:rsidP="002773C7">
      <w:pPr>
        <w:numPr>
          <w:ilvl w:val="0"/>
          <w:numId w:val="40"/>
        </w:numPr>
        <w:pBdr>
          <w:top w:val="nil"/>
          <w:left w:val="nil"/>
          <w:bottom w:val="nil"/>
          <w:right w:val="nil"/>
          <w:between w:val="nil"/>
          <w:bar w:val="nil"/>
        </w:pBdr>
        <w:tabs>
          <w:tab w:val="left" w:pos="1134"/>
        </w:tabs>
        <w:spacing w:line="276" w:lineRule="auto"/>
        <w:ind w:left="851" w:right="899" w:firstLine="0"/>
        <w:jc w:val="both"/>
        <w:rPr>
          <w:rFonts w:ascii="Arial" w:eastAsia="Arial Unicode MS" w:hAnsi="Arial" w:cs="Arial"/>
          <w:i/>
          <w:sz w:val="22"/>
          <w:szCs w:val="22"/>
          <w:lang w:eastAsia="es-MX"/>
        </w:rPr>
      </w:pPr>
      <w:r w:rsidRPr="002773C7">
        <w:rPr>
          <w:rFonts w:ascii="Arial" w:eastAsia="Arial Unicode MS" w:hAnsi="Arial" w:cs="Arial"/>
          <w:i/>
          <w:sz w:val="22"/>
          <w:szCs w:val="22"/>
          <w:lang w:eastAsia="es-MX"/>
        </w:rPr>
        <w:t>La seguridad de la vida;</w:t>
      </w:r>
    </w:p>
    <w:p w14:paraId="348CD6D3" w14:textId="77777777" w:rsidR="002773C7" w:rsidRPr="002773C7" w:rsidRDefault="002773C7" w:rsidP="002773C7">
      <w:pPr>
        <w:numPr>
          <w:ilvl w:val="0"/>
          <w:numId w:val="40"/>
        </w:numPr>
        <w:pBdr>
          <w:top w:val="nil"/>
          <w:left w:val="nil"/>
          <w:bottom w:val="nil"/>
          <w:right w:val="nil"/>
          <w:between w:val="nil"/>
          <w:bar w:val="nil"/>
        </w:pBdr>
        <w:tabs>
          <w:tab w:val="left" w:pos="1134"/>
        </w:tabs>
        <w:spacing w:line="276" w:lineRule="auto"/>
        <w:ind w:left="851" w:right="899" w:firstLine="0"/>
        <w:jc w:val="both"/>
        <w:rPr>
          <w:rFonts w:ascii="Arial" w:eastAsia="Arial Unicode MS" w:hAnsi="Arial" w:cs="Arial"/>
          <w:i/>
          <w:sz w:val="22"/>
          <w:szCs w:val="22"/>
          <w:lang w:eastAsia="es-MX"/>
        </w:rPr>
      </w:pPr>
      <w:r w:rsidRPr="002773C7">
        <w:rPr>
          <w:rFonts w:ascii="Arial" w:eastAsia="Arial Unicode MS" w:hAnsi="Arial" w:cs="Arial"/>
          <w:i/>
          <w:sz w:val="22"/>
          <w:szCs w:val="22"/>
          <w:lang w:eastAsia="es-MX"/>
        </w:rPr>
        <w:t>La promoción de la cohesión social, regional o territorial;</w:t>
      </w:r>
    </w:p>
    <w:p w14:paraId="1A1A2D47" w14:textId="77777777" w:rsidR="002773C7" w:rsidRPr="002773C7" w:rsidRDefault="002773C7" w:rsidP="002773C7">
      <w:pPr>
        <w:numPr>
          <w:ilvl w:val="0"/>
          <w:numId w:val="40"/>
        </w:numPr>
        <w:tabs>
          <w:tab w:val="left" w:pos="1134"/>
        </w:tabs>
        <w:spacing w:line="276" w:lineRule="auto"/>
        <w:ind w:left="851" w:right="899" w:firstLine="0"/>
        <w:jc w:val="both"/>
        <w:rPr>
          <w:rFonts w:ascii="Arial" w:eastAsia="Arial Unicode MS" w:hAnsi="Arial" w:cs="Arial"/>
          <w:i/>
          <w:sz w:val="22"/>
          <w:szCs w:val="22"/>
          <w:lang w:eastAsia="es-MX"/>
        </w:rPr>
      </w:pPr>
      <w:r w:rsidRPr="002773C7">
        <w:rPr>
          <w:rFonts w:ascii="Arial" w:eastAsia="Arial Unicode MS" w:hAnsi="Arial" w:cs="Arial"/>
          <w:i/>
          <w:sz w:val="22"/>
          <w:szCs w:val="22"/>
          <w:lang w:eastAsia="es-MX"/>
        </w:rPr>
        <w:t>La competencia efectiva en los mercados convergentes de los sectores de telecomunicaciones y radiodifusión;</w:t>
      </w:r>
    </w:p>
    <w:p w14:paraId="7947C159" w14:textId="77777777" w:rsidR="002773C7" w:rsidRPr="002773C7" w:rsidRDefault="002773C7" w:rsidP="002773C7">
      <w:pPr>
        <w:numPr>
          <w:ilvl w:val="0"/>
          <w:numId w:val="40"/>
        </w:numPr>
        <w:tabs>
          <w:tab w:val="left" w:pos="1134"/>
        </w:tabs>
        <w:spacing w:line="276" w:lineRule="auto"/>
        <w:ind w:left="851" w:right="899" w:firstLine="0"/>
        <w:jc w:val="both"/>
        <w:rPr>
          <w:rFonts w:ascii="Arial" w:eastAsia="Arial Unicode MS" w:hAnsi="Arial" w:cs="Arial"/>
          <w:b/>
          <w:i/>
          <w:sz w:val="22"/>
          <w:szCs w:val="22"/>
          <w:lang w:eastAsia="es-MX"/>
        </w:rPr>
      </w:pPr>
      <w:r w:rsidRPr="002773C7">
        <w:rPr>
          <w:rFonts w:ascii="Arial" w:eastAsia="Arial Unicode MS" w:hAnsi="Arial" w:cs="Arial"/>
          <w:b/>
          <w:i/>
          <w:sz w:val="22"/>
          <w:szCs w:val="22"/>
          <w:lang w:eastAsia="es-MX"/>
        </w:rPr>
        <w:t>El uso eficaz del espectro y su protección;</w:t>
      </w:r>
    </w:p>
    <w:p w14:paraId="50D17B40" w14:textId="77777777" w:rsidR="002773C7" w:rsidRPr="002773C7" w:rsidRDefault="002773C7" w:rsidP="002773C7">
      <w:pPr>
        <w:numPr>
          <w:ilvl w:val="0"/>
          <w:numId w:val="40"/>
        </w:numPr>
        <w:tabs>
          <w:tab w:val="left" w:pos="1134"/>
        </w:tabs>
        <w:spacing w:line="276" w:lineRule="auto"/>
        <w:ind w:left="851" w:right="899" w:firstLine="0"/>
        <w:jc w:val="both"/>
        <w:rPr>
          <w:rFonts w:ascii="Arial" w:eastAsia="Arial Unicode MS" w:hAnsi="Arial" w:cs="Arial"/>
          <w:i/>
          <w:sz w:val="22"/>
          <w:szCs w:val="22"/>
          <w:lang w:eastAsia="es-MX"/>
        </w:rPr>
      </w:pPr>
      <w:r w:rsidRPr="002773C7">
        <w:rPr>
          <w:rFonts w:ascii="Arial" w:eastAsia="Arial Unicode MS" w:hAnsi="Arial" w:cs="Arial"/>
          <w:i/>
          <w:sz w:val="22"/>
          <w:szCs w:val="22"/>
          <w:lang w:eastAsia="es-MX"/>
        </w:rPr>
        <w:t>La garantía del espectro necesario para los fines y funciones del Ejecutivo Federal;</w:t>
      </w:r>
    </w:p>
    <w:p w14:paraId="0F723346" w14:textId="77777777" w:rsidR="002773C7" w:rsidRPr="002773C7" w:rsidRDefault="002773C7" w:rsidP="002773C7">
      <w:pPr>
        <w:numPr>
          <w:ilvl w:val="0"/>
          <w:numId w:val="40"/>
        </w:numPr>
        <w:tabs>
          <w:tab w:val="left" w:pos="1134"/>
        </w:tabs>
        <w:spacing w:line="276" w:lineRule="auto"/>
        <w:ind w:left="851" w:right="899" w:firstLine="0"/>
        <w:jc w:val="both"/>
        <w:rPr>
          <w:rFonts w:ascii="Arial" w:eastAsia="Arial Unicode MS" w:hAnsi="Arial" w:cs="Arial"/>
          <w:i/>
          <w:sz w:val="22"/>
          <w:szCs w:val="22"/>
          <w:lang w:eastAsia="es-MX"/>
        </w:rPr>
      </w:pPr>
      <w:r w:rsidRPr="002773C7">
        <w:rPr>
          <w:rFonts w:ascii="Arial" w:eastAsia="Arial Unicode MS" w:hAnsi="Arial" w:cs="Arial"/>
          <w:i/>
          <w:sz w:val="22"/>
          <w:szCs w:val="22"/>
          <w:lang w:eastAsia="es-MX"/>
        </w:rPr>
        <w:lastRenderedPageBreak/>
        <w:t>La inversión eficiente en infraestructuras, la innovación y el desarrollo de la industria de productos y servicios convergentes;</w:t>
      </w:r>
    </w:p>
    <w:p w14:paraId="2B25C2EC" w14:textId="77777777" w:rsidR="002773C7" w:rsidRPr="002773C7" w:rsidRDefault="002773C7" w:rsidP="002773C7">
      <w:pPr>
        <w:numPr>
          <w:ilvl w:val="0"/>
          <w:numId w:val="40"/>
        </w:numPr>
        <w:tabs>
          <w:tab w:val="left" w:pos="1134"/>
        </w:tabs>
        <w:spacing w:line="276" w:lineRule="auto"/>
        <w:ind w:left="851" w:right="899" w:firstLine="0"/>
        <w:jc w:val="both"/>
        <w:rPr>
          <w:rFonts w:ascii="Arial" w:eastAsia="Arial Unicode MS" w:hAnsi="Arial" w:cs="Arial"/>
          <w:b/>
          <w:i/>
          <w:sz w:val="22"/>
          <w:szCs w:val="22"/>
          <w:lang w:eastAsia="es-MX"/>
        </w:rPr>
      </w:pPr>
      <w:r w:rsidRPr="002773C7">
        <w:rPr>
          <w:rFonts w:ascii="Arial" w:eastAsia="Arial Unicode MS" w:hAnsi="Arial" w:cs="Arial"/>
          <w:b/>
          <w:i/>
          <w:sz w:val="22"/>
          <w:szCs w:val="22"/>
          <w:lang w:eastAsia="es-MX"/>
        </w:rPr>
        <w:t>El fomento de la neutralidad tecnológica, y</w:t>
      </w:r>
    </w:p>
    <w:p w14:paraId="62B39DF1" w14:textId="77777777" w:rsidR="002773C7" w:rsidRPr="002773C7" w:rsidRDefault="002773C7" w:rsidP="002773C7">
      <w:pPr>
        <w:numPr>
          <w:ilvl w:val="0"/>
          <w:numId w:val="40"/>
        </w:numPr>
        <w:tabs>
          <w:tab w:val="left" w:pos="1134"/>
        </w:tabs>
        <w:spacing w:line="276" w:lineRule="auto"/>
        <w:ind w:left="851" w:right="899" w:firstLine="0"/>
        <w:jc w:val="both"/>
        <w:rPr>
          <w:rFonts w:ascii="Arial" w:eastAsia="Arial Unicode MS" w:hAnsi="Arial" w:cs="Arial"/>
          <w:i/>
          <w:sz w:val="22"/>
          <w:szCs w:val="22"/>
          <w:lang w:eastAsia="es-MX"/>
        </w:rPr>
      </w:pPr>
      <w:r w:rsidRPr="002773C7">
        <w:rPr>
          <w:rFonts w:ascii="Arial" w:eastAsia="Arial Unicode MS" w:hAnsi="Arial" w:cs="Arial"/>
          <w:i/>
          <w:sz w:val="22"/>
          <w:szCs w:val="22"/>
          <w:lang w:eastAsia="es-MX"/>
        </w:rPr>
        <w:t>El cumplimiento de lo dispuesto por los artículos 2o., 6o., 7o. y 28 de la Constitución.</w:t>
      </w:r>
    </w:p>
    <w:p w14:paraId="1FBF07F6" w14:textId="77777777" w:rsidR="002773C7" w:rsidRPr="002773C7" w:rsidRDefault="002773C7" w:rsidP="002773C7">
      <w:pPr>
        <w:spacing w:line="276" w:lineRule="auto"/>
        <w:ind w:left="851" w:right="899"/>
        <w:jc w:val="both"/>
        <w:rPr>
          <w:rFonts w:ascii="Arial" w:eastAsia="Arial Unicode MS" w:hAnsi="Arial" w:cs="Arial"/>
          <w:i/>
          <w:sz w:val="22"/>
          <w:szCs w:val="22"/>
          <w:lang w:eastAsia="es-MX"/>
        </w:rPr>
      </w:pPr>
    </w:p>
    <w:p w14:paraId="7EA120EF" w14:textId="77777777" w:rsidR="002773C7" w:rsidRPr="002773C7" w:rsidRDefault="002773C7" w:rsidP="002773C7">
      <w:pPr>
        <w:spacing w:line="276" w:lineRule="auto"/>
        <w:ind w:left="851" w:right="899"/>
        <w:jc w:val="both"/>
        <w:rPr>
          <w:rFonts w:ascii="Arial" w:eastAsia="Arial Unicode MS" w:hAnsi="Arial" w:cs="Arial"/>
          <w:b/>
          <w:sz w:val="22"/>
          <w:szCs w:val="22"/>
          <w:lang w:eastAsia="es-MX"/>
        </w:rPr>
      </w:pPr>
      <w:r w:rsidRPr="002773C7">
        <w:rPr>
          <w:rFonts w:ascii="Arial" w:eastAsia="Arial Unicode MS" w:hAnsi="Arial" w:cs="Arial"/>
          <w:b/>
          <w:i/>
          <w:sz w:val="22"/>
          <w:szCs w:val="22"/>
          <w:lang w:eastAsia="es-MX"/>
        </w:rPr>
        <w:t>Para la atribución de una banda de frecuencias y la concesión del espectro y recursos orbitales, el Instituto se basará en criterios objetivos, transparentes, no discriminatorios y proporcionales.”</w:t>
      </w:r>
    </w:p>
    <w:p w14:paraId="0679765A" w14:textId="77777777" w:rsidR="002773C7" w:rsidRPr="002773C7" w:rsidRDefault="002773C7" w:rsidP="002773C7">
      <w:pPr>
        <w:spacing w:line="276" w:lineRule="auto"/>
        <w:ind w:left="851" w:right="899"/>
        <w:jc w:val="both"/>
        <w:rPr>
          <w:rFonts w:ascii="Arial" w:eastAsia="Arial Unicode MS" w:hAnsi="Arial" w:cs="Arial"/>
          <w:i/>
          <w:sz w:val="22"/>
          <w:szCs w:val="22"/>
          <w:lang w:eastAsia="es-MX"/>
        </w:rPr>
      </w:pPr>
    </w:p>
    <w:p w14:paraId="7CBE022E" w14:textId="77777777" w:rsidR="002773C7" w:rsidRPr="002773C7" w:rsidRDefault="002773C7" w:rsidP="002773C7">
      <w:pPr>
        <w:spacing w:line="276" w:lineRule="auto"/>
        <w:ind w:left="851" w:right="899"/>
        <w:jc w:val="both"/>
        <w:rPr>
          <w:rFonts w:ascii="Arial" w:eastAsiaTheme="majorEastAsia" w:hAnsi="Arial" w:cs="Arial"/>
          <w:b/>
          <w:i/>
          <w:sz w:val="22"/>
          <w:szCs w:val="22"/>
          <w:lang w:val="es-ES" w:eastAsia="es-MX"/>
        </w:rPr>
      </w:pPr>
      <w:r w:rsidRPr="002773C7">
        <w:rPr>
          <w:rFonts w:ascii="Arial" w:eastAsiaTheme="majorEastAsia" w:hAnsi="Arial" w:cs="Arial"/>
          <w:b/>
          <w:i/>
          <w:sz w:val="22"/>
          <w:szCs w:val="22"/>
          <w:lang w:val="es-ES" w:eastAsia="es-MX"/>
        </w:rPr>
        <w:t>“Artículo 55. Las bandas de frecuencia del espectro radioeléctrico se clasificarán de acuerdo con lo siguiente:</w:t>
      </w:r>
    </w:p>
    <w:p w14:paraId="2066945A" w14:textId="77777777" w:rsidR="002773C7" w:rsidRPr="002773C7" w:rsidRDefault="002773C7" w:rsidP="002773C7">
      <w:pPr>
        <w:spacing w:line="276" w:lineRule="auto"/>
        <w:ind w:left="851" w:right="899"/>
        <w:jc w:val="both"/>
        <w:rPr>
          <w:rFonts w:ascii="Arial" w:eastAsiaTheme="majorEastAsia" w:hAnsi="Arial" w:cs="Arial"/>
          <w:i/>
          <w:sz w:val="22"/>
          <w:szCs w:val="22"/>
          <w:lang w:val="es-ES" w:eastAsia="es-MX"/>
        </w:rPr>
      </w:pPr>
    </w:p>
    <w:p w14:paraId="1A55FB11" w14:textId="77777777" w:rsidR="002773C7" w:rsidRPr="002773C7" w:rsidRDefault="002773C7" w:rsidP="002773C7">
      <w:pPr>
        <w:spacing w:line="276" w:lineRule="auto"/>
        <w:ind w:left="851" w:right="899"/>
        <w:jc w:val="both"/>
        <w:rPr>
          <w:rFonts w:ascii="Arial" w:eastAsiaTheme="majorEastAsia" w:hAnsi="Arial" w:cs="Arial"/>
          <w:i/>
          <w:sz w:val="22"/>
          <w:szCs w:val="22"/>
          <w:lang w:val="es-ES" w:eastAsia="es-MX"/>
        </w:rPr>
      </w:pPr>
      <w:r w:rsidRPr="002773C7">
        <w:rPr>
          <w:rFonts w:ascii="Arial" w:eastAsiaTheme="majorEastAsia" w:hAnsi="Arial" w:cs="Arial"/>
          <w:i/>
          <w:sz w:val="22"/>
          <w:szCs w:val="22"/>
          <w:lang w:val="es-ES" w:eastAsia="es-MX"/>
        </w:rPr>
        <w:t>(…)</w:t>
      </w:r>
    </w:p>
    <w:p w14:paraId="6F8D81C1" w14:textId="77777777" w:rsidR="002773C7" w:rsidRPr="002773C7" w:rsidRDefault="002773C7" w:rsidP="002773C7">
      <w:pPr>
        <w:spacing w:line="276" w:lineRule="auto"/>
        <w:ind w:left="851" w:right="899"/>
        <w:jc w:val="both"/>
        <w:rPr>
          <w:rFonts w:ascii="Arial" w:eastAsiaTheme="majorEastAsia" w:hAnsi="Arial" w:cs="Arial"/>
          <w:i/>
          <w:sz w:val="22"/>
          <w:szCs w:val="22"/>
          <w:lang w:val="es-ES" w:eastAsia="es-MX"/>
        </w:rPr>
      </w:pPr>
    </w:p>
    <w:p w14:paraId="22B7CD5D" w14:textId="77777777" w:rsidR="002773C7" w:rsidRPr="002773C7" w:rsidRDefault="002773C7" w:rsidP="002773C7">
      <w:pPr>
        <w:numPr>
          <w:ilvl w:val="0"/>
          <w:numId w:val="42"/>
        </w:numPr>
        <w:pBdr>
          <w:top w:val="nil"/>
          <w:left w:val="nil"/>
          <w:bottom w:val="nil"/>
          <w:right w:val="nil"/>
          <w:between w:val="nil"/>
          <w:bar w:val="nil"/>
        </w:pBdr>
        <w:spacing w:line="276" w:lineRule="auto"/>
        <w:ind w:left="851" w:right="899" w:firstLine="0"/>
        <w:jc w:val="both"/>
        <w:rPr>
          <w:rFonts w:ascii="Arial" w:eastAsia="Arial Unicode MS" w:hAnsi="Arial" w:cs="Arial"/>
          <w:i/>
          <w:sz w:val="22"/>
          <w:szCs w:val="22"/>
          <w:lang w:eastAsia="es-MX"/>
        </w:rPr>
      </w:pPr>
      <w:r w:rsidRPr="002773C7">
        <w:rPr>
          <w:rFonts w:ascii="Arial" w:eastAsia="Arial Unicode MS" w:hAnsi="Arial" w:cs="Arial"/>
          <w:b/>
          <w:i/>
          <w:sz w:val="22"/>
          <w:szCs w:val="22"/>
          <w:lang w:eastAsia="es-MX"/>
        </w:rPr>
        <w:t>Espectro libre:</w:t>
      </w:r>
      <w:r w:rsidRPr="002773C7">
        <w:rPr>
          <w:rFonts w:ascii="Arial" w:eastAsia="Arial Unicode MS" w:hAnsi="Arial" w:cs="Arial"/>
          <w:i/>
          <w:sz w:val="22"/>
          <w:szCs w:val="22"/>
          <w:lang w:eastAsia="es-MX"/>
        </w:rPr>
        <w:t xml:space="preserve"> Son aquellas bandas de frecuencia de acceso libre, que pueden ser utilizadas por el público en general, bajo los lineamientos o especificaciones que establezca el Instituto, sin necesidad de concesión o autorización;</w:t>
      </w:r>
    </w:p>
    <w:p w14:paraId="004E3331" w14:textId="77777777" w:rsidR="002773C7" w:rsidRPr="002773C7" w:rsidRDefault="002773C7" w:rsidP="002773C7">
      <w:pPr>
        <w:pBdr>
          <w:top w:val="nil"/>
          <w:left w:val="nil"/>
          <w:bottom w:val="nil"/>
          <w:right w:val="nil"/>
          <w:between w:val="nil"/>
          <w:bar w:val="nil"/>
        </w:pBdr>
        <w:spacing w:line="276" w:lineRule="auto"/>
        <w:ind w:left="851" w:right="899"/>
        <w:jc w:val="both"/>
        <w:rPr>
          <w:rFonts w:ascii="Arial" w:eastAsia="Arial Unicode MS" w:hAnsi="Arial" w:cs="Arial"/>
          <w:i/>
          <w:sz w:val="22"/>
          <w:szCs w:val="22"/>
          <w:lang w:eastAsia="es-MX"/>
        </w:rPr>
      </w:pPr>
    </w:p>
    <w:p w14:paraId="530EA070" w14:textId="77777777" w:rsidR="002773C7" w:rsidRPr="002773C7" w:rsidRDefault="002773C7" w:rsidP="002773C7">
      <w:pPr>
        <w:spacing w:line="276" w:lineRule="auto"/>
        <w:ind w:left="851" w:right="899"/>
        <w:jc w:val="both"/>
        <w:rPr>
          <w:rFonts w:ascii="Arial" w:eastAsiaTheme="majorEastAsia" w:hAnsi="Arial" w:cs="Arial"/>
          <w:i/>
          <w:sz w:val="22"/>
          <w:szCs w:val="22"/>
          <w:lang w:val="es-ES" w:eastAsia="es-MX"/>
        </w:rPr>
      </w:pPr>
      <w:r w:rsidRPr="002773C7">
        <w:rPr>
          <w:rFonts w:ascii="Arial" w:eastAsiaTheme="majorEastAsia" w:hAnsi="Arial" w:cs="Arial"/>
          <w:i/>
          <w:sz w:val="22"/>
          <w:szCs w:val="22"/>
          <w:lang w:val="es-ES" w:eastAsia="es-MX"/>
        </w:rPr>
        <w:t>(…)”</w:t>
      </w:r>
    </w:p>
    <w:p w14:paraId="732DC705" w14:textId="77777777" w:rsidR="002773C7" w:rsidRPr="002773C7" w:rsidRDefault="002773C7" w:rsidP="002773C7">
      <w:pPr>
        <w:spacing w:line="276" w:lineRule="auto"/>
        <w:ind w:left="851" w:right="899"/>
        <w:jc w:val="both"/>
        <w:rPr>
          <w:rFonts w:ascii="Arial" w:eastAsia="Arial Unicode MS" w:hAnsi="Arial" w:cs="Arial"/>
          <w:i/>
          <w:sz w:val="22"/>
          <w:szCs w:val="22"/>
          <w:lang w:eastAsia="es-MX"/>
        </w:rPr>
      </w:pPr>
    </w:p>
    <w:p w14:paraId="3E390D58" w14:textId="77777777" w:rsidR="002773C7" w:rsidRPr="002773C7" w:rsidRDefault="002773C7" w:rsidP="002773C7">
      <w:pPr>
        <w:tabs>
          <w:tab w:val="left" w:pos="8080"/>
        </w:tabs>
        <w:spacing w:line="276" w:lineRule="auto"/>
        <w:ind w:left="851" w:right="899"/>
        <w:jc w:val="both"/>
        <w:rPr>
          <w:rFonts w:ascii="Arial" w:hAnsi="Arial" w:cs="Arial"/>
          <w:i/>
          <w:sz w:val="22"/>
          <w:szCs w:val="22"/>
        </w:rPr>
      </w:pPr>
      <w:r w:rsidRPr="002773C7">
        <w:rPr>
          <w:rFonts w:ascii="Arial" w:hAnsi="Arial" w:cs="Arial"/>
          <w:i/>
          <w:sz w:val="22"/>
          <w:szCs w:val="22"/>
        </w:rPr>
        <w:t>“</w:t>
      </w:r>
      <w:r w:rsidRPr="002773C7">
        <w:rPr>
          <w:rFonts w:ascii="Arial" w:hAnsi="Arial" w:cs="Arial"/>
          <w:b/>
          <w:i/>
          <w:sz w:val="22"/>
          <w:szCs w:val="22"/>
        </w:rPr>
        <w:t>Artículo 56</w:t>
      </w:r>
      <w:r w:rsidRPr="002773C7">
        <w:rPr>
          <w:rFonts w:ascii="Arial" w:hAnsi="Arial" w:cs="Arial"/>
          <w:i/>
          <w:sz w:val="22"/>
          <w:szCs w:val="22"/>
        </w:rPr>
        <w:t>. Para la adecuada planeación, administración y control del espectro radioeléctrico y para su uso y aprovechamiento eficiente, el Instituto deberá mantener actualizado el Cuadro Nacional de Atribución de Frecuencias con base en el interés general. El Instituto deberá considerar la evolución tecnológica en materia de telecomunicaciones y radiodifusión, particularmente la de radiocomunicación y la reglamentación en materia de radiocomunicación de la Unión Internacional de Telecomunicaciones.</w:t>
      </w:r>
    </w:p>
    <w:p w14:paraId="2DC1ACA1" w14:textId="77777777" w:rsidR="002773C7" w:rsidRPr="002773C7" w:rsidRDefault="002773C7" w:rsidP="002773C7">
      <w:pPr>
        <w:tabs>
          <w:tab w:val="left" w:pos="8080"/>
        </w:tabs>
        <w:spacing w:line="276" w:lineRule="auto"/>
        <w:ind w:left="851" w:right="899"/>
        <w:jc w:val="both"/>
        <w:rPr>
          <w:rFonts w:ascii="Arial" w:hAnsi="Arial" w:cs="Arial"/>
          <w:i/>
          <w:sz w:val="22"/>
          <w:szCs w:val="22"/>
        </w:rPr>
      </w:pPr>
      <w:r w:rsidRPr="002773C7">
        <w:rPr>
          <w:rFonts w:ascii="Arial" w:hAnsi="Arial" w:cs="Arial"/>
          <w:i/>
          <w:sz w:val="22"/>
          <w:szCs w:val="22"/>
        </w:rPr>
        <w:t>(...)</w:t>
      </w:r>
    </w:p>
    <w:p w14:paraId="7A087726" w14:textId="77777777" w:rsidR="002773C7" w:rsidRPr="002773C7" w:rsidRDefault="002773C7" w:rsidP="002773C7">
      <w:pPr>
        <w:tabs>
          <w:tab w:val="left" w:pos="8080"/>
        </w:tabs>
        <w:spacing w:line="276" w:lineRule="auto"/>
        <w:ind w:left="851" w:right="899"/>
        <w:jc w:val="both"/>
        <w:rPr>
          <w:rFonts w:ascii="Arial" w:hAnsi="Arial" w:cs="Arial"/>
          <w:i/>
          <w:sz w:val="22"/>
          <w:szCs w:val="22"/>
        </w:rPr>
      </w:pPr>
      <w:r w:rsidRPr="002773C7">
        <w:rPr>
          <w:rFonts w:ascii="Arial" w:hAnsi="Arial" w:cs="Arial"/>
          <w:i/>
          <w:sz w:val="22"/>
          <w:szCs w:val="22"/>
        </w:rPr>
        <w:t>Todo uso, aprovechamiento o explotación de bandas de frecuencias deberá realizarse de conformidad con lo establecido en el Cuadro Nacional de Atribución de Frecuencias y demás disposiciones aplicables.”</w:t>
      </w:r>
    </w:p>
    <w:p w14:paraId="31CFE4C4" w14:textId="77777777" w:rsidR="002773C7" w:rsidRPr="002773C7" w:rsidRDefault="002773C7" w:rsidP="002773C7">
      <w:pPr>
        <w:spacing w:line="276" w:lineRule="auto"/>
        <w:ind w:left="851" w:right="899"/>
        <w:jc w:val="both"/>
        <w:rPr>
          <w:rFonts w:ascii="Arial" w:eastAsiaTheme="majorEastAsia" w:hAnsi="Arial" w:cs="Arial"/>
          <w:i/>
          <w:sz w:val="22"/>
          <w:szCs w:val="22"/>
          <w:lang w:val="es-ES" w:eastAsia="es-MX"/>
        </w:rPr>
      </w:pPr>
    </w:p>
    <w:p w14:paraId="0F8805B4" w14:textId="77777777" w:rsidR="002773C7" w:rsidRPr="002773C7" w:rsidRDefault="002773C7" w:rsidP="002773C7">
      <w:pPr>
        <w:pStyle w:val="ANOTACION"/>
        <w:spacing w:before="0" w:after="0" w:line="276" w:lineRule="auto"/>
        <w:jc w:val="both"/>
        <w:rPr>
          <w:rFonts w:ascii="Arial" w:hAnsi="Arial" w:cs="Arial"/>
          <w:b w:val="0"/>
          <w:kern w:val="2"/>
          <w:sz w:val="22"/>
          <w:szCs w:val="22"/>
          <w:lang w:val="es-ES" w:eastAsia="ar-SA"/>
        </w:rPr>
      </w:pPr>
      <w:r w:rsidRPr="002773C7">
        <w:rPr>
          <w:rFonts w:ascii="Arial" w:hAnsi="Arial" w:cs="Arial"/>
          <w:b w:val="0"/>
          <w:kern w:val="2"/>
          <w:sz w:val="22"/>
          <w:szCs w:val="22"/>
          <w:lang w:val="es-ES" w:eastAsia="ar-SA"/>
        </w:rPr>
        <w:t>De lo anterior, se advierte con claridad, en cuanto a la administración del espectro radioeléctrico, lo siguiente:</w:t>
      </w:r>
    </w:p>
    <w:p w14:paraId="704F7D57" w14:textId="77777777" w:rsidR="002773C7" w:rsidRPr="002773C7" w:rsidRDefault="002773C7" w:rsidP="002773C7">
      <w:pPr>
        <w:spacing w:line="276" w:lineRule="auto"/>
        <w:jc w:val="both"/>
        <w:rPr>
          <w:rFonts w:ascii="Arial" w:hAnsi="Arial" w:cs="Arial"/>
          <w:sz w:val="22"/>
          <w:szCs w:val="22"/>
        </w:rPr>
      </w:pPr>
    </w:p>
    <w:p w14:paraId="3488603A" w14:textId="77777777" w:rsidR="002773C7" w:rsidRPr="002773C7" w:rsidRDefault="002773C7" w:rsidP="002773C7">
      <w:pPr>
        <w:pStyle w:val="Prrafodelista"/>
        <w:numPr>
          <w:ilvl w:val="0"/>
          <w:numId w:val="46"/>
        </w:numPr>
        <w:spacing w:line="276" w:lineRule="auto"/>
        <w:contextualSpacing w:val="0"/>
        <w:jc w:val="both"/>
        <w:rPr>
          <w:rFonts w:ascii="Arial" w:hAnsi="Arial" w:cs="Arial"/>
          <w:sz w:val="22"/>
          <w:szCs w:val="22"/>
        </w:rPr>
      </w:pPr>
      <w:r w:rsidRPr="002773C7">
        <w:rPr>
          <w:rFonts w:ascii="Arial" w:hAnsi="Arial" w:cs="Arial"/>
          <w:sz w:val="22"/>
          <w:szCs w:val="22"/>
        </w:rPr>
        <w:t xml:space="preserve">La administración del espectro radioeléctrico como </w:t>
      </w:r>
      <w:bookmarkStart w:id="1" w:name="_Hlk95818101"/>
      <w:r w:rsidRPr="002773C7">
        <w:rPr>
          <w:rFonts w:ascii="Arial" w:hAnsi="Arial" w:cs="Arial"/>
          <w:sz w:val="22"/>
          <w:szCs w:val="22"/>
        </w:rPr>
        <w:t>bien de dominio público de la Nación se ejercerá por el Instituto, según lo dispuesto por la Constitución, la Ley, los tratados y acuerdos internacionales firmados por México y, en lo aplicable, siguiendo las recomendaciones de la Unión Internacional de Telecomunicaciones (“UIT”) y otros organismos internacionales.</w:t>
      </w:r>
    </w:p>
    <w:bookmarkEnd w:id="1"/>
    <w:p w14:paraId="6EE06104" w14:textId="77777777" w:rsidR="002773C7" w:rsidRPr="002773C7" w:rsidRDefault="002773C7" w:rsidP="002773C7">
      <w:pPr>
        <w:pStyle w:val="Prrafodelista"/>
        <w:spacing w:line="276" w:lineRule="auto"/>
        <w:contextualSpacing w:val="0"/>
        <w:jc w:val="both"/>
        <w:rPr>
          <w:rFonts w:ascii="Arial" w:hAnsi="Arial" w:cs="Arial"/>
          <w:sz w:val="22"/>
          <w:szCs w:val="22"/>
        </w:rPr>
      </w:pPr>
    </w:p>
    <w:p w14:paraId="30F6CF63" w14:textId="77777777" w:rsidR="002773C7" w:rsidRPr="002773C7" w:rsidRDefault="002773C7" w:rsidP="002773C7">
      <w:pPr>
        <w:pStyle w:val="Prrafodelista"/>
        <w:numPr>
          <w:ilvl w:val="0"/>
          <w:numId w:val="46"/>
        </w:numPr>
        <w:spacing w:line="276" w:lineRule="auto"/>
        <w:contextualSpacing w:val="0"/>
        <w:jc w:val="both"/>
        <w:rPr>
          <w:rFonts w:ascii="Arial" w:hAnsi="Arial" w:cs="Arial"/>
          <w:sz w:val="22"/>
          <w:szCs w:val="22"/>
        </w:rPr>
      </w:pPr>
      <w:r w:rsidRPr="002773C7">
        <w:rPr>
          <w:rFonts w:ascii="Arial" w:hAnsi="Arial" w:cs="Arial"/>
          <w:sz w:val="22"/>
          <w:szCs w:val="22"/>
        </w:rPr>
        <w:lastRenderedPageBreak/>
        <w:t xml:space="preserve">Dicha administración comprende la elaboración y aprobación de planes y programas de uso, </w:t>
      </w:r>
      <w:r w:rsidRPr="002773C7">
        <w:rPr>
          <w:rFonts w:ascii="Arial" w:hAnsi="Arial" w:cs="Arial"/>
          <w:b/>
          <w:sz w:val="22"/>
          <w:szCs w:val="22"/>
        </w:rPr>
        <w:t>el establecimiento de las condiciones para la atribución de una banda de frecuencias,</w:t>
      </w:r>
      <w:r w:rsidRPr="002773C7">
        <w:rPr>
          <w:rFonts w:ascii="Arial" w:hAnsi="Arial" w:cs="Arial"/>
          <w:sz w:val="22"/>
          <w:szCs w:val="22"/>
        </w:rPr>
        <w:t xml:space="preserve"> el otorgamiento de concesiones, la supervisión de emisiones radioeléctricas y la aplicación del régimen de sanciones, sin menoscabo de las atribuciones que corresponden al Ejecutivo Federal. </w:t>
      </w:r>
    </w:p>
    <w:p w14:paraId="077EE967" w14:textId="77777777" w:rsidR="002773C7" w:rsidRPr="002773C7" w:rsidRDefault="002773C7" w:rsidP="002773C7">
      <w:pPr>
        <w:pStyle w:val="Prrafodelista"/>
        <w:spacing w:line="276" w:lineRule="auto"/>
        <w:contextualSpacing w:val="0"/>
        <w:jc w:val="both"/>
        <w:rPr>
          <w:rFonts w:ascii="Arial" w:hAnsi="Arial" w:cs="Arial"/>
          <w:sz w:val="22"/>
          <w:szCs w:val="22"/>
        </w:rPr>
      </w:pPr>
    </w:p>
    <w:p w14:paraId="2ACCBF21" w14:textId="77777777" w:rsidR="002773C7" w:rsidRPr="002773C7" w:rsidRDefault="002773C7" w:rsidP="002773C7">
      <w:pPr>
        <w:pStyle w:val="Prrafodelista"/>
        <w:numPr>
          <w:ilvl w:val="0"/>
          <w:numId w:val="46"/>
        </w:numPr>
        <w:spacing w:line="276" w:lineRule="auto"/>
        <w:contextualSpacing w:val="0"/>
        <w:jc w:val="both"/>
        <w:rPr>
          <w:rFonts w:ascii="Arial" w:hAnsi="Arial" w:cs="Arial"/>
          <w:sz w:val="22"/>
          <w:szCs w:val="22"/>
        </w:rPr>
      </w:pPr>
      <w:r w:rsidRPr="002773C7">
        <w:rPr>
          <w:rFonts w:ascii="Arial" w:hAnsi="Arial" w:cs="Arial"/>
          <w:sz w:val="22"/>
          <w:szCs w:val="22"/>
        </w:rPr>
        <w:t xml:space="preserve">Para una mejor administración y aprovechamiento del uso del espectro radioeléctrico, las bandas de frecuencias, atenderán la clasificación establecida en la Ley, ya sea como espectro determinado, </w:t>
      </w:r>
      <w:r w:rsidRPr="002773C7">
        <w:rPr>
          <w:rFonts w:ascii="Arial" w:hAnsi="Arial" w:cs="Arial"/>
          <w:b/>
          <w:sz w:val="22"/>
          <w:szCs w:val="22"/>
        </w:rPr>
        <w:t>espectro libre</w:t>
      </w:r>
      <w:r w:rsidRPr="002773C7">
        <w:rPr>
          <w:rFonts w:ascii="Arial" w:hAnsi="Arial" w:cs="Arial"/>
          <w:sz w:val="22"/>
          <w:szCs w:val="22"/>
        </w:rPr>
        <w:t>, espectro protegido o espectro reservado.</w:t>
      </w:r>
    </w:p>
    <w:p w14:paraId="0BCD1CFF" w14:textId="77777777" w:rsidR="002773C7" w:rsidRPr="002773C7" w:rsidRDefault="002773C7" w:rsidP="002773C7">
      <w:pPr>
        <w:pStyle w:val="Prrafodelista"/>
        <w:spacing w:line="276" w:lineRule="auto"/>
        <w:contextualSpacing w:val="0"/>
        <w:jc w:val="both"/>
        <w:rPr>
          <w:rFonts w:ascii="Arial" w:hAnsi="Arial" w:cs="Arial"/>
          <w:sz w:val="22"/>
          <w:szCs w:val="22"/>
        </w:rPr>
      </w:pPr>
    </w:p>
    <w:p w14:paraId="56DE2B77" w14:textId="77777777" w:rsidR="002773C7" w:rsidRPr="002773C7" w:rsidRDefault="002773C7" w:rsidP="002773C7">
      <w:pPr>
        <w:pStyle w:val="Prrafodelista"/>
        <w:numPr>
          <w:ilvl w:val="0"/>
          <w:numId w:val="46"/>
        </w:numPr>
        <w:spacing w:line="276" w:lineRule="auto"/>
        <w:contextualSpacing w:val="0"/>
        <w:jc w:val="both"/>
        <w:rPr>
          <w:rFonts w:ascii="Arial" w:hAnsi="Arial" w:cs="Arial"/>
          <w:sz w:val="22"/>
          <w:szCs w:val="22"/>
        </w:rPr>
      </w:pPr>
      <w:r w:rsidRPr="002773C7">
        <w:rPr>
          <w:rFonts w:ascii="Arial" w:hAnsi="Arial" w:cs="Arial"/>
          <w:sz w:val="22"/>
          <w:szCs w:val="22"/>
        </w:rPr>
        <w:t>El Instituto debe perseguir diversos objetivos generales en beneficio de los usuarios de servicios de telecomunicaciones. Para el caso de la actualización de las condiciones técnicas de operación de alguna banda de frecuencias clasificada como espectro libre, resultan aplicables: el uso eficaz del espectro radioeléctrico y su protección y el cumplimiento de lo dispuesto por los artículos 2o., 6o., 7o., y 28 de la Constitución.</w:t>
      </w:r>
    </w:p>
    <w:p w14:paraId="2436635A" w14:textId="77777777" w:rsidR="002773C7" w:rsidRPr="002773C7" w:rsidRDefault="002773C7" w:rsidP="002773C7">
      <w:pPr>
        <w:pStyle w:val="Prrafodelista"/>
        <w:spacing w:line="276" w:lineRule="auto"/>
        <w:contextualSpacing w:val="0"/>
        <w:rPr>
          <w:rFonts w:ascii="Arial" w:hAnsi="Arial" w:cs="Arial"/>
          <w:sz w:val="22"/>
          <w:szCs w:val="22"/>
        </w:rPr>
      </w:pPr>
    </w:p>
    <w:p w14:paraId="558E357B" w14:textId="77777777" w:rsidR="002773C7" w:rsidRPr="002773C7" w:rsidRDefault="002773C7" w:rsidP="002773C7">
      <w:pPr>
        <w:pStyle w:val="Prrafodelista"/>
        <w:numPr>
          <w:ilvl w:val="0"/>
          <w:numId w:val="46"/>
        </w:numPr>
        <w:spacing w:line="276" w:lineRule="auto"/>
        <w:contextualSpacing w:val="0"/>
        <w:jc w:val="both"/>
        <w:rPr>
          <w:rFonts w:ascii="Arial" w:hAnsi="Arial" w:cs="Arial"/>
          <w:kern w:val="2"/>
          <w:sz w:val="22"/>
          <w:szCs w:val="22"/>
          <w:lang w:val="es-ES" w:eastAsia="ar-SA"/>
        </w:rPr>
      </w:pPr>
      <w:r w:rsidRPr="002773C7">
        <w:rPr>
          <w:rFonts w:ascii="Arial" w:hAnsi="Arial" w:cs="Arial"/>
          <w:sz w:val="22"/>
          <w:szCs w:val="22"/>
        </w:rPr>
        <w:t>Las bandas de frecuencias clasificadas como espectro libre son aquellas bandas de frecuencias que pueden ser empleadas por cualquier persona, sin necesidad de que se haya otorgado una concesión o autorización, siempre que se atiendan las condiciones establecidas por el Instituto para el uso de las mismas. Para lo anterior, el Instituto dictará las medidas necesarias a efecto de evitar interferencias perjudiciales.</w:t>
      </w:r>
    </w:p>
    <w:p w14:paraId="4BA69BF4" w14:textId="77777777" w:rsidR="002773C7" w:rsidRPr="002773C7" w:rsidRDefault="002773C7" w:rsidP="002773C7">
      <w:pPr>
        <w:pStyle w:val="Prrafodelista"/>
        <w:spacing w:line="276" w:lineRule="auto"/>
        <w:contextualSpacing w:val="0"/>
        <w:jc w:val="both"/>
        <w:rPr>
          <w:rFonts w:ascii="Arial" w:hAnsi="Arial" w:cs="Arial"/>
          <w:kern w:val="1"/>
          <w:sz w:val="22"/>
          <w:szCs w:val="22"/>
          <w:lang w:val="es-ES" w:eastAsia="ar-SA"/>
        </w:rPr>
      </w:pPr>
    </w:p>
    <w:p w14:paraId="51B9CB89" w14:textId="77777777" w:rsidR="002773C7" w:rsidRPr="002773C7" w:rsidRDefault="002773C7" w:rsidP="002773C7">
      <w:pPr>
        <w:pStyle w:val="ANOTACION"/>
        <w:spacing w:before="0" w:after="0" w:line="276" w:lineRule="auto"/>
        <w:jc w:val="both"/>
        <w:rPr>
          <w:rFonts w:ascii="Arial" w:hAnsi="Arial" w:cs="Arial"/>
          <w:b w:val="0"/>
          <w:kern w:val="2"/>
          <w:sz w:val="22"/>
          <w:szCs w:val="22"/>
          <w:lang w:val="es-ES" w:eastAsia="ar-SA"/>
        </w:rPr>
      </w:pPr>
      <w:r w:rsidRPr="002773C7">
        <w:rPr>
          <w:rFonts w:ascii="Arial" w:hAnsi="Arial" w:cs="Arial"/>
          <w:b w:val="0"/>
          <w:kern w:val="2"/>
          <w:sz w:val="22"/>
          <w:szCs w:val="22"/>
          <w:lang w:val="es-ES" w:eastAsia="ar-SA"/>
        </w:rPr>
        <w:t>De ahí que el Instituto como rector del desarrollo nacional de las telecomunicaciones y radiodifusión, al observar los elementos vertidos con anterioridad, instituirá una regulación eficiente y ordenada que tenga como finalidad el aprovechamiento máximo del espectro radioeléctrico considerando su naturaleza de recurso finito.</w:t>
      </w:r>
    </w:p>
    <w:p w14:paraId="5FC23630" w14:textId="77777777" w:rsidR="002773C7" w:rsidRPr="002773C7" w:rsidRDefault="002773C7" w:rsidP="002773C7">
      <w:pPr>
        <w:spacing w:line="276" w:lineRule="auto"/>
        <w:jc w:val="both"/>
        <w:rPr>
          <w:rFonts w:ascii="Arial" w:hAnsi="Arial" w:cs="Arial"/>
          <w:sz w:val="22"/>
          <w:szCs w:val="22"/>
        </w:rPr>
      </w:pPr>
    </w:p>
    <w:p w14:paraId="38A5AD19" w14:textId="77777777" w:rsidR="002773C7" w:rsidRPr="002773C7" w:rsidRDefault="002773C7" w:rsidP="002773C7">
      <w:pPr>
        <w:spacing w:line="276" w:lineRule="auto"/>
        <w:jc w:val="both"/>
        <w:rPr>
          <w:rFonts w:ascii="Arial" w:hAnsi="Arial" w:cs="Arial"/>
          <w:sz w:val="22"/>
          <w:szCs w:val="22"/>
        </w:rPr>
      </w:pPr>
      <w:r w:rsidRPr="002773C7">
        <w:rPr>
          <w:rFonts w:ascii="Arial" w:hAnsi="Arial" w:cs="Arial"/>
          <w:sz w:val="22"/>
          <w:szCs w:val="22"/>
        </w:rPr>
        <w:t>Adicionalmente, los equipos que operen en las diferentes bandas de frecuencias, incluidas aquellas clasificadas como espectro libre, deberán sujetarse a las condiciones y especificaciones determinadas por el Instituto, en cumplimiento al artículo 64, primer párrafo de la Ley, al tenor de lo siguiente:</w:t>
      </w:r>
    </w:p>
    <w:p w14:paraId="46EE73DE" w14:textId="77777777" w:rsidR="002773C7" w:rsidRPr="002773C7" w:rsidRDefault="002773C7" w:rsidP="002773C7">
      <w:pPr>
        <w:spacing w:line="276" w:lineRule="auto"/>
        <w:jc w:val="both"/>
        <w:rPr>
          <w:rFonts w:ascii="Arial" w:hAnsi="Arial" w:cs="Arial"/>
          <w:sz w:val="22"/>
          <w:szCs w:val="22"/>
        </w:rPr>
      </w:pPr>
    </w:p>
    <w:p w14:paraId="44DFF90B" w14:textId="77777777" w:rsidR="002773C7" w:rsidRPr="002773C7" w:rsidRDefault="002773C7" w:rsidP="002773C7">
      <w:pPr>
        <w:spacing w:line="276" w:lineRule="auto"/>
        <w:ind w:left="851" w:right="899"/>
        <w:jc w:val="both"/>
        <w:rPr>
          <w:rFonts w:ascii="Arial" w:hAnsi="Arial" w:cs="Arial"/>
          <w:i/>
          <w:sz w:val="22"/>
          <w:szCs w:val="22"/>
          <w:shd w:val="clear" w:color="auto" w:fill="FFFFFF"/>
        </w:rPr>
      </w:pPr>
      <w:r w:rsidRPr="002773C7">
        <w:rPr>
          <w:rFonts w:ascii="Arial" w:eastAsia="Times New Roman" w:hAnsi="Arial" w:cs="Arial"/>
          <w:b/>
          <w:i/>
          <w:sz w:val="22"/>
          <w:szCs w:val="22"/>
          <w:lang w:eastAsia="es-MX"/>
        </w:rPr>
        <w:t>"Artículo 64</w:t>
      </w:r>
      <w:r w:rsidRPr="002773C7">
        <w:rPr>
          <w:rFonts w:ascii="Arial" w:eastAsia="Times New Roman" w:hAnsi="Arial" w:cs="Arial"/>
          <w:i/>
          <w:sz w:val="22"/>
          <w:szCs w:val="22"/>
          <w:lang w:eastAsia="es-MX"/>
        </w:rPr>
        <w:t xml:space="preserve">. </w:t>
      </w:r>
      <w:r w:rsidRPr="002773C7">
        <w:rPr>
          <w:rFonts w:ascii="Arial" w:hAnsi="Arial" w:cs="Arial"/>
          <w:i/>
          <w:sz w:val="22"/>
          <w:szCs w:val="22"/>
          <w:shd w:val="clear" w:color="auto" w:fill="FFFFFF"/>
        </w:rPr>
        <w:t>El Instituto buscará evitar las interferencias perjudiciales entre sistemas de radiocomunicaciones nacionales e internacionales y dictará las medidas convenientes, a fin de que dichos sistemas operen libres de interferencias perjudiciales en su zona autorizada de servicio.</w:t>
      </w:r>
    </w:p>
    <w:p w14:paraId="5F61FC54" w14:textId="77777777" w:rsidR="002773C7" w:rsidRPr="002773C7" w:rsidRDefault="002773C7" w:rsidP="002773C7">
      <w:pPr>
        <w:spacing w:line="276" w:lineRule="auto"/>
        <w:ind w:left="851"/>
        <w:jc w:val="both"/>
        <w:rPr>
          <w:rFonts w:ascii="Arial" w:eastAsia="Times New Roman" w:hAnsi="Arial" w:cs="Arial"/>
          <w:kern w:val="1"/>
          <w:sz w:val="22"/>
          <w:szCs w:val="22"/>
          <w:lang w:val="es-ES" w:eastAsia="ar-SA"/>
        </w:rPr>
      </w:pPr>
      <w:r w:rsidRPr="002773C7">
        <w:rPr>
          <w:rFonts w:ascii="Arial" w:eastAsia="Times New Roman" w:hAnsi="Arial" w:cs="Arial"/>
          <w:i/>
          <w:sz w:val="22"/>
          <w:szCs w:val="22"/>
          <w:lang w:eastAsia="es-MX"/>
        </w:rPr>
        <w:t>(…)"</w:t>
      </w:r>
    </w:p>
    <w:p w14:paraId="4D19FA7B" w14:textId="77777777" w:rsidR="002773C7" w:rsidRPr="002773C7" w:rsidRDefault="002773C7" w:rsidP="002773C7">
      <w:pPr>
        <w:pStyle w:val="ANOTACION"/>
        <w:spacing w:before="0" w:after="0" w:line="276" w:lineRule="auto"/>
        <w:jc w:val="both"/>
        <w:rPr>
          <w:rFonts w:ascii="Arial" w:hAnsi="Arial" w:cs="Arial"/>
          <w:b w:val="0"/>
          <w:kern w:val="2"/>
          <w:sz w:val="22"/>
          <w:szCs w:val="22"/>
          <w:lang w:val="es-ES" w:eastAsia="ar-SA"/>
        </w:rPr>
      </w:pPr>
    </w:p>
    <w:p w14:paraId="78AB23F6" w14:textId="77777777" w:rsidR="002773C7" w:rsidRPr="002773C7" w:rsidRDefault="002773C7" w:rsidP="002773C7">
      <w:pPr>
        <w:pStyle w:val="ANOTACION"/>
        <w:spacing w:before="0" w:after="0" w:line="276" w:lineRule="auto"/>
        <w:jc w:val="both"/>
        <w:rPr>
          <w:rFonts w:ascii="Arial" w:hAnsi="Arial" w:cs="Arial"/>
          <w:b w:val="0"/>
          <w:kern w:val="2"/>
          <w:sz w:val="22"/>
          <w:szCs w:val="22"/>
          <w:lang w:val="es-ES" w:eastAsia="ar-SA"/>
        </w:rPr>
      </w:pPr>
      <w:r w:rsidRPr="002773C7">
        <w:rPr>
          <w:rFonts w:ascii="Arial" w:hAnsi="Arial" w:cs="Arial"/>
          <w:b w:val="0"/>
          <w:kern w:val="2"/>
          <w:sz w:val="22"/>
          <w:szCs w:val="22"/>
          <w:lang w:val="es-ES" w:eastAsia="ar-SA"/>
        </w:rPr>
        <w:t>Ahora bien, en el ámbito internacional, el sector de Radiocomunicaciones de la UIT (“UIT-R”) a través de su Manual sobre la Gestión nacional de espectro (“Manual”), edición 2015</w:t>
      </w:r>
      <w:r w:rsidRPr="002773C7">
        <w:rPr>
          <w:rStyle w:val="Refdenotaalpie"/>
          <w:rFonts w:ascii="Arial" w:hAnsi="Arial" w:cs="Arial"/>
          <w:b w:val="0"/>
          <w:kern w:val="2"/>
          <w:sz w:val="22"/>
          <w:szCs w:val="22"/>
          <w:lang w:val="es-ES" w:eastAsia="ar-SA"/>
        </w:rPr>
        <w:footnoteReference w:id="5"/>
      </w:r>
      <w:r w:rsidRPr="002773C7">
        <w:rPr>
          <w:rFonts w:ascii="Arial" w:hAnsi="Arial" w:cs="Arial"/>
          <w:b w:val="0"/>
          <w:kern w:val="2"/>
          <w:sz w:val="22"/>
          <w:szCs w:val="22"/>
          <w:lang w:val="es-ES" w:eastAsia="ar-SA"/>
        </w:rPr>
        <w:t>, en su Capítulo 2, “Planificación espectral”, indica lo siguiente:</w:t>
      </w:r>
    </w:p>
    <w:p w14:paraId="588F880E" w14:textId="77777777" w:rsidR="002773C7" w:rsidRPr="002773C7" w:rsidRDefault="002773C7" w:rsidP="002773C7">
      <w:pPr>
        <w:pStyle w:val="ANOTACION"/>
        <w:spacing w:before="0" w:after="0" w:line="276" w:lineRule="auto"/>
        <w:jc w:val="both"/>
        <w:rPr>
          <w:rFonts w:ascii="Arial" w:hAnsi="Arial" w:cs="Arial"/>
          <w:b w:val="0"/>
          <w:kern w:val="2"/>
          <w:sz w:val="22"/>
          <w:szCs w:val="22"/>
          <w:lang w:val="es-ES" w:eastAsia="ar-SA"/>
        </w:rPr>
      </w:pPr>
    </w:p>
    <w:p w14:paraId="15636C50" w14:textId="77777777" w:rsidR="002773C7" w:rsidRPr="002773C7" w:rsidRDefault="002773C7" w:rsidP="002773C7">
      <w:pPr>
        <w:pStyle w:val="ANOTACION"/>
        <w:spacing w:before="0" w:after="0" w:line="276" w:lineRule="auto"/>
        <w:ind w:left="851" w:right="899"/>
        <w:jc w:val="both"/>
        <w:rPr>
          <w:rFonts w:ascii="Arial" w:hAnsi="Arial" w:cs="Arial"/>
          <w:sz w:val="22"/>
          <w:szCs w:val="22"/>
        </w:rPr>
      </w:pPr>
      <w:r w:rsidRPr="002773C7">
        <w:rPr>
          <w:rFonts w:ascii="Arial" w:hAnsi="Arial" w:cs="Arial"/>
          <w:b w:val="0"/>
          <w:i/>
          <w:kern w:val="2"/>
          <w:sz w:val="22"/>
          <w:szCs w:val="22"/>
          <w:lang w:val="es-ES" w:eastAsia="ar-SA"/>
        </w:rPr>
        <w:t>“</w:t>
      </w:r>
      <w:r w:rsidRPr="002773C7">
        <w:rPr>
          <w:rFonts w:ascii="Arial" w:hAnsi="Arial" w:cs="Arial"/>
          <w:i/>
          <w:kern w:val="2"/>
          <w:sz w:val="22"/>
          <w:szCs w:val="22"/>
          <w:lang w:val="es-ES" w:eastAsia="ar-SA"/>
        </w:rPr>
        <w:t xml:space="preserve">2.3.1 </w:t>
      </w:r>
      <w:r w:rsidRPr="002773C7">
        <w:rPr>
          <w:rFonts w:ascii="Arial" w:hAnsi="Arial" w:cs="Arial"/>
          <w:i/>
          <w:sz w:val="22"/>
          <w:szCs w:val="22"/>
        </w:rPr>
        <w:t>Definición de los objetivos de la planificación espectral</w:t>
      </w:r>
    </w:p>
    <w:p w14:paraId="223EE9C5" w14:textId="77777777" w:rsidR="002773C7" w:rsidRPr="002773C7" w:rsidRDefault="002773C7" w:rsidP="002773C7">
      <w:pPr>
        <w:pStyle w:val="ANOTACION"/>
        <w:spacing w:before="0" w:after="0" w:line="276" w:lineRule="auto"/>
        <w:ind w:left="851" w:right="899"/>
        <w:jc w:val="both"/>
        <w:rPr>
          <w:rFonts w:ascii="Arial" w:hAnsi="Arial" w:cs="Arial"/>
          <w:b w:val="0"/>
          <w:i/>
          <w:kern w:val="2"/>
          <w:sz w:val="22"/>
          <w:szCs w:val="22"/>
          <w:lang w:val="es-ES" w:eastAsia="ar-SA"/>
        </w:rPr>
      </w:pPr>
    </w:p>
    <w:p w14:paraId="629AE097" w14:textId="77777777" w:rsidR="002773C7" w:rsidRPr="002773C7" w:rsidRDefault="002773C7" w:rsidP="002773C7">
      <w:pPr>
        <w:pStyle w:val="ANOTACION"/>
        <w:spacing w:before="0" w:after="0" w:line="276" w:lineRule="auto"/>
        <w:ind w:left="851" w:right="899"/>
        <w:jc w:val="both"/>
        <w:rPr>
          <w:rFonts w:ascii="Arial" w:hAnsi="Arial" w:cs="Arial"/>
          <w:b w:val="0"/>
          <w:i/>
          <w:kern w:val="2"/>
          <w:sz w:val="22"/>
          <w:szCs w:val="22"/>
          <w:lang w:val="es-ES" w:eastAsia="ar-SA"/>
        </w:rPr>
      </w:pPr>
      <w:r w:rsidRPr="002773C7">
        <w:rPr>
          <w:rFonts w:ascii="Arial" w:hAnsi="Arial" w:cs="Arial"/>
          <w:b w:val="0"/>
          <w:i/>
          <w:kern w:val="2"/>
          <w:sz w:val="22"/>
          <w:szCs w:val="22"/>
          <w:lang w:val="es-ES" w:eastAsia="ar-SA"/>
        </w:rPr>
        <w:t xml:space="preserve">La </w:t>
      </w:r>
      <w:r w:rsidRPr="002773C7">
        <w:rPr>
          <w:rFonts w:ascii="Arial" w:hAnsi="Arial" w:cs="Arial"/>
          <w:i/>
          <w:kern w:val="2"/>
          <w:sz w:val="22"/>
          <w:szCs w:val="22"/>
          <w:lang w:val="es-ES" w:eastAsia="ar-SA"/>
        </w:rPr>
        <w:t>identificación</w:t>
      </w:r>
      <w:r w:rsidRPr="002773C7">
        <w:rPr>
          <w:rFonts w:ascii="Arial" w:hAnsi="Arial" w:cs="Arial"/>
          <w:b w:val="0"/>
          <w:i/>
          <w:kern w:val="2"/>
          <w:sz w:val="22"/>
          <w:szCs w:val="22"/>
          <w:lang w:val="es-ES" w:eastAsia="ar-SA"/>
        </w:rPr>
        <w:t xml:space="preserve"> y </w:t>
      </w:r>
      <w:r w:rsidRPr="002773C7">
        <w:rPr>
          <w:rFonts w:ascii="Arial" w:hAnsi="Arial" w:cs="Arial"/>
          <w:i/>
          <w:kern w:val="2"/>
          <w:sz w:val="22"/>
          <w:szCs w:val="22"/>
          <w:lang w:val="es-ES" w:eastAsia="ar-SA"/>
        </w:rPr>
        <w:t>definición</w:t>
      </w:r>
      <w:r w:rsidRPr="002773C7">
        <w:rPr>
          <w:rFonts w:ascii="Arial" w:hAnsi="Arial" w:cs="Arial"/>
          <w:b w:val="0"/>
          <w:i/>
          <w:kern w:val="2"/>
          <w:sz w:val="22"/>
          <w:szCs w:val="22"/>
          <w:lang w:val="es-ES" w:eastAsia="ar-SA"/>
        </w:rPr>
        <w:t xml:space="preserve"> de los objetivos de </w:t>
      </w:r>
      <w:r w:rsidRPr="002773C7">
        <w:rPr>
          <w:rFonts w:ascii="Arial" w:hAnsi="Arial" w:cs="Arial"/>
          <w:i/>
          <w:kern w:val="2"/>
          <w:sz w:val="22"/>
          <w:szCs w:val="22"/>
          <w:lang w:val="es-ES" w:eastAsia="ar-SA"/>
        </w:rPr>
        <w:t>la planificación espectral</w:t>
      </w:r>
      <w:r w:rsidRPr="002773C7">
        <w:rPr>
          <w:rFonts w:ascii="Arial" w:hAnsi="Arial" w:cs="Arial"/>
          <w:b w:val="0"/>
          <w:i/>
          <w:kern w:val="2"/>
          <w:sz w:val="22"/>
          <w:szCs w:val="22"/>
          <w:lang w:val="es-ES" w:eastAsia="ar-SA"/>
        </w:rPr>
        <w:t xml:space="preserve"> es una parte necesaria del proceso de planificación y requiere el estudio de la optimización de los usos del espectro radioeléctrico. Dicho estudio </w:t>
      </w:r>
      <w:r w:rsidRPr="002773C7">
        <w:rPr>
          <w:rFonts w:ascii="Arial" w:hAnsi="Arial" w:cs="Arial"/>
          <w:i/>
          <w:kern w:val="2"/>
          <w:sz w:val="22"/>
          <w:szCs w:val="22"/>
          <w:lang w:val="es-ES" w:eastAsia="ar-SA"/>
        </w:rPr>
        <w:t>debe considerar el crecimiento potencial de los servicios de radiocomunicaciones existentes y la introducción y crecimiento de nuevos servicios y aplicaciones.</w:t>
      </w:r>
      <w:r w:rsidRPr="002773C7">
        <w:rPr>
          <w:rFonts w:ascii="Arial" w:hAnsi="Arial" w:cs="Arial"/>
          <w:b w:val="0"/>
          <w:i/>
          <w:kern w:val="2"/>
          <w:sz w:val="22"/>
          <w:szCs w:val="22"/>
          <w:lang w:val="es-ES" w:eastAsia="ar-SA"/>
        </w:rPr>
        <w:t xml:space="preserve"> Además, deben considerarse los cambios en la utilización del espectro por parte de las industrias, empresas, administración y los ciudadanos en general. </w:t>
      </w:r>
    </w:p>
    <w:p w14:paraId="6AA6D945" w14:textId="77777777" w:rsidR="002773C7" w:rsidRPr="002773C7" w:rsidRDefault="002773C7" w:rsidP="002773C7">
      <w:pPr>
        <w:pStyle w:val="ANOTACION"/>
        <w:spacing w:before="0" w:after="0" w:line="276" w:lineRule="auto"/>
        <w:ind w:left="851" w:right="899"/>
        <w:jc w:val="both"/>
        <w:rPr>
          <w:rFonts w:ascii="Arial" w:hAnsi="Arial" w:cs="Arial"/>
          <w:b w:val="0"/>
          <w:i/>
          <w:kern w:val="2"/>
          <w:sz w:val="22"/>
          <w:szCs w:val="22"/>
          <w:lang w:val="es-ES" w:eastAsia="ar-SA"/>
        </w:rPr>
      </w:pPr>
      <w:r w:rsidRPr="002773C7">
        <w:rPr>
          <w:rFonts w:ascii="Arial" w:hAnsi="Arial" w:cs="Arial"/>
          <w:b w:val="0"/>
          <w:i/>
          <w:kern w:val="2"/>
          <w:sz w:val="22"/>
          <w:szCs w:val="22"/>
          <w:lang w:val="es-ES" w:eastAsia="ar-SA"/>
        </w:rPr>
        <w:t>(…)”</w:t>
      </w:r>
    </w:p>
    <w:p w14:paraId="1DEA12CC" w14:textId="77777777" w:rsidR="002773C7" w:rsidRPr="002773C7" w:rsidRDefault="002773C7" w:rsidP="002773C7">
      <w:pPr>
        <w:pStyle w:val="ANOTACION"/>
        <w:spacing w:before="0" w:after="0" w:line="276" w:lineRule="auto"/>
        <w:ind w:left="851" w:right="899"/>
        <w:jc w:val="both"/>
        <w:rPr>
          <w:rFonts w:ascii="Arial" w:hAnsi="Arial" w:cs="Arial"/>
          <w:b w:val="0"/>
          <w:i/>
          <w:kern w:val="2"/>
          <w:sz w:val="22"/>
          <w:szCs w:val="22"/>
          <w:lang w:val="es-ES" w:eastAsia="ar-SA"/>
        </w:rPr>
      </w:pPr>
    </w:p>
    <w:p w14:paraId="37DFD0B6" w14:textId="77777777" w:rsidR="002773C7" w:rsidRPr="002773C7" w:rsidRDefault="002773C7" w:rsidP="002773C7">
      <w:pPr>
        <w:pStyle w:val="ANOTACION"/>
        <w:spacing w:before="0" w:after="0" w:line="276" w:lineRule="auto"/>
        <w:ind w:left="851" w:right="899"/>
        <w:jc w:val="both"/>
        <w:rPr>
          <w:rFonts w:ascii="Arial" w:hAnsi="Arial" w:cs="Arial"/>
          <w:i/>
          <w:sz w:val="22"/>
          <w:szCs w:val="22"/>
        </w:rPr>
      </w:pPr>
      <w:r w:rsidRPr="002773C7">
        <w:rPr>
          <w:rFonts w:ascii="Arial" w:hAnsi="Arial" w:cs="Arial"/>
          <w:b w:val="0"/>
          <w:kern w:val="2"/>
          <w:sz w:val="22"/>
          <w:szCs w:val="22"/>
          <w:lang w:val="es-ES" w:eastAsia="ar-SA"/>
        </w:rPr>
        <w:t>“</w:t>
      </w:r>
      <w:r w:rsidRPr="002773C7">
        <w:rPr>
          <w:rFonts w:ascii="Arial" w:hAnsi="Arial" w:cs="Arial"/>
          <w:i/>
          <w:sz w:val="22"/>
          <w:szCs w:val="22"/>
        </w:rPr>
        <w:t>2.3.2 Elementos a considerar</w:t>
      </w:r>
    </w:p>
    <w:p w14:paraId="20569D3A" w14:textId="77777777" w:rsidR="002773C7" w:rsidRPr="002773C7" w:rsidRDefault="002773C7" w:rsidP="002773C7">
      <w:pPr>
        <w:pStyle w:val="ANOTACION"/>
        <w:spacing w:before="0" w:after="0" w:line="276" w:lineRule="auto"/>
        <w:ind w:left="851" w:right="899"/>
        <w:jc w:val="both"/>
        <w:rPr>
          <w:rFonts w:ascii="Arial" w:hAnsi="Arial" w:cs="Arial"/>
          <w:b w:val="0"/>
          <w:i/>
          <w:kern w:val="2"/>
          <w:sz w:val="22"/>
          <w:szCs w:val="22"/>
          <w:lang w:val="es-ES" w:eastAsia="ar-SA"/>
        </w:rPr>
      </w:pPr>
    </w:p>
    <w:p w14:paraId="35DA7C02" w14:textId="77777777" w:rsidR="002773C7" w:rsidRPr="002773C7" w:rsidRDefault="002773C7" w:rsidP="002773C7">
      <w:pPr>
        <w:pStyle w:val="ANOTACION"/>
        <w:spacing w:before="0" w:after="0" w:line="276" w:lineRule="auto"/>
        <w:ind w:left="851" w:right="899"/>
        <w:jc w:val="both"/>
        <w:rPr>
          <w:rFonts w:ascii="Arial" w:hAnsi="Arial" w:cs="Arial"/>
          <w:b w:val="0"/>
          <w:i/>
          <w:kern w:val="2"/>
          <w:sz w:val="22"/>
          <w:szCs w:val="22"/>
          <w:lang w:val="es-ES" w:eastAsia="ar-SA"/>
        </w:rPr>
      </w:pPr>
      <w:r w:rsidRPr="002773C7">
        <w:rPr>
          <w:rFonts w:ascii="Arial" w:hAnsi="Arial" w:cs="Arial"/>
          <w:b w:val="0"/>
          <w:i/>
          <w:kern w:val="2"/>
          <w:sz w:val="22"/>
          <w:szCs w:val="22"/>
          <w:lang w:val="es-ES" w:eastAsia="ar-SA"/>
        </w:rPr>
        <w:t xml:space="preserve">La </w:t>
      </w:r>
      <w:r w:rsidRPr="002773C7">
        <w:rPr>
          <w:rFonts w:ascii="Arial" w:hAnsi="Arial" w:cs="Arial"/>
          <w:i/>
          <w:kern w:val="2"/>
          <w:sz w:val="22"/>
          <w:szCs w:val="22"/>
          <w:lang w:val="es-ES" w:eastAsia="ar-SA"/>
        </w:rPr>
        <w:t>planificación espectral</w:t>
      </w:r>
      <w:r w:rsidRPr="002773C7">
        <w:rPr>
          <w:rFonts w:ascii="Arial" w:hAnsi="Arial" w:cs="Arial"/>
          <w:b w:val="0"/>
          <w:i/>
          <w:kern w:val="2"/>
          <w:sz w:val="22"/>
          <w:szCs w:val="22"/>
          <w:lang w:val="es-ES" w:eastAsia="ar-SA"/>
        </w:rPr>
        <w:t xml:space="preserve"> (…) puede </w:t>
      </w:r>
      <w:r w:rsidRPr="002773C7">
        <w:rPr>
          <w:rFonts w:ascii="Arial" w:hAnsi="Arial" w:cs="Arial"/>
          <w:i/>
          <w:kern w:val="2"/>
          <w:sz w:val="22"/>
          <w:szCs w:val="22"/>
          <w:lang w:val="es-ES" w:eastAsia="ar-SA"/>
        </w:rPr>
        <w:t>determinar las futuras necesidades de espectro nacional,</w:t>
      </w:r>
      <w:r w:rsidRPr="002773C7">
        <w:rPr>
          <w:rFonts w:ascii="Arial" w:hAnsi="Arial" w:cs="Arial"/>
          <w:b w:val="0"/>
          <w:i/>
          <w:kern w:val="2"/>
          <w:sz w:val="22"/>
          <w:szCs w:val="22"/>
          <w:lang w:val="es-ES" w:eastAsia="ar-SA"/>
        </w:rPr>
        <w:t xml:space="preserve"> a grandes rasgos, para los servicios de radiocomunicaciones en función de factores tecnológicos, jurídicos, sociales, ecológicos, políticos y económicos, que pueden influir en la utilización del espectro. Para satisfacer las necesidades de utilización del espectro, sus gestores deben identificar en primer lugar las necesidades actuales y futuras, y el espectro disponible, antes de determinar la mejor manera de acomodar dichas necesidades.</w:t>
      </w:r>
    </w:p>
    <w:p w14:paraId="19D42C93" w14:textId="77777777" w:rsidR="002773C7" w:rsidRPr="002773C7" w:rsidRDefault="002773C7" w:rsidP="002773C7">
      <w:pPr>
        <w:pStyle w:val="ANOTACION"/>
        <w:spacing w:before="0" w:after="0" w:line="276" w:lineRule="auto"/>
        <w:ind w:left="851" w:right="899"/>
        <w:jc w:val="both"/>
        <w:rPr>
          <w:rFonts w:ascii="Arial" w:hAnsi="Arial" w:cs="Arial"/>
          <w:b w:val="0"/>
          <w:i/>
          <w:kern w:val="2"/>
          <w:sz w:val="22"/>
          <w:szCs w:val="22"/>
          <w:lang w:val="es-ES" w:eastAsia="ar-SA"/>
        </w:rPr>
      </w:pPr>
      <w:r w:rsidRPr="002773C7">
        <w:rPr>
          <w:rFonts w:ascii="Arial" w:hAnsi="Arial" w:cs="Arial"/>
          <w:b w:val="0"/>
          <w:i/>
          <w:kern w:val="2"/>
          <w:sz w:val="22"/>
          <w:szCs w:val="22"/>
          <w:lang w:val="es-ES" w:eastAsia="ar-SA"/>
        </w:rPr>
        <w:t>(…)”</w:t>
      </w:r>
    </w:p>
    <w:p w14:paraId="7BBEC0B1" w14:textId="77777777" w:rsidR="002773C7" w:rsidRPr="002773C7" w:rsidRDefault="002773C7" w:rsidP="002773C7">
      <w:pPr>
        <w:pStyle w:val="ANOTACION"/>
        <w:spacing w:before="0" w:after="0" w:line="276" w:lineRule="auto"/>
        <w:ind w:left="851" w:right="899"/>
        <w:jc w:val="left"/>
        <w:rPr>
          <w:rFonts w:ascii="Arial" w:hAnsi="Arial" w:cs="Arial"/>
          <w:b w:val="0"/>
          <w:i/>
          <w:kern w:val="2"/>
          <w:sz w:val="22"/>
          <w:szCs w:val="22"/>
          <w:lang w:val="es-ES" w:eastAsia="ar-SA"/>
        </w:rPr>
      </w:pPr>
    </w:p>
    <w:p w14:paraId="5FF33678" w14:textId="77777777" w:rsidR="002773C7" w:rsidRPr="002773C7" w:rsidRDefault="002773C7" w:rsidP="002773C7">
      <w:pPr>
        <w:pStyle w:val="ANOTACION"/>
        <w:spacing w:before="0" w:after="0" w:line="276" w:lineRule="auto"/>
        <w:ind w:left="851" w:right="899"/>
        <w:jc w:val="left"/>
        <w:rPr>
          <w:rFonts w:ascii="Arial" w:hAnsi="Arial" w:cs="Arial"/>
          <w:i/>
          <w:kern w:val="2"/>
          <w:sz w:val="22"/>
          <w:szCs w:val="22"/>
          <w:lang w:val="es-ES" w:eastAsia="ar-SA"/>
        </w:rPr>
      </w:pPr>
      <w:r w:rsidRPr="002773C7">
        <w:rPr>
          <w:rFonts w:ascii="Arial" w:hAnsi="Arial" w:cs="Arial"/>
          <w:i/>
          <w:kern w:val="2"/>
          <w:sz w:val="22"/>
          <w:szCs w:val="22"/>
          <w:lang w:val="es-ES" w:eastAsia="ar-SA"/>
        </w:rPr>
        <w:t>“2.11.8 Utilización del espectro no utilizado</w:t>
      </w:r>
    </w:p>
    <w:p w14:paraId="107D704A" w14:textId="77777777" w:rsidR="002773C7" w:rsidRPr="002773C7" w:rsidRDefault="002773C7" w:rsidP="002773C7">
      <w:pPr>
        <w:pStyle w:val="ANOTACION"/>
        <w:spacing w:before="0" w:after="0" w:line="276" w:lineRule="auto"/>
        <w:ind w:left="851" w:right="899"/>
        <w:jc w:val="both"/>
        <w:rPr>
          <w:rFonts w:ascii="Arial" w:hAnsi="Arial" w:cs="Arial"/>
          <w:b w:val="0"/>
          <w:i/>
          <w:kern w:val="2"/>
          <w:sz w:val="22"/>
          <w:szCs w:val="22"/>
          <w:lang w:val="es-ES" w:eastAsia="ar-SA"/>
        </w:rPr>
      </w:pPr>
    </w:p>
    <w:p w14:paraId="3749806E" w14:textId="77777777" w:rsidR="002773C7" w:rsidRPr="002773C7" w:rsidRDefault="002773C7" w:rsidP="002773C7">
      <w:pPr>
        <w:pStyle w:val="ANOTACION"/>
        <w:spacing w:before="0" w:after="0" w:line="276" w:lineRule="auto"/>
        <w:ind w:left="851" w:right="899"/>
        <w:jc w:val="both"/>
        <w:rPr>
          <w:rFonts w:ascii="Arial" w:hAnsi="Arial" w:cs="Arial"/>
          <w:b w:val="0"/>
          <w:i/>
          <w:kern w:val="2"/>
          <w:sz w:val="22"/>
          <w:szCs w:val="22"/>
          <w:lang w:val="es-ES" w:eastAsia="ar-SA"/>
        </w:rPr>
      </w:pPr>
      <w:r w:rsidRPr="002773C7">
        <w:rPr>
          <w:rFonts w:ascii="Arial" w:hAnsi="Arial" w:cs="Arial"/>
          <w:b w:val="0"/>
          <w:i/>
          <w:kern w:val="2"/>
          <w:sz w:val="22"/>
          <w:szCs w:val="22"/>
          <w:lang w:val="es-ES" w:eastAsia="ar-SA"/>
        </w:rPr>
        <w:t xml:space="preserve">Las políticas, reglamentos y programas de espectro deben </w:t>
      </w:r>
      <w:r w:rsidRPr="002773C7">
        <w:rPr>
          <w:rFonts w:ascii="Arial" w:hAnsi="Arial" w:cs="Arial"/>
          <w:i/>
          <w:kern w:val="2"/>
          <w:sz w:val="22"/>
          <w:szCs w:val="22"/>
          <w:lang w:val="es-ES" w:eastAsia="ar-SA"/>
        </w:rPr>
        <w:t>fomentar la utilización del espectro por encima de 40 GHz</w:t>
      </w:r>
      <w:r w:rsidRPr="002773C7">
        <w:rPr>
          <w:rFonts w:ascii="Arial" w:hAnsi="Arial" w:cs="Arial"/>
          <w:b w:val="0"/>
          <w:i/>
          <w:kern w:val="2"/>
          <w:sz w:val="22"/>
          <w:szCs w:val="22"/>
          <w:lang w:val="es-ES" w:eastAsia="ar-SA"/>
        </w:rPr>
        <w:t xml:space="preserve">, sobre todo para servicios que necesitan exclusividad en el espectro y para las </w:t>
      </w:r>
      <w:r w:rsidRPr="002773C7">
        <w:rPr>
          <w:rFonts w:ascii="Arial" w:hAnsi="Arial" w:cs="Arial"/>
          <w:i/>
          <w:kern w:val="2"/>
          <w:sz w:val="22"/>
          <w:szCs w:val="22"/>
          <w:lang w:val="es-ES" w:eastAsia="ar-SA"/>
        </w:rPr>
        <w:t>aplicaciones de</w:t>
      </w:r>
      <w:r w:rsidRPr="002773C7">
        <w:rPr>
          <w:rFonts w:ascii="Arial" w:hAnsi="Arial" w:cs="Arial"/>
          <w:b w:val="0"/>
          <w:i/>
          <w:kern w:val="2"/>
          <w:sz w:val="22"/>
          <w:szCs w:val="22"/>
          <w:lang w:val="es-ES" w:eastAsia="ar-SA"/>
        </w:rPr>
        <w:t xml:space="preserve"> </w:t>
      </w:r>
      <w:r w:rsidRPr="002773C7">
        <w:rPr>
          <w:rFonts w:ascii="Arial" w:hAnsi="Arial" w:cs="Arial"/>
          <w:i/>
          <w:kern w:val="2"/>
          <w:sz w:val="22"/>
          <w:szCs w:val="22"/>
          <w:lang w:val="es-ES" w:eastAsia="ar-SA"/>
        </w:rPr>
        <w:t>banda ancha.</w:t>
      </w:r>
      <w:r w:rsidRPr="002773C7">
        <w:rPr>
          <w:rFonts w:ascii="Arial" w:hAnsi="Arial" w:cs="Arial"/>
          <w:b w:val="0"/>
          <w:i/>
          <w:kern w:val="2"/>
          <w:sz w:val="22"/>
          <w:szCs w:val="22"/>
          <w:lang w:val="es-ES" w:eastAsia="ar-SA"/>
        </w:rPr>
        <w:t xml:space="preserve"> Por lo general, el espectro por encima de 40 GHz se utiliza poco. Este segmento del espectro puede soportar servicios de banda muy ancha y se puede recurrir a la reutilización a gran escala dado el pequeño tamaño de las células, la estrechez del ancho de haz y la excesiva pérdida de propagación.</w:t>
      </w:r>
    </w:p>
    <w:p w14:paraId="19D0C29F" w14:textId="77777777" w:rsidR="002773C7" w:rsidRPr="002773C7" w:rsidRDefault="002773C7" w:rsidP="002773C7">
      <w:pPr>
        <w:pStyle w:val="ANOTACION"/>
        <w:spacing w:before="0" w:after="0" w:line="276" w:lineRule="auto"/>
        <w:ind w:left="851" w:right="899"/>
        <w:jc w:val="both"/>
        <w:rPr>
          <w:rFonts w:ascii="Arial" w:hAnsi="Arial" w:cs="Arial"/>
          <w:b w:val="0"/>
          <w:i/>
          <w:kern w:val="2"/>
          <w:sz w:val="22"/>
          <w:szCs w:val="22"/>
          <w:lang w:val="es-ES" w:eastAsia="ar-SA"/>
        </w:rPr>
      </w:pPr>
      <w:r w:rsidRPr="002773C7">
        <w:rPr>
          <w:rFonts w:ascii="Arial" w:hAnsi="Arial" w:cs="Arial"/>
          <w:b w:val="0"/>
          <w:i/>
          <w:kern w:val="2"/>
          <w:sz w:val="22"/>
          <w:szCs w:val="22"/>
          <w:lang w:val="es-ES" w:eastAsia="ar-SA"/>
        </w:rPr>
        <w:t>(…)”</w:t>
      </w:r>
    </w:p>
    <w:p w14:paraId="78C70C40" w14:textId="77777777" w:rsidR="002773C7" w:rsidRPr="002773C7" w:rsidRDefault="002773C7" w:rsidP="002773C7">
      <w:pPr>
        <w:spacing w:line="276" w:lineRule="auto"/>
        <w:jc w:val="both"/>
        <w:rPr>
          <w:rFonts w:ascii="Arial" w:eastAsia="Times New Roman" w:hAnsi="Arial" w:cs="Arial"/>
          <w:kern w:val="1"/>
          <w:sz w:val="22"/>
          <w:szCs w:val="22"/>
          <w:lang w:val="es-ES" w:eastAsia="ar-SA"/>
        </w:rPr>
      </w:pPr>
    </w:p>
    <w:p w14:paraId="072DDFD3" w14:textId="77777777" w:rsidR="002773C7" w:rsidRPr="002773C7" w:rsidRDefault="002773C7" w:rsidP="002773C7">
      <w:pPr>
        <w:spacing w:line="276" w:lineRule="auto"/>
        <w:jc w:val="both"/>
        <w:rPr>
          <w:rFonts w:ascii="Arial" w:eastAsia="Times New Roman" w:hAnsi="Arial" w:cs="Arial"/>
          <w:i/>
          <w:kern w:val="1"/>
          <w:sz w:val="22"/>
          <w:szCs w:val="22"/>
          <w:lang w:val="es-ES" w:eastAsia="ar-SA"/>
        </w:rPr>
      </w:pPr>
      <w:r w:rsidRPr="002773C7">
        <w:rPr>
          <w:rFonts w:ascii="Arial" w:eastAsia="Times New Roman" w:hAnsi="Arial" w:cs="Arial"/>
          <w:kern w:val="1"/>
          <w:sz w:val="22"/>
          <w:szCs w:val="22"/>
          <w:lang w:val="es-ES" w:eastAsia="ar-SA"/>
        </w:rPr>
        <w:t>Adicionalmente, en el Capítulo 3</w:t>
      </w:r>
      <w:r w:rsidRPr="002773C7">
        <w:rPr>
          <w:rFonts w:ascii="Arial" w:eastAsia="Times New Roman" w:hAnsi="Arial" w:cs="Arial"/>
          <w:i/>
          <w:kern w:val="1"/>
          <w:sz w:val="22"/>
          <w:szCs w:val="22"/>
          <w:lang w:val="es-ES" w:eastAsia="ar-SA"/>
        </w:rPr>
        <w:t xml:space="preserve"> “</w:t>
      </w:r>
      <w:r w:rsidRPr="002773C7">
        <w:rPr>
          <w:rFonts w:ascii="Arial" w:eastAsia="Times New Roman" w:hAnsi="Arial" w:cs="Arial"/>
          <w:kern w:val="1"/>
          <w:sz w:val="22"/>
          <w:szCs w:val="22"/>
          <w:lang w:val="es-ES" w:eastAsia="ar-SA"/>
        </w:rPr>
        <w:t>Concesión de licencias y asignaciones de frecuencias”</w:t>
      </w:r>
      <w:r w:rsidRPr="002773C7">
        <w:rPr>
          <w:rFonts w:ascii="Arial" w:eastAsia="Times New Roman" w:hAnsi="Arial" w:cs="Arial"/>
          <w:i/>
          <w:kern w:val="1"/>
          <w:sz w:val="22"/>
          <w:szCs w:val="22"/>
          <w:lang w:val="es-ES" w:eastAsia="ar-SA"/>
        </w:rPr>
        <w:t xml:space="preserve"> </w:t>
      </w:r>
      <w:r w:rsidRPr="002773C7">
        <w:rPr>
          <w:rFonts w:ascii="Arial" w:eastAsia="Times New Roman" w:hAnsi="Arial" w:cs="Arial"/>
          <w:kern w:val="1"/>
          <w:sz w:val="22"/>
          <w:szCs w:val="22"/>
          <w:lang w:val="es-ES" w:eastAsia="ar-SA"/>
        </w:rPr>
        <w:t>indica lo subsecuente:</w:t>
      </w:r>
    </w:p>
    <w:p w14:paraId="05F05CC6" w14:textId="77777777" w:rsidR="002773C7" w:rsidRPr="002773C7" w:rsidRDefault="002773C7" w:rsidP="002773C7">
      <w:pPr>
        <w:pStyle w:val="ANOTACION"/>
        <w:spacing w:before="0" w:after="0" w:line="276" w:lineRule="auto"/>
        <w:jc w:val="both"/>
        <w:rPr>
          <w:rFonts w:ascii="Arial" w:hAnsi="Arial" w:cs="Arial"/>
          <w:b w:val="0"/>
          <w:sz w:val="22"/>
          <w:szCs w:val="22"/>
          <w:lang w:val="es-ES" w:eastAsia="es-MX"/>
        </w:rPr>
      </w:pPr>
    </w:p>
    <w:p w14:paraId="7123D777" w14:textId="77777777" w:rsidR="002773C7" w:rsidRPr="002773C7" w:rsidRDefault="002773C7" w:rsidP="002773C7">
      <w:pPr>
        <w:pStyle w:val="ANOTACION"/>
        <w:spacing w:before="0" w:after="0" w:line="276" w:lineRule="auto"/>
        <w:ind w:left="851" w:right="1324"/>
        <w:jc w:val="both"/>
        <w:rPr>
          <w:rFonts w:ascii="Arial" w:hAnsi="Arial" w:cs="Arial"/>
          <w:b w:val="0"/>
          <w:bCs/>
          <w:i/>
          <w:sz w:val="22"/>
          <w:szCs w:val="22"/>
          <w:lang w:eastAsia="es-MX"/>
        </w:rPr>
      </w:pPr>
      <w:r w:rsidRPr="002773C7">
        <w:rPr>
          <w:rFonts w:ascii="Arial" w:hAnsi="Arial" w:cs="Arial"/>
          <w:b w:val="0"/>
          <w:bCs/>
          <w:i/>
          <w:sz w:val="22"/>
          <w:szCs w:val="22"/>
          <w:lang w:eastAsia="es-MX"/>
        </w:rPr>
        <w:t>"(…)</w:t>
      </w:r>
    </w:p>
    <w:p w14:paraId="070DF1A3" w14:textId="77777777" w:rsidR="002773C7" w:rsidRPr="002773C7" w:rsidRDefault="002773C7" w:rsidP="002773C7">
      <w:pPr>
        <w:pStyle w:val="ANOTACION"/>
        <w:spacing w:before="0" w:after="0" w:line="276" w:lineRule="auto"/>
        <w:ind w:left="851" w:right="1324"/>
        <w:jc w:val="both"/>
        <w:rPr>
          <w:rFonts w:ascii="Arial" w:hAnsi="Arial" w:cs="Arial"/>
          <w:b w:val="0"/>
          <w:bCs/>
          <w:i/>
          <w:sz w:val="22"/>
          <w:szCs w:val="22"/>
          <w:lang w:eastAsia="es-MX"/>
        </w:rPr>
      </w:pPr>
      <w:r w:rsidRPr="002773C7">
        <w:rPr>
          <w:rFonts w:ascii="Arial" w:hAnsi="Arial" w:cs="Arial"/>
          <w:b w:val="0"/>
          <w:bCs/>
          <w:i/>
          <w:sz w:val="22"/>
          <w:szCs w:val="22"/>
          <w:lang w:eastAsia="es-MX"/>
        </w:rPr>
        <w:t xml:space="preserve">Además de los procedimientos para la concesión de licencias y asignación de frecuencias descritos en este Capítulo, en algunos casos </w:t>
      </w:r>
      <w:r w:rsidRPr="002773C7">
        <w:rPr>
          <w:rFonts w:ascii="Arial" w:hAnsi="Arial" w:cs="Arial"/>
          <w:bCs/>
          <w:i/>
          <w:sz w:val="22"/>
          <w:szCs w:val="22"/>
          <w:u w:val="single"/>
          <w:lang w:eastAsia="es-MX"/>
        </w:rPr>
        <w:t xml:space="preserve">los responsables de la gestión del espectro podrían adoptar </w:t>
      </w:r>
      <w:r w:rsidRPr="002773C7">
        <w:rPr>
          <w:rFonts w:ascii="Arial" w:hAnsi="Arial" w:cs="Arial"/>
          <w:bCs/>
          <w:i/>
          <w:sz w:val="22"/>
          <w:szCs w:val="22"/>
          <w:u w:val="single"/>
          <w:lang w:eastAsia="es-MX"/>
        </w:rPr>
        <w:lastRenderedPageBreak/>
        <w:t xml:space="preserve">procedimientos exentos de licencias </w:t>
      </w:r>
      <w:r w:rsidRPr="002773C7">
        <w:rPr>
          <w:rFonts w:ascii="Arial" w:hAnsi="Arial" w:cs="Arial"/>
          <w:b w:val="0"/>
          <w:bCs/>
          <w:i/>
          <w:sz w:val="22"/>
          <w:szCs w:val="22"/>
          <w:lang w:eastAsia="es-MX"/>
        </w:rPr>
        <w:t xml:space="preserve">para algunas tecnologías, como por ejemplo </w:t>
      </w:r>
      <w:proofErr w:type="spellStart"/>
      <w:r w:rsidRPr="002773C7">
        <w:rPr>
          <w:rFonts w:ascii="Arial" w:hAnsi="Arial" w:cs="Arial"/>
          <w:b w:val="0"/>
          <w:bCs/>
          <w:i/>
          <w:sz w:val="22"/>
          <w:szCs w:val="22"/>
          <w:lang w:eastAsia="es-MX"/>
        </w:rPr>
        <w:t>Wi</w:t>
      </w:r>
      <w:proofErr w:type="spellEnd"/>
      <w:r w:rsidRPr="002773C7">
        <w:rPr>
          <w:rFonts w:ascii="Arial" w:hAnsi="Arial" w:cs="Arial"/>
          <w:b w:val="0"/>
          <w:bCs/>
          <w:i/>
          <w:sz w:val="22"/>
          <w:szCs w:val="22"/>
          <w:lang w:eastAsia="es-MX"/>
        </w:rPr>
        <w:t xml:space="preserve">-Fi, </w:t>
      </w:r>
      <w:proofErr w:type="spellStart"/>
      <w:r w:rsidRPr="002773C7">
        <w:rPr>
          <w:rFonts w:ascii="Arial" w:hAnsi="Arial" w:cs="Arial"/>
          <w:b w:val="0"/>
          <w:bCs/>
          <w:i/>
          <w:sz w:val="22"/>
          <w:szCs w:val="22"/>
          <w:lang w:eastAsia="es-MX"/>
        </w:rPr>
        <w:t>Wi</w:t>
      </w:r>
      <w:proofErr w:type="spellEnd"/>
      <w:r w:rsidRPr="002773C7">
        <w:rPr>
          <w:rFonts w:ascii="Arial" w:hAnsi="Arial" w:cs="Arial"/>
          <w:b w:val="0"/>
          <w:bCs/>
          <w:i/>
          <w:sz w:val="22"/>
          <w:szCs w:val="22"/>
          <w:lang w:eastAsia="es-MX"/>
        </w:rPr>
        <w:t>-Max, RFID, ultra banda ancha (UWB) y otros sistemas de corto alcance."</w:t>
      </w:r>
    </w:p>
    <w:p w14:paraId="3CFBA201" w14:textId="77777777" w:rsidR="002773C7" w:rsidRPr="002773C7" w:rsidRDefault="002773C7" w:rsidP="002773C7">
      <w:pPr>
        <w:pStyle w:val="ANOTACION"/>
        <w:spacing w:before="0" w:after="0" w:line="276" w:lineRule="auto"/>
        <w:jc w:val="both"/>
        <w:rPr>
          <w:rFonts w:ascii="Arial" w:hAnsi="Arial" w:cs="Arial"/>
          <w:b w:val="0"/>
          <w:bCs/>
          <w:sz w:val="22"/>
          <w:szCs w:val="22"/>
          <w:lang w:eastAsia="es-MX"/>
        </w:rPr>
      </w:pPr>
    </w:p>
    <w:p w14:paraId="1C82C526" w14:textId="77777777" w:rsidR="002773C7" w:rsidRPr="002773C7" w:rsidRDefault="002773C7" w:rsidP="002773C7">
      <w:pPr>
        <w:pStyle w:val="ANOTACION"/>
        <w:spacing w:before="0" w:after="0" w:line="276" w:lineRule="auto"/>
        <w:jc w:val="both"/>
        <w:rPr>
          <w:rFonts w:ascii="Arial" w:hAnsi="Arial" w:cs="Arial"/>
          <w:b w:val="0"/>
          <w:sz w:val="22"/>
          <w:szCs w:val="22"/>
          <w:lang w:eastAsia="es-MX"/>
        </w:rPr>
      </w:pPr>
      <w:r w:rsidRPr="002773C7">
        <w:rPr>
          <w:rFonts w:ascii="Arial" w:hAnsi="Arial" w:cs="Arial"/>
          <w:b w:val="0"/>
          <w:sz w:val="22"/>
          <w:szCs w:val="22"/>
          <w:lang w:eastAsia="es-MX"/>
        </w:rPr>
        <w:t>Finalmente, en el Manual, específicamente, en la sección Parámetros técnicos del Capítulo 5 “Práctica de la ingeniería del espectro”, se encuentra lo siguiente:</w:t>
      </w:r>
    </w:p>
    <w:p w14:paraId="5FD212E7" w14:textId="77777777" w:rsidR="002773C7" w:rsidRPr="002773C7" w:rsidRDefault="002773C7" w:rsidP="002773C7">
      <w:pPr>
        <w:pStyle w:val="ANOTACION"/>
        <w:spacing w:before="0" w:after="0" w:line="276" w:lineRule="auto"/>
        <w:jc w:val="both"/>
        <w:rPr>
          <w:rFonts w:ascii="Arial" w:hAnsi="Arial" w:cs="Arial"/>
          <w:b w:val="0"/>
          <w:bCs/>
          <w:sz w:val="22"/>
          <w:szCs w:val="22"/>
          <w:lang w:eastAsia="es-MX"/>
        </w:rPr>
      </w:pPr>
    </w:p>
    <w:p w14:paraId="192C086E" w14:textId="77777777" w:rsidR="002773C7" w:rsidRPr="002773C7" w:rsidRDefault="002773C7" w:rsidP="002773C7">
      <w:pPr>
        <w:spacing w:line="276" w:lineRule="auto"/>
        <w:ind w:left="851" w:right="899"/>
        <w:jc w:val="both"/>
        <w:rPr>
          <w:rFonts w:ascii="Arial" w:hAnsi="Arial" w:cs="Arial"/>
          <w:i/>
          <w:kern w:val="2"/>
          <w:sz w:val="22"/>
          <w:szCs w:val="22"/>
          <w:lang w:val="es-ES" w:eastAsia="ar-SA"/>
        </w:rPr>
      </w:pPr>
      <w:r w:rsidRPr="002773C7">
        <w:rPr>
          <w:rFonts w:ascii="Arial" w:hAnsi="Arial" w:cs="Arial"/>
          <w:kern w:val="2"/>
          <w:sz w:val="22"/>
          <w:szCs w:val="22"/>
          <w:lang w:val="es-ES" w:eastAsia="ar-SA"/>
        </w:rPr>
        <w:t>“</w:t>
      </w:r>
      <w:r w:rsidRPr="002773C7">
        <w:rPr>
          <w:rFonts w:ascii="Arial" w:hAnsi="Arial" w:cs="Arial"/>
          <w:b/>
          <w:i/>
          <w:kern w:val="2"/>
          <w:sz w:val="22"/>
          <w:szCs w:val="22"/>
          <w:u w:val="single"/>
          <w:lang w:val="es-ES" w:eastAsia="ar-SA"/>
        </w:rPr>
        <w:t>(…) Hay dos categorías de especificaciones de equipos</w:t>
      </w:r>
      <w:r w:rsidRPr="002773C7">
        <w:rPr>
          <w:rFonts w:ascii="Arial" w:hAnsi="Arial" w:cs="Arial"/>
          <w:i/>
          <w:kern w:val="2"/>
          <w:sz w:val="22"/>
          <w:szCs w:val="22"/>
          <w:u w:val="single"/>
          <w:lang w:val="es-ES" w:eastAsia="ar-SA"/>
        </w:rPr>
        <w:t>.</w:t>
      </w:r>
      <w:r w:rsidRPr="002773C7">
        <w:rPr>
          <w:rFonts w:ascii="Arial" w:hAnsi="Arial" w:cs="Arial"/>
          <w:i/>
          <w:kern w:val="2"/>
          <w:sz w:val="22"/>
          <w:szCs w:val="22"/>
          <w:lang w:val="es-ES" w:eastAsia="ar-SA"/>
        </w:rPr>
        <w:t xml:space="preserve"> La primera corresponde a las estaciones radioeléctricas con licencia, mientras que</w:t>
      </w:r>
      <w:r w:rsidRPr="002773C7">
        <w:rPr>
          <w:rFonts w:ascii="Arial" w:hAnsi="Arial" w:cs="Arial"/>
          <w:b/>
          <w:i/>
          <w:kern w:val="2"/>
          <w:sz w:val="22"/>
          <w:szCs w:val="22"/>
          <w:lang w:val="es-ES" w:eastAsia="ar-SA"/>
        </w:rPr>
        <w:t xml:space="preserve"> </w:t>
      </w:r>
      <w:r w:rsidRPr="002773C7">
        <w:rPr>
          <w:rFonts w:ascii="Arial" w:hAnsi="Arial" w:cs="Arial"/>
          <w:b/>
          <w:i/>
          <w:kern w:val="2"/>
          <w:sz w:val="22"/>
          <w:szCs w:val="22"/>
          <w:u w:val="single"/>
          <w:lang w:val="es-ES" w:eastAsia="ar-SA"/>
        </w:rPr>
        <w:t>la segunda corresponde a los equipos radioeléctricos exentos de licencia</w:t>
      </w:r>
      <w:r w:rsidRPr="002773C7">
        <w:rPr>
          <w:rFonts w:ascii="Arial" w:hAnsi="Arial" w:cs="Arial"/>
          <w:i/>
          <w:kern w:val="2"/>
          <w:sz w:val="22"/>
          <w:szCs w:val="22"/>
          <w:u w:val="single"/>
          <w:lang w:val="es-ES" w:eastAsia="ar-SA"/>
        </w:rPr>
        <w:t>.</w:t>
      </w:r>
      <w:r w:rsidRPr="002773C7">
        <w:rPr>
          <w:rFonts w:ascii="Arial" w:hAnsi="Arial" w:cs="Arial"/>
          <w:i/>
          <w:kern w:val="2"/>
          <w:sz w:val="22"/>
          <w:szCs w:val="22"/>
          <w:lang w:val="es-ES" w:eastAsia="ar-SA"/>
        </w:rPr>
        <w:t xml:space="preserve"> Las especificaciones de equipos se refieren casi exclusivamente a los parámetros técnicos mínimos que deben satisfacer estrictamente los equipos desde el punto de vista de la utilización eficaz del espectro y de la reducción de la interferencia en transmisores y receptores. Normalmente no guardan relación con la calidad de servicio, ya que ésta se deja a discreción del usuario, lo que da pie a que exista una diversidad de calidades de equipos para satisfacer las distintas necesidades.</w:t>
      </w:r>
    </w:p>
    <w:p w14:paraId="494C15A3" w14:textId="77777777" w:rsidR="002773C7" w:rsidRPr="002773C7" w:rsidRDefault="002773C7" w:rsidP="002773C7">
      <w:pPr>
        <w:spacing w:line="276" w:lineRule="auto"/>
        <w:ind w:left="851" w:right="899"/>
        <w:jc w:val="both"/>
        <w:rPr>
          <w:rFonts w:ascii="Arial" w:hAnsi="Arial" w:cs="Arial"/>
          <w:i/>
          <w:kern w:val="2"/>
          <w:sz w:val="22"/>
          <w:szCs w:val="22"/>
          <w:lang w:val="es-ES" w:eastAsia="ar-SA"/>
        </w:rPr>
      </w:pPr>
    </w:p>
    <w:p w14:paraId="06E6F878" w14:textId="77777777" w:rsidR="002773C7" w:rsidRPr="002773C7" w:rsidRDefault="002773C7" w:rsidP="002773C7">
      <w:pPr>
        <w:spacing w:line="276" w:lineRule="auto"/>
        <w:ind w:left="851" w:right="899"/>
        <w:jc w:val="both"/>
        <w:rPr>
          <w:rFonts w:ascii="Arial" w:hAnsi="Arial" w:cs="Arial"/>
          <w:i/>
          <w:kern w:val="2"/>
          <w:sz w:val="22"/>
          <w:szCs w:val="22"/>
          <w:lang w:val="es-ES" w:eastAsia="ar-SA"/>
        </w:rPr>
      </w:pPr>
      <w:r w:rsidRPr="002773C7">
        <w:rPr>
          <w:rFonts w:ascii="Arial" w:hAnsi="Arial" w:cs="Arial"/>
          <w:b/>
          <w:i/>
          <w:kern w:val="2"/>
          <w:sz w:val="22"/>
          <w:szCs w:val="22"/>
          <w:u w:val="single"/>
          <w:lang w:val="es-ES" w:eastAsia="ar-SA"/>
        </w:rPr>
        <w:t xml:space="preserve">La segunda categoría de especificaciones de equipos suele relacionarse con los equipos de baja potencia exentos de licencia por lo limitado de su alcance. El funcionamiento de estos equipos se permite en determinadas bandas de frecuencias. </w:t>
      </w:r>
      <w:r w:rsidRPr="002773C7">
        <w:rPr>
          <w:rFonts w:ascii="Arial" w:hAnsi="Arial" w:cs="Arial"/>
          <w:i/>
          <w:kern w:val="2"/>
          <w:sz w:val="22"/>
          <w:szCs w:val="22"/>
          <w:lang w:val="es-ES" w:eastAsia="ar-SA"/>
        </w:rPr>
        <w:t>Además de los dispositivos de apertura de puertas de garajes, de los dispositivos de alarma y control de los juguetes y de los teléfonos inalámbricos, hay muchos otros ejemplos de este tipo de equipos que se utilizan cada vez más en el sector comercial, por ejemplo, las redes radioeléctricas de área local (RLAN) y los sistemas de identificación de radiofrecuencia (RFID). Esta categoría de especificaciones de equipos afecta exclusivamente a características de los transmisores tales como la potencia máxima, los niveles armónicos admisibles y la estabilidad, y no recibe protección contra la interferencia.”</w:t>
      </w:r>
    </w:p>
    <w:p w14:paraId="65D6B66F" w14:textId="77777777" w:rsidR="002773C7" w:rsidRPr="002773C7" w:rsidRDefault="002773C7" w:rsidP="002773C7">
      <w:pPr>
        <w:spacing w:line="276" w:lineRule="auto"/>
        <w:ind w:left="851" w:right="899"/>
        <w:jc w:val="both"/>
        <w:rPr>
          <w:rFonts w:ascii="Arial" w:hAnsi="Arial" w:cs="Arial"/>
          <w:i/>
          <w:kern w:val="2"/>
          <w:sz w:val="22"/>
          <w:szCs w:val="22"/>
          <w:lang w:val="es-ES" w:eastAsia="ar-SA"/>
        </w:rPr>
      </w:pPr>
    </w:p>
    <w:p w14:paraId="7921ABEB" w14:textId="77777777" w:rsidR="002773C7" w:rsidRPr="002773C7" w:rsidRDefault="002773C7" w:rsidP="002773C7">
      <w:pPr>
        <w:spacing w:line="276" w:lineRule="auto"/>
        <w:jc w:val="both"/>
        <w:rPr>
          <w:rFonts w:ascii="Arial" w:eastAsia="Times New Roman" w:hAnsi="Arial" w:cs="Arial"/>
          <w:kern w:val="1"/>
          <w:sz w:val="22"/>
          <w:szCs w:val="22"/>
          <w:lang w:val="es-ES" w:eastAsia="ar-SA"/>
        </w:rPr>
      </w:pPr>
      <w:r w:rsidRPr="002773C7">
        <w:rPr>
          <w:rFonts w:ascii="Arial" w:eastAsia="Times New Roman" w:hAnsi="Arial" w:cs="Arial"/>
          <w:kern w:val="1"/>
          <w:sz w:val="22"/>
          <w:szCs w:val="22"/>
          <w:lang w:val="es-ES" w:eastAsia="ar-SA"/>
        </w:rPr>
        <w:t xml:space="preserve">De lo anterior se observa que, como parte de la administración del espectro radioeléctrico, una buena práctica es la habilitación de ciertas bandas de frecuencias para su uso sin concesión y/o autorización por parte del público en general, así como el establecimiento de parámetros técnicos que reduzcan interferencias perjudiciales para dicho uso. Lo anterior, observando lo dispuesto en la Constitución, la </w:t>
      </w:r>
      <w:r w:rsidRPr="002773C7">
        <w:rPr>
          <w:rFonts w:ascii="Arial" w:hAnsi="Arial" w:cs="Arial"/>
          <w:sz w:val="22"/>
          <w:szCs w:val="22"/>
        </w:rPr>
        <w:t>Ley, así como las recomendaciones de la UIT y otros organismos internacionales.</w:t>
      </w:r>
    </w:p>
    <w:p w14:paraId="1BCD5048" w14:textId="77777777" w:rsidR="002773C7" w:rsidRPr="00716764" w:rsidRDefault="002773C7" w:rsidP="002773C7">
      <w:pPr>
        <w:spacing w:line="276" w:lineRule="auto"/>
        <w:jc w:val="both"/>
        <w:rPr>
          <w:rFonts w:ascii="Arial" w:eastAsia="Times New Roman" w:hAnsi="Arial" w:cs="Arial"/>
          <w:kern w:val="1"/>
          <w:sz w:val="22"/>
          <w:szCs w:val="22"/>
          <w:lang w:eastAsia="ar-SA"/>
        </w:rPr>
      </w:pPr>
    </w:p>
    <w:p w14:paraId="2E8DA204" w14:textId="77777777" w:rsidR="002773C7" w:rsidRPr="00716764" w:rsidRDefault="002773C7" w:rsidP="002773C7">
      <w:pPr>
        <w:spacing w:line="276" w:lineRule="auto"/>
        <w:jc w:val="both"/>
        <w:rPr>
          <w:rFonts w:ascii="Arial" w:hAnsi="Arial" w:cs="Arial"/>
          <w:sz w:val="22"/>
          <w:szCs w:val="22"/>
        </w:rPr>
      </w:pPr>
      <w:proofErr w:type="gramStart"/>
      <w:r w:rsidRPr="00716764">
        <w:rPr>
          <w:rFonts w:ascii="Arial" w:hAnsi="Arial" w:cs="Arial"/>
          <w:b/>
          <w:kern w:val="1"/>
          <w:sz w:val="22"/>
          <w:szCs w:val="22"/>
          <w:lang w:eastAsia="ar-SA"/>
        </w:rPr>
        <w:t>Tercero.-</w:t>
      </w:r>
      <w:proofErr w:type="gramEnd"/>
      <w:r w:rsidRPr="00716764">
        <w:rPr>
          <w:rFonts w:ascii="Arial" w:hAnsi="Arial" w:cs="Arial"/>
          <w:b/>
          <w:kern w:val="1"/>
          <w:sz w:val="22"/>
          <w:szCs w:val="22"/>
          <w:lang w:eastAsia="ar-SA"/>
        </w:rPr>
        <w:t xml:space="preserve"> Sensores de movimiento en la banda de frecuencias 57-64 GHz.</w:t>
      </w:r>
      <w:r w:rsidRPr="00716764">
        <w:rPr>
          <w:rFonts w:ascii="Arial" w:hAnsi="Arial" w:cs="Arial"/>
          <w:sz w:val="22"/>
          <w:szCs w:val="22"/>
        </w:rPr>
        <w:t xml:space="preserve"> En la actualidad, la demanda para el uso del espectro radioeléctrico se ha incrementado considerablemente, debido a la evolución de las Tecnologías de la información y la comunicación (TIC), así como al aumento de la población mundial que requiere contar con nuevas tecnologías que permitan establecer comunicación entre los usuarios o entre la tecnología y el usuario. En particular, se ha </w:t>
      </w:r>
      <w:r w:rsidRPr="00716764">
        <w:rPr>
          <w:rFonts w:ascii="Arial" w:hAnsi="Arial" w:cs="Arial"/>
          <w:sz w:val="22"/>
          <w:szCs w:val="22"/>
        </w:rPr>
        <w:lastRenderedPageBreak/>
        <w:t>avanzado en la capacidad con la que cuentan los dispositivos de radiocomunicación para que su uso sea más fácil, intuitivo y práctico, particularmente para usuarios con problemas de movilidad, del habla o de tacto, facilitando así, al usuario final la manipulación de los dispositivos. De lo anterior se desprende que la disponibilidad de espectro radioeléctrico es primordial para cubrir las necesidades de comunicación inalámbrica ante la rápida evolución tecnológica, el aumento significativo en el uso de dispositivos inteligentes, portátiles o personales, la creación de dispositivos de corto alcance, la interacción con otros dispositivos o equipos de comunicación, entre otras.</w:t>
      </w:r>
    </w:p>
    <w:p w14:paraId="0A8D2E5A" w14:textId="77777777" w:rsidR="002773C7" w:rsidRPr="00716764" w:rsidRDefault="002773C7" w:rsidP="002773C7">
      <w:pPr>
        <w:spacing w:line="276" w:lineRule="auto"/>
        <w:jc w:val="both"/>
        <w:rPr>
          <w:rFonts w:ascii="Arial" w:hAnsi="Arial" w:cs="Arial"/>
          <w:kern w:val="1"/>
          <w:sz w:val="22"/>
          <w:szCs w:val="22"/>
          <w:lang w:eastAsia="ar-SA"/>
        </w:rPr>
      </w:pPr>
    </w:p>
    <w:p w14:paraId="6537DD54" w14:textId="77777777" w:rsidR="002773C7" w:rsidRPr="00716764" w:rsidRDefault="002773C7" w:rsidP="002773C7">
      <w:pPr>
        <w:spacing w:line="276" w:lineRule="auto"/>
        <w:jc w:val="both"/>
        <w:rPr>
          <w:rFonts w:ascii="Arial" w:hAnsi="Arial" w:cs="Arial"/>
          <w:sz w:val="22"/>
          <w:szCs w:val="22"/>
        </w:rPr>
      </w:pPr>
      <w:r w:rsidRPr="00716764">
        <w:rPr>
          <w:rFonts w:ascii="Arial" w:hAnsi="Arial" w:cs="Arial"/>
          <w:sz w:val="22"/>
          <w:szCs w:val="22"/>
        </w:rPr>
        <w:t>Por otra parte, en la Región de las Américas existen regulaciones, lineamientos de operación y normas técnicas respecto del uso de la banda 57-64 GHz que han implementado diversos reguladores en sus respectivos países con el objeto de habilitar la operación de sistemas de radiocomunicación sin necesidad de contar con una licencia, concesión, autorización o cualquier otro instrumento habilitante. Tal es el caso de nuestro país, que en mayo del 2017 se clasificó la banda de frecuencias 57-64 GHz como espectro libre y se expidieron las condiciones técnicas de operación para la misma.</w:t>
      </w:r>
    </w:p>
    <w:p w14:paraId="2B32C6EB" w14:textId="77777777" w:rsidR="002773C7" w:rsidRPr="00716764" w:rsidRDefault="002773C7" w:rsidP="002773C7">
      <w:pPr>
        <w:spacing w:line="276" w:lineRule="auto"/>
        <w:jc w:val="both"/>
        <w:rPr>
          <w:rFonts w:ascii="Arial" w:hAnsi="Arial" w:cs="Arial"/>
          <w:sz w:val="22"/>
          <w:szCs w:val="22"/>
        </w:rPr>
      </w:pPr>
    </w:p>
    <w:p w14:paraId="5605F252" w14:textId="77777777" w:rsidR="002773C7" w:rsidRPr="00716764" w:rsidRDefault="002773C7" w:rsidP="002773C7">
      <w:pPr>
        <w:spacing w:line="276" w:lineRule="auto"/>
        <w:jc w:val="both"/>
        <w:rPr>
          <w:rFonts w:ascii="Arial" w:hAnsi="Arial" w:cs="Arial"/>
          <w:kern w:val="1"/>
          <w:sz w:val="22"/>
          <w:szCs w:val="22"/>
          <w:lang w:val="es-ES" w:eastAsia="ar-SA"/>
        </w:rPr>
      </w:pPr>
      <w:r w:rsidRPr="00716764">
        <w:rPr>
          <w:rFonts w:ascii="Arial" w:hAnsi="Arial" w:cs="Arial"/>
          <w:sz w:val="22"/>
          <w:szCs w:val="22"/>
        </w:rPr>
        <w:t>Sin embargo, con el desarrollo de nuevas tecnologías se han emitido consideraciones adicionales con el objeto de permitir la operación de sensores de movimiento (dispositivos de radiocomunicación de corto alcance para la detección de movimiento) en diferentes países. A continuación, se presentan algunas de estas consideraciones adicionales para la banda 57-64 GHz emitidas por algunos reguladores, tal es el caso de la</w:t>
      </w:r>
      <w:r w:rsidRPr="00716764">
        <w:rPr>
          <w:rFonts w:ascii="Arial" w:hAnsi="Arial" w:cs="Arial"/>
          <w:kern w:val="1"/>
          <w:sz w:val="22"/>
          <w:szCs w:val="22"/>
          <w:lang w:val="es-ES" w:eastAsia="ar-SA"/>
        </w:rPr>
        <w:t xml:space="preserve"> </w:t>
      </w:r>
      <w:r w:rsidRPr="00716764">
        <w:rPr>
          <w:rFonts w:ascii="Arial" w:hAnsi="Arial" w:cs="Arial"/>
          <w:kern w:val="1"/>
          <w:sz w:val="22"/>
          <w:szCs w:val="22"/>
          <w:lang w:eastAsia="ar-SA"/>
        </w:rPr>
        <w:t xml:space="preserve">Comisión Federal de Comunicaciones (“FCC”, por las siglas en inglés de </w:t>
      </w:r>
      <w:r w:rsidRPr="00716764">
        <w:rPr>
          <w:rFonts w:ascii="Arial" w:hAnsi="Arial" w:cs="Arial"/>
          <w:i/>
          <w:kern w:val="1"/>
          <w:sz w:val="22"/>
          <w:szCs w:val="22"/>
          <w:lang w:eastAsia="ar-SA"/>
        </w:rPr>
        <w:t xml:space="preserve">Federal </w:t>
      </w:r>
      <w:proofErr w:type="spellStart"/>
      <w:r w:rsidRPr="00716764">
        <w:rPr>
          <w:rFonts w:ascii="Arial" w:hAnsi="Arial" w:cs="Arial"/>
          <w:i/>
          <w:kern w:val="1"/>
          <w:sz w:val="22"/>
          <w:szCs w:val="22"/>
          <w:lang w:eastAsia="ar-SA"/>
        </w:rPr>
        <w:t>Communications</w:t>
      </w:r>
      <w:proofErr w:type="spellEnd"/>
      <w:r w:rsidRPr="00716764">
        <w:rPr>
          <w:rFonts w:ascii="Arial" w:hAnsi="Arial" w:cs="Arial"/>
          <w:i/>
          <w:kern w:val="1"/>
          <w:sz w:val="22"/>
          <w:szCs w:val="22"/>
          <w:lang w:eastAsia="ar-SA"/>
        </w:rPr>
        <w:t xml:space="preserve"> </w:t>
      </w:r>
      <w:proofErr w:type="spellStart"/>
      <w:r w:rsidRPr="00716764">
        <w:rPr>
          <w:rFonts w:ascii="Arial" w:hAnsi="Arial" w:cs="Arial"/>
          <w:i/>
          <w:kern w:val="1"/>
          <w:sz w:val="22"/>
          <w:szCs w:val="22"/>
          <w:lang w:eastAsia="ar-SA"/>
        </w:rPr>
        <w:t>Commission</w:t>
      </w:r>
      <w:proofErr w:type="spellEnd"/>
      <w:r w:rsidRPr="00716764">
        <w:rPr>
          <w:rFonts w:ascii="Arial" w:hAnsi="Arial" w:cs="Arial"/>
          <w:kern w:val="1"/>
          <w:sz w:val="22"/>
          <w:szCs w:val="22"/>
          <w:lang w:eastAsia="ar-SA"/>
        </w:rPr>
        <w:t>)</w:t>
      </w:r>
      <w:r w:rsidRPr="00716764">
        <w:rPr>
          <w:rFonts w:ascii="Arial" w:hAnsi="Arial" w:cs="Arial"/>
          <w:kern w:val="1"/>
          <w:sz w:val="22"/>
          <w:szCs w:val="22"/>
          <w:lang w:val="es-ES" w:eastAsia="ar-SA"/>
        </w:rPr>
        <w:t xml:space="preserve"> en Estados Unidos</w:t>
      </w:r>
      <w:r w:rsidRPr="00716764" w:rsidDel="00A14238">
        <w:rPr>
          <w:rFonts w:ascii="Arial" w:hAnsi="Arial" w:cs="Arial"/>
          <w:kern w:val="1"/>
          <w:sz w:val="22"/>
          <w:szCs w:val="22"/>
          <w:lang w:val="es-ES" w:eastAsia="ar-SA"/>
        </w:rPr>
        <w:t xml:space="preserve"> </w:t>
      </w:r>
      <w:r w:rsidRPr="00716764">
        <w:rPr>
          <w:rFonts w:ascii="Arial" w:hAnsi="Arial" w:cs="Arial"/>
          <w:kern w:val="1"/>
          <w:sz w:val="22"/>
          <w:szCs w:val="22"/>
          <w:lang w:val="es-ES" w:eastAsia="ar-SA"/>
        </w:rPr>
        <w:t>(“</w:t>
      </w:r>
      <w:r w:rsidRPr="00716764">
        <w:rPr>
          <w:rFonts w:ascii="Arial" w:hAnsi="Arial" w:cs="Arial"/>
          <w:kern w:val="1"/>
          <w:sz w:val="22"/>
          <w:szCs w:val="22"/>
          <w:lang w:eastAsia="ar-SA"/>
        </w:rPr>
        <w:t>EE.UU.”)</w:t>
      </w:r>
      <w:r w:rsidRPr="00716764">
        <w:rPr>
          <w:rFonts w:ascii="Arial" w:hAnsi="Arial" w:cs="Arial"/>
          <w:kern w:val="1"/>
          <w:sz w:val="22"/>
          <w:szCs w:val="22"/>
          <w:lang w:val="es-ES" w:eastAsia="ar-SA"/>
        </w:rPr>
        <w:t xml:space="preserve">, </w:t>
      </w:r>
      <w:r w:rsidRPr="00716764">
        <w:rPr>
          <w:rFonts w:ascii="Arial" w:hAnsi="Arial" w:cs="Arial"/>
          <w:kern w:val="1"/>
          <w:sz w:val="22"/>
          <w:szCs w:val="22"/>
          <w:lang w:eastAsia="ar-SA"/>
        </w:rPr>
        <w:t xml:space="preserve">Innovación, Ciencia y Desarrollo Económico (“ISED”, por las siglas en inglés de </w:t>
      </w:r>
      <w:proofErr w:type="spellStart"/>
      <w:r w:rsidRPr="00716764">
        <w:rPr>
          <w:rFonts w:ascii="Arial" w:hAnsi="Arial" w:cs="Arial"/>
          <w:i/>
          <w:kern w:val="1"/>
          <w:sz w:val="22"/>
          <w:szCs w:val="22"/>
          <w:lang w:eastAsia="ar-SA"/>
        </w:rPr>
        <w:t>Innovation</w:t>
      </w:r>
      <w:proofErr w:type="spellEnd"/>
      <w:r w:rsidRPr="00716764">
        <w:rPr>
          <w:rFonts w:ascii="Arial" w:hAnsi="Arial" w:cs="Arial"/>
          <w:i/>
          <w:kern w:val="1"/>
          <w:sz w:val="22"/>
          <w:szCs w:val="22"/>
          <w:lang w:eastAsia="ar-SA"/>
        </w:rPr>
        <w:t xml:space="preserve">, </w:t>
      </w:r>
      <w:proofErr w:type="spellStart"/>
      <w:r w:rsidRPr="00716764">
        <w:rPr>
          <w:rFonts w:ascii="Arial" w:hAnsi="Arial" w:cs="Arial"/>
          <w:i/>
          <w:kern w:val="1"/>
          <w:sz w:val="22"/>
          <w:szCs w:val="22"/>
          <w:lang w:eastAsia="ar-SA"/>
        </w:rPr>
        <w:t>Science</w:t>
      </w:r>
      <w:proofErr w:type="spellEnd"/>
      <w:r w:rsidRPr="00716764">
        <w:rPr>
          <w:rFonts w:ascii="Arial" w:hAnsi="Arial" w:cs="Arial"/>
          <w:i/>
          <w:kern w:val="1"/>
          <w:sz w:val="22"/>
          <w:szCs w:val="22"/>
          <w:lang w:eastAsia="ar-SA"/>
        </w:rPr>
        <w:t xml:space="preserve"> and </w:t>
      </w:r>
      <w:proofErr w:type="spellStart"/>
      <w:r w:rsidRPr="00716764">
        <w:rPr>
          <w:rFonts w:ascii="Arial" w:hAnsi="Arial" w:cs="Arial"/>
          <w:i/>
          <w:kern w:val="1"/>
          <w:sz w:val="22"/>
          <w:szCs w:val="22"/>
          <w:lang w:eastAsia="ar-SA"/>
        </w:rPr>
        <w:t>Economic</w:t>
      </w:r>
      <w:proofErr w:type="spellEnd"/>
      <w:r w:rsidRPr="00716764">
        <w:rPr>
          <w:rFonts w:ascii="Arial" w:hAnsi="Arial" w:cs="Arial"/>
          <w:i/>
          <w:kern w:val="1"/>
          <w:sz w:val="22"/>
          <w:szCs w:val="22"/>
          <w:lang w:eastAsia="ar-SA"/>
        </w:rPr>
        <w:t xml:space="preserve"> </w:t>
      </w:r>
      <w:proofErr w:type="spellStart"/>
      <w:r w:rsidRPr="00716764">
        <w:rPr>
          <w:rFonts w:ascii="Arial" w:hAnsi="Arial" w:cs="Arial"/>
          <w:i/>
          <w:kern w:val="1"/>
          <w:sz w:val="22"/>
          <w:szCs w:val="22"/>
          <w:lang w:eastAsia="ar-SA"/>
        </w:rPr>
        <w:t>Development</w:t>
      </w:r>
      <w:proofErr w:type="spellEnd"/>
      <w:r w:rsidRPr="00716764">
        <w:rPr>
          <w:rFonts w:ascii="Arial" w:hAnsi="Arial" w:cs="Arial"/>
          <w:kern w:val="1"/>
          <w:sz w:val="22"/>
          <w:szCs w:val="22"/>
          <w:lang w:eastAsia="ar-SA"/>
        </w:rPr>
        <w:t>)</w:t>
      </w:r>
      <w:r w:rsidRPr="00716764">
        <w:rPr>
          <w:rFonts w:ascii="Arial" w:hAnsi="Arial" w:cs="Arial"/>
          <w:kern w:val="1"/>
          <w:sz w:val="22"/>
          <w:szCs w:val="22"/>
          <w:lang w:val="es-ES" w:eastAsia="ar-SA"/>
        </w:rPr>
        <w:t xml:space="preserve"> en Canadá, así como en otros países.</w:t>
      </w:r>
    </w:p>
    <w:p w14:paraId="3D2E2289" w14:textId="77777777" w:rsidR="002773C7" w:rsidRPr="00716764" w:rsidRDefault="002773C7" w:rsidP="002773C7">
      <w:pPr>
        <w:spacing w:line="276" w:lineRule="auto"/>
        <w:jc w:val="both"/>
        <w:rPr>
          <w:rFonts w:ascii="Arial" w:hAnsi="Arial" w:cs="Arial"/>
          <w:kern w:val="1"/>
          <w:sz w:val="22"/>
          <w:szCs w:val="22"/>
          <w:lang w:val="es-ES" w:eastAsia="ar-SA"/>
        </w:rPr>
      </w:pPr>
    </w:p>
    <w:p w14:paraId="2DEFA714" w14:textId="77777777" w:rsidR="002773C7" w:rsidRPr="00716764" w:rsidRDefault="002773C7" w:rsidP="002773C7">
      <w:pPr>
        <w:spacing w:line="276" w:lineRule="auto"/>
        <w:jc w:val="both"/>
        <w:rPr>
          <w:rFonts w:ascii="Arial" w:hAnsi="Arial" w:cs="Arial"/>
          <w:sz w:val="22"/>
          <w:szCs w:val="22"/>
          <w:u w:val="single"/>
        </w:rPr>
      </w:pPr>
      <w:r w:rsidRPr="00716764">
        <w:rPr>
          <w:rFonts w:ascii="Arial" w:hAnsi="Arial" w:cs="Arial"/>
          <w:sz w:val="22"/>
          <w:szCs w:val="22"/>
          <w:u w:val="single"/>
        </w:rPr>
        <w:t>Estados Unidos de América – FCC</w:t>
      </w:r>
    </w:p>
    <w:p w14:paraId="5DE984C7" w14:textId="77777777" w:rsidR="002773C7" w:rsidRPr="00716764" w:rsidRDefault="002773C7" w:rsidP="002773C7">
      <w:pPr>
        <w:spacing w:line="276" w:lineRule="auto"/>
        <w:ind w:right="-94"/>
        <w:jc w:val="both"/>
        <w:rPr>
          <w:rFonts w:ascii="Arial" w:hAnsi="Arial" w:cs="Arial"/>
          <w:sz w:val="22"/>
          <w:szCs w:val="22"/>
        </w:rPr>
      </w:pPr>
    </w:p>
    <w:p w14:paraId="6297B051" w14:textId="77777777" w:rsidR="002773C7" w:rsidRPr="00716764" w:rsidRDefault="002773C7" w:rsidP="002773C7">
      <w:pPr>
        <w:spacing w:line="276" w:lineRule="auto"/>
        <w:ind w:right="-94"/>
        <w:jc w:val="both"/>
        <w:rPr>
          <w:rFonts w:ascii="Arial" w:hAnsi="Arial" w:cs="Arial"/>
          <w:sz w:val="22"/>
          <w:szCs w:val="22"/>
        </w:rPr>
      </w:pPr>
      <w:r w:rsidRPr="00716764">
        <w:rPr>
          <w:rFonts w:ascii="Arial" w:hAnsi="Arial" w:cs="Arial"/>
          <w:sz w:val="22"/>
          <w:szCs w:val="22"/>
        </w:rPr>
        <w:t xml:space="preserve">En los EE.UU., la responsabilidad regulatoria del espectro radioeléctrico se divide entre la FCC y la Administración Nacional de Telecomunicaciones e Información, (“NTIA”, por las siglas en inglés de </w:t>
      </w:r>
      <w:proofErr w:type="spellStart"/>
      <w:r w:rsidRPr="00716764">
        <w:rPr>
          <w:rFonts w:ascii="Arial" w:hAnsi="Arial" w:cs="Arial"/>
          <w:i/>
          <w:sz w:val="22"/>
          <w:szCs w:val="22"/>
        </w:rPr>
        <w:t>National</w:t>
      </w:r>
      <w:proofErr w:type="spellEnd"/>
      <w:r w:rsidRPr="00716764">
        <w:rPr>
          <w:rFonts w:ascii="Arial" w:hAnsi="Arial" w:cs="Arial"/>
          <w:i/>
          <w:sz w:val="22"/>
          <w:szCs w:val="22"/>
        </w:rPr>
        <w:t xml:space="preserve"> </w:t>
      </w:r>
      <w:proofErr w:type="spellStart"/>
      <w:r w:rsidRPr="00716764">
        <w:rPr>
          <w:rFonts w:ascii="Arial" w:hAnsi="Arial" w:cs="Arial"/>
          <w:i/>
          <w:sz w:val="22"/>
          <w:szCs w:val="22"/>
        </w:rPr>
        <w:t>Telecommunications</w:t>
      </w:r>
      <w:proofErr w:type="spellEnd"/>
      <w:r w:rsidRPr="00716764">
        <w:rPr>
          <w:rFonts w:ascii="Arial" w:hAnsi="Arial" w:cs="Arial"/>
          <w:i/>
          <w:sz w:val="22"/>
          <w:szCs w:val="22"/>
        </w:rPr>
        <w:t xml:space="preserve"> and </w:t>
      </w:r>
      <w:proofErr w:type="spellStart"/>
      <w:r w:rsidRPr="00716764">
        <w:rPr>
          <w:rFonts w:ascii="Arial" w:hAnsi="Arial" w:cs="Arial"/>
          <w:i/>
          <w:sz w:val="22"/>
          <w:szCs w:val="22"/>
        </w:rPr>
        <w:t>Information</w:t>
      </w:r>
      <w:proofErr w:type="spellEnd"/>
      <w:r w:rsidRPr="00716764">
        <w:rPr>
          <w:rFonts w:ascii="Arial" w:hAnsi="Arial" w:cs="Arial"/>
          <w:i/>
          <w:sz w:val="22"/>
          <w:szCs w:val="22"/>
        </w:rPr>
        <w:t xml:space="preserve"> </w:t>
      </w:r>
      <w:proofErr w:type="spellStart"/>
      <w:r w:rsidRPr="00716764">
        <w:rPr>
          <w:rFonts w:ascii="Arial" w:hAnsi="Arial" w:cs="Arial"/>
          <w:i/>
          <w:sz w:val="22"/>
          <w:szCs w:val="22"/>
        </w:rPr>
        <w:t>Administration</w:t>
      </w:r>
      <w:proofErr w:type="spellEnd"/>
      <w:r w:rsidRPr="00716764">
        <w:rPr>
          <w:rFonts w:ascii="Arial" w:hAnsi="Arial" w:cs="Arial"/>
          <w:sz w:val="22"/>
          <w:szCs w:val="22"/>
        </w:rPr>
        <w:t>). La FCC es quien administra el espectro para uso no federal, es decir, para el gobierno local y estatal, y uso comercial, privado interno y personal, y la NTIA es la que administra el espectro para uso federal, es decir, para el ejército, la Administración Federal de Aviación y la Oficina Federal de Investigación.</w:t>
      </w:r>
    </w:p>
    <w:p w14:paraId="7053EE16" w14:textId="77777777" w:rsidR="002773C7" w:rsidRPr="00716764" w:rsidRDefault="002773C7" w:rsidP="002773C7">
      <w:pPr>
        <w:spacing w:line="276" w:lineRule="auto"/>
        <w:ind w:right="-94"/>
        <w:jc w:val="both"/>
        <w:rPr>
          <w:rFonts w:ascii="Arial" w:hAnsi="Arial" w:cs="Arial"/>
          <w:sz w:val="22"/>
          <w:szCs w:val="22"/>
        </w:rPr>
      </w:pPr>
    </w:p>
    <w:p w14:paraId="5EE1B9F3" w14:textId="77777777" w:rsidR="002773C7" w:rsidRPr="00716764" w:rsidRDefault="002773C7" w:rsidP="002773C7">
      <w:pPr>
        <w:spacing w:line="276" w:lineRule="auto"/>
        <w:ind w:right="-94"/>
        <w:jc w:val="both"/>
        <w:rPr>
          <w:rFonts w:ascii="Arial" w:hAnsi="Arial" w:cs="Arial"/>
          <w:sz w:val="22"/>
          <w:szCs w:val="22"/>
        </w:rPr>
      </w:pPr>
      <w:r w:rsidRPr="00716764">
        <w:rPr>
          <w:rFonts w:ascii="Arial" w:hAnsi="Arial" w:cs="Arial"/>
          <w:sz w:val="22"/>
          <w:szCs w:val="22"/>
        </w:rPr>
        <w:t xml:space="preserve">Uno de los instrumentos regulatorios con los que cuenta la FCC es el Código Federal de Regulaciones (“CFR”, por las siglas en inglés de </w:t>
      </w:r>
      <w:proofErr w:type="spellStart"/>
      <w:r w:rsidRPr="00716764">
        <w:rPr>
          <w:rFonts w:ascii="Arial" w:hAnsi="Arial" w:cs="Arial"/>
          <w:i/>
          <w:sz w:val="22"/>
          <w:szCs w:val="22"/>
        </w:rPr>
        <w:t>Code</w:t>
      </w:r>
      <w:proofErr w:type="spellEnd"/>
      <w:r w:rsidRPr="00716764">
        <w:rPr>
          <w:rFonts w:ascii="Arial" w:hAnsi="Arial" w:cs="Arial"/>
          <w:i/>
          <w:sz w:val="22"/>
          <w:szCs w:val="22"/>
        </w:rPr>
        <w:t xml:space="preserve"> </w:t>
      </w:r>
      <w:proofErr w:type="spellStart"/>
      <w:r w:rsidRPr="00716764">
        <w:rPr>
          <w:rFonts w:ascii="Arial" w:hAnsi="Arial" w:cs="Arial"/>
          <w:i/>
          <w:sz w:val="22"/>
          <w:szCs w:val="22"/>
        </w:rPr>
        <w:t>of</w:t>
      </w:r>
      <w:proofErr w:type="spellEnd"/>
      <w:r w:rsidRPr="00716764">
        <w:rPr>
          <w:rFonts w:ascii="Arial" w:hAnsi="Arial" w:cs="Arial"/>
          <w:i/>
          <w:sz w:val="22"/>
          <w:szCs w:val="22"/>
        </w:rPr>
        <w:t xml:space="preserve"> Federal </w:t>
      </w:r>
      <w:proofErr w:type="spellStart"/>
      <w:r w:rsidRPr="00716764">
        <w:rPr>
          <w:rFonts w:ascii="Arial" w:hAnsi="Arial" w:cs="Arial"/>
          <w:i/>
          <w:sz w:val="22"/>
          <w:szCs w:val="22"/>
        </w:rPr>
        <w:t>Regulations</w:t>
      </w:r>
      <w:proofErr w:type="spellEnd"/>
      <w:r w:rsidRPr="00716764">
        <w:rPr>
          <w:rFonts w:ascii="Arial" w:hAnsi="Arial" w:cs="Arial"/>
          <w:sz w:val="22"/>
          <w:szCs w:val="22"/>
        </w:rPr>
        <w:t xml:space="preserve">) en el que se establecen las reglas de cada una de las partes que integran el Título 47 “Telecomunicaciones”. La Parte 15 del Título 47 del CFR, establece las condiciones técnicas generales para la operación de dispositivos de radiofrecuencia de baja potencia sin licencia, dentro de la cual se encuentran </w:t>
      </w:r>
      <w:r w:rsidRPr="00716764">
        <w:rPr>
          <w:rFonts w:ascii="Arial" w:hAnsi="Arial" w:cs="Arial"/>
          <w:sz w:val="22"/>
          <w:szCs w:val="22"/>
        </w:rPr>
        <w:lastRenderedPageBreak/>
        <w:t>identificados los sistemas de transmisión exentos de licencia que operan en la banda 57-64 GHz y figuran en la sección §15.255</w:t>
      </w:r>
      <w:r w:rsidRPr="00716764">
        <w:rPr>
          <w:rStyle w:val="Refdenotaalpie"/>
          <w:rFonts w:ascii="Arial" w:hAnsi="Arial" w:cs="Arial"/>
          <w:sz w:val="22"/>
          <w:szCs w:val="22"/>
        </w:rPr>
        <w:footnoteReference w:id="6"/>
      </w:r>
      <w:r w:rsidRPr="00716764">
        <w:rPr>
          <w:rFonts w:ascii="Arial" w:hAnsi="Arial" w:cs="Arial"/>
          <w:sz w:val="22"/>
          <w:szCs w:val="22"/>
        </w:rPr>
        <w:t xml:space="preserve"> del CFR.</w:t>
      </w:r>
    </w:p>
    <w:p w14:paraId="14A79824" w14:textId="77777777" w:rsidR="002773C7" w:rsidRPr="00716764" w:rsidRDefault="002773C7" w:rsidP="002773C7">
      <w:pPr>
        <w:spacing w:line="276" w:lineRule="auto"/>
        <w:ind w:right="-94"/>
        <w:jc w:val="both"/>
        <w:rPr>
          <w:rFonts w:ascii="Arial" w:hAnsi="Arial" w:cs="Arial"/>
          <w:sz w:val="22"/>
          <w:szCs w:val="22"/>
        </w:rPr>
      </w:pPr>
    </w:p>
    <w:p w14:paraId="7C845007" w14:textId="77777777" w:rsidR="002773C7" w:rsidRPr="00716764" w:rsidRDefault="002773C7" w:rsidP="002773C7">
      <w:pPr>
        <w:spacing w:line="276" w:lineRule="auto"/>
        <w:ind w:right="-94"/>
        <w:jc w:val="both"/>
        <w:rPr>
          <w:rFonts w:ascii="Arial" w:hAnsi="Arial" w:cs="Arial"/>
          <w:sz w:val="22"/>
          <w:szCs w:val="22"/>
        </w:rPr>
      </w:pPr>
      <w:r w:rsidRPr="00716764">
        <w:rPr>
          <w:rFonts w:ascii="Arial" w:hAnsi="Arial" w:cs="Arial"/>
          <w:sz w:val="22"/>
          <w:szCs w:val="22"/>
        </w:rPr>
        <w:t xml:space="preserve">No obstante, el 14 de julio de 2021 la FCC por medio de la Oficina de Ingeniería y Tecnología emitió el </w:t>
      </w:r>
      <w:proofErr w:type="spellStart"/>
      <w:r w:rsidRPr="00716764">
        <w:rPr>
          <w:rFonts w:ascii="Arial" w:hAnsi="Arial" w:cs="Arial"/>
          <w:i/>
          <w:iCs/>
          <w:sz w:val="22"/>
          <w:szCs w:val="22"/>
        </w:rPr>
        <w:t>Notice</w:t>
      </w:r>
      <w:proofErr w:type="spellEnd"/>
      <w:r w:rsidRPr="00716764">
        <w:rPr>
          <w:rFonts w:ascii="Arial" w:hAnsi="Arial" w:cs="Arial"/>
          <w:i/>
          <w:iCs/>
          <w:sz w:val="22"/>
          <w:szCs w:val="22"/>
        </w:rPr>
        <w:t xml:space="preserve"> </w:t>
      </w:r>
      <w:proofErr w:type="spellStart"/>
      <w:r w:rsidRPr="00716764">
        <w:rPr>
          <w:rFonts w:ascii="Arial" w:hAnsi="Arial" w:cs="Arial"/>
          <w:i/>
          <w:iCs/>
          <w:sz w:val="22"/>
          <w:szCs w:val="22"/>
        </w:rPr>
        <w:t>of</w:t>
      </w:r>
      <w:proofErr w:type="spellEnd"/>
      <w:r w:rsidRPr="00716764">
        <w:rPr>
          <w:rFonts w:ascii="Arial" w:hAnsi="Arial" w:cs="Arial"/>
          <w:i/>
          <w:iCs/>
          <w:sz w:val="22"/>
          <w:szCs w:val="22"/>
        </w:rPr>
        <w:t xml:space="preserve"> </w:t>
      </w:r>
      <w:proofErr w:type="spellStart"/>
      <w:r w:rsidRPr="00716764">
        <w:rPr>
          <w:rFonts w:ascii="Arial" w:hAnsi="Arial" w:cs="Arial"/>
          <w:i/>
          <w:iCs/>
          <w:sz w:val="22"/>
          <w:szCs w:val="22"/>
        </w:rPr>
        <w:t>Proposed</w:t>
      </w:r>
      <w:proofErr w:type="spellEnd"/>
      <w:r w:rsidRPr="00716764">
        <w:rPr>
          <w:rFonts w:ascii="Arial" w:hAnsi="Arial" w:cs="Arial"/>
          <w:i/>
          <w:iCs/>
          <w:sz w:val="22"/>
          <w:szCs w:val="22"/>
        </w:rPr>
        <w:t xml:space="preserve"> </w:t>
      </w:r>
      <w:proofErr w:type="spellStart"/>
      <w:r w:rsidRPr="00716764">
        <w:rPr>
          <w:rFonts w:ascii="Arial" w:hAnsi="Arial" w:cs="Arial"/>
          <w:i/>
          <w:iCs/>
          <w:sz w:val="22"/>
          <w:szCs w:val="22"/>
        </w:rPr>
        <w:t>Rulemaking</w:t>
      </w:r>
      <w:proofErr w:type="spellEnd"/>
      <w:r w:rsidRPr="00716764">
        <w:rPr>
          <w:rFonts w:ascii="Arial" w:hAnsi="Arial" w:cs="Arial"/>
          <w:sz w:val="22"/>
          <w:szCs w:val="22"/>
        </w:rPr>
        <w:t xml:space="preserve"> (“</w:t>
      </w:r>
      <w:r w:rsidRPr="00716764">
        <w:rPr>
          <w:rFonts w:ascii="Arial" w:hAnsi="Arial" w:cs="Arial"/>
          <w:i/>
          <w:sz w:val="22"/>
          <w:szCs w:val="22"/>
        </w:rPr>
        <w:t>NPRM</w:t>
      </w:r>
      <w:r w:rsidRPr="00716764">
        <w:rPr>
          <w:rFonts w:ascii="Arial" w:hAnsi="Arial" w:cs="Arial"/>
          <w:sz w:val="22"/>
          <w:szCs w:val="22"/>
        </w:rPr>
        <w:t>”) para la sección §15.255 del CFR y el 19 de agosto de 2021 la FCC emitió una propuesta de modificación a la sección §15.255 con el fin de brindar mayor flexibilidad operativa a los dispositivos de sensores de perturbación de campo (“</w:t>
      </w:r>
      <w:r w:rsidRPr="00716764">
        <w:rPr>
          <w:rFonts w:ascii="Arial" w:hAnsi="Arial" w:cs="Arial"/>
          <w:i/>
          <w:iCs/>
          <w:sz w:val="22"/>
          <w:szCs w:val="22"/>
        </w:rPr>
        <w:t>FDS”</w:t>
      </w:r>
      <w:r w:rsidRPr="00716764">
        <w:rPr>
          <w:rFonts w:ascii="Arial" w:hAnsi="Arial" w:cs="Arial"/>
          <w:sz w:val="22"/>
          <w:szCs w:val="22"/>
        </w:rPr>
        <w:t>, por sus siglas en inglés) que puedan operar en la banda 57-64 GHz</w:t>
      </w:r>
      <w:r w:rsidRPr="00716764">
        <w:rPr>
          <w:rStyle w:val="Refdenotaalpie"/>
          <w:rFonts w:ascii="Arial" w:hAnsi="Arial" w:cs="Arial"/>
          <w:sz w:val="22"/>
          <w:szCs w:val="22"/>
        </w:rPr>
        <w:footnoteReference w:id="7"/>
      </w:r>
      <w:r w:rsidRPr="00716764">
        <w:rPr>
          <w:rFonts w:ascii="Arial" w:hAnsi="Arial" w:cs="Arial"/>
          <w:sz w:val="22"/>
          <w:szCs w:val="22"/>
        </w:rPr>
        <w:t xml:space="preserve">. </w:t>
      </w:r>
    </w:p>
    <w:p w14:paraId="7AFF0A29" w14:textId="77777777" w:rsidR="002773C7" w:rsidRPr="00716764" w:rsidRDefault="002773C7" w:rsidP="002773C7">
      <w:pPr>
        <w:spacing w:line="276" w:lineRule="auto"/>
        <w:ind w:right="-94"/>
        <w:jc w:val="both"/>
        <w:rPr>
          <w:rFonts w:ascii="Arial" w:hAnsi="Arial" w:cs="Arial"/>
          <w:sz w:val="22"/>
          <w:szCs w:val="22"/>
        </w:rPr>
      </w:pPr>
    </w:p>
    <w:p w14:paraId="2535BD35" w14:textId="77777777" w:rsidR="002773C7" w:rsidRPr="00716764" w:rsidRDefault="002773C7" w:rsidP="002773C7">
      <w:pPr>
        <w:spacing w:line="276" w:lineRule="auto"/>
        <w:ind w:right="-96"/>
        <w:jc w:val="both"/>
        <w:rPr>
          <w:rFonts w:ascii="Arial" w:hAnsi="Arial" w:cs="Arial"/>
          <w:sz w:val="22"/>
          <w:szCs w:val="22"/>
        </w:rPr>
      </w:pPr>
      <w:r w:rsidRPr="00716764">
        <w:rPr>
          <w:rFonts w:ascii="Arial" w:hAnsi="Arial" w:cs="Arial"/>
          <w:sz w:val="22"/>
          <w:szCs w:val="22"/>
        </w:rPr>
        <w:t xml:space="preserve">En el </w:t>
      </w:r>
      <w:r w:rsidRPr="00716764">
        <w:rPr>
          <w:rFonts w:ascii="Arial" w:hAnsi="Arial" w:cs="Arial"/>
          <w:i/>
          <w:iCs/>
          <w:sz w:val="22"/>
          <w:szCs w:val="22"/>
        </w:rPr>
        <w:t>NPRM</w:t>
      </w:r>
      <w:r w:rsidRPr="00716764">
        <w:rPr>
          <w:rFonts w:ascii="Arial" w:hAnsi="Arial" w:cs="Arial"/>
          <w:sz w:val="22"/>
          <w:szCs w:val="22"/>
        </w:rPr>
        <w:t xml:space="preserve"> se propusieron cambios para la sección §15.255 del CFR, consistentes en: a) todos los dispositivos </w:t>
      </w:r>
      <w:r w:rsidRPr="00716764">
        <w:rPr>
          <w:rFonts w:ascii="Arial" w:hAnsi="Arial" w:cs="Arial"/>
          <w:i/>
          <w:iCs/>
          <w:sz w:val="22"/>
          <w:szCs w:val="22"/>
        </w:rPr>
        <w:t>FDS</w:t>
      </w:r>
      <w:r w:rsidRPr="00716764">
        <w:rPr>
          <w:rFonts w:ascii="Arial" w:hAnsi="Arial" w:cs="Arial"/>
          <w:sz w:val="22"/>
          <w:szCs w:val="22"/>
        </w:rPr>
        <w:t xml:space="preserve"> que operan en la banda de 57-64 GHz podrían transmitir con un nivel máximo de PIRE de </w:t>
      </w:r>
      <w:r w:rsidRPr="00716764">
        <w:rPr>
          <w:rFonts w:ascii="Arial" w:hAnsi="Arial" w:cs="Arial"/>
          <w:b/>
          <w:sz w:val="22"/>
          <w:szCs w:val="22"/>
        </w:rPr>
        <w:t>20 dBm</w:t>
      </w:r>
      <w:r w:rsidRPr="00716764">
        <w:rPr>
          <w:rFonts w:ascii="Arial" w:hAnsi="Arial" w:cs="Arial"/>
          <w:sz w:val="22"/>
          <w:szCs w:val="22"/>
        </w:rPr>
        <w:t>, densidad espectral de potencia máxima (</w:t>
      </w:r>
      <w:r w:rsidRPr="00716764">
        <w:rPr>
          <w:rFonts w:ascii="Arial" w:hAnsi="Arial" w:cs="Arial"/>
          <w:i/>
          <w:iCs/>
          <w:sz w:val="22"/>
          <w:szCs w:val="22"/>
        </w:rPr>
        <w:t>PSD</w:t>
      </w:r>
      <w:r w:rsidRPr="00716764">
        <w:rPr>
          <w:rFonts w:ascii="Arial" w:hAnsi="Arial" w:cs="Arial"/>
          <w:sz w:val="22"/>
          <w:szCs w:val="22"/>
        </w:rPr>
        <w:t xml:space="preserve">) de </w:t>
      </w:r>
      <w:r w:rsidRPr="00716764">
        <w:rPr>
          <w:rFonts w:ascii="Arial" w:hAnsi="Arial" w:cs="Arial"/>
          <w:b/>
          <w:sz w:val="22"/>
          <w:szCs w:val="22"/>
        </w:rPr>
        <w:t>13 dBm / MHz</w:t>
      </w:r>
      <w:r w:rsidRPr="00716764">
        <w:rPr>
          <w:rFonts w:ascii="Arial" w:hAnsi="Arial" w:cs="Arial"/>
          <w:sz w:val="22"/>
          <w:szCs w:val="22"/>
        </w:rPr>
        <w:t xml:space="preserve"> y potencia máxima de salida del transmisor de </w:t>
      </w:r>
      <w:r w:rsidRPr="00716764">
        <w:rPr>
          <w:rFonts w:ascii="Arial" w:hAnsi="Arial" w:cs="Arial"/>
          <w:b/>
          <w:sz w:val="22"/>
          <w:szCs w:val="22"/>
        </w:rPr>
        <w:t>10 dBm</w:t>
      </w:r>
      <w:r w:rsidRPr="00716764">
        <w:rPr>
          <w:rFonts w:ascii="Arial" w:hAnsi="Arial" w:cs="Arial"/>
          <w:sz w:val="22"/>
          <w:szCs w:val="22"/>
        </w:rPr>
        <w:t xml:space="preserve">, lo anterior con la consideración que el ciclo de trabajo deberá ser del 10% dentro de cualquier intervalo de 33 ms; b) los dispositivos </w:t>
      </w:r>
      <w:r w:rsidRPr="00716764">
        <w:rPr>
          <w:rFonts w:ascii="Arial" w:hAnsi="Arial" w:cs="Arial"/>
          <w:i/>
          <w:iCs/>
          <w:sz w:val="22"/>
          <w:szCs w:val="22"/>
        </w:rPr>
        <w:t>FDS</w:t>
      </w:r>
      <w:r w:rsidRPr="00716764">
        <w:rPr>
          <w:rFonts w:ascii="Arial" w:hAnsi="Arial" w:cs="Arial"/>
          <w:sz w:val="22"/>
          <w:szCs w:val="22"/>
        </w:rPr>
        <w:t xml:space="preserve"> que operen en la banda 64-71 GHz podrán continuar operando en toda la banda de 57-71 GHz con los límites establecidos en las reglas existentes de la FCC. Lo anterior, con el objeto de revisar las características técnicas de la banda 57-64 GHz y así proporcionar mayor flexibilidad en la operación de los dispositivos que hacen uso de la banda 57-64 GHz, tales como sensores de movimiento que realizan funciones innovadoras como salvar vidas, control de gestos, detección de infantes en vehículos y monitoreo de pacientes médicos vulnerables e incentivar al desarrollo de nuevos productos que puedan ser empleados en sectores como el de seguridad, el automotriz, la domótica, entre otros, asegurando la coexistencia entre dispositivos </w:t>
      </w:r>
      <w:r w:rsidRPr="00716764">
        <w:rPr>
          <w:rFonts w:ascii="Arial" w:hAnsi="Arial" w:cs="Arial"/>
          <w:i/>
          <w:sz w:val="22"/>
          <w:szCs w:val="22"/>
        </w:rPr>
        <w:t xml:space="preserve">FDS </w:t>
      </w:r>
      <w:r w:rsidRPr="00716764">
        <w:rPr>
          <w:rFonts w:ascii="Arial" w:hAnsi="Arial" w:cs="Arial"/>
          <w:sz w:val="22"/>
          <w:szCs w:val="22"/>
        </w:rPr>
        <w:t>actuales y futuros que no requieran obtener una licencia.</w:t>
      </w:r>
    </w:p>
    <w:p w14:paraId="19A86CE7" w14:textId="77777777" w:rsidR="002773C7" w:rsidRPr="00716764" w:rsidRDefault="002773C7" w:rsidP="002773C7">
      <w:pPr>
        <w:spacing w:line="276" w:lineRule="auto"/>
        <w:ind w:right="-94"/>
        <w:jc w:val="both"/>
        <w:rPr>
          <w:rFonts w:ascii="Arial" w:hAnsi="Arial" w:cs="Arial"/>
          <w:sz w:val="22"/>
          <w:szCs w:val="22"/>
        </w:rPr>
      </w:pPr>
    </w:p>
    <w:p w14:paraId="6D669ACE" w14:textId="77777777" w:rsidR="002773C7" w:rsidRPr="00716764" w:rsidRDefault="002773C7" w:rsidP="002773C7">
      <w:pPr>
        <w:spacing w:line="276" w:lineRule="auto"/>
        <w:ind w:right="-94"/>
        <w:jc w:val="both"/>
        <w:rPr>
          <w:rFonts w:ascii="Arial" w:hAnsi="Arial" w:cs="Arial"/>
          <w:sz w:val="22"/>
          <w:szCs w:val="22"/>
        </w:rPr>
      </w:pPr>
      <w:r w:rsidRPr="00716764">
        <w:rPr>
          <w:rFonts w:ascii="Arial" w:hAnsi="Arial" w:cs="Arial"/>
          <w:sz w:val="22"/>
          <w:szCs w:val="22"/>
        </w:rPr>
        <w:t xml:space="preserve">Por otra parte, la FCC solicitó comentarios sobre métodos para mejorar la coexistencia entre los dispositivos </w:t>
      </w:r>
      <w:r w:rsidRPr="00716764">
        <w:rPr>
          <w:rFonts w:ascii="Arial" w:hAnsi="Arial" w:cs="Arial"/>
          <w:i/>
          <w:iCs/>
          <w:sz w:val="22"/>
          <w:szCs w:val="22"/>
        </w:rPr>
        <w:t xml:space="preserve">FDS </w:t>
      </w:r>
      <w:r w:rsidRPr="00716764">
        <w:rPr>
          <w:rFonts w:ascii="Arial" w:hAnsi="Arial" w:cs="Arial"/>
          <w:sz w:val="22"/>
          <w:szCs w:val="22"/>
        </w:rPr>
        <w:t xml:space="preserve">y los dispositivos existentes como </w:t>
      </w:r>
      <w:proofErr w:type="spellStart"/>
      <w:r w:rsidRPr="00716764">
        <w:rPr>
          <w:rFonts w:ascii="Arial" w:hAnsi="Arial" w:cs="Arial"/>
          <w:sz w:val="22"/>
          <w:szCs w:val="22"/>
        </w:rPr>
        <w:t>WiGig</w:t>
      </w:r>
      <w:proofErr w:type="spellEnd"/>
      <w:r w:rsidRPr="00716764">
        <w:rPr>
          <w:rFonts w:ascii="Arial" w:hAnsi="Arial" w:cs="Arial"/>
          <w:sz w:val="22"/>
          <w:szCs w:val="22"/>
        </w:rPr>
        <w:t xml:space="preserve"> WLAN o enlaces inalámbricos punto a punto que actualmente operan en la banda 57-71 GHz. </w:t>
      </w:r>
    </w:p>
    <w:p w14:paraId="144DB638" w14:textId="77777777" w:rsidR="002773C7" w:rsidRPr="00716764" w:rsidRDefault="002773C7" w:rsidP="002773C7">
      <w:pPr>
        <w:spacing w:line="276" w:lineRule="auto"/>
        <w:ind w:right="-96"/>
        <w:jc w:val="both"/>
        <w:rPr>
          <w:rFonts w:ascii="Arial" w:hAnsi="Arial" w:cs="Arial"/>
          <w:sz w:val="22"/>
          <w:szCs w:val="22"/>
        </w:rPr>
      </w:pPr>
    </w:p>
    <w:p w14:paraId="04542CAF" w14:textId="77777777" w:rsidR="002773C7" w:rsidRPr="00716764" w:rsidRDefault="002773C7" w:rsidP="002773C7">
      <w:pPr>
        <w:spacing w:line="276" w:lineRule="auto"/>
        <w:ind w:right="-96"/>
        <w:jc w:val="both"/>
        <w:rPr>
          <w:rFonts w:ascii="Arial" w:hAnsi="Arial" w:cs="Arial"/>
          <w:sz w:val="22"/>
          <w:szCs w:val="22"/>
        </w:rPr>
      </w:pPr>
      <w:r w:rsidRPr="00716764">
        <w:rPr>
          <w:rFonts w:ascii="Arial" w:hAnsi="Arial" w:cs="Arial"/>
          <w:sz w:val="22"/>
          <w:szCs w:val="22"/>
        </w:rPr>
        <w:t>El proceso consultivo se llevó a cabo del 19 de agosto al 20 de septiembre de 2021 y la fecha para la emisión de respuesta a los comentarios fue hasta el 18 de octubre de 2021. Cabe señalar que la FCC, a la fecha de emisión del presente, no ha emitido una decisión final respecto de su propuesta de modificación de la sección §15.255 del CFR.</w:t>
      </w:r>
    </w:p>
    <w:p w14:paraId="2C42DABD" w14:textId="77777777" w:rsidR="002773C7" w:rsidRPr="00716764" w:rsidRDefault="002773C7" w:rsidP="002773C7">
      <w:pPr>
        <w:spacing w:line="276" w:lineRule="auto"/>
        <w:ind w:right="-96"/>
        <w:jc w:val="both"/>
        <w:rPr>
          <w:rFonts w:ascii="Arial" w:hAnsi="Arial" w:cs="Arial"/>
          <w:sz w:val="22"/>
          <w:szCs w:val="22"/>
        </w:rPr>
      </w:pPr>
    </w:p>
    <w:p w14:paraId="1BCE6219" w14:textId="77777777" w:rsidR="002773C7" w:rsidRPr="00716764" w:rsidRDefault="002773C7" w:rsidP="002773C7">
      <w:pPr>
        <w:spacing w:line="276" w:lineRule="auto"/>
        <w:ind w:right="-94"/>
        <w:jc w:val="both"/>
        <w:rPr>
          <w:rFonts w:ascii="Arial" w:hAnsi="Arial" w:cs="Arial"/>
          <w:sz w:val="22"/>
          <w:szCs w:val="22"/>
        </w:rPr>
      </w:pPr>
      <w:r w:rsidRPr="00716764">
        <w:rPr>
          <w:rFonts w:ascii="Arial" w:hAnsi="Arial" w:cs="Arial"/>
          <w:sz w:val="22"/>
          <w:szCs w:val="22"/>
          <w:u w:val="single"/>
        </w:rPr>
        <w:t>Canadá – ISED</w:t>
      </w:r>
    </w:p>
    <w:p w14:paraId="57961FF7" w14:textId="77777777" w:rsidR="002773C7" w:rsidRPr="00716764" w:rsidRDefault="002773C7" w:rsidP="002773C7">
      <w:pPr>
        <w:spacing w:line="276" w:lineRule="auto"/>
        <w:ind w:right="-94"/>
        <w:jc w:val="both"/>
        <w:rPr>
          <w:rFonts w:ascii="Arial" w:hAnsi="Arial" w:cs="Arial"/>
          <w:sz w:val="22"/>
          <w:szCs w:val="22"/>
        </w:rPr>
      </w:pPr>
    </w:p>
    <w:p w14:paraId="35551A20" w14:textId="77777777" w:rsidR="002773C7" w:rsidRPr="00716764" w:rsidRDefault="002773C7" w:rsidP="002773C7">
      <w:pPr>
        <w:spacing w:line="276" w:lineRule="auto"/>
        <w:ind w:right="-94"/>
        <w:jc w:val="both"/>
        <w:rPr>
          <w:rFonts w:ascii="Arial" w:hAnsi="Arial" w:cs="Arial"/>
          <w:sz w:val="22"/>
          <w:szCs w:val="22"/>
        </w:rPr>
      </w:pPr>
      <w:r w:rsidRPr="00716764">
        <w:rPr>
          <w:rFonts w:ascii="Arial" w:hAnsi="Arial" w:cs="Arial"/>
          <w:sz w:val="22"/>
          <w:szCs w:val="22"/>
        </w:rPr>
        <w:t xml:space="preserve">En Canadá, la responsabilidad de administrar los recursos del espectro radioeléctrico está a cargo de la ISED. Dentro del Marco de Políticas Canadienses relacionadas con el uso del espectro radioeléctrico, existen algunas relacionadas con la distribución de este recurso entre diferentes servicios de radiocomunicaciones (políticas de asignación de espectro), así como con el uso </w:t>
      </w:r>
      <w:r w:rsidRPr="00716764">
        <w:rPr>
          <w:rFonts w:ascii="Arial" w:hAnsi="Arial" w:cs="Arial"/>
          <w:sz w:val="22"/>
          <w:szCs w:val="22"/>
        </w:rPr>
        <w:lastRenderedPageBreak/>
        <w:t>particular para una banda asignada (políticas de utilización del espectro) y con los tipos de sistemas de radio que son comercializados en Canadá (políticas de sistemas de radio).</w:t>
      </w:r>
    </w:p>
    <w:p w14:paraId="1CD81DD6" w14:textId="77777777" w:rsidR="002773C7" w:rsidRPr="00716764" w:rsidRDefault="002773C7" w:rsidP="002773C7">
      <w:pPr>
        <w:spacing w:line="276" w:lineRule="auto"/>
        <w:ind w:right="-94"/>
        <w:jc w:val="both"/>
        <w:rPr>
          <w:rFonts w:ascii="Arial" w:hAnsi="Arial" w:cs="Arial"/>
          <w:sz w:val="22"/>
          <w:szCs w:val="22"/>
        </w:rPr>
      </w:pPr>
    </w:p>
    <w:p w14:paraId="29FD56E9" w14:textId="77777777" w:rsidR="002773C7" w:rsidRPr="00716764" w:rsidRDefault="002773C7" w:rsidP="002773C7">
      <w:pPr>
        <w:spacing w:line="276" w:lineRule="auto"/>
        <w:ind w:right="-94"/>
        <w:jc w:val="both"/>
        <w:rPr>
          <w:rFonts w:ascii="Arial" w:hAnsi="Arial" w:cs="Arial"/>
          <w:sz w:val="22"/>
          <w:szCs w:val="22"/>
        </w:rPr>
      </w:pPr>
      <w:r w:rsidRPr="00716764">
        <w:rPr>
          <w:rFonts w:ascii="Arial" w:hAnsi="Arial" w:cs="Arial"/>
          <w:sz w:val="22"/>
          <w:szCs w:val="22"/>
        </w:rPr>
        <w:t>En las políticas de utilización del espectro (“SP”) correspondientes a la banda 57-64 GHz, existe un apartado dentro de la política SP-47 GHz que se enfoca en facilitar, en mayor medida, la operación de dispositivos y sistemas de radio exentos de licencia, los cuales se rigen por las especificaciones del estándar de radio RSS-210</w:t>
      </w:r>
      <w:r w:rsidRPr="00716764">
        <w:rPr>
          <w:rStyle w:val="Refdenotaalpie"/>
          <w:rFonts w:ascii="Arial" w:hAnsi="Arial" w:cs="Arial"/>
          <w:sz w:val="22"/>
          <w:szCs w:val="22"/>
        </w:rPr>
        <w:footnoteReference w:id="8"/>
      </w:r>
      <w:r w:rsidRPr="00716764">
        <w:rPr>
          <w:rFonts w:ascii="Arial" w:hAnsi="Arial" w:cs="Arial"/>
          <w:sz w:val="22"/>
          <w:szCs w:val="22"/>
        </w:rPr>
        <w:t>, particularmente del Anexo J para aquellos dispositivos que operan en la banda 57-64 GHz.</w:t>
      </w:r>
    </w:p>
    <w:p w14:paraId="76FBFD03" w14:textId="77777777" w:rsidR="002773C7" w:rsidRPr="00716764" w:rsidRDefault="002773C7" w:rsidP="002773C7">
      <w:pPr>
        <w:spacing w:line="276" w:lineRule="auto"/>
        <w:ind w:right="-94"/>
        <w:jc w:val="both"/>
        <w:rPr>
          <w:rFonts w:ascii="Arial" w:hAnsi="Arial" w:cs="Arial"/>
          <w:sz w:val="22"/>
          <w:szCs w:val="22"/>
        </w:rPr>
      </w:pPr>
    </w:p>
    <w:p w14:paraId="3C264A29" w14:textId="77777777" w:rsidR="002773C7" w:rsidRPr="00716764" w:rsidRDefault="002773C7" w:rsidP="002773C7">
      <w:pPr>
        <w:spacing w:line="276" w:lineRule="auto"/>
        <w:ind w:right="-94"/>
        <w:jc w:val="both"/>
        <w:rPr>
          <w:rFonts w:ascii="Arial" w:hAnsi="Arial" w:cs="Arial"/>
          <w:sz w:val="22"/>
          <w:szCs w:val="22"/>
        </w:rPr>
      </w:pPr>
      <w:r w:rsidRPr="00716764">
        <w:rPr>
          <w:rFonts w:ascii="Arial" w:hAnsi="Arial" w:cs="Arial"/>
          <w:sz w:val="22"/>
          <w:szCs w:val="22"/>
        </w:rPr>
        <w:t>Aunado a lo anterior, ISED otorgó una licencia especial para habilitar la operación de los dispositivos que contengan sensores de movimiento dentro de la banda de frecuencias 57-64 GHz, los cuales podrán operar bajo las mismas condiciones técnicas que fueron establecidas en la exención DA-18-1308 de la FCC, es decir, con una potencia máxima de salida del transmisor de 10 dBm y un nivel máximo de PIRE de 13 dBm, así como un nivel de densidad espectral de potencia máxima de 13 dBm/MHz. Adicional a la limitante respecto del ciclo de trabajo de transmisión al 10%</w:t>
      </w:r>
      <w:r w:rsidRPr="00716764" w:rsidDel="00930B8E">
        <w:rPr>
          <w:rFonts w:ascii="Arial" w:hAnsi="Arial" w:cs="Arial"/>
          <w:sz w:val="22"/>
          <w:szCs w:val="22"/>
        </w:rPr>
        <w:t xml:space="preserve"> </w:t>
      </w:r>
      <w:r w:rsidRPr="00716764">
        <w:rPr>
          <w:rFonts w:ascii="Arial" w:hAnsi="Arial" w:cs="Arial"/>
          <w:sz w:val="22"/>
          <w:szCs w:val="22"/>
        </w:rPr>
        <w:t>en cualquier intervalo de 33 milisegundos.</w:t>
      </w:r>
    </w:p>
    <w:p w14:paraId="23F7DA4B" w14:textId="77777777" w:rsidR="002773C7" w:rsidRPr="00716764" w:rsidRDefault="002773C7" w:rsidP="002773C7">
      <w:pPr>
        <w:spacing w:line="276" w:lineRule="auto"/>
        <w:ind w:right="-94"/>
        <w:jc w:val="both"/>
        <w:rPr>
          <w:rFonts w:ascii="Arial" w:hAnsi="Arial" w:cs="Arial"/>
          <w:sz w:val="22"/>
          <w:szCs w:val="22"/>
        </w:rPr>
      </w:pPr>
    </w:p>
    <w:p w14:paraId="767E2916" w14:textId="77777777" w:rsidR="002773C7" w:rsidRPr="00716764" w:rsidRDefault="002773C7" w:rsidP="002773C7">
      <w:pPr>
        <w:spacing w:line="276" w:lineRule="auto"/>
        <w:ind w:right="-94"/>
        <w:jc w:val="both"/>
        <w:rPr>
          <w:rFonts w:ascii="Arial" w:hAnsi="Arial" w:cs="Arial"/>
          <w:sz w:val="22"/>
          <w:szCs w:val="22"/>
          <w:u w:val="single"/>
        </w:rPr>
      </w:pPr>
      <w:r w:rsidRPr="00716764">
        <w:rPr>
          <w:rFonts w:ascii="Arial" w:hAnsi="Arial" w:cs="Arial"/>
          <w:sz w:val="22"/>
          <w:szCs w:val="22"/>
          <w:u w:val="single"/>
        </w:rPr>
        <w:t>Otros países</w:t>
      </w:r>
    </w:p>
    <w:p w14:paraId="60FB39E2" w14:textId="77777777" w:rsidR="002773C7" w:rsidRPr="00716764" w:rsidRDefault="002773C7" w:rsidP="002773C7">
      <w:pPr>
        <w:spacing w:line="276" w:lineRule="auto"/>
        <w:ind w:right="-94"/>
        <w:jc w:val="both"/>
        <w:rPr>
          <w:rFonts w:ascii="Arial" w:hAnsi="Arial" w:cs="Arial"/>
          <w:sz w:val="22"/>
          <w:szCs w:val="22"/>
        </w:rPr>
      </w:pPr>
    </w:p>
    <w:p w14:paraId="20E88DE9" w14:textId="77777777" w:rsidR="002773C7" w:rsidRPr="00716764" w:rsidRDefault="002773C7" w:rsidP="002773C7">
      <w:pPr>
        <w:spacing w:line="276" w:lineRule="auto"/>
        <w:ind w:right="-94"/>
        <w:jc w:val="both"/>
        <w:rPr>
          <w:rFonts w:ascii="Arial" w:hAnsi="Arial" w:cs="Arial"/>
          <w:sz w:val="22"/>
          <w:szCs w:val="22"/>
        </w:rPr>
      </w:pPr>
      <w:r w:rsidRPr="00716764">
        <w:rPr>
          <w:rFonts w:ascii="Arial" w:hAnsi="Arial" w:cs="Arial"/>
          <w:sz w:val="22"/>
          <w:szCs w:val="22"/>
        </w:rPr>
        <w:t xml:space="preserve">En algunos otros países de las Regiones 1 y 2 de la UIT, se realizaron adecuaciones similares a las mencionadas anteriormente, a efecto de habilitar la operación de sensores de movimiento en la banda 57-64 GHz con niveles máximos de PIRE de 13 dBm, potencia máxima de salida de 10 dBm y densidad espectral de potencia máxima de 13 </w:t>
      </w:r>
      <w:proofErr w:type="spellStart"/>
      <w:r w:rsidRPr="00716764">
        <w:rPr>
          <w:rFonts w:ascii="Arial" w:hAnsi="Arial" w:cs="Arial"/>
          <w:sz w:val="22"/>
          <w:szCs w:val="22"/>
        </w:rPr>
        <w:t>dBW</w:t>
      </w:r>
      <w:proofErr w:type="spellEnd"/>
      <w:r w:rsidRPr="00716764">
        <w:rPr>
          <w:rFonts w:ascii="Arial" w:hAnsi="Arial" w:cs="Arial"/>
          <w:sz w:val="22"/>
          <w:szCs w:val="22"/>
        </w:rPr>
        <w:t>/MHz, como es el caso de Japón, donde el Ministerio del Interior y Comunicaciones (“MIC”) publicó el Informe referente a condiciones técnicas para la actualización de equipos inalámbricos que utilizan la banda de 60 GHz y dentro de la Tabla 2-3-1 “Normas técnicas del equipo inalámbrico en la banda de 60 GHz”</w:t>
      </w:r>
      <w:r w:rsidRPr="00716764">
        <w:rPr>
          <w:rFonts w:ascii="Arial" w:hAnsi="Arial" w:cs="Arial"/>
          <w:i/>
          <w:sz w:val="22"/>
          <w:szCs w:val="22"/>
        </w:rPr>
        <w:t xml:space="preserve"> </w:t>
      </w:r>
      <w:r w:rsidRPr="00716764">
        <w:rPr>
          <w:rFonts w:ascii="Arial" w:hAnsi="Arial" w:cs="Arial"/>
          <w:sz w:val="22"/>
          <w:szCs w:val="22"/>
        </w:rPr>
        <w:t>se</w:t>
      </w:r>
      <w:r w:rsidRPr="00716764">
        <w:rPr>
          <w:rFonts w:ascii="Arial" w:hAnsi="Arial" w:cs="Arial"/>
          <w:i/>
          <w:sz w:val="22"/>
          <w:szCs w:val="22"/>
        </w:rPr>
        <w:t xml:space="preserve"> </w:t>
      </w:r>
      <w:r w:rsidRPr="00716764">
        <w:rPr>
          <w:rFonts w:ascii="Arial" w:hAnsi="Arial" w:cs="Arial"/>
          <w:sz w:val="22"/>
          <w:szCs w:val="22"/>
        </w:rPr>
        <w:t>especifican dichas condiciones técnicas.</w:t>
      </w:r>
    </w:p>
    <w:p w14:paraId="1498F252" w14:textId="77777777" w:rsidR="002773C7" w:rsidRPr="00716764" w:rsidRDefault="002773C7" w:rsidP="002773C7">
      <w:pPr>
        <w:spacing w:line="276" w:lineRule="auto"/>
        <w:ind w:right="-94"/>
        <w:jc w:val="both"/>
        <w:rPr>
          <w:rFonts w:ascii="Arial" w:hAnsi="Arial" w:cs="Arial"/>
          <w:sz w:val="22"/>
          <w:szCs w:val="22"/>
        </w:rPr>
      </w:pPr>
    </w:p>
    <w:p w14:paraId="4A9502FD" w14:textId="77777777" w:rsidR="002773C7" w:rsidRPr="00716764" w:rsidRDefault="002773C7" w:rsidP="002773C7">
      <w:pPr>
        <w:spacing w:line="276" w:lineRule="auto"/>
        <w:ind w:right="-94"/>
        <w:jc w:val="both"/>
        <w:rPr>
          <w:rFonts w:ascii="Arial" w:hAnsi="Arial" w:cs="Arial"/>
          <w:sz w:val="22"/>
          <w:szCs w:val="22"/>
          <w:u w:val="single"/>
        </w:rPr>
      </w:pPr>
      <w:r w:rsidRPr="00716764">
        <w:rPr>
          <w:rFonts w:ascii="Arial" w:hAnsi="Arial" w:cs="Arial"/>
          <w:sz w:val="22"/>
          <w:szCs w:val="22"/>
          <w:u w:val="single"/>
        </w:rPr>
        <w:t>Recomendaciones, Informes y Resoluciones del UIT-R</w:t>
      </w:r>
    </w:p>
    <w:p w14:paraId="51A07D86" w14:textId="77777777" w:rsidR="002773C7" w:rsidRPr="00716764" w:rsidRDefault="002773C7" w:rsidP="002773C7">
      <w:pPr>
        <w:spacing w:line="276" w:lineRule="auto"/>
        <w:ind w:right="-94"/>
        <w:jc w:val="both"/>
        <w:rPr>
          <w:rFonts w:ascii="Arial" w:hAnsi="Arial" w:cs="Arial"/>
          <w:sz w:val="22"/>
          <w:szCs w:val="22"/>
        </w:rPr>
      </w:pPr>
    </w:p>
    <w:p w14:paraId="14FC60D0" w14:textId="77777777" w:rsidR="002773C7" w:rsidRPr="00716764" w:rsidRDefault="002773C7" w:rsidP="002773C7">
      <w:pPr>
        <w:spacing w:line="276" w:lineRule="auto"/>
        <w:ind w:right="-94"/>
        <w:jc w:val="both"/>
        <w:rPr>
          <w:rFonts w:ascii="Arial" w:hAnsi="Arial" w:cs="Arial"/>
          <w:sz w:val="22"/>
          <w:szCs w:val="22"/>
        </w:rPr>
      </w:pPr>
      <w:r w:rsidRPr="00716764">
        <w:rPr>
          <w:rFonts w:ascii="Arial" w:hAnsi="Arial" w:cs="Arial"/>
          <w:sz w:val="22"/>
          <w:szCs w:val="22"/>
        </w:rPr>
        <w:t>Por otro lado, el UIT-R se ha enfocado en establecer reglas o directrices con el objeto de alcanzar un mayor grado de armonización de los dispositivos de radiocomunicaciones de corto alcance (“DRCA”), incluidos los sensores de movimiento. Es así que, a través de la Recomendación UIT-R SM-2103-0 “Armonización mundial de categorías de dispositivos de corto alcance”</w:t>
      </w:r>
      <w:r w:rsidRPr="00716764">
        <w:rPr>
          <w:rStyle w:val="Refdenotaalpie"/>
          <w:rFonts w:ascii="Arial" w:hAnsi="Arial" w:cs="Arial"/>
          <w:sz w:val="22"/>
          <w:szCs w:val="22"/>
        </w:rPr>
        <w:footnoteReference w:id="9"/>
      </w:r>
      <w:r w:rsidRPr="00716764">
        <w:rPr>
          <w:rFonts w:ascii="Arial" w:hAnsi="Arial" w:cs="Arial"/>
          <w:sz w:val="22"/>
          <w:szCs w:val="22"/>
        </w:rPr>
        <w:t xml:space="preserve"> se muestran diversas categorías, aplicaciones y normas técnicas implementadas en diversos países y regiones a nivel mundial, con el fin de orientar a otros países respecto de la armonización de las categorías, reglamentación y las bandas de frecuencias empleadas para equipos DRCA.</w:t>
      </w:r>
    </w:p>
    <w:p w14:paraId="311ACAF4" w14:textId="77777777" w:rsidR="002773C7" w:rsidRPr="00716764" w:rsidRDefault="002773C7" w:rsidP="002773C7">
      <w:pPr>
        <w:spacing w:line="276" w:lineRule="auto"/>
        <w:ind w:right="-94"/>
        <w:jc w:val="both"/>
        <w:rPr>
          <w:rFonts w:ascii="Arial" w:hAnsi="Arial" w:cs="Arial"/>
          <w:sz w:val="22"/>
          <w:szCs w:val="22"/>
        </w:rPr>
      </w:pPr>
    </w:p>
    <w:p w14:paraId="6BE8BFBD" w14:textId="77777777" w:rsidR="002773C7" w:rsidRPr="00716764" w:rsidRDefault="002773C7" w:rsidP="002773C7">
      <w:pPr>
        <w:spacing w:line="276" w:lineRule="auto"/>
        <w:ind w:right="-94"/>
        <w:jc w:val="both"/>
        <w:rPr>
          <w:rFonts w:ascii="Arial" w:hAnsi="Arial" w:cs="Arial"/>
          <w:sz w:val="22"/>
          <w:szCs w:val="22"/>
        </w:rPr>
      </w:pPr>
      <w:r w:rsidRPr="00716764">
        <w:rPr>
          <w:rFonts w:ascii="Arial" w:hAnsi="Arial" w:cs="Arial"/>
          <w:sz w:val="22"/>
          <w:szCs w:val="22"/>
        </w:rPr>
        <w:t>A este respecto, el Informe UIT-R SM-2153-8 “Parámetros técnicos y de funcionamiento de los dispositivos de radiocomunicaciones de corto alcance y utilización del espectro por los mismos”</w:t>
      </w:r>
      <w:r w:rsidRPr="00716764">
        <w:rPr>
          <w:rStyle w:val="Refdenotaalpie"/>
          <w:rFonts w:ascii="Arial" w:hAnsi="Arial" w:cs="Arial"/>
          <w:sz w:val="22"/>
          <w:szCs w:val="22"/>
        </w:rPr>
        <w:footnoteReference w:id="10"/>
      </w:r>
      <w:r w:rsidRPr="00716764">
        <w:rPr>
          <w:rFonts w:ascii="Arial" w:hAnsi="Arial" w:cs="Arial"/>
          <w:sz w:val="22"/>
          <w:szCs w:val="22"/>
        </w:rPr>
        <w:t xml:space="preserve"> , </w:t>
      </w:r>
      <w:r w:rsidRPr="00716764">
        <w:rPr>
          <w:rFonts w:ascii="Arial" w:hAnsi="Arial" w:cs="Arial"/>
          <w:sz w:val="22"/>
          <w:szCs w:val="22"/>
        </w:rPr>
        <w:lastRenderedPageBreak/>
        <w:t>se observa que existen bandas de frecuencias armonizadas y recomendadas para el despliegue de los DRCA, incluyendo la banda 57-64 GHz, en donde se indican parámetros técnicos y de utilización de las bandas consideradas, con base en las normas y reglamentación técnica adoptada por cada país, o a nivel regional, por grupos, comisiones u organizaciones particulares.</w:t>
      </w:r>
    </w:p>
    <w:p w14:paraId="5B10B257" w14:textId="77777777" w:rsidR="002773C7" w:rsidRPr="00716764" w:rsidRDefault="002773C7" w:rsidP="002773C7">
      <w:pPr>
        <w:spacing w:line="276" w:lineRule="auto"/>
        <w:ind w:right="-94"/>
        <w:jc w:val="both"/>
        <w:rPr>
          <w:rFonts w:ascii="Arial" w:hAnsi="Arial" w:cs="Arial"/>
          <w:sz w:val="22"/>
          <w:szCs w:val="22"/>
        </w:rPr>
      </w:pPr>
    </w:p>
    <w:p w14:paraId="2A969709" w14:textId="77777777" w:rsidR="002773C7" w:rsidRPr="00716764" w:rsidRDefault="002773C7" w:rsidP="002773C7">
      <w:pPr>
        <w:spacing w:line="276" w:lineRule="auto"/>
        <w:ind w:right="-94"/>
        <w:jc w:val="both"/>
        <w:rPr>
          <w:rFonts w:ascii="Arial" w:hAnsi="Arial" w:cs="Arial"/>
          <w:sz w:val="22"/>
          <w:szCs w:val="22"/>
        </w:rPr>
      </w:pPr>
      <w:r w:rsidRPr="00716764">
        <w:rPr>
          <w:rFonts w:ascii="Arial" w:hAnsi="Arial" w:cs="Arial"/>
          <w:sz w:val="22"/>
          <w:szCs w:val="22"/>
        </w:rPr>
        <w:t>Finalmente, la UIT-R en su proyecto de revisión de la Resolución UIT-R 54-3 “Estudios para lograr la armonización de los dispositivos de corto alcance”</w:t>
      </w:r>
      <w:r w:rsidRPr="00716764">
        <w:rPr>
          <w:rStyle w:val="Refdenotaalpie"/>
          <w:rFonts w:ascii="Arial" w:hAnsi="Arial" w:cs="Arial"/>
          <w:sz w:val="22"/>
          <w:szCs w:val="22"/>
        </w:rPr>
        <w:footnoteReference w:id="11"/>
      </w:r>
      <w:r w:rsidRPr="00716764">
        <w:rPr>
          <w:rFonts w:ascii="Arial" w:hAnsi="Arial" w:cs="Arial"/>
          <w:sz w:val="22"/>
          <w:szCs w:val="22"/>
        </w:rPr>
        <w:t xml:space="preserve">, reconoce, entre otras cosas, que las ventajas de la armonización del espectro podrían materializarse en: i) mayores posibilidades de interoperabilidad entre equipos; </w:t>
      </w:r>
      <w:proofErr w:type="spellStart"/>
      <w:r w:rsidRPr="00716764">
        <w:rPr>
          <w:rFonts w:ascii="Arial" w:hAnsi="Arial" w:cs="Arial"/>
          <w:sz w:val="22"/>
          <w:szCs w:val="22"/>
        </w:rPr>
        <w:t>ii</w:t>
      </w:r>
      <w:proofErr w:type="spellEnd"/>
      <w:r w:rsidRPr="00716764">
        <w:rPr>
          <w:rFonts w:ascii="Arial" w:hAnsi="Arial" w:cs="Arial"/>
          <w:sz w:val="22"/>
          <w:szCs w:val="22"/>
        </w:rPr>
        <w:t xml:space="preserve">) economías de escala y disponibilidad de equipos; </w:t>
      </w:r>
      <w:proofErr w:type="spellStart"/>
      <w:r w:rsidRPr="00716764">
        <w:rPr>
          <w:rFonts w:ascii="Arial" w:hAnsi="Arial" w:cs="Arial"/>
          <w:sz w:val="22"/>
          <w:szCs w:val="22"/>
        </w:rPr>
        <w:t>iii</w:t>
      </w:r>
      <w:proofErr w:type="spellEnd"/>
      <w:r w:rsidRPr="00716764">
        <w:rPr>
          <w:rFonts w:ascii="Arial" w:hAnsi="Arial" w:cs="Arial"/>
          <w:sz w:val="22"/>
          <w:szCs w:val="22"/>
        </w:rPr>
        <w:t xml:space="preserve">) mejor gestión del espectro, y </w:t>
      </w:r>
      <w:proofErr w:type="spellStart"/>
      <w:r w:rsidRPr="00716764">
        <w:rPr>
          <w:rFonts w:ascii="Arial" w:hAnsi="Arial" w:cs="Arial"/>
          <w:sz w:val="22"/>
          <w:szCs w:val="22"/>
        </w:rPr>
        <w:t>iv</w:t>
      </w:r>
      <w:proofErr w:type="spellEnd"/>
      <w:r w:rsidRPr="00716764">
        <w:rPr>
          <w:rFonts w:ascii="Arial" w:hAnsi="Arial" w:cs="Arial"/>
          <w:sz w:val="22"/>
          <w:szCs w:val="22"/>
        </w:rPr>
        <w:t>) mejora de la distribución de equipos en los diversos países.</w:t>
      </w:r>
    </w:p>
    <w:p w14:paraId="6E2D0F88" w14:textId="77777777" w:rsidR="002773C7" w:rsidRPr="00716764" w:rsidRDefault="002773C7" w:rsidP="002773C7">
      <w:pPr>
        <w:spacing w:line="276" w:lineRule="auto"/>
        <w:ind w:right="-94"/>
        <w:jc w:val="both"/>
        <w:rPr>
          <w:rFonts w:ascii="Arial" w:hAnsi="Arial" w:cs="Arial"/>
          <w:sz w:val="22"/>
          <w:szCs w:val="22"/>
        </w:rPr>
      </w:pPr>
    </w:p>
    <w:p w14:paraId="51B9B763" w14:textId="77777777" w:rsidR="002773C7" w:rsidRPr="00716764" w:rsidRDefault="002773C7" w:rsidP="002773C7">
      <w:pPr>
        <w:pStyle w:val="Prrafodelista"/>
        <w:spacing w:line="276" w:lineRule="auto"/>
        <w:ind w:left="0"/>
        <w:contextualSpacing w:val="0"/>
        <w:jc w:val="both"/>
        <w:rPr>
          <w:rFonts w:ascii="Arial" w:hAnsi="Arial" w:cs="Arial"/>
          <w:kern w:val="1"/>
          <w:sz w:val="22"/>
          <w:szCs w:val="22"/>
          <w:lang w:eastAsia="ar-SA"/>
        </w:rPr>
      </w:pPr>
      <w:proofErr w:type="gramStart"/>
      <w:r w:rsidRPr="00716764">
        <w:rPr>
          <w:rFonts w:ascii="Arial" w:hAnsi="Arial" w:cs="Arial"/>
          <w:b/>
          <w:sz w:val="22"/>
          <w:szCs w:val="22"/>
          <w:lang w:eastAsia="ar-SA"/>
        </w:rPr>
        <w:t>Cuarto.-</w:t>
      </w:r>
      <w:proofErr w:type="gramEnd"/>
      <w:r w:rsidRPr="00716764">
        <w:rPr>
          <w:rFonts w:ascii="Arial" w:hAnsi="Arial" w:cs="Arial"/>
          <w:b/>
          <w:sz w:val="22"/>
          <w:szCs w:val="22"/>
          <w:lang w:eastAsia="ar-SA"/>
        </w:rPr>
        <w:t xml:space="preserve"> Actualización de las condiciones técnicas de operación para el uso de la banda de frecuencias 57-64 GHz</w:t>
      </w:r>
      <w:r w:rsidRPr="00716764">
        <w:rPr>
          <w:rFonts w:ascii="Arial" w:hAnsi="Arial" w:cs="Arial"/>
          <w:b/>
          <w:kern w:val="1"/>
          <w:sz w:val="22"/>
          <w:szCs w:val="22"/>
          <w:lang w:eastAsia="ar-SA"/>
        </w:rPr>
        <w:t>.</w:t>
      </w:r>
      <w:r w:rsidRPr="00716764">
        <w:rPr>
          <w:rFonts w:ascii="Arial" w:hAnsi="Arial" w:cs="Arial"/>
          <w:kern w:val="1"/>
          <w:sz w:val="22"/>
          <w:szCs w:val="22"/>
          <w:lang w:eastAsia="ar-SA"/>
        </w:rPr>
        <w:t xml:space="preserve"> En virtud de que el espectro radioeléctrico es un recurso finito pero reutilizable, se hace inminente implementar una adecuada gestión del mismo que propicie su uso eficiente. Es así que, como parte de la administración del espectro radioeléctrico efectuada por el Instituto, se encuentra la clasificación de una banda de frecuencias como espectro libre, así como el establecimiento de condiciones técnicas para el uso de la misma. </w:t>
      </w:r>
    </w:p>
    <w:p w14:paraId="5CBD28DB" w14:textId="77777777" w:rsidR="002773C7" w:rsidRPr="00716764" w:rsidRDefault="002773C7" w:rsidP="002773C7">
      <w:pPr>
        <w:pStyle w:val="Prrafodelista"/>
        <w:spacing w:line="276" w:lineRule="auto"/>
        <w:ind w:left="0"/>
        <w:contextualSpacing w:val="0"/>
        <w:jc w:val="both"/>
        <w:rPr>
          <w:rFonts w:ascii="Arial" w:hAnsi="Arial" w:cs="Arial"/>
          <w:kern w:val="1"/>
          <w:sz w:val="22"/>
          <w:szCs w:val="22"/>
          <w:lang w:eastAsia="ar-SA"/>
        </w:rPr>
      </w:pPr>
    </w:p>
    <w:p w14:paraId="5FD535DE" w14:textId="77777777" w:rsidR="002773C7" w:rsidRPr="00716764" w:rsidRDefault="002773C7" w:rsidP="002773C7">
      <w:pPr>
        <w:pStyle w:val="Prrafodelista"/>
        <w:spacing w:line="276" w:lineRule="auto"/>
        <w:ind w:left="0"/>
        <w:contextualSpacing w:val="0"/>
        <w:jc w:val="both"/>
        <w:rPr>
          <w:rFonts w:ascii="Arial" w:hAnsi="Arial" w:cs="Arial"/>
          <w:kern w:val="1"/>
          <w:sz w:val="22"/>
          <w:szCs w:val="22"/>
          <w:lang w:eastAsia="ar-SA"/>
        </w:rPr>
      </w:pPr>
      <w:r w:rsidRPr="00716764">
        <w:rPr>
          <w:rFonts w:ascii="Arial" w:hAnsi="Arial" w:cs="Arial"/>
          <w:kern w:val="1"/>
          <w:sz w:val="22"/>
          <w:szCs w:val="22"/>
          <w:lang w:eastAsia="ar-SA"/>
        </w:rPr>
        <w:t>En este sentido, en mayo de 2017 se clasificó la banda 57-64 GHz como espectro libre para que pudiera ser utilizada para diversos servicios de telecomunicaciones, sin necesidad de contar con una concesión o autorización y se establecieron condiciones de operación de la misma. Sin embargo, con el desarrollo tecnológico y los cambios en la regulación internacional, se observa que algunos parámetros técnicos establecidos originalmente han sido actualizados.</w:t>
      </w:r>
    </w:p>
    <w:p w14:paraId="11807D76" w14:textId="77777777" w:rsidR="002773C7" w:rsidRPr="00716764" w:rsidRDefault="002773C7" w:rsidP="002773C7">
      <w:pPr>
        <w:pStyle w:val="Prrafodelista"/>
        <w:spacing w:line="276" w:lineRule="auto"/>
        <w:contextualSpacing w:val="0"/>
        <w:jc w:val="both"/>
        <w:rPr>
          <w:rFonts w:ascii="Arial" w:hAnsi="Arial" w:cs="Arial"/>
          <w:kern w:val="1"/>
          <w:sz w:val="22"/>
          <w:szCs w:val="22"/>
          <w:lang w:eastAsia="ar-SA"/>
        </w:rPr>
      </w:pPr>
    </w:p>
    <w:p w14:paraId="0959DC5B" w14:textId="77777777" w:rsidR="002773C7" w:rsidRPr="00716764" w:rsidRDefault="002773C7" w:rsidP="002773C7">
      <w:pPr>
        <w:pStyle w:val="Prrafodelista"/>
        <w:spacing w:line="276" w:lineRule="auto"/>
        <w:ind w:left="0"/>
        <w:contextualSpacing w:val="0"/>
        <w:jc w:val="both"/>
        <w:rPr>
          <w:rFonts w:ascii="Arial" w:hAnsi="Arial" w:cs="Arial"/>
          <w:kern w:val="1"/>
          <w:sz w:val="22"/>
          <w:szCs w:val="22"/>
          <w:lang w:eastAsia="ar-SA"/>
        </w:rPr>
      </w:pPr>
      <w:r w:rsidRPr="00716764">
        <w:rPr>
          <w:rFonts w:ascii="Arial" w:hAnsi="Arial" w:cs="Arial"/>
          <w:kern w:val="1"/>
          <w:sz w:val="22"/>
          <w:szCs w:val="22"/>
          <w:lang w:eastAsia="ar-SA"/>
        </w:rPr>
        <w:t>Es así que el Instituto, como regulador en el sector de las telecomunicaciones en México, llevó a cabo una revisión de las condiciones técnicas de operación de la banda 57-64 GHz, tomando en consideración diversos factores relacionados con la administración y planificación del espectro radioeléctrico, tales como la utilización actual de esta banda de frecuencias, los parámetros técnicos de operación de los dispositivos o equipos transmisores y receptores, los estándares técnicos, las diferentes aplicaciones y tecnologías nuevas o mejoradas que se encuentran disponibles, así como los métodos de gestión del espectro radioeléctrico que permitan el uso eficiente del mismo.</w:t>
      </w:r>
    </w:p>
    <w:p w14:paraId="57674348" w14:textId="77777777" w:rsidR="002773C7" w:rsidRPr="00716764" w:rsidRDefault="002773C7" w:rsidP="002773C7">
      <w:pPr>
        <w:pStyle w:val="Prrafodelista"/>
        <w:spacing w:line="276" w:lineRule="auto"/>
        <w:ind w:left="0"/>
        <w:contextualSpacing w:val="0"/>
        <w:jc w:val="both"/>
        <w:rPr>
          <w:rFonts w:ascii="Arial" w:hAnsi="Arial" w:cs="Arial"/>
          <w:kern w:val="1"/>
          <w:sz w:val="22"/>
          <w:szCs w:val="22"/>
          <w:lang w:eastAsia="ar-SA"/>
        </w:rPr>
      </w:pPr>
    </w:p>
    <w:p w14:paraId="2F8D1226" w14:textId="77777777" w:rsidR="002773C7" w:rsidRPr="00716764" w:rsidRDefault="002773C7" w:rsidP="002773C7">
      <w:pPr>
        <w:pStyle w:val="Prrafodelista"/>
        <w:spacing w:line="276" w:lineRule="auto"/>
        <w:ind w:left="0"/>
        <w:contextualSpacing w:val="0"/>
        <w:jc w:val="both"/>
        <w:rPr>
          <w:rFonts w:ascii="Arial" w:hAnsi="Arial" w:cs="Arial"/>
          <w:kern w:val="1"/>
          <w:sz w:val="22"/>
          <w:szCs w:val="22"/>
          <w:lang w:eastAsia="ar-SA"/>
        </w:rPr>
      </w:pPr>
      <w:r w:rsidRPr="00716764">
        <w:rPr>
          <w:rFonts w:ascii="Arial" w:hAnsi="Arial" w:cs="Arial"/>
          <w:kern w:val="1"/>
          <w:sz w:val="22"/>
          <w:szCs w:val="22"/>
          <w:lang w:eastAsia="ar-SA"/>
        </w:rPr>
        <w:t xml:space="preserve">Adicionalmente, en el marco de las actividades que se realizan actualmente en el Comité Técnico en materia de Espectro Radioeléctrico (“CTER”) del Instituto, específicamente en el Grupo de Trabajo de Aspectos Generales del espectro radioeléctrico, la industria (proveedores de servicios y fabricantes de equipos) mostró interés respecto de la actualización del Anexo 1 del Acuerdo que clasifica la banda 57-64 GHz como espectro libre, con el objeto de adicionar un numeral en las condiciones técnicas de operación de la banda 57-64 GHz. La sugerencia recibida en el CTER por parte de la industria toma de referencia las actividades que se llevaron a cabo por la FCC en </w:t>
      </w:r>
      <w:r w:rsidRPr="00716764">
        <w:rPr>
          <w:rFonts w:ascii="Arial" w:hAnsi="Arial" w:cs="Arial"/>
          <w:kern w:val="1"/>
          <w:sz w:val="22"/>
          <w:szCs w:val="22"/>
          <w:lang w:eastAsia="ar-SA"/>
        </w:rPr>
        <w:lastRenderedPageBreak/>
        <w:t xml:space="preserve">EE.UU. (la exención DA 18-1308), la ISED en Canadá (el estándar de radio RSS-210), el Gobierno de Nueva Zelanda (Regulación 9- </w:t>
      </w:r>
      <w:proofErr w:type="spellStart"/>
      <w:r w:rsidRPr="00716764">
        <w:rPr>
          <w:rFonts w:ascii="Arial" w:hAnsi="Arial" w:cs="Arial"/>
          <w:kern w:val="1"/>
          <w:sz w:val="22"/>
          <w:szCs w:val="22"/>
          <w:lang w:eastAsia="ar-SA"/>
        </w:rPr>
        <w:t>SRDs</w:t>
      </w:r>
      <w:proofErr w:type="spellEnd"/>
      <w:r w:rsidRPr="00716764">
        <w:rPr>
          <w:rFonts w:ascii="Arial" w:hAnsi="Arial" w:cs="Arial"/>
          <w:kern w:val="1"/>
          <w:sz w:val="22"/>
          <w:szCs w:val="22"/>
          <w:lang w:eastAsia="ar-SA"/>
        </w:rPr>
        <w:t>) y el MIC en Japón.</w:t>
      </w:r>
    </w:p>
    <w:p w14:paraId="51FE1259" w14:textId="77777777" w:rsidR="002773C7" w:rsidRPr="00716764" w:rsidRDefault="002773C7" w:rsidP="002773C7">
      <w:pPr>
        <w:pStyle w:val="Prrafodelista"/>
        <w:spacing w:line="276" w:lineRule="auto"/>
        <w:contextualSpacing w:val="0"/>
        <w:jc w:val="both"/>
        <w:rPr>
          <w:rFonts w:ascii="Arial" w:hAnsi="Arial" w:cs="Arial"/>
          <w:kern w:val="1"/>
          <w:sz w:val="22"/>
          <w:szCs w:val="22"/>
          <w:lang w:eastAsia="ar-SA"/>
        </w:rPr>
      </w:pPr>
    </w:p>
    <w:p w14:paraId="1B12B24E" w14:textId="77777777" w:rsidR="002773C7" w:rsidRPr="00716764" w:rsidRDefault="002773C7" w:rsidP="002773C7">
      <w:pPr>
        <w:pStyle w:val="Prrafodelista"/>
        <w:spacing w:line="276" w:lineRule="auto"/>
        <w:ind w:left="0"/>
        <w:contextualSpacing w:val="0"/>
        <w:jc w:val="both"/>
        <w:rPr>
          <w:rFonts w:ascii="Arial" w:hAnsi="Arial" w:cs="Arial"/>
          <w:kern w:val="1"/>
          <w:sz w:val="22"/>
          <w:szCs w:val="22"/>
          <w:lang w:eastAsia="ar-SA"/>
        </w:rPr>
      </w:pPr>
      <w:r w:rsidRPr="00716764">
        <w:rPr>
          <w:rFonts w:ascii="Arial" w:hAnsi="Arial" w:cs="Arial"/>
          <w:kern w:val="1"/>
          <w:sz w:val="22"/>
          <w:szCs w:val="22"/>
          <w:lang w:eastAsia="ar-SA"/>
        </w:rPr>
        <w:t>Con base en lo anterior, el Instituto llevó a cabo un análisis acerca de las condiciones técnicas establecidas para la operación de sensores de movimiento en la banda 57-64 GHz, determinando procedente la adición de condiciones técnicas de operación como parte de un nuevo numeral 2.1.5 bis y la modificación del numeral 2.1.6 del Anexo 1 del Acuerdo que clasifica la banda 57-64 GHz, lo que permitirá el uso eficiente de dichos sensores, así como la adecuada</w:t>
      </w:r>
      <w:r w:rsidRPr="00716764" w:rsidDel="009058BB">
        <w:rPr>
          <w:rFonts w:ascii="Arial" w:hAnsi="Arial" w:cs="Arial"/>
          <w:kern w:val="1"/>
          <w:sz w:val="22"/>
          <w:szCs w:val="22"/>
          <w:lang w:eastAsia="ar-SA"/>
        </w:rPr>
        <w:t xml:space="preserve"> </w:t>
      </w:r>
      <w:r w:rsidRPr="00716764">
        <w:rPr>
          <w:rFonts w:ascii="Arial" w:hAnsi="Arial" w:cs="Arial"/>
          <w:kern w:val="1"/>
          <w:sz w:val="22"/>
          <w:szCs w:val="22"/>
          <w:lang w:eastAsia="ar-SA"/>
        </w:rPr>
        <w:t>operación de los dispositivos y equipos que hagan uso de la banda.</w:t>
      </w:r>
    </w:p>
    <w:p w14:paraId="374F293C" w14:textId="77777777" w:rsidR="002773C7" w:rsidRPr="00716764" w:rsidRDefault="002773C7" w:rsidP="002773C7">
      <w:pPr>
        <w:pStyle w:val="Prrafodelista"/>
        <w:spacing w:line="276" w:lineRule="auto"/>
        <w:ind w:left="0"/>
        <w:contextualSpacing w:val="0"/>
        <w:jc w:val="both"/>
        <w:rPr>
          <w:rFonts w:ascii="Arial" w:hAnsi="Arial" w:cs="Arial"/>
          <w:kern w:val="1"/>
          <w:sz w:val="22"/>
          <w:szCs w:val="22"/>
          <w:lang w:eastAsia="ar-SA"/>
        </w:rPr>
      </w:pPr>
    </w:p>
    <w:p w14:paraId="72EDC6E6" w14:textId="77777777" w:rsidR="002773C7" w:rsidRPr="00716764" w:rsidRDefault="002773C7" w:rsidP="002773C7">
      <w:pPr>
        <w:pStyle w:val="Prrafodelista"/>
        <w:spacing w:line="276" w:lineRule="auto"/>
        <w:ind w:left="0"/>
        <w:contextualSpacing w:val="0"/>
        <w:jc w:val="both"/>
        <w:rPr>
          <w:rFonts w:ascii="Arial" w:hAnsi="Arial" w:cs="Arial"/>
          <w:kern w:val="1"/>
          <w:sz w:val="22"/>
          <w:szCs w:val="22"/>
          <w:lang w:eastAsia="ar-SA"/>
        </w:rPr>
      </w:pPr>
      <w:r w:rsidRPr="00716764">
        <w:rPr>
          <w:rFonts w:ascii="Arial" w:hAnsi="Arial" w:cs="Arial"/>
          <w:kern w:val="1"/>
          <w:sz w:val="22"/>
          <w:szCs w:val="22"/>
          <w:lang w:eastAsia="ar-SA"/>
        </w:rPr>
        <w:t>Como se indicó en el considerando Tercero, los sensores de movimiento que podrían hacer uso de la banda 57-64 GHz como parte de equipos de radiocomunicación a ser utilizados sin necesidad de concesión u autorización, permitirá armonizar el uso de la banda, además de aprovechar los beneficios de las nuevas tecnologías, como los sensores de movimiento, y fomentar el desarrollo de dispositivos que utilicen estas tecnologías. A este respecto, es de precisar que también se analizaron las regulaciones que han dado pie a que los sensores de movimiento operen en la banda 57-64 GHz con base en estudios de no interferencia y coexistencia.</w:t>
      </w:r>
    </w:p>
    <w:p w14:paraId="26F4592C" w14:textId="77777777" w:rsidR="002773C7" w:rsidRPr="00716764" w:rsidRDefault="002773C7" w:rsidP="002773C7">
      <w:pPr>
        <w:pStyle w:val="Prrafodelista"/>
        <w:spacing w:line="276" w:lineRule="auto"/>
        <w:ind w:left="0"/>
        <w:contextualSpacing w:val="0"/>
        <w:jc w:val="both"/>
        <w:rPr>
          <w:rFonts w:ascii="Arial" w:hAnsi="Arial" w:cs="Arial"/>
          <w:kern w:val="1"/>
          <w:sz w:val="22"/>
          <w:szCs w:val="22"/>
          <w:lang w:eastAsia="ar-SA"/>
        </w:rPr>
      </w:pPr>
    </w:p>
    <w:p w14:paraId="070DAAF4" w14:textId="77777777" w:rsidR="002773C7" w:rsidRPr="00716764" w:rsidRDefault="002773C7" w:rsidP="002773C7">
      <w:pPr>
        <w:pStyle w:val="Prrafodelista"/>
        <w:spacing w:line="276" w:lineRule="auto"/>
        <w:ind w:left="0"/>
        <w:contextualSpacing w:val="0"/>
        <w:jc w:val="both"/>
        <w:rPr>
          <w:rFonts w:ascii="Arial" w:hAnsi="Arial" w:cs="Arial"/>
          <w:sz w:val="22"/>
          <w:szCs w:val="22"/>
        </w:rPr>
      </w:pPr>
      <w:r w:rsidRPr="00716764">
        <w:rPr>
          <w:rFonts w:ascii="Arial" w:hAnsi="Arial" w:cs="Arial"/>
          <w:kern w:val="1"/>
          <w:sz w:val="22"/>
          <w:szCs w:val="22"/>
          <w:lang w:eastAsia="ar-SA"/>
        </w:rPr>
        <w:t>En este sentido</w:t>
      </w:r>
      <w:r w:rsidRPr="00716764">
        <w:rPr>
          <w:rFonts w:ascii="Arial" w:hAnsi="Arial" w:cs="Arial"/>
          <w:sz w:val="22"/>
          <w:szCs w:val="22"/>
        </w:rPr>
        <w:t>, se propone actualizar el Anexo 1 del Acuerdo que clasifica la banda 57-64 GHz, en los términos siguientes:</w:t>
      </w:r>
    </w:p>
    <w:p w14:paraId="32640E6F" w14:textId="77777777" w:rsidR="002773C7" w:rsidRPr="00716764" w:rsidRDefault="002773C7" w:rsidP="002773C7">
      <w:pPr>
        <w:spacing w:line="276" w:lineRule="auto"/>
        <w:ind w:right="-94"/>
        <w:jc w:val="both"/>
        <w:rPr>
          <w:rFonts w:ascii="Arial" w:hAnsi="Arial" w:cs="Arial"/>
          <w:sz w:val="22"/>
          <w:szCs w:val="22"/>
        </w:rPr>
      </w:pPr>
    </w:p>
    <w:p w14:paraId="438A9037" w14:textId="77777777" w:rsidR="002773C7" w:rsidRPr="00716764" w:rsidRDefault="002773C7" w:rsidP="002773C7">
      <w:pPr>
        <w:pStyle w:val="Prrafodelista"/>
        <w:numPr>
          <w:ilvl w:val="0"/>
          <w:numId w:val="47"/>
        </w:numPr>
        <w:spacing w:line="276" w:lineRule="auto"/>
        <w:contextualSpacing w:val="0"/>
        <w:jc w:val="both"/>
        <w:rPr>
          <w:rFonts w:ascii="Arial" w:hAnsi="Arial" w:cs="Arial"/>
          <w:kern w:val="1"/>
          <w:sz w:val="22"/>
          <w:szCs w:val="22"/>
          <w:lang w:eastAsia="ar-SA"/>
        </w:rPr>
      </w:pPr>
      <w:r w:rsidRPr="00716764">
        <w:rPr>
          <w:rFonts w:ascii="Arial" w:hAnsi="Arial" w:cs="Arial"/>
          <w:kern w:val="1"/>
          <w:sz w:val="22"/>
          <w:szCs w:val="22"/>
          <w:lang w:eastAsia="ar-SA"/>
        </w:rPr>
        <w:t xml:space="preserve">Se </w:t>
      </w:r>
      <w:r w:rsidRPr="00716764">
        <w:rPr>
          <w:rFonts w:ascii="Arial" w:hAnsi="Arial" w:cs="Arial"/>
          <w:b/>
          <w:bCs/>
          <w:i/>
          <w:iCs/>
          <w:kern w:val="1"/>
          <w:sz w:val="22"/>
          <w:szCs w:val="22"/>
          <w:lang w:eastAsia="ar-SA"/>
        </w:rPr>
        <w:t>ADICIONA</w:t>
      </w:r>
      <w:r w:rsidRPr="00716764">
        <w:rPr>
          <w:rFonts w:ascii="Arial" w:hAnsi="Arial" w:cs="Arial"/>
          <w:i/>
          <w:iCs/>
          <w:kern w:val="1"/>
          <w:sz w:val="22"/>
          <w:szCs w:val="22"/>
          <w:lang w:eastAsia="ar-SA"/>
        </w:rPr>
        <w:t xml:space="preserve"> </w:t>
      </w:r>
      <w:r w:rsidRPr="00716764">
        <w:rPr>
          <w:rFonts w:ascii="Arial" w:hAnsi="Arial" w:cs="Arial"/>
          <w:kern w:val="1"/>
          <w:sz w:val="22"/>
          <w:szCs w:val="22"/>
          <w:lang w:eastAsia="ar-SA"/>
        </w:rPr>
        <w:t xml:space="preserve">el título del </w:t>
      </w:r>
      <w:r w:rsidRPr="00716764">
        <w:rPr>
          <w:rFonts w:ascii="Arial" w:hAnsi="Arial" w:cs="Arial"/>
          <w:b/>
          <w:bCs/>
          <w:kern w:val="1"/>
          <w:sz w:val="22"/>
          <w:szCs w:val="22"/>
          <w:lang w:eastAsia="ar-SA"/>
        </w:rPr>
        <w:t>Anexo 1</w:t>
      </w:r>
      <w:r w:rsidRPr="00716764">
        <w:rPr>
          <w:rFonts w:ascii="Arial" w:hAnsi="Arial" w:cs="Arial"/>
          <w:kern w:val="1"/>
          <w:sz w:val="22"/>
          <w:szCs w:val="22"/>
          <w:lang w:eastAsia="ar-SA"/>
        </w:rPr>
        <w:t>.</w:t>
      </w:r>
    </w:p>
    <w:p w14:paraId="35CB6A4B" w14:textId="77777777" w:rsidR="002773C7" w:rsidRPr="00716764" w:rsidRDefault="002773C7" w:rsidP="002773C7">
      <w:pPr>
        <w:pStyle w:val="Prrafodelista"/>
        <w:numPr>
          <w:ilvl w:val="0"/>
          <w:numId w:val="47"/>
        </w:numPr>
        <w:spacing w:line="276" w:lineRule="auto"/>
        <w:contextualSpacing w:val="0"/>
        <w:jc w:val="both"/>
        <w:rPr>
          <w:rFonts w:ascii="Arial" w:hAnsi="Arial" w:cs="Arial"/>
          <w:kern w:val="1"/>
          <w:sz w:val="22"/>
          <w:szCs w:val="22"/>
          <w:lang w:eastAsia="ar-SA"/>
        </w:rPr>
      </w:pPr>
      <w:r w:rsidRPr="00716764">
        <w:rPr>
          <w:rFonts w:ascii="Arial" w:hAnsi="Arial" w:cs="Arial"/>
          <w:kern w:val="1"/>
          <w:sz w:val="22"/>
          <w:szCs w:val="22"/>
          <w:lang w:eastAsia="ar-SA"/>
        </w:rPr>
        <w:t xml:space="preserve">Se </w:t>
      </w:r>
      <w:r w:rsidRPr="00716764">
        <w:rPr>
          <w:rFonts w:ascii="Arial" w:hAnsi="Arial" w:cs="Arial"/>
          <w:b/>
          <w:bCs/>
          <w:kern w:val="1"/>
          <w:sz w:val="22"/>
          <w:szCs w:val="22"/>
          <w:lang w:eastAsia="ar-SA"/>
        </w:rPr>
        <w:t>ADICIONAN</w:t>
      </w:r>
      <w:r w:rsidRPr="00716764">
        <w:rPr>
          <w:rFonts w:ascii="Arial" w:hAnsi="Arial" w:cs="Arial"/>
          <w:kern w:val="1"/>
          <w:sz w:val="22"/>
          <w:szCs w:val="22"/>
          <w:lang w:eastAsia="ar-SA"/>
        </w:rPr>
        <w:t xml:space="preserve"> los numerales </w:t>
      </w:r>
      <w:r w:rsidRPr="00716764">
        <w:rPr>
          <w:rFonts w:ascii="Arial" w:hAnsi="Arial" w:cs="Arial"/>
          <w:b/>
          <w:bCs/>
          <w:i/>
          <w:iCs/>
          <w:kern w:val="1"/>
          <w:sz w:val="22"/>
          <w:szCs w:val="22"/>
          <w:lang w:eastAsia="ar-SA"/>
        </w:rPr>
        <w:t>1.1.3 bis</w:t>
      </w:r>
      <w:r w:rsidRPr="00716764">
        <w:rPr>
          <w:rFonts w:ascii="Arial" w:hAnsi="Arial" w:cs="Arial"/>
          <w:kern w:val="1"/>
          <w:sz w:val="22"/>
          <w:szCs w:val="22"/>
          <w:lang w:eastAsia="ar-SA"/>
        </w:rPr>
        <w:t xml:space="preserve">, </w:t>
      </w:r>
      <w:r w:rsidRPr="00716764">
        <w:rPr>
          <w:rFonts w:ascii="Arial" w:hAnsi="Arial" w:cs="Arial"/>
          <w:b/>
          <w:bCs/>
          <w:i/>
          <w:iCs/>
          <w:kern w:val="1"/>
          <w:sz w:val="22"/>
          <w:szCs w:val="22"/>
          <w:lang w:eastAsia="ar-SA"/>
        </w:rPr>
        <w:t>1.1.6 bis</w:t>
      </w:r>
      <w:r w:rsidRPr="00716764">
        <w:rPr>
          <w:rFonts w:ascii="Arial" w:hAnsi="Arial" w:cs="Arial"/>
          <w:kern w:val="1"/>
          <w:sz w:val="22"/>
          <w:szCs w:val="22"/>
          <w:lang w:eastAsia="ar-SA"/>
        </w:rPr>
        <w:t xml:space="preserve"> y </w:t>
      </w:r>
      <w:r w:rsidRPr="00716764">
        <w:rPr>
          <w:rFonts w:ascii="Arial" w:hAnsi="Arial" w:cs="Arial"/>
          <w:b/>
          <w:bCs/>
          <w:i/>
          <w:iCs/>
          <w:kern w:val="1"/>
          <w:sz w:val="22"/>
          <w:szCs w:val="22"/>
          <w:lang w:eastAsia="ar-SA"/>
        </w:rPr>
        <w:t>1.1.11 bis</w:t>
      </w:r>
      <w:r w:rsidRPr="00716764">
        <w:rPr>
          <w:rFonts w:ascii="Arial" w:hAnsi="Arial" w:cs="Arial"/>
          <w:bCs/>
          <w:iCs/>
          <w:kern w:val="1"/>
          <w:sz w:val="22"/>
          <w:szCs w:val="22"/>
          <w:lang w:eastAsia="ar-SA"/>
        </w:rPr>
        <w:t>, los cuales corresponden a las</w:t>
      </w:r>
      <w:r w:rsidRPr="00716764">
        <w:rPr>
          <w:rFonts w:ascii="Arial" w:hAnsi="Arial" w:cs="Arial"/>
          <w:kern w:val="1"/>
          <w:sz w:val="22"/>
          <w:szCs w:val="22"/>
          <w:lang w:eastAsia="ar-SA"/>
        </w:rPr>
        <w:t xml:space="preserve"> definiciones de </w:t>
      </w:r>
      <w:r w:rsidRPr="00716764">
        <w:rPr>
          <w:rFonts w:ascii="Arial" w:hAnsi="Arial" w:cs="Arial"/>
          <w:b/>
          <w:bCs/>
          <w:kern w:val="1"/>
          <w:sz w:val="22"/>
          <w:szCs w:val="22"/>
          <w:lang w:eastAsia="ar-SA"/>
        </w:rPr>
        <w:t>Densidad espectral de potencia</w:t>
      </w:r>
      <w:r w:rsidRPr="00716764">
        <w:rPr>
          <w:rFonts w:ascii="Arial" w:hAnsi="Arial" w:cs="Arial"/>
          <w:kern w:val="1"/>
          <w:sz w:val="22"/>
          <w:szCs w:val="22"/>
          <w:lang w:eastAsia="ar-SA"/>
        </w:rPr>
        <w:t xml:space="preserve">, </w:t>
      </w:r>
      <w:r w:rsidRPr="00716764">
        <w:rPr>
          <w:rFonts w:ascii="Arial" w:hAnsi="Arial" w:cs="Arial"/>
          <w:b/>
          <w:bCs/>
          <w:kern w:val="1"/>
          <w:sz w:val="22"/>
          <w:szCs w:val="22"/>
          <w:lang w:eastAsia="ar-SA"/>
        </w:rPr>
        <w:t>Ganancia de la antena</w:t>
      </w:r>
      <w:r w:rsidRPr="00716764">
        <w:rPr>
          <w:rFonts w:ascii="Arial" w:hAnsi="Arial" w:cs="Arial"/>
          <w:kern w:val="1"/>
          <w:sz w:val="22"/>
          <w:szCs w:val="22"/>
          <w:lang w:eastAsia="ar-SA"/>
        </w:rPr>
        <w:t xml:space="preserve"> y </w:t>
      </w:r>
      <w:r w:rsidRPr="00716764">
        <w:rPr>
          <w:rFonts w:ascii="Arial" w:hAnsi="Arial" w:cs="Arial"/>
          <w:b/>
          <w:bCs/>
          <w:kern w:val="1"/>
          <w:sz w:val="22"/>
          <w:szCs w:val="22"/>
          <w:lang w:eastAsia="ar-SA"/>
        </w:rPr>
        <w:t>Sensor de movimiento</w:t>
      </w:r>
      <w:r w:rsidRPr="00716764">
        <w:rPr>
          <w:rFonts w:ascii="Arial" w:hAnsi="Arial" w:cs="Arial"/>
          <w:kern w:val="1"/>
          <w:sz w:val="22"/>
          <w:szCs w:val="22"/>
          <w:lang w:eastAsia="ar-SA"/>
        </w:rPr>
        <w:t>, respectivamente.</w:t>
      </w:r>
    </w:p>
    <w:p w14:paraId="57B990B1" w14:textId="77777777" w:rsidR="002773C7" w:rsidRPr="00716764" w:rsidRDefault="002773C7" w:rsidP="002773C7">
      <w:pPr>
        <w:pStyle w:val="Prrafodelista"/>
        <w:numPr>
          <w:ilvl w:val="0"/>
          <w:numId w:val="47"/>
        </w:numPr>
        <w:spacing w:line="276" w:lineRule="auto"/>
        <w:contextualSpacing w:val="0"/>
        <w:jc w:val="both"/>
        <w:rPr>
          <w:rFonts w:ascii="Arial" w:hAnsi="Arial" w:cs="Arial"/>
          <w:kern w:val="1"/>
          <w:sz w:val="22"/>
          <w:szCs w:val="22"/>
          <w:lang w:eastAsia="ar-SA"/>
        </w:rPr>
      </w:pPr>
      <w:r w:rsidRPr="00716764">
        <w:rPr>
          <w:rFonts w:ascii="Arial" w:hAnsi="Arial" w:cs="Arial"/>
          <w:kern w:val="1"/>
          <w:sz w:val="22"/>
          <w:szCs w:val="22"/>
          <w:lang w:eastAsia="ar-SA"/>
        </w:rPr>
        <w:t xml:space="preserve">Se </w:t>
      </w:r>
      <w:r w:rsidRPr="00716764">
        <w:rPr>
          <w:rFonts w:ascii="Arial" w:hAnsi="Arial" w:cs="Arial"/>
          <w:b/>
          <w:bCs/>
          <w:i/>
          <w:iCs/>
          <w:kern w:val="1"/>
          <w:sz w:val="22"/>
          <w:szCs w:val="22"/>
          <w:lang w:eastAsia="ar-SA"/>
        </w:rPr>
        <w:t>MODIFICAN</w:t>
      </w:r>
      <w:r w:rsidRPr="00716764">
        <w:rPr>
          <w:rFonts w:ascii="Arial" w:hAnsi="Arial" w:cs="Arial"/>
          <w:i/>
          <w:iCs/>
          <w:kern w:val="1"/>
          <w:sz w:val="22"/>
          <w:szCs w:val="22"/>
          <w:lang w:eastAsia="ar-SA"/>
        </w:rPr>
        <w:t xml:space="preserve"> los numerales </w:t>
      </w:r>
      <w:r w:rsidRPr="00716764">
        <w:rPr>
          <w:rFonts w:ascii="Arial" w:hAnsi="Arial" w:cs="Arial"/>
          <w:b/>
          <w:i/>
          <w:iCs/>
          <w:kern w:val="1"/>
          <w:sz w:val="22"/>
          <w:szCs w:val="22"/>
          <w:lang w:eastAsia="ar-SA"/>
        </w:rPr>
        <w:t>1.1.4</w:t>
      </w:r>
      <w:r w:rsidRPr="00716764">
        <w:rPr>
          <w:rFonts w:ascii="Arial" w:hAnsi="Arial" w:cs="Arial"/>
          <w:i/>
          <w:iCs/>
          <w:kern w:val="1"/>
          <w:sz w:val="22"/>
          <w:szCs w:val="22"/>
          <w:lang w:eastAsia="ar-SA"/>
        </w:rPr>
        <w:t xml:space="preserve"> y </w:t>
      </w:r>
      <w:r w:rsidRPr="00716764">
        <w:rPr>
          <w:rFonts w:ascii="Arial" w:hAnsi="Arial" w:cs="Arial"/>
          <w:b/>
          <w:i/>
          <w:iCs/>
          <w:kern w:val="1"/>
          <w:sz w:val="22"/>
          <w:szCs w:val="22"/>
          <w:lang w:eastAsia="ar-SA"/>
        </w:rPr>
        <w:t>1.1.10</w:t>
      </w:r>
      <w:r w:rsidRPr="00716764">
        <w:rPr>
          <w:rFonts w:ascii="Arial" w:hAnsi="Arial" w:cs="Arial"/>
          <w:bCs/>
          <w:iCs/>
          <w:kern w:val="1"/>
          <w:sz w:val="22"/>
          <w:szCs w:val="22"/>
          <w:lang w:eastAsia="ar-SA"/>
        </w:rPr>
        <w:t>, los cuales corresponden a las</w:t>
      </w:r>
      <w:r w:rsidRPr="00716764">
        <w:rPr>
          <w:rFonts w:ascii="Arial" w:hAnsi="Arial" w:cs="Arial"/>
          <w:i/>
          <w:iCs/>
          <w:kern w:val="1"/>
          <w:sz w:val="22"/>
          <w:szCs w:val="22"/>
          <w:lang w:eastAsia="ar-SA"/>
        </w:rPr>
        <w:t xml:space="preserve"> </w:t>
      </w:r>
      <w:r w:rsidRPr="00716764">
        <w:rPr>
          <w:rFonts w:ascii="Arial" w:hAnsi="Arial" w:cs="Arial"/>
          <w:kern w:val="1"/>
          <w:sz w:val="22"/>
          <w:szCs w:val="22"/>
          <w:lang w:eastAsia="ar-SA"/>
        </w:rPr>
        <w:t xml:space="preserve">definiciones de </w:t>
      </w:r>
      <w:r w:rsidRPr="00716764">
        <w:rPr>
          <w:rFonts w:ascii="Arial" w:hAnsi="Arial" w:cs="Arial"/>
          <w:b/>
          <w:bCs/>
          <w:i/>
          <w:iCs/>
          <w:kern w:val="1"/>
          <w:sz w:val="22"/>
          <w:szCs w:val="22"/>
          <w:lang w:eastAsia="ar-SA"/>
        </w:rPr>
        <w:t xml:space="preserve">Dispositivos de radiocomunicaciones de corto alcance (DRCA) </w:t>
      </w:r>
      <w:r w:rsidRPr="00716764">
        <w:rPr>
          <w:rFonts w:ascii="Arial" w:hAnsi="Arial" w:cs="Arial"/>
          <w:i/>
          <w:iCs/>
          <w:kern w:val="1"/>
          <w:sz w:val="22"/>
          <w:szCs w:val="22"/>
          <w:lang w:eastAsia="ar-SA"/>
        </w:rPr>
        <w:t>y</w:t>
      </w:r>
      <w:r w:rsidRPr="00716764">
        <w:rPr>
          <w:rFonts w:ascii="Arial" w:hAnsi="Arial" w:cs="Arial"/>
          <w:b/>
          <w:bCs/>
          <w:i/>
          <w:iCs/>
          <w:kern w:val="1"/>
          <w:sz w:val="22"/>
          <w:szCs w:val="22"/>
          <w:lang w:eastAsia="ar-SA"/>
        </w:rPr>
        <w:t xml:space="preserve"> Potencia pico de salida</w:t>
      </w:r>
      <w:r w:rsidRPr="00716764">
        <w:rPr>
          <w:rFonts w:ascii="Arial" w:hAnsi="Arial" w:cs="Arial"/>
          <w:bCs/>
          <w:iCs/>
          <w:kern w:val="1"/>
          <w:sz w:val="22"/>
          <w:szCs w:val="22"/>
          <w:lang w:eastAsia="ar-SA"/>
        </w:rPr>
        <w:t>, respectivamente</w:t>
      </w:r>
      <w:r w:rsidRPr="00716764">
        <w:rPr>
          <w:rFonts w:ascii="Arial" w:hAnsi="Arial" w:cs="Arial"/>
          <w:kern w:val="1"/>
          <w:sz w:val="22"/>
          <w:szCs w:val="22"/>
          <w:lang w:eastAsia="ar-SA"/>
        </w:rPr>
        <w:t>.</w:t>
      </w:r>
    </w:p>
    <w:p w14:paraId="04F0C127" w14:textId="77777777" w:rsidR="002773C7" w:rsidRPr="00716764" w:rsidRDefault="002773C7" w:rsidP="002773C7">
      <w:pPr>
        <w:pStyle w:val="Prrafodelista"/>
        <w:numPr>
          <w:ilvl w:val="0"/>
          <w:numId w:val="47"/>
        </w:numPr>
        <w:spacing w:line="276" w:lineRule="auto"/>
        <w:contextualSpacing w:val="0"/>
        <w:jc w:val="both"/>
        <w:rPr>
          <w:rFonts w:ascii="Arial" w:hAnsi="Arial" w:cs="Arial"/>
          <w:kern w:val="1"/>
          <w:sz w:val="22"/>
          <w:szCs w:val="22"/>
          <w:lang w:eastAsia="ar-SA"/>
        </w:rPr>
      </w:pPr>
      <w:r w:rsidRPr="00716764">
        <w:rPr>
          <w:rFonts w:ascii="Arial" w:hAnsi="Arial" w:cs="Arial"/>
          <w:kern w:val="1"/>
          <w:sz w:val="22"/>
          <w:szCs w:val="22"/>
          <w:lang w:eastAsia="ar-SA"/>
        </w:rPr>
        <w:t xml:space="preserve">Se </w:t>
      </w:r>
      <w:r w:rsidRPr="00716764">
        <w:rPr>
          <w:rFonts w:ascii="Arial" w:hAnsi="Arial" w:cs="Arial"/>
          <w:b/>
          <w:bCs/>
          <w:i/>
          <w:iCs/>
          <w:kern w:val="1"/>
          <w:sz w:val="22"/>
          <w:szCs w:val="22"/>
          <w:lang w:eastAsia="ar-SA"/>
        </w:rPr>
        <w:t>MODIFICA</w:t>
      </w:r>
      <w:r w:rsidRPr="00716764">
        <w:rPr>
          <w:rFonts w:ascii="Arial" w:hAnsi="Arial" w:cs="Arial"/>
          <w:i/>
          <w:iCs/>
          <w:kern w:val="1"/>
          <w:sz w:val="22"/>
          <w:szCs w:val="22"/>
          <w:lang w:eastAsia="ar-SA"/>
        </w:rPr>
        <w:t xml:space="preserve"> el título del </w:t>
      </w:r>
      <w:r w:rsidRPr="00716764">
        <w:rPr>
          <w:rFonts w:ascii="Arial" w:hAnsi="Arial" w:cs="Arial"/>
          <w:b/>
          <w:i/>
          <w:iCs/>
          <w:kern w:val="1"/>
          <w:sz w:val="22"/>
          <w:szCs w:val="22"/>
          <w:lang w:eastAsia="ar-SA"/>
        </w:rPr>
        <w:t>numeral 2</w:t>
      </w:r>
      <w:r w:rsidRPr="00716764">
        <w:rPr>
          <w:rFonts w:ascii="Arial" w:hAnsi="Arial" w:cs="Arial"/>
          <w:b/>
          <w:bCs/>
          <w:i/>
          <w:iCs/>
          <w:kern w:val="1"/>
          <w:sz w:val="22"/>
          <w:szCs w:val="22"/>
          <w:lang w:eastAsia="ar-SA"/>
        </w:rPr>
        <w:t>.</w:t>
      </w:r>
    </w:p>
    <w:p w14:paraId="232EA965" w14:textId="77777777" w:rsidR="002773C7" w:rsidRPr="00716764" w:rsidRDefault="002773C7" w:rsidP="002773C7">
      <w:pPr>
        <w:pStyle w:val="Prrafodelista"/>
        <w:numPr>
          <w:ilvl w:val="0"/>
          <w:numId w:val="47"/>
        </w:numPr>
        <w:spacing w:line="276" w:lineRule="auto"/>
        <w:contextualSpacing w:val="0"/>
        <w:jc w:val="both"/>
        <w:rPr>
          <w:rFonts w:ascii="Arial" w:hAnsi="Arial" w:cs="Arial"/>
          <w:kern w:val="1"/>
          <w:sz w:val="22"/>
          <w:szCs w:val="22"/>
          <w:lang w:eastAsia="ar-SA"/>
        </w:rPr>
      </w:pPr>
      <w:r w:rsidRPr="00716764">
        <w:rPr>
          <w:rFonts w:ascii="Arial" w:hAnsi="Arial" w:cs="Arial"/>
          <w:kern w:val="1"/>
          <w:sz w:val="22"/>
          <w:szCs w:val="22"/>
          <w:lang w:eastAsia="ar-SA"/>
        </w:rPr>
        <w:t xml:space="preserve">Se </w:t>
      </w:r>
      <w:r w:rsidRPr="00716764">
        <w:rPr>
          <w:rFonts w:ascii="Arial" w:hAnsi="Arial" w:cs="Arial"/>
          <w:b/>
          <w:bCs/>
          <w:i/>
          <w:iCs/>
          <w:kern w:val="1"/>
          <w:sz w:val="22"/>
          <w:szCs w:val="22"/>
          <w:lang w:eastAsia="ar-SA"/>
        </w:rPr>
        <w:t>ADICIONA</w:t>
      </w:r>
      <w:r w:rsidRPr="00716764">
        <w:rPr>
          <w:rFonts w:ascii="Arial" w:hAnsi="Arial" w:cs="Arial"/>
          <w:i/>
          <w:iCs/>
          <w:kern w:val="1"/>
          <w:sz w:val="22"/>
          <w:szCs w:val="22"/>
          <w:lang w:eastAsia="ar-SA"/>
        </w:rPr>
        <w:t xml:space="preserve"> </w:t>
      </w:r>
      <w:r w:rsidRPr="00716764">
        <w:rPr>
          <w:rFonts w:ascii="Arial" w:hAnsi="Arial" w:cs="Arial"/>
          <w:kern w:val="1"/>
          <w:sz w:val="22"/>
          <w:szCs w:val="22"/>
          <w:lang w:eastAsia="ar-SA"/>
        </w:rPr>
        <w:t xml:space="preserve">el numeral </w:t>
      </w:r>
      <w:r w:rsidRPr="00716764">
        <w:rPr>
          <w:rFonts w:ascii="Arial" w:hAnsi="Arial" w:cs="Arial"/>
          <w:b/>
          <w:bCs/>
          <w:i/>
          <w:iCs/>
          <w:kern w:val="1"/>
          <w:sz w:val="22"/>
          <w:szCs w:val="22"/>
          <w:lang w:eastAsia="ar-SA"/>
        </w:rPr>
        <w:t>2.1.5 bis</w:t>
      </w:r>
      <w:r w:rsidRPr="00716764">
        <w:rPr>
          <w:rFonts w:ascii="Arial" w:hAnsi="Arial" w:cs="Arial"/>
          <w:bCs/>
          <w:iCs/>
          <w:kern w:val="1"/>
          <w:sz w:val="22"/>
          <w:szCs w:val="22"/>
          <w:lang w:eastAsia="ar-SA"/>
        </w:rPr>
        <w:t>,</w:t>
      </w:r>
      <w:r w:rsidRPr="00716764">
        <w:rPr>
          <w:rFonts w:ascii="Arial" w:hAnsi="Arial" w:cs="Arial"/>
          <w:bCs/>
          <w:kern w:val="1"/>
          <w:sz w:val="22"/>
          <w:szCs w:val="22"/>
          <w:lang w:eastAsia="ar-SA"/>
        </w:rPr>
        <w:t xml:space="preserve"> para indicar las condiciones técnicas de operación de </w:t>
      </w:r>
      <w:r w:rsidRPr="00716764">
        <w:rPr>
          <w:rFonts w:ascii="Arial" w:hAnsi="Arial" w:cs="Arial"/>
          <w:b/>
          <w:bCs/>
          <w:kern w:val="1"/>
          <w:sz w:val="22"/>
          <w:szCs w:val="22"/>
          <w:lang w:eastAsia="ar-SA"/>
        </w:rPr>
        <w:t>l</w:t>
      </w:r>
      <w:r w:rsidRPr="00716764">
        <w:rPr>
          <w:rFonts w:ascii="Arial" w:hAnsi="Arial" w:cs="Arial"/>
          <w:b/>
          <w:iCs/>
          <w:sz w:val="22"/>
          <w:szCs w:val="22"/>
        </w:rPr>
        <w:t>os sensores de movimiento</w:t>
      </w:r>
      <w:r w:rsidRPr="00716764">
        <w:rPr>
          <w:rFonts w:ascii="Arial" w:hAnsi="Arial" w:cs="Arial"/>
          <w:iCs/>
          <w:sz w:val="22"/>
          <w:szCs w:val="22"/>
        </w:rPr>
        <w:t xml:space="preserve"> con ciclo de trabajo.</w:t>
      </w:r>
    </w:p>
    <w:p w14:paraId="50255252" w14:textId="77777777" w:rsidR="002773C7" w:rsidRPr="00716764" w:rsidRDefault="002773C7" w:rsidP="002773C7">
      <w:pPr>
        <w:pStyle w:val="Prrafodelista"/>
        <w:numPr>
          <w:ilvl w:val="0"/>
          <w:numId w:val="47"/>
        </w:numPr>
        <w:spacing w:line="276" w:lineRule="auto"/>
        <w:contextualSpacing w:val="0"/>
        <w:jc w:val="both"/>
        <w:rPr>
          <w:rFonts w:ascii="Arial" w:hAnsi="Arial" w:cs="Arial"/>
          <w:kern w:val="1"/>
          <w:sz w:val="22"/>
          <w:szCs w:val="22"/>
          <w:lang w:eastAsia="ar-SA"/>
        </w:rPr>
      </w:pPr>
      <w:r w:rsidRPr="00716764">
        <w:rPr>
          <w:rFonts w:ascii="Arial" w:hAnsi="Arial" w:cs="Arial"/>
          <w:kern w:val="1"/>
          <w:sz w:val="22"/>
          <w:szCs w:val="22"/>
          <w:lang w:eastAsia="ar-SA"/>
        </w:rPr>
        <w:t xml:space="preserve">Se </w:t>
      </w:r>
      <w:r w:rsidRPr="00716764">
        <w:rPr>
          <w:rFonts w:ascii="Arial" w:hAnsi="Arial" w:cs="Arial"/>
          <w:b/>
          <w:bCs/>
          <w:i/>
          <w:iCs/>
          <w:kern w:val="1"/>
          <w:sz w:val="22"/>
          <w:szCs w:val="22"/>
          <w:lang w:eastAsia="ar-SA"/>
        </w:rPr>
        <w:t>MODIFICA</w:t>
      </w:r>
      <w:r w:rsidRPr="00716764">
        <w:rPr>
          <w:rFonts w:ascii="Arial" w:hAnsi="Arial" w:cs="Arial"/>
          <w:i/>
          <w:iCs/>
          <w:kern w:val="1"/>
          <w:sz w:val="22"/>
          <w:szCs w:val="22"/>
          <w:lang w:eastAsia="ar-SA"/>
        </w:rPr>
        <w:t xml:space="preserve"> </w:t>
      </w:r>
      <w:r w:rsidRPr="00716764">
        <w:rPr>
          <w:rFonts w:ascii="Arial" w:hAnsi="Arial" w:cs="Arial"/>
          <w:kern w:val="1"/>
          <w:sz w:val="22"/>
          <w:szCs w:val="22"/>
          <w:lang w:eastAsia="ar-SA"/>
        </w:rPr>
        <w:t xml:space="preserve">el numeral </w:t>
      </w:r>
      <w:r w:rsidRPr="00716764">
        <w:rPr>
          <w:rFonts w:ascii="Arial" w:hAnsi="Arial" w:cs="Arial"/>
          <w:b/>
          <w:bCs/>
          <w:i/>
          <w:iCs/>
          <w:kern w:val="1"/>
          <w:sz w:val="22"/>
          <w:szCs w:val="22"/>
          <w:lang w:eastAsia="ar-SA"/>
        </w:rPr>
        <w:t>2.1.6</w:t>
      </w:r>
      <w:r w:rsidRPr="00716764">
        <w:rPr>
          <w:rFonts w:ascii="Arial" w:hAnsi="Arial" w:cs="Arial"/>
          <w:bCs/>
          <w:iCs/>
          <w:kern w:val="1"/>
          <w:sz w:val="22"/>
          <w:szCs w:val="22"/>
          <w:lang w:eastAsia="ar-SA"/>
        </w:rPr>
        <w:t>,</w:t>
      </w:r>
      <w:r w:rsidRPr="00716764">
        <w:rPr>
          <w:rFonts w:ascii="Arial" w:hAnsi="Arial" w:cs="Arial"/>
          <w:bCs/>
          <w:kern w:val="1"/>
          <w:sz w:val="22"/>
          <w:szCs w:val="22"/>
          <w:lang w:eastAsia="ar-SA"/>
        </w:rPr>
        <w:t xml:space="preserve"> para indicar las condiciones técnicas de operación de </w:t>
      </w:r>
      <w:r w:rsidRPr="00716764">
        <w:rPr>
          <w:rFonts w:ascii="Arial" w:hAnsi="Arial" w:cs="Arial"/>
          <w:b/>
          <w:bCs/>
          <w:kern w:val="1"/>
          <w:sz w:val="22"/>
          <w:szCs w:val="22"/>
          <w:lang w:eastAsia="ar-SA"/>
        </w:rPr>
        <w:t>l</w:t>
      </w:r>
      <w:r w:rsidRPr="00716764">
        <w:rPr>
          <w:rFonts w:ascii="Arial" w:hAnsi="Arial" w:cs="Arial"/>
          <w:b/>
          <w:iCs/>
          <w:kern w:val="1"/>
          <w:sz w:val="22"/>
          <w:szCs w:val="22"/>
          <w:lang w:eastAsia="ar-SA"/>
        </w:rPr>
        <w:t>os sensores de perturbación</w:t>
      </w:r>
      <w:r w:rsidRPr="00716764">
        <w:rPr>
          <w:rFonts w:ascii="Arial" w:hAnsi="Arial" w:cs="Arial"/>
          <w:b/>
          <w:bCs/>
          <w:iCs/>
          <w:kern w:val="1"/>
          <w:sz w:val="22"/>
          <w:szCs w:val="22"/>
          <w:lang w:eastAsia="ar-SA"/>
        </w:rPr>
        <w:t xml:space="preserve"> de campo fijo</w:t>
      </w:r>
      <w:r w:rsidRPr="00716764">
        <w:rPr>
          <w:rFonts w:ascii="Arial" w:hAnsi="Arial" w:cs="Arial"/>
          <w:bCs/>
          <w:iCs/>
          <w:kern w:val="1"/>
          <w:sz w:val="22"/>
          <w:szCs w:val="22"/>
          <w:lang w:eastAsia="ar-SA"/>
        </w:rPr>
        <w:t xml:space="preserve"> diferentes en los indicados en los incisos 2.1.4 y 2.1.5, así como a los sensores de movimiento indicados en el 2.1.5 bis</w:t>
      </w:r>
      <w:r w:rsidRPr="00716764">
        <w:rPr>
          <w:rFonts w:ascii="Arial" w:hAnsi="Arial" w:cs="Arial"/>
          <w:b/>
          <w:bCs/>
          <w:i/>
          <w:iCs/>
          <w:kern w:val="1"/>
          <w:sz w:val="22"/>
          <w:szCs w:val="22"/>
          <w:lang w:eastAsia="ar-SA"/>
        </w:rPr>
        <w:t>.</w:t>
      </w:r>
    </w:p>
    <w:p w14:paraId="42D3EA55" w14:textId="77777777" w:rsidR="002773C7" w:rsidRPr="00716764" w:rsidRDefault="002773C7" w:rsidP="002773C7">
      <w:pPr>
        <w:spacing w:line="276" w:lineRule="auto"/>
        <w:jc w:val="both"/>
        <w:rPr>
          <w:rFonts w:ascii="Arial" w:eastAsia="Times New Roman" w:hAnsi="Arial" w:cs="Arial"/>
          <w:kern w:val="1"/>
          <w:sz w:val="22"/>
          <w:szCs w:val="22"/>
          <w:lang w:eastAsia="ar-SA"/>
        </w:rPr>
      </w:pPr>
    </w:p>
    <w:p w14:paraId="56D190D9" w14:textId="77777777" w:rsidR="002773C7" w:rsidRPr="00716764" w:rsidRDefault="002773C7" w:rsidP="002773C7">
      <w:pPr>
        <w:spacing w:line="276" w:lineRule="auto"/>
        <w:jc w:val="both"/>
        <w:rPr>
          <w:rFonts w:ascii="Arial" w:eastAsia="Times New Roman" w:hAnsi="Arial" w:cs="Arial"/>
          <w:kern w:val="1"/>
          <w:sz w:val="22"/>
          <w:szCs w:val="22"/>
          <w:lang w:eastAsia="ar-SA"/>
        </w:rPr>
      </w:pPr>
      <w:r w:rsidRPr="00716764">
        <w:rPr>
          <w:rFonts w:ascii="Arial" w:eastAsia="Times New Roman" w:hAnsi="Arial" w:cs="Arial"/>
          <w:kern w:val="1"/>
          <w:sz w:val="22"/>
          <w:szCs w:val="22"/>
          <w:lang w:eastAsia="ar-SA"/>
        </w:rPr>
        <w:t>Cabe señalar que, l</w:t>
      </w:r>
      <w:r w:rsidRPr="00716764">
        <w:rPr>
          <w:rFonts w:ascii="Arial" w:hAnsi="Arial" w:cs="Arial"/>
          <w:sz w:val="22"/>
          <w:szCs w:val="22"/>
          <w:shd w:val="clear" w:color="auto" w:fill="FFFFFF"/>
        </w:rPr>
        <w:t xml:space="preserve">os sistemas, dispositivos o productos que han venido utilizando </w:t>
      </w:r>
      <w:r w:rsidRPr="00716764">
        <w:rPr>
          <w:rFonts w:ascii="Arial" w:eastAsia="Times New Roman" w:hAnsi="Arial" w:cs="Arial"/>
          <w:kern w:val="1"/>
          <w:sz w:val="22"/>
          <w:szCs w:val="22"/>
          <w:lang w:eastAsia="ar-SA"/>
        </w:rPr>
        <w:t xml:space="preserve">la banda de frecuencias 57-64 GHz conforme a las condiciones técnicas de operación señaladas en el Anexo 1 del Acuerdo que clasifica la banda 57-64 GHz podrán continuar haciendo uso de esta bajo las condiciones previamente establecidas </w:t>
      </w:r>
      <w:r w:rsidRPr="00716764" w:rsidDel="00051985">
        <w:rPr>
          <w:rFonts w:ascii="Arial" w:eastAsia="Times New Roman" w:hAnsi="Arial" w:cs="Arial"/>
          <w:kern w:val="1"/>
          <w:sz w:val="22"/>
          <w:szCs w:val="22"/>
          <w:lang w:eastAsia="ar-SA"/>
        </w:rPr>
        <w:t xml:space="preserve">en el </w:t>
      </w:r>
      <w:r w:rsidRPr="00716764">
        <w:rPr>
          <w:rFonts w:ascii="Arial" w:eastAsia="Times New Roman" w:hAnsi="Arial" w:cs="Arial"/>
          <w:kern w:val="1"/>
          <w:sz w:val="22"/>
          <w:szCs w:val="22"/>
          <w:lang w:eastAsia="ar-SA"/>
        </w:rPr>
        <w:t>mismo, buscando no causar interferencias perjudiciales a servicios de telecomunicaciones y no reclamar protección por interferencias perjudiciales.</w:t>
      </w:r>
    </w:p>
    <w:p w14:paraId="3BF97787" w14:textId="77777777" w:rsidR="00FA2132" w:rsidRDefault="00FA2132" w:rsidP="002773C7">
      <w:pPr>
        <w:spacing w:line="276" w:lineRule="auto"/>
        <w:jc w:val="both"/>
        <w:rPr>
          <w:rFonts w:ascii="Arial" w:eastAsia="Times New Roman" w:hAnsi="Arial" w:cs="Arial"/>
          <w:kern w:val="1"/>
          <w:sz w:val="22"/>
          <w:szCs w:val="22"/>
          <w:lang w:val="es-ES" w:eastAsia="ar-SA"/>
        </w:rPr>
      </w:pPr>
    </w:p>
    <w:p w14:paraId="40AECA18" w14:textId="0D2E1572" w:rsidR="002773C7" w:rsidRPr="00716764" w:rsidRDefault="002773C7" w:rsidP="002773C7">
      <w:pPr>
        <w:spacing w:line="276" w:lineRule="auto"/>
        <w:jc w:val="both"/>
        <w:rPr>
          <w:rFonts w:ascii="Arial" w:eastAsia="Times New Roman" w:hAnsi="Arial" w:cs="Arial"/>
          <w:kern w:val="1"/>
          <w:sz w:val="22"/>
          <w:szCs w:val="22"/>
          <w:lang w:val="es-ES" w:eastAsia="ar-SA"/>
        </w:rPr>
      </w:pPr>
      <w:r w:rsidRPr="00716764">
        <w:rPr>
          <w:rFonts w:ascii="Arial" w:eastAsia="Times New Roman" w:hAnsi="Arial" w:cs="Arial"/>
          <w:kern w:val="1"/>
          <w:sz w:val="22"/>
          <w:szCs w:val="22"/>
          <w:lang w:val="es-ES" w:eastAsia="ar-SA"/>
        </w:rPr>
        <w:t>En este orden de ideas, como resultado del análisis realizado, el presente Acuerdo pretende alcanzar los objetivos siguientes:</w:t>
      </w:r>
    </w:p>
    <w:p w14:paraId="0C8BDED4" w14:textId="77777777" w:rsidR="002773C7" w:rsidRPr="00716764" w:rsidRDefault="002773C7" w:rsidP="002773C7">
      <w:pPr>
        <w:spacing w:line="276" w:lineRule="auto"/>
        <w:jc w:val="both"/>
        <w:rPr>
          <w:rFonts w:ascii="Arial" w:eastAsia="Times New Roman" w:hAnsi="Arial" w:cs="Arial"/>
          <w:kern w:val="1"/>
          <w:sz w:val="22"/>
          <w:szCs w:val="22"/>
          <w:lang w:val="es-ES" w:eastAsia="ar-SA"/>
        </w:rPr>
      </w:pPr>
    </w:p>
    <w:p w14:paraId="6CF011E7" w14:textId="77777777" w:rsidR="002773C7" w:rsidRPr="00716764" w:rsidRDefault="002773C7" w:rsidP="00BA7B62">
      <w:pPr>
        <w:numPr>
          <w:ilvl w:val="0"/>
          <w:numId w:val="61"/>
        </w:numPr>
        <w:spacing w:line="276" w:lineRule="auto"/>
        <w:ind w:left="851" w:hanging="284"/>
        <w:jc w:val="both"/>
        <w:rPr>
          <w:rFonts w:ascii="Arial" w:eastAsia="Times New Roman" w:hAnsi="Arial" w:cs="Arial"/>
          <w:kern w:val="1"/>
          <w:sz w:val="22"/>
          <w:szCs w:val="22"/>
          <w:lang w:eastAsia="ar-SA"/>
        </w:rPr>
      </w:pPr>
      <w:r w:rsidRPr="00716764">
        <w:rPr>
          <w:rFonts w:ascii="Arial" w:eastAsia="Times New Roman" w:hAnsi="Arial" w:cs="Arial"/>
          <w:kern w:val="1"/>
          <w:sz w:val="22"/>
          <w:szCs w:val="22"/>
          <w:lang w:eastAsia="ar-SA"/>
        </w:rPr>
        <w:t>Actualizar el Anexo 1 del Acuerdo que clasifica la banda 57-64 GHz.</w:t>
      </w:r>
    </w:p>
    <w:p w14:paraId="50EBAF2C" w14:textId="77777777" w:rsidR="002773C7" w:rsidRPr="00716764" w:rsidRDefault="002773C7" w:rsidP="00716764">
      <w:pPr>
        <w:numPr>
          <w:ilvl w:val="0"/>
          <w:numId w:val="61"/>
        </w:numPr>
        <w:spacing w:line="276" w:lineRule="auto"/>
        <w:ind w:left="851" w:hanging="284"/>
        <w:jc w:val="both"/>
        <w:rPr>
          <w:rFonts w:ascii="Arial" w:eastAsia="Times New Roman" w:hAnsi="Arial" w:cs="Arial"/>
          <w:kern w:val="1"/>
          <w:sz w:val="22"/>
          <w:szCs w:val="22"/>
          <w:lang w:eastAsia="ar-SA"/>
        </w:rPr>
      </w:pPr>
      <w:bookmarkStart w:id="2" w:name="_Hlk93937247"/>
      <w:r w:rsidRPr="00716764">
        <w:rPr>
          <w:rFonts w:ascii="Arial" w:eastAsia="Times New Roman" w:hAnsi="Arial" w:cs="Arial"/>
          <w:kern w:val="1"/>
          <w:sz w:val="22"/>
          <w:szCs w:val="22"/>
          <w:lang w:eastAsia="ar-SA"/>
        </w:rPr>
        <w:t>Actualizar términos y definiciones relevantes para el mejor entendimiento de las condiciones técnicas de operación.</w:t>
      </w:r>
    </w:p>
    <w:p w14:paraId="7CAC0652" w14:textId="77777777" w:rsidR="002773C7" w:rsidRPr="00716764" w:rsidRDefault="002773C7" w:rsidP="00716764">
      <w:pPr>
        <w:numPr>
          <w:ilvl w:val="0"/>
          <w:numId w:val="61"/>
        </w:numPr>
        <w:spacing w:line="276" w:lineRule="auto"/>
        <w:ind w:left="851" w:hanging="284"/>
        <w:jc w:val="both"/>
        <w:rPr>
          <w:rFonts w:ascii="Arial" w:eastAsia="Times New Roman" w:hAnsi="Arial" w:cs="Arial"/>
          <w:kern w:val="1"/>
          <w:sz w:val="22"/>
          <w:szCs w:val="22"/>
          <w:lang w:eastAsia="ar-SA"/>
        </w:rPr>
      </w:pPr>
      <w:r w:rsidRPr="00716764">
        <w:rPr>
          <w:rFonts w:ascii="Arial" w:eastAsia="Times New Roman" w:hAnsi="Arial" w:cs="Arial"/>
          <w:kern w:val="1"/>
          <w:sz w:val="22"/>
          <w:szCs w:val="22"/>
          <w:lang w:eastAsia="ar-SA"/>
        </w:rPr>
        <w:t>Establecer condiciones técnicas de operación para sensores de movimiento que podrían hacer uso de la banda 57-64 GHz con el fin de propiciar el despliegue de nueva tecnología referente a sensores de movimiento en nuestro país y en beneficio del usuario final</w:t>
      </w:r>
      <w:bookmarkEnd w:id="2"/>
      <w:r w:rsidRPr="00716764">
        <w:rPr>
          <w:rFonts w:ascii="Arial" w:eastAsia="Times New Roman" w:hAnsi="Arial" w:cs="Arial"/>
          <w:kern w:val="1"/>
          <w:sz w:val="22"/>
          <w:szCs w:val="22"/>
          <w:lang w:eastAsia="ar-SA"/>
        </w:rPr>
        <w:t>.</w:t>
      </w:r>
    </w:p>
    <w:p w14:paraId="6E7B61BC" w14:textId="77777777" w:rsidR="002773C7" w:rsidRPr="00716764" w:rsidRDefault="002773C7" w:rsidP="00716764">
      <w:pPr>
        <w:numPr>
          <w:ilvl w:val="0"/>
          <w:numId w:val="61"/>
        </w:numPr>
        <w:spacing w:line="276" w:lineRule="auto"/>
        <w:ind w:left="851" w:hanging="284"/>
        <w:jc w:val="both"/>
        <w:rPr>
          <w:rFonts w:ascii="Arial" w:eastAsia="Times New Roman" w:hAnsi="Arial" w:cs="Arial"/>
          <w:kern w:val="1"/>
          <w:sz w:val="22"/>
          <w:szCs w:val="22"/>
          <w:lang w:eastAsia="ar-SA"/>
        </w:rPr>
      </w:pPr>
      <w:bookmarkStart w:id="3" w:name="_Hlk93937266"/>
      <w:r w:rsidRPr="00716764">
        <w:rPr>
          <w:rFonts w:ascii="Arial" w:eastAsia="Times New Roman" w:hAnsi="Arial" w:cs="Arial"/>
          <w:kern w:val="1"/>
          <w:sz w:val="22"/>
          <w:szCs w:val="22"/>
          <w:lang w:eastAsia="ar-SA"/>
        </w:rPr>
        <w:t>Actualizar las condiciones técnicas de operación de la banda de frecuencias 57-64 GHz, clasificada como espectro libre, con el objeto de incluir condiciones técnicas de operación para sensores de movimiento</w:t>
      </w:r>
      <w:bookmarkEnd w:id="3"/>
      <w:r w:rsidRPr="00716764">
        <w:rPr>
          <w:rFonts w:ascii="Arial" w:eastAsia="Times New Roman" w:hAnsi="Arial" w:cs="Arial"/>
          <w:kern w:val="1"/>
          <w:sz w:val="22"/>
          <w:szCs w:val="22"/>
          <w:lang w:eastAsia="ar-SA"/>
        </w:rPr>
        <w:t>.</w:t>
      </w:r>
    </w:p>
    <w:p w14:paraId="0E616382" w14:textId="77777777" w:rsidR="002773C7" w:rsidRPr="00716764" w:rsidRDefault="002773C7" w:rsidP="00716764">
      <w:pPr>
        <w:numPr>
          <w:ilvl w:val="0"/>
          <w:numId w:val="61"/>
        </w:numPr>
        <w:spacing w:line="276" w:lineRule="auto"/>
        <w:ind w:left="851" w:hanging="284"/>
        <w:jc w:val="both"/>
        <w:rPr>
          <w:rFonts w:ascii="Arial" w:eastAsia="Times New Roman" w:hAnsi="Arial" w:cs="Arial"/>
          <w:kern w:val="1"/>
          <w:sz w:val="22"/>
          <w:szCs w:val="22"/>
          <w:lang w:eastAsia="ar-SA"/>
        </w:rPr>
      </w:pPr>
      <w:bookmarkStart w:id="4" w:name="_Hlk93937286"/>
      <w:r w:rsidRPr="00716764">
        <w:rPr>
          <w:rFonts w:ascii="Arial" w:eastAsia="Times New Roman" w:hAnsi="Arial" w:cs="Arial"/>
          <w:kern w:val="1"/>
          <w:sz w:val="22"/>
          <w:szCs w:val="22"/>
          <w:lang w:eastAsia="ar-SA"/>
        </w:rPr>
        <w:t>Administrar y fomentar el uso eficiente del espectro radioeléctrico a través de la banda 57-64 GHz para el sector de las telecomunicaciones.</w:t>
      </w:r>
    </w:p>
    <w:p w14:paraId="49332F98" w14:textId="77777777" w:rsidR="002773C7" w:rsidRPr="00716764" w:rsidRDefault="002773C7" w:rsidP="00716764">
      <w:pPr>
        <w:numPr>
          <w:ilvl w:val="0"/>
          <w:numId w:val="61"/>
        </w:numPr>
        <w:spacing w:line="276" w:lineRule="auto"/>
        <w:ind w:left="851" w:hanging="284"/>
        <w:jc w:val="both"/>
        <w:rPr>
          <w:rFonts w:ascii="Arial" w:eastAsia="Times New Roman" w:hAnsi="Arial" w:cs="Arial"/>
          <w:kern w:val="1"/>
          <w:sz w:val="22"/>
          <w:szCs w:val="22"/>
          <w:lang w:eastAsia="ar-SA"/>
        </w:rPr>
      </w:pPr>
      <w:bookmarkStart w:id="5" w:name="_Hlk93937318"/>
      <w:bookmarkEnd w:id="4"/>
      <w:r w:rsidRPr="00716764">
        <w:rPr>
          <w:rFonts w:ascii="Arial" w:eastAsia="Times New Roman" w:hAnsi="Arial" w:cs="Arial"/>
          <w:kern w:val="1"/>
          <w:sz w:val="22"/>
          <w:szCs w:val="22"/>
          <w:lang w:eastAsia="ar-SA"/>
        </w:rPr>
        <w:t>Promover e impulsar condiciones para que el público en general tenga acceso a nuevas tecnologías y servicios de telecomunicaciones mediante el uso de la banda 57-64 GHz</w:t>
      </w:r>
      <w:bookmarkEnd w:id="5"/>
      <w:r w:rsidRPr="00716764">
        <w:rPr>
          <w:rFonts w:ascii="Arial" w:eastAsia="Times New Roman" w:hAnsi="Arial" w:cs="Arial"/>
          <w:kern w:val="1"/>
          <w:sz w:val="22"/>
          <w:szCs w:val="22"/>
          <w:lang w:eastAsia="ar-SA"/>
        </w:rPr>
        <w:t>.</w:t>
      </w:r>
    </w:p>
    <w:p w14:paraId="4BB5AAFE" w14:textId="77777777" w:rsidR="002773C7" w:rsidRPr="00716764" w:rsidRDefault="002773C7" w:rsidP="00716764">
      <w:pPr>
        <w:numPr>
          <w:ilvl w:val="0"/>
          <w:numId w:val="61"/>
        </w:numPr>
        <w:spacing w:line="276" w:lineRule="auto"/>
        <w:ind w:left="851" w:hanging="284"/>
        <w:jc w:val="both"/>
        <w:rPr>
          <w:rFonts w:ascii="Arial" w:eastAsia="Times New Roman" w:hAnsi="Arial" w:cs="Arial"/>
          <w:kern w:val="1"/>
          <w:sz w:val="22"/>
          <w:szCs w:val="22"/>
          <w:lang w:eastAsia="ar-SA"/>
        </w:rPr>
      </w:pPr>
      <w:r w:rsidRPr="00716764">
        <w:rPr>
          <w:rFonts w:ascii="Arial" w:eastAsia="Times New Roman" w:hAnsi="Arial" w:cs="Arial"/>
          <w:kern w:val="1"/>
          <w:sz w:val="22"/>
          <w:szCs w:val="22"/>
          <w:lang w:eastAsia="ar-SA"/>
        </w:rPr>
        <w:t>Acrecentar la armonización en el uso del espectro radioeléctrico para los sensores de movimiento en la banda 57-64 GHz, con base en las mejores prácticas internacionales y los avances tecnológicos existentes.</w:t>
      </w:r>
    </w:p>
    <w:p w14:paraId="136DA4C6" w14:textId="77777777" w:rsidR="002773C7" w:rsidRPr="00716764" w:rsidRDefault="002773C7" w:rsidP="00716764">
      <w:pPr>
        <w:numPr>
          <w:ilvl w:val="0"/>
          <w:numId w:val="61"/>
        </w:numPr>
        <w:spacing w:line="276" w:lineRule="auto"/>
        <w:ind w:left="851" w:hanging="284"/>
        <w:jc w:val="both"/>
        <w:rPr>
          <w:rFonts w:ascii="Arial" w:eastAsia="Times New Roman" w:hAnsi="Arial" w:cs="Arial"/>
          <w:kern w:val="1"/>
          <w:sz w:val="22"/>
          <w:szCs w:val="22"/>
          <w:lang w:eastAsia="ar-SA"/>
        </w:rPr>
      </w:pPr>
      <w:r w:rsidRPr="00716764">
        <w:rPr>
          <w:rFonts w:ascii="Arial" w:eastAsia="Times New Roman" w:hAnsi="Arial" w:cs="Arial"/>
          <w:kern w:val="1"/>
          <w:sz w:val="22"/>
          <w:szCs w:val="22"/>
          <w:lang w:eastAsia="ar-SA"/>
        </w:rPr>
        <w:t>Incentivar la innovación tecnológica en el país al adicionar el acceso al espectro radioeléctrico para pruebas y experimentación de nuevos equipos o tecnologías relacionados con sensores de movimiento en la banda 57-64 GHz, sin necesidad de contar con una concesión para estos fines, y</w:t>
      </w:r>
    </w:p>
    <w:p w14:paraId="7056F2E1" w14:textId="77777777" w:rsidR="002773C7" w:rsidRPr="00716764" w:rsidRDefault="002773C7" w:rsidP="00716764">
      <w:pPr>
        <w:numPr>
          <w:ilvl w:val="0"/>
          <w:numId w:val="61"/>
        </w:numPr>
        <w:spacing w:line="276" w:lineRule="auto"/>
        <w:ind w:left="851" w:hanging="284"/>
        <w:jc w:val="both"/>
        <w:rPr>
          <w:rFonts w:ascii="Arial" w:eastAsia="Times New Roman" w:hAnsi="Arial" w:cs="Arial"/>
          <w:kern w:val="1"/>
          <w:sz w:val="22"/>
          <w:szCs w:val="22"/>
          <w:lang w:eastAsia="ar-SA"/>
        </w:rPr>
      </w:pPr>
      <w:r w:rsidRPr="00716764">
        <w:rPr>
          <w:rFonts w:ascii="Arial" w:eastAsia="Times New Roman" w:hAnsi="Arial" w:cs="Arial"/>
          <w:kern w:val="1"/>
          <w:sz w:val="22"/>
          <w:szCs w:val="22"/>
          <w:lang w:eastAsia="ar-SA"/>
        </w:rPr>
        <w:t>Fomentar la competencia en el mercado de las telecomunicaciones para la banda 57-64 GHz, con el objeto de lograr un mayor desarrollo en el sector.</w:t>
      </w:r>
    </w:p>
    <w:p w14:paraId="52B08F5C" w14:textId="77777777" w:rsidR="002773C7" w:rsidRPr="00BA7B62" w:rsidRDefault="002773C7" w:rsidP="002773C7">
      <w:pPr>
        <w:spacing w:line="276" w:lineRule="auto"/>
        <w:jc w:val="both"/>
        <w:rPr>
          <w:rFonts w:ascii="Arial" w:eastAsia="Times New Roman" w:hAnsi="Arial" w:cs="Arial"/>
          <w:kern w:val="1"/>
          <w:sz w:val="22"/>
          <w:szCs w:val="22"/>
          <w:lang w:eastAsia="ar-SA"/>
        </w:rPr>
      </w:pPr>
    </w:p>
    <w:p w14:paraId="5A788C5E" w14:textId="77777777" w:rsidR="002773C7" w:rsidRPr="00BA7B62" w:rsidRDefault="002773C7" w:rsidP="002773C7">
      <w:pPr>
        <w:spacing w:line="276" w:lineRule="auto"/>
        <w:jc w:val="both"/>
        <w:rPr>
          <w:rFonts w:ascii="Arial" w:eastAsia="Times New Roman" w:hAnsi="Arial" w:cs="Arial"/>
          <w:kern w:val="1"/>
          <w:sz w:val="22"/>
          <w:szCs w:val="22"/>
          <w:lang w:val="es-ES" w:eastAsia="ar-SA"/>
        </w:rPr>
      </w:pPr>
      <w:r w:rsidRPr="00BA7B62">
        <w:rPr>
          <w:rFonts w:ascii="Arial" w:eastAsia="Times New Roman" w:hAnsi="Arial" w:cs="Arial"/>
          <w:kern w:val="1"/>
          <w:sz w:val="22"/>
          <w:szCs w:val="22"/>
          <w:lang w:val="es-ES" w:eastAsia="ar-SA"/>
        </w:rPr>
        <w:t xml:space="preserve">Por consiguiente, </w:t>
      </w:r>
      <w:r w:rsidRPr="00BA7B62">
        <w:rPr>
          <w:rFonts w:ascii="Arial" w:eastAsia="Times New Roman" w:hAnsi="Arial" w:cs="Arial"/>
          <w:bCs/>
          <w:sz w:val="22"/>
          <w:szCs w:val="22"/>
        </w:rPr>
        <w:t>este Pleno estima indispensable actualizar el Anexo 1 del Acuerdo que clasifica la banda 57-64 GHz,</w:t>
      </w:r>
      <w:r w:rsidRPr="00BA7B62">
        <w:rPr>
          <w:rFonts w:ascii="Arial" w:eastAsia="Times New Roman" w:hAnsi="Arial" w:cs="Arial"/>
          <w:kern w:val="1"/>
          <w:sz w:val="22"/>
          <w:szCs w:val="22"/>
          <w:lang w:val="es-ES" w:eastAsia="ar-SA"/>
        </w:rPr>
        <w:t xml:space="preserve"> </w:t>
      </w:r>
      <w:r w:rsidRPr="00BA7B62">
        <w:rPr>
          <w:rFonts w:ascii="Arial" w:eastAsia="Times New Roman" w:hAnsi="Arial" w:cs="Arial"/>
          <w:bCs/>
          <w:sz w:val="22"/>
          <w:szCs w:val="22"/>
        </w:rPr>
        <w:t xml:space="preserve">a efecto de incluir las condiciones técnicas con las que deberán operar los sensores de movimiento dentro de la banda 57-64 GHz clasificada como espectro libre, </w:t>
      </w:r>
      <w:r w:rsidRPr="00BA7B62">
        <w:rPr>
          <w:rFonts w:ascii="Arial" w:eastAsia="Times New Roman" w:hAnsi="Arial" w:cs="Arial"/>
          <w:kern w:val="1"/>
          <w:sz w:val="22"/>
          <w:szCs w:val="22"/>
          <w:lang w:val="es-ES" w:eastAsia="ar-SA"/>
        </w:rPr>
        <w:t>que permita la utilización de la tecnología actual y, de la misma manera, de nuevas tecnologías, equipos y dispositivos relacionados con sensores de movimiento bajo normas y estándares internacionales, así también, que permitan la coexistencia de diferentes aplicaciones o servicios en la banda 57-64 GHz, en beneficio del público en general y procurando su uso libre de interferencias perjudiciales.</w:t>
      </w:r>
    </w:p>
    <w:p w14:paraId="5DADEB15" w14:textId="77777777" w:rsidR="002773C7" w:rsidRPr="00BA7B62" w:rsidRDefault="002773C7" w:rsidP="002773C7">
      <w:pPr>
        <w:spacing w:line="276" w:lineRule="auto"/>
        <w:jc w:val="both"/>
        <w:rPr>
          <w:rFonts w:ascii="Arial" w:eastAsia="Times New Roman" w:hAnsi="Arial" w:cs="Arial"/>
          <w:kern w:val="1"/>
          <w:sz w:val="22"/>
          <w:szCs w:val="22"/>
          <w:lang w:val="es-ES" w:eastAsia="ar-SA"/>
        </w:rPr>
      </w:pPr>
    </w:p>
    <w:p w14:paraId="742064E9" w14:textId="77777777" w:rsidR="002773C7" w:rsidRPr="00BA7B62" w:rsidRDefault="002773C7" w:rsidP="002773C7">
      <w:pPr>
        <w:spacing w:line="276" w:lineRule="auto"/>
        <w:jc w:val="both"/>
        <w:rPr>
          <w:rFonts w:ascii="Arial" w:eastAsia="Times New Roman" w:hAnsi="Arial" w:cs="Arial"/>
          <w:kern w:val="1"/>
          <w:sz w:val="22"/>
          <w:szCs w:val="22"/>
          <w:lang w:val="es-ES" w:eastAsia="ar-SA"/>
        </w:rPr>
      </w:pPr>
      <w:r w:rsidRPr="00BA7B62">
        <w:rPr>
          <w:rFonts w:ascii="Arial" w:eastAsia="Times New Roman" w:hAnsi="Arial" w:cs="Arial"/>
          <w:kern w:val="1"/>
          <w:sz w:val="22"/>
          <w:szCs w:val="22"/>
          <w:lang w:val="es-ES" w:eastAsia="ar-SA"/>
        </w:rPr>
        <w:t>En este mismo sentido,</w:t>
      </w:r>
      <w:r w:rsidRPr="00BA7B62" w:rsidDel="00421643">
        <w:rPr>
          <w:rFonts w:ascii="Arial" w:eastAsia="Times New Roman" w:hAnsi="Arial" w:cs="Arial"/>
          <w:kern w:val="1"/>
          <w:sz w:val="22"/>
          <w:szCs w:val="22"/>
          <w:lang w:val="es-ES" w:eastAsia="ar-SA"/>
        </w:rPr>
        <w:t xml:space="preserve"> </w:t>
      </w:r>
      <w:r w:rsidRPr="00BA7B62">
        <w:rPr>
          <w:rFonts w:ascii="Arial" w:eastAsia="Times New Roman" w:hAnsi="Arial" w:cs="Arial"/>
          <w:kern w:val="1"/>
          <w:sz w:val="22"/>
          <w:szCs w:val="22"/>
          <w:lang w:val="es-ES" w:eastAsia="ar-SA"/>
        </w:rPr>
        <w:t xml:space="preserve">cabe precisar que derivado de los avances tecnológicos, el Instituto continuará estudiando las posibilidades de operación de nuevos o mejores sistemas de radiocomunicaciones en esta banda de frecuencias, por lo que, de encontrarse necesario se tendrán que revisar o actualizar las condiciones técnicas de operación según sea apropiado a efecto de promover un uso eficiente del espectro radioeléctrico que permita la coexistencia de </w:t>
      </w:r>
      <w:r w:rsidRPr="00BA7B62">
        <w:rPr>
          <w:rFonts w:ascii="Arial" w:eastAsia="Times New Roman" w:hAnsi="Arial" w:cs="Arial"/>
          <w:kern w:val="1"/>
          <w:sz w:val="22"/>
          <w:szCs w:val="22"/>
          <w:lang w:val="es-ES" w:eastAsia="ar-SA"/>
        </w:rPr>
        <w:lastRenderedPageBreak/>
        <w:t xml:space="preserve">diferentes sistemas, dispositivos, equipos o estaciones de radiocomunicaciones en la banda de frecuencias. </w:t>
      </w:r>
    </w:p>
    <w:p w14:paraId="19CC2825" w14:textId="77777777" w:rsidR="002773C7" w:rsidRPr="00BA7B62" w:rsidRDefault="002773C7" w:rsidP="002773C7">
      <w:pPr>
        <w:spacing w:line="276" w:lineRule="auto"/>
        <w:jc w:val="both"/>
        <w:rPr>
          <w:rFonts w:ascii="Arial" w:eastAsia="Times New Roman" w:hAnsi="Arial" w:cs="Arial"/>
          <w:kern w:val="1"/>
          <w:sz w:val="22"/>
          <w:szCs w:val="22"/>
          <w:lang w:val="es-ES" w:eastAsia="ar-SA"/>
        </w:rPr>
      </w:pPr>
    </w:p>
    <w:p w14:paraId="482CE3B0" w14:textId="77777777" w:rsidR="002773C7" w:rsidRPr="00BA7B62" w:rsidRDefault="002773C7" w:rsidP="002773C7">
      <w:pPr>
        <w:spacing w:line="276" w:lineRule="auto"/>
        <w:jc w:val="both"/>
        <w:rPr>
          <w:rFonts w:ascii="Arial" w:eastAsia="Times New Roman" w:hAnsi="Arial" w:cs="Arial"/>
          <w:kern w:val="1"/>
          <w:sz w:val="22"/>
          <w:szCs w:val="22"/>
          <w:lang w:val="es-ES" w:eastAsia="ar-SA"/>
        </w:rPr>
      </w:pPr>
      <w:r w:rsidRPr="00BA7B62">
        <w:rPr>
          <w:rFonts w:ascii="Arial" w:eastAsia="Times New Roman" w:hAnsi="Arial" w:cs="Arial"/>
          <w:kern w:val="1"/>
          <w:sz w:val="22"/>
          <w:szCs w:val="22"/>
          <w:lang w:val="es-ES" w:eastAsia="ar-SA"/>
        </w:rPr>
        <w:t>A este respecto, el Instituto cuenta con diversos canales de comunicación en los cuales este y otros temas relacionados con el uso del espectro radioeléctrico pueden ser tratados, tal es el caso del CTER, el cual fue un elemento fundamental en la identificación de la necesidad de revisión de las condiciones técnicas de operación de esta banda de frecuencias, lo que eventualmente derivó en la propuesta de actualización contenida en este Acuerdo para hacer un uso más eficiente del espectro radioeléctrico, así como para habilitar nuevos sistemas de radiocomunicación en esta banda de frecuencias clasificada como espectro libre.</w:t>
      </w:r>
    </w:p>
    <w:p w14:paraId="7D27C561" w14:textId="77777777" w:rsidR="002773C7" w:rsidRPr="00BA7B62" w:rsidRDefault="002773C7" w:rsidP="002773C7">
      <w:pPr>
        <w:spacing w:line="276" w:lineRule="auto"/>
        <w:jc w:val="both"/>
        <w:rPr>
          <w:rFonts w:ascii="Arial" w:eastAsia="Times New Roman" w:hAnsi="Arial" w:cs="Arial"/>
          <w:kern w:val="1"/>
          <w:sz w:val="22"/>
          <w:szCs w:val="22"/>
          <w:lang w:val="es-ES" w:eastAsia="ar-SA"/>
        </w:rPr>
      </w:pPr>
    </w:p>
    <w:p w14:paraId="79CC1066" w14:textId="1B0D6198" w:rsidR="002773C7" w:rsidRPr="00BA7B62" w:rsidRDefault="002773C7" w:rsidP="002773C7">
      <w:pPr>
        <w:pStyle w:val="Prrafodelista"/>
        <w:spacing w:line="276" w:lineRule="auto"/>
        <w:ind w:left="0"/>
        <w:contextualSpacing w:val="0"/>
        <w:jc w:val="both"/>
        <w:rPr>
          <w:rFonts w:ascii="Arial" w:hAnsi="Arial" w:cs="Arial"/>
          <w:kern w:val="1"/>
          <w:sz w:val="22"/>
          <w:szCs w:val="22"/>
          <w:lang w:eastAsia="ar-SA"/>
        </w:rPr>
      </w:pPr>
      <w:proofErr w:type="gramStart"/>
      <w:r w:rsidRPr="00BA7B62">
        <w:rPr>
          <w:rFonts w:ascii="Arial" w:hAnsi="Arial" w:cs="Arial"/>
          <w:b/>
          <w:kern w:val="1"/>
          <w:sz w:val="22"/>
          <w:szCs w:val="22"/>
          <w:lang w:eastAsia="ar-SA"/>
        </w:rPr>
        <w:t>Quinto.-</w:t>
      </w:r>
      <w:proofErr w:type="gramEnd"/>
      <w:r w:rsidRPr="00BA7B62">
        <w:rPr>
          <w:rFonts w:ascii="Arial" w:hAnsi="Arial" w:cs="Arial"/>
          <w:b/>
          <w:kern w:val="1"/>
          <w:sz w:val="22"/>
          <w:szCs w:val="22"/>
          <w:lang w:eastAsia="ar-SA"/>
        </w:rPr>
        <w:t xml:space="preserve"> Consulta Pública.</w:t>
      </w:r>
      <w:r w:rsidRPr="00BA7B62">
        <w:rPr>
          <w:rFonts w:ascii="Arial" w:hAnsi="Arial" w:cs="Arial"/>
          <w:kern w:val="1"/>
          <w:sz w:val="22"/>
          <w:szCs w:val="22"/>
          <w:lang w:eastAsia="ar-SA"/>
        </w:rPr>
        <w:t xml:space="preserve"> En cumplimiento a lo dispuesto en el artículo 51 de la Ley, conforme se señala en los Antecedentes Séptimo, Octavo, Duodécimo y Decimotercero del presente Acuerdo, el Instituto llevó a cabo dos procesos de Consulta Pública, del 17 de marzo al 20 de abril de 2021 y del ____ de ____ al ____ de ____ </w:t>
      </w:r>
      <w:proofErr w:type="spellStart"/>
      <w:r w:rsidRPr="00BA7B62">
        <w:rPr>
          <w:rFonts w:ascii="Arial" w:hAnsi="Arial" w:cs="Arial"/>
          <w:kern w:val="1"/>
          <w:sz w:val="22"/>
          <w:szCs w:val="22"/>
          <w:lang w:eastAsia="ar-SA"/>
        </w:rPr>
        <w:t>de</w:t>
      </w:r>
      <w:proofErr w:type="spellEnd"/>
      <w:r w:rsidRPr="00BA7B62">
        <w:rPr>
          <w:rFonts w:ascii="Arial" w:hAnsi="Arial" w:cs="Arial"/>
          <w:kern w:val="1"/>
          <w:sz w:val="22"/>
          <w:szCs w:val="22"/>
          <w:lang w:eastAsia="ar-SA"/>
        </w:rPr>
        <w:t xml:space="preserve"> ____2022, respectivamente, sobre el </w:t>
      </w:r>
      <w:r w:rsidRPr="00BA7B62">
        <w:rPr>
          <w:rFonts w:ascii="Arial" w:hAnsi="Arial" w:cs="Arial"/>
          <w:i/>
          <w:kern w:val="1"/>
          <w:sz w:val="22"/>
          <w:szCs w:val="22"/>
          <w:lang w:eastAsia="ar-SA"/>
        </w:rPr>
        <w:t>“</w:t>
      </w:r>
      <w:r w:rsidRPr="00BA7B62">
        <w:rPr>
          <w:rFonts w:ascii="Arial" w:hAnsi="Arial" w:cs="Arial"/>
          <w:i/>
          <w:kern w:val="2"/>
          <w:sz w:val="22"/>
          <w:szCs w:val="22"/>
          <w:lang w:val="es-ES_tradnl" w:eastAsia="ar-SA"/>
        </w:rPr>
        <w:t>Anteproyecto de Acuerdo mediante el cual el Pleno del Instituto Federal de Telecomunicaciones actualiza las condiciones técnicas de operación para el uso de la banda de frecuencias 57-64 GHz, clasificada como espectro libre”</w:t>
      </w:r>
      <w:r w:rsidRPr="00BA7B62">
        <w:rPr>
          <w:rFonts w:ascii="Arial" w:hAnsi="Arial" w:cs="Arial"/>
          <w:i/>
          <w:kern w:val="1"/>
          <w:sz w:val="22"/>
          <w:szCs w:val="22"/>
          <w:lang w:eastAsia="ar-SA"/>
        </w:rPr>
        <w:t xml:space="preserve">, </w:t>
      </w:r>
      <w:r w:rsidRPr="00BA7B62">
        <w:rPr>
          <w:rFonts w:ascii="Arial" w:hAnsi="Arial" w:cs="Arial"/>
          <w:kern w:val="1"/>
          <w:sz w:val="22"/>
          <w:szCs w:val="22"/>
          <w:lang w:eastAsia="ar-SA"/>
        </w:rPr>
        <w:t>bajo los principios de transparencia y participación ciudadana, con el objeto de obtener, recabar y analizar los comentarios, información, opiniones, aportaciones u otros elementos de análisis de los interesados respecto al anteproyecto.</w:t>
      </w:r>
      <w:r w:rsidRPr="00BA7B62">
        <w:rPr>
          <w:rFonts w:ascii="Arial" w:hAnsi="Arial" w:cs="Arial"/>
          <w:i/>
          <w:kern w:val="1"/>
          <w:sz w:val="22"/>
          <w:szCs w:val="22"/>
          <w:lang w:eastAsia="ar-SA"/>
        </w:rPr>
        <w:t xml:space="preserve"> </w:t>
      </w:r>
    </w:p>
    <w:p w14:paraId="249E0421" w14:textId="77777777" w:rsidR="002773C7" w:rsidRPr="00BA7B62" w:rsidRDefault="002773C7" w:rsidP="002773C7">
      <w:pPr>
        <w:spacing w:line="276" w:lineRule="auto"/>
        <w:jc w:val="both"/>
        <w:rPr>
          <w:rFonts w:ascii="Arial" w:hAnsi="Arial" w:cs="Arial"/>
          <w:kern w:val="1"/>
          <w:sz w:val="22"/>
          <w:szCs w:val="22"/>
          <w:lang w:eastAsia="ar-SA"/>
        </w:rPr>
      </w:pPr>
    </w:p>
    <w:p w14:paraId="5D112F31" w14:textId="77777777" w:rsidR="002773C7" w:rsidRPr="00BA7B62" w:rsidRDefault="002773C7" w:rsidP="002773C7">
      <w:pPr>
        <w:spacing w:line="276" w:lineRule="auto"/>
        <w:jc w:val="both"/>
        <w:rPr>
          <w:rFonts w:ascii="Arial" w:eastAsia="Times New Roman" w:hAnsi="Arial" w:cs="Arial"/>
          <w:kern w:val="2"/>
          <w:sz w:val="22"/>
          <w:szCs w:val="22"/>
          <w:bdr w:val="nil"/>
          <w:lang w:val="es-ES" w:eastAsia="ar-SA"/>
        </w:rPr>
      </w:pPr>
      <w:r w:rsidRPr="00BA7B62">
        <w:rPr>
          <w:rFonts w:ascii="Arial" w:eastAsia="Times New Roman" w:hAnsi="Arial" w:cs="Arial"/>
          <w:kern w:val="2"/>
          <w:sz w:val="22"/>
          <w:szCs w:val="22"/>
          <w:bdr w:val="nil"/>
          <w:lang w:val="es-ES" w:eastAsia="ar-SA"/>
        </w:rPr>
        <w:t>Las consultas públicas se efectuaron por un período de 20 (veinte) días hábiles, respectivamente, en los cuales el Instituto puso a disposición, a través de su portal de Internet, un formulario para recibir los comentarios, información, opiniones, aportaciones u otros elementos de análisis concretos en relación con el multicitado anteproyecto.</w:t>
      </w:r>
    </w:p>
    <w:p w14:paraId="774C5665" w14:textId="77777777" w:rsidR="002773C7" w:rsidRPr="00BA7B62" w:rsidRDefault="002773C7" w:rsidP="002773C7">
      <w:pPr>
        <w:spacing w:line="276" w:lineRule="auto"/>
        <w:jc w:val="both"/>
        <w:rPr>
          <w:rFonts w:ascii="Arial" w:eastAsia="Times New Roman" w:hAnsi="Arial" w:cs="Arial"/>
          <w:sz w:val="22"/>
          <w:szCs w:val="22"/>
          <w:lang w:val="es-ES" w:eastAsia="ar-SA"/>
        </w:rPr>
      </w:pPr>
    </w:p>
    <w:p w14:paraId="469B5A9A" w14:textId="37A40094" w:rsidR="002773C7" w:rsidRPr="00BA7B62" w:rsidRDefault="002773C7" w:rsidP="002773C7">
      <w:pPr>
        <w:spacing w:line="276" w:lineRule="auto"/>
        <w:jc w:val="both"/>
        <w:rPr>
          <w:rFonts w:ascii="Arial" w:eastAsia="Times New Roman" w:hAnsi="Arial" w:cs="Arial"/>
          <w:kern w:val="2"/>
          <w:sz w:val="22"/>
          <w:szCs w:val="22"/>
          <w:bdr w:val="nil"/>
          <w:lang w:val="es-ES" w:eastAsia="ar-SA"/>
        </w:rPr>
      </w:pPr>
      <w:r w:rsidRPr="00BA7B62">
        <w:rPr>
          <w:rFonts w:ascii="Arial" w:eastAsia="Times New Roman" w:hAnsi="Arial" w:cs="Arial"/>
          <w:kern w:val="2"/>
          <w:sz w:val="22"/>
          <w:szCs w:val="22"/>
          <w:bdr w:val="nil"/>
          <w:lang w:val="es-ES" w:eastAsia="ar-SA"/>
        </w:rPr>
        <w:t>En este contexto, la Consulta Pública del anteproyecto de referencia persiguió los objetivos siguientes:</w:t>
      </w:r>
    </w:p>
    <w:p w14:paraId="50EF8DCD" w14:textId="77777777" w:rsidR="002773C7" w:rsidRPr="00BA7B62" w:rsidRDefault="002773C7" w:rsidP="002773C7">
      <w:pPr>
        <w:spacing w:line="276" w:lineRule="auto"/>
        <w:jc w:val="both"/>
        <w:rPr>
          <w:rFonts w:ascii="Arial" w:hAnsi="Arial" w:cs="Arial"/>
          <w:sz w:val="22"/>
          <w:szCs w:val="22"/>
          <w:lang w:val="es-ES" w:eastAsia="ar-SA"/>
        </w:rPr>
      </w:pPr>
    </w:p>
    <w:p w14:paraId="111FD2BC" w14:textId="77777777" w:rsidR="002773C7" w:rsidRPr="00BA7B62" w:rsidRDefault="002773C7" w:rsidP="002773C7">
      <w:pPr>
        <w:spacing w:line="276" w:lineRule="auto"/>
        <w:ind w:left="704" w:hanging="420"/>
        <w:jc w:val="both"/>
        <w:rPr>
          <w:rFonts w:ascii="Arial" w:hAnsi="Arial" w:cs="Arial"/>
          <w:kern w:val="2"/>
          <w:sz w:val="22"/>
          <w:szCs w:val="22"/>
          <w:lang w:val="es-ES" w:eastAsia="ar-SA"/>
        </w:rPr>
      </w:pPr>
      <w:r w:rsidRPr="00BA7B62">
        <w:rPr>
          <w:rFonts w:ascii="Arial" w:hAnsi="Arial" w:cs="Arial"/>
          <w:kern w:val="2"/>
          <w:sz w:val="22"/>
          <w:szCs w:val="22"/>
          <w:lang w:val="es-ES" w:eastAsia="ar-SA"/>
        </w:rPr>
        <w:t>a)</w:t>
      </w:r>
      <w:r w:rsidRPr="00BA7B62">
        <w:rPr>
          <w:rFonts w:ascii="Arial" w:hAnsi="Arial" w:cs="Arial"/>
          <w:kern w:val="2"/>
          <w:sz w:val="22"/>
          <w:szCs w:val="22"/>
          <w:lang w:val="es-ES" w:eastAsia="ar-SA"/>
        </w:rPr>
        <w:tab/>
        <w:t>Generar un espacio abierto e incluyente, con la intención de involucrar al público y fomentar en la sociedad el conocimiento del uso del espectro radioeléctrico y de las atribuciones del Instituto, fortaleciendo así la relación entre ésta y el Instituto, y</w:t>
      </w:r>
    </w:p>
    <w:p w14:paraId="0CE420EF" w14:textId="77777777" w:rsidR="002773C7" w:rsidRPr="00BA7B62" w:rsidRDefault="002773C7" w:rsidP="002773C7">
      <w:pPr>
        <w:spacing w:line="276" w:lineRule="auto"/>
        <w:ind w:left="284"/>
        <w:jc w:val="both"/>
        <w:rPr>
          <w:rFonts w:ascii="Arial" w:hAnsi="Arial" w:cs="Arial"/>
          <w:sz w:val="22"/>
          <w:szCs w:val="22"/>
          <w:lang w:val="es-ES" w:eastAsia="ar-SA"/>
        </w:rPr>
      </w:pPr>
    </w:p>
    <w:p w14:paraId="26D031DD" w14:textId="77777777" w:rsidR="002773C7" w:rsidRPr="00BA7B62" w:rsidRDefault="002773C7" w:rsidP="002773C7">
      <w:pPr>
        <w:spacing w:line="276" w:lineRule="auto"/>
        <w:ind w:left="704" w:hanging="420"/>
        <w:jc w:val="both"/>
        <w:rPr>
          <w:rFonts w:ascii="Arial" w:hAnsi="Arial" w:cs="Arial"/>
          <w:kern w:val="2"/>
          <w:sz w:val="22"/>
          <w:szCs w:val="22"/>
          <w:lang w:val="es-ES" w:eastAsia="ar-SA"/>
        </w:rPr>
      </w:pPr>
      <w:r w:rsidRPr="00BA7B62">
        <w:rPr>
          <w:rFonts w:ascii="Arial" w:hAnsi="Arial" w:cs="Arial"/>
          <w:kern w:val="2"/>
          <w:sz w:val="22"/>
          <w:szCs w:val="22"/>
          <w:lang w:val="es-ES" w:eastAsia="ar-SA"/>
        </w:rPr>
        <w:t>b)</w:t>
      </w:r>
      <w:r w:rsidRPr="00BA7B62">
        <w:rPr>
          <w:rFonts w:ascii="Arial" w:hAnsi="Arial" w:cs="Arial"/>
          <w:kern w:val="2"/>
          <w:sz w:val="22"/>
          <w:szCs w:val="22"/>
          <w:lang w:val="es-ES" w:eastAsia="ar-SA"/>
        </w:rPr>
        <w:tab/>
        <w:t>Obtener la opinión de los interesados acerca de la actualización de la banda 57</w:t>
      </w:r>
      <w:r w:rsidRPr="00BA7B62">
        <w:rPr>
          <w:rFonts w:ascii="Arial" w:eastAsia="Times New Roman" w:hAnsi="Arial" w:cs="Arial"/>
          <w:kern w:val="1"/>
          <w:sz w:val="22"/>
          <w:szCs w:val="22"/>
          <w:lang w:val="es-ES" w:eastAsia="ar-SA"/>
        </w:rPr>
        <w:t xml:space="preserve">-64 GHz </w:t>
      </w:r>
      <w:r w:rsidRPr="00BA7B62">
        <w:rPr>
          <w:rFonts w:ascii="Arial" w:hAnsi="Arial" w:cs="Arial"/>
          <w:kern w:val="2"/>
          <w:sz w:val="22"/>
          <w:szCs w:val="22"/>
          <w:lang w:val="es-ES" w:eastAsia="ar-SA"/>
        </w:rPr>
        <w:t>en México, como lo son la industria, la academia, las instituciones de investigación, los operadores comerciales o los fabricantes de tecnología, por mencionar algunos.</w:t>
      </w:r>
    </w:p>
    <w:p w14:paraId="1C15B83D" w14:textId="77777777" w:rsidR="002773C7" w:rsidRPr="00BA7B62" w:rsidRDefault="002773C7" w:rsidP="002773C7">
      <w:pPr>
        <w:spacing w:line="276" w:lineRule="auto"/>
        <w:jc w:val="both"/>
        <w:rPr>
          <w:rFonts w:ascii="Arial" w:hAnsi="Arial" w:cs="Arial"/>
          <w:sz w:val="22"/>
          <w:szCs w:val="22"/>
          <w:lang w:val="es-ES" w:eastAsia="ar-SA"/>
        </w:rPr>
      </w:pPr>
    </w:p>
    <w:p w14:paraId="0849C48B" w14:textId="77777777" w:rsidR="002773C7" w:rsidRPr="00BA7B62" w:rsidRDefault="002773C7" w:rsidP="002773C7">
      <w:pPr>
        <w:spacing w:line="276" w:lineRule="auto"/>
        <w:jc w:val="both"/>
        <w:rPr>
          <w:rFonts w:ascii="Arial" w:hAnsi="Arial" w:cs="Arial"/>
          <w:kern w:val="2"/>
          <w:sz w:val="22"/>
          <w:szCs w:val="22"/>
          <w:lang w:val="es-ES" w:eastAsia="ar-SA"/>
        </w:rPr>
      </w:pPr>
      <w:r w:rsidRPr="00BA7B62">
        <w:rPr>
          <w:rFonts w:ascii="Arial" w:hAnsi="Arial" w:cs="Arial"/>
          <w:kern w:val="2"/>
          <w:sz w:val="22"/>
          <w:szCs w:val="22"/>
          <w:lang w:val="es-ES" w:eastAsia="ar-SA"/>
        </w:rPr>
        <w:t xml:space="preserve">Una vez concluidos los plazos respectivos de cada consulta, se publicaron en el portal de Internet del Instituto todos y cada uno de los comentarios, información, aportaciones, opiniones u otros elementos de análisis concretos recibidos respecto del anteproyecto materia de dichas consultas. </w:t>
      </w:r>
    </w:p>
    <w:p w14:paraId="1105CDCF" w14:textId="77777777" w:rsidR="002773C7" w:rsidRPr="00BA7B62" w:rsidRDefault="002773C7" w:rsidP="002773C7">
      <w:pPr>
        <w:spacing w:line="276" w:lineRule="auto"/>
        <w:jc w:val="both"/>
        <w:rPr>
          <w:rFonts w:ascii="Arial" w:hAnsi="Arial" w:cs="Arial"/>
          <w:kern w:val="2"/>
          <w:sz w:val="22"/>
          <w:szCs w:val="22"/>
          <w:lang w:val="es-ES" w:eastAsia="ar-SA"/>
        </w:rPr>
      </w:pPr>
    </w:p>
    <w:p w14:paraId="26B5325A" w14:textId="77777777" w:rsidR="002773C7" w:rsidRPr="00BA7B62" w:rsidRDefault="002773C7" w:rsidP="002773C7">
      <w:pPr>
        <w:spacing w:line="276" w:lineRule="auto"/>
        <w:jc w:val="both"/>
        <w:rPr>
          <w:rFonts w:ascii="Arial" w:hAnsi="Arial" w:cs="Arial"/>
          <w:kern w:val="2"/>
          <w:sz w:val="22"/>
          <w:szCs w:val="22"/>
          <w:lang w:val="es-ES" w:eastAsia="ar-SA"/>
        </w:rPr>
      </w:pPr>
      <w:r w:rsidRPr="00BA7B62">
        <w:rPr>
          <w:rFonts w:ascii="Arial" w:hAnsi="Arial" w:cs="Arial"/>
          <w:kern w:val="2"/>
          <w:sz w:val="22"/>
          <w:szCs w:val="22"/>
          <w:lang w:val="es-ES" w:eastAsia="ar-SA"/>
        </w:rPr>
        <w:t xml:space="preserve">En relación con lo anterior, la UER recibió y atendió un total de (___) participaciones efectivas para realizar modificaciones al Anteproyecto. En consecuencia, la UER elaboró los informes de </w:t>
      </w:r>
      <w:r w:rsidRPr="00BA7B62">
        <w:rPr>
          <w:rFonts w:ascii="Arial" w:hAnsi="Arial" w:cs="Arial"/>
          <w:kern w:val="2"/>
          <w:sz w:val="22"/>
          <w:szCs w:val="22"/>
          <w:lang w:val="es-ES" w:eastAsia="ar-SA"/>
        </w:rPr>
        <w:lastRenderedPageBreak/>
        <w:t>consideraciones que atienden las participaciones recibidas, los cuales se publicaron en el portal de Internet del Instituto, en el apartado correspondiente de las consultas públicas. Derivado de las participaciones recibidas, se consideraron las propuestas siguientes:</w:t>
      </w:r>
    </w:p>
    <w:p w14:paraId="10596A5C" w14:textId="77777777" w:rsidR="002773C7" w:rsidRPr="00BA7B62" w:rsidRDefault="002773C7" w:rsidP="002773C7">
      <w:pPr>
        <w:spacing w:line="276" w:lineRule="auto"/>
        <w:jc w:val="both"/>
        <w:rPr>
          <w:rFonts w:ascii="Arial" w:hAnsi="Arial" w:cs="Arial"/>
          <w:kern w:val="2"/>
          <w:sz w:val="22"/>
          <w:szCs w:val="22"/>
          <w:lang w:val="es-ES" w:eastAsia="ar-SA"/>
        </w:rPr>
      </w:pPr>
    </w:p>
    <w:p w14:paraId="5151FFB9" w14:textId="77777777" w:rsidR="002773C7" w:rsidRPr="00BA7B62" w:rsidRDefault="002773C7" w:rsidP="002773C7">
      <w:pPr>
        <w:spacing w:line="276" w:lineRule="auto"/>
        <w:jc w:val="both"/>
        <w:rPr>
          <w:rFonts w:ascii="Arial" w:hAnsi="Arial" w:cs="Arial"/>
          <w:kern w:val="2"/>
          <w:sz w:val="22"/>
          <w:szCs w:val="22"/>
          <w:lang w:val="es-ES" w:eastAsia="ar-SA"/>
        </w:rPr>
      </w:pPr>
      <w:r w:rsidRPr="00BA7B62">
        <w:rPr>
          <w:rFonts w:ascii="Arial" w:hAnsi="Arial" w:cs="Arial"/>
          <w:kern w:val="2"/>
          <w:sz w:val="22"/>
          <w:szCs w:val="22"/>
          <w:lang w:val="es-ES" w:eastAsia="ar-SA"/>
        </w:rPr>
        <w:t>(___</w:t>
      </w:r>
      <w:r w:rsidRPr="00BA7B62">
        <w:rPr>
          <w:rFonts w:ascii="Arial" w:hAnsi="Arial" w:cs="Arial"/>
          <w:kern w:val="1"/>
          <w:sz w:val="22"/>
          <w:szCs w:val="22"/>
          <w:lang w:eastAsia="ar-SA"/>
        </w:rPr>
        <w:t>)</w:t>
      </w:r>
    </w:p>
    <w:p w14:paraId="51CC2DCE" w14:textId="77777777" w:rsidR="002773C7" w:rsidRPr="00BA7B62" w:rsidRDefault="002773C7" w:rsidP="002773C7">
      <w:pPr>
        <w:spacing w:line="276" w:lineRule="auto"/>
        <w:jc w:val="both"/>
        <w:rPr>
          <w:rFonts w:ascii="Arial" w:hAnsi="Arial" w:cs="Arial"/>
          <w:kern w:val="1"/>
          <w:sz w:val="22"/>
          <w:szCs w:val="22"/>
          <w:lang w:eastAsia="ar-SA"/>
        </w:rPr>
      </w:pPr>
    </w:p>
    <w:p w14:paraId="21060A42" w14:textId="77777777" w:rsidR="002773C7" w:rsidRPr="00BA7B62" w:rsidRDefault="002773C7" w:rsidP="002773C7">
      <w:pPr>
        <w:spacing w:line="276" w:lineRule="auto"/>
        <w:jc w:val="both"/>
        <w:rPr>
          <w:rFonts w:ascii="Arial" w:hAnsi="Arial" w:cs="Arial"/>
          <w:kern w:val="2"/>
          <w:sz w:val="22"/>
          <w:szCs w:val="22"/>
          <w:lang w:val="es-ES" w:eastAsia="ar-SA"/>
        </w:rPr>
      </w:pPr>
      <w:r w:rsidRPr="00BA7B62">
        <w:rPr>
          <w:rFonts w:ascii="Arial" w:hAnsi="Arial" w:cs="Arial"/>
          <w:kern w:val="2"/>
          <w:sz w:val="22"/>
          <w:szCs w:val="22"/>
          <w:lang w:val="es-ES" w:eastAsia="ar-SA"/>
        </w:rPr>
        <w:t>Las participaciones recibidas permitieron que el Instituto contara con mayores elementos de análisis para la emisión de la disposición administrativa de carácter general objeto del presente Acuerdo.</w:t>
      </w:r>
    </w:p>
    <w:p w14:paraId="7FC45852" w14:textId="77777777" w:rsidR="002773C7" w:rsidRPr="00BA7B62" w:rsidRDefault="002773C7" w:rsidP="002773C7">
      <w:pPr>
        <w:spacing w:line="276" w:lineRule="auto"/>
        <w:jc w:val="both"/>
        <w:rPr>
          <w:rFonts w:ascii="Arial" w:hAnsi="Arial" w:cs="Arial"/>
          <w:kern w:val="2"/>
          <w:sz w:val="22"/>
          <w:szCs w:val="22"/>
          <w:lang w:val="es-ES" w:eastAsia="ar-SA"/>
        </w:rPr>
      </w:pPr>
    </w:p>
    <w:p w14:paraId="2A7D3388" w14:textId="29B707E8" w:rsidR="002773C7" w:rsidRPr="00BA7B62" w:rsidRDefault="002773C7" w:rsidP="002773C7">
      <w:pPr>
        <w:pStyle w:val="Prrafodelista"/>
        <w:spacing w:line="276" w:lineRule="auto"/>
        <w:ind w:left="0"/>
        <w:contextualSpacing w:val="0"/>
        <w:jc w:val="both"/>
        <w:rPr>
          <w:rFonts w:ascii="Arial" w:hAnsi="Arial" w:cs="Arial"/>
          <w:sz w:val="22"/>
          <w:szCs w:val="22"/>
          <w:lang w:eastAsia="es-MX"/>
        </w:rPr>
      </w:pPr>
      <w:proofErr w:type="gramStart"/>
      <w:r w:rsidRPr="00BA7B62">
        <w:rPr>
          <w:rFonts w:ascii="Arial" w:hAnsi="Arial" w:cs="Arial"/>
          <w:b/>
          <w:sz w:val="22"/>
          <w:szCs w:val="22"/>
          <w:lang w:eastAsia="es-MX"/>
        </w:rPr>
        <w:t>Sexto.-</w:t>
      </w:r>
      <w:proofErr w:type="gramEnd"/>
      <w:r w:rsidRPr="00BA7B62">
        <w:rPr>
          <w:rFonts w:ascii="Arial" w:hAnsi="Arial" w:cs="Arial"/>
          <w:b/>
          <w:sz w:val="22"/>
          <w:szCs w:val="22"/>
          <w:lang w:eastAsia="es-MX"/>
        </w:rPr>
        <w:t xml:space="preserve"> Análisis de Impacto Regulatorio. </w:t>
      </w:r>
      <w:r w:rsidRPr="00BA7B62">
        <w:rPr>
          <w:rFonts w:ascii="Arial" w:hAnsi="Arial" w:cs="Arial"/>
          <w:kern w:val="2"/>
          <w:sz w:val="22"/>
          <w:szCs w:val="22"/>
          <w:lang w:val="es-ES" w:eastAsia="ar-SA"/>
        </w:rPr>
        <w:t xml:space="preserve">El </w:t>
      </w:r>
      <w:r w:rsidRPr="00BA7B62">
        <w:rPr>
          <w:rFonts w:ascii="Arial" w:hAnsi="Arial" w:cs="Arial"/>
          <w:sz w:val="22"/>
          <w:szCs w:val="22"/>
        </w:rPr>
        <w:t xml:space="preserve">artículo 51, segundo párrafo de la Ley establece que, previo a la emisión de reglas, lineamientos o disposiciones administrativas de carácter general, </w:t>
      </w:r>
      <w:r w:rsidRPr="00BA7B62">
        <w:rPr>
          <w:rFonts w:ascii="Arial" w:hAnsi="Arial" w:cs="Arial"/>
          <w:bCs/>
          <w:sz w:val="22"/>
          <w:szCs w:val="22"/>
        </w:rPr>
        <w:t xml:space="preserve">el Instituto deberá realizar y hacer público un análisis de impacto regulatorio </w:t>
      </w:r>
      <w:r w:rsidRPr="00BA7B62">
        <w:rPr>
          <w:rFonts w:ascii="Arial" w:hAnsi="Arial" w:cs="Arial"/>
          <w:sz w:val="22"/>
          <w:szCs w:val="22"/>
        </w:rPr>
        <w:t>o, en su caso, solicitar el apoyo de la Comisión Federal de Mejora Regulatoria</w:t>
      </w:r>
      <w:r w:rsidRPr="00BA7B62">
        <w:rPr>
          <w:rFonts w:ascii="Arial" w:hAnsi="Arial" w:cs="Arial"/>
          <w:kern w:val="2"/>
          <w:sz w:val="22"/>
          <w:szCs w:val="22"/>
          <w:lang w:val="es-ES" w:eastAsia="ar-SA"/>
        </w:rPr>
        <w:t>.</w:t>
      </w:r>
    </w:p>
    <w:p w14:paraId="202EB80F" w14:textId="77777777" w:rsidR="002773C7" w:rsidRPr="00BA7B62" w:rsidRDefault="002773C7" w:rsidP="002773C7">
      <w:pPr>
        <w:spacing w:line="276" w:lineRule="auto"/>
        <w:jc w:val="both"/>
        <w:rPr>
          <w:rFonts w:ascii="Arial" w:hAnsi="Arial" w:cs="Arial"/>
          <w:kern w:val="1"/>
          <w:sz w:val="22"/>
          <w:szCs w:val="22"/>
          <w:lang w:eastAsia="ar-SA"/>
        </w:rPr>
      </w:pPr>
    </w:p>
    <w:p w14:paraId="3B57CE26" w14:textId="77777777" w:rsidR="002773C7" w:rsidRPr="00BA7B62" w:rsidRDefault="002773C7" w:rsidP="002773C7">
      <w:pPr>
        <w:spacing w:line="276" w:lineRule="auto"/>
        <w:jc w:val="both"/>
        <w:rPr>
          <w:rFonts w:ascii="Arial" w:hAnsi="Arial" w:cs="Arial"/>
          <w:bCs/>
          <w:sz w:val="22"/>
          <w:szCs w:val="22"/>
          <w:lang w:val="es-ES_tradnl"/>
        </w:rPr>
      </w:pPr>
      <w:r w:rsidRPr="00BA7B62">
        <w:rPr>
          <w:rFonts w:ascii="Arial" w:hAnsi="Arial" w:cs="Arial"/>
          <w:bCs/>
          <w:sz w:val="22"/>
          <w:szCs w:val="22"/>
          <w:lang w:val="es-ES_tradnl"/>
        </w:rPr>
        <w:t>Por su parte, el Lineamiento Vigésimo Primero de los Lineamientos de Consulta Pública establece que, si a la entrada en vigor de un anteproyecto este genera nuevos costos de cumplimiento, deberá ir acompañado de un AIR, como acontece en la especie.</w:t>
      </w:r>
    </w:p>
    <w:p w14:paraId="328C5236" w14:textId="77777777" w:rsidR="002773C7" w:rsidRPr="00BA7B62" w:rsidRDefault="002773C7" w:rsidP="002773C7">
      <w:pPr>
        <w:spacing w:line="276" w:lineRule="auto"/>
        <w:jc w:val="both"/>
        <w:rPr>
          <w:rFonts w:ascii="Arial" w:hAnsi="Arial" w:cs="Arial"/>
          <w:bCs/>
          <w:sz w:val="22"/>
          <w:szCs w:val="22"/>
          <w:lang w:val="es-ES_tradnl"/>
        </w:rPr>
      </w:pPr>
    </w:p>
    <w:p w14:paraId="4C3AA341" w14:textId="77777777" w:rsidR="002773C7" w:rsidRPr="00BA7B62" w:rsidRDefault="002773C7" w:rsidP="002773C7">
      <w:pPr>
        <w:spacing w:line="276" w:lineRule="auto"/>
        <w:jc w:val="both"/>
        <w:rPr>
          <w:rFonts w:ascii="Arial" w:eastAsia="Times New Roman" w:hAnsi="Arial" w:cs="Arial"/>
          <w:sz w:val="22"/>
          <w:szCs w:val="22"/>
          <w:lang w:eastAsia="ar-SA"/>
        </w:rPr>
      </w:pPr>
      <w:r w:rsidRPr="00BA7B62">
        <w:rPr>
          <w:rFonts w:ascii="Arial" w:eastAsia="Times New Roman" w:hAnsi="Arial" w:cs="Arial"/>
          <w:sz w:val="22"/>
          <w:szCs w:val="22"/>
          <w:lang w:eastAsia="ar-SA"/>
        </w:rPr>
        <w:t>Por ello, en cumplimiento a las disposiciones indicadas, la UER remitió a la CGMR el AIR respecto al “</w:t>
      </w:r>
      <w:r w:rsidRPr="00BA7B62">
        <w:rPr>
          <w:rFonts w:ascii="Arial" w:eastAsia="Times New Roman" w:hAnsi="Arial" w:cs="Arial"/>
          <w:i/>
          <w:sz w:val="22"/>
          <w:szCs w:val="22"/>
          <w:lang w:eastAsia="ar-SA"/>
        </w:rPr>
        <w:t>Anteproyecto de</w:t>
      </w:r>
      <w:r w:rsidRPr="00BA7B62">
        <w:rPr>
          <w:rFonts w:ascii="Arial" w:eastAsia="Times New Roman" w:hAnsi="Arial" w:cs="Arial"/>
          <w:sz w:val="22"/>
          <w:szCs w:val="22"/>
          <w:lang w:eastAsia="ar-SA"/>
        </w:rPr>
        <w:t xml:space="preserve"> </w:t>
      </w:r>
      <w:r w:rsidRPr="00BA7B62">
        <w:rPr>
          <w:rFonts w:ascii="Arial" w:hAnsi="Arial" w:cs="Arial"/>
          <w:i/>
          <w:kern w:val="2"/>
          <w:sz w:val="22"/>
          <w:szCs w:val="22"/>
          <w:lang w:val="es-ES_tradnl" w:eastAsia="ar-SA"/>
        </w:rPr>
        <w:t>Acuerdo mediante el cual el Pleno del Instituto Federal de Telecomunicaciones actualiza las condiciones técnicas de operación para el uso de la banda de frecuencias 57-64 GHz, clasificada como espectro libre”</w:t>
      </w:r>
      <w:r w:rsidRPr="00BA7B62">
        <w:rPr>
          <w:rFonts w:ascii="Arial" w:eastAsia="Times New Roman" w:hAnsi="Arial" w:cs="Arial"/>
          <w:i/>
          <w:sz w:val="22"/>
          <w:szCs w:val="22"/>
          <w:lang w:eastAsia="ar-SA"/>
        </w:rPr>
        <w:t xml:space="preserve"> </w:t>
      </w:r>
      <w:r w:rsidRPr="00BA7B62">
        <w:rPr>
          <w:rFonts w:ascii="Arial" w:eastAsia="Times New Roman" w:hAnsi="Arial" w:cs="Arial"/>
          <w:sz w:val="22"/>
          <w:szCs w:val="22"/>
          <w:lang w:eastAsia="ar-SA"/>
        </w:rPr>
        <w:t>para que esta emitiera su opinión no vinculante, con relación a dicho documento, tal como se indicó en los Antecedentes Noveno y Decimocuarto del presente Acuerdo, con la finalidad de observar el proceso de mejora regulatoria previsto en el marco jurídico vigente, para la emisión de disposiciones administrativas de carácter general.</w:t>
      </w:r>
    </w:p>
    <w:p w14:paraId="0095D2F4" w14:textId="77777777" w:rsidR="002773C7" w:rsidRPr="00BA7B62" w:rsidRDefault="002773C7" w:rsidP="002773C7">
      <w:pPr>
        <w:spacing w:line="276" w:lineRule="auto"/>
        <w:jc w:val="both"/>
        <w:rPr>
          <w:rFonts w:ascii="Arial" w:eastAsia="Times New Roman" w:hAnsi="Arial" w:cs="Arial"/>
          <w:sz w:val="22"/>
          <w:szCs w:val="22"/>
          <w:lang w:eastAsia="ar-SA"/>
        </w:rPr>
      </w:pPr>
    </w:p>
    <w:p w14:paraId="0ECA820E" w14:textId="77777777" w:rsidR="002773C7" w:rsidRPr="00BA7B62" w:rsidRDefault="002773C7" w:rsidP="002773C7">
      <w:pPr>
        <w:spacing w:line="276" w:lineRule="auto"/>
        <w:jc w:val="both"/>
        <w:rPr>
          <w:rFonts w:ascii="Arial" w:hAnsi="Arial" w:cs="Arial"/>
          <w:i/>
          <w:kern w:val="2"/>
          <w:sz w:val="22"/>
          <w:szCs w:val="22"/>
          <w:lang w:val="es-ES_tradnl" w:eastAsia="ar-SA"/>
        </w:rPr>
      </w:pPr>
      <w:r w:rsidRPr="00BA7B62">
        <w:rPr>
          <w:rFonts w:ascii="Arial" w:eastAsia="Times New Roman" w:hAnsi="Arial" w:cs="Arial"/>
          <w:sz w:val="22"/>
          <w:szCs w:val="22"/>
          <w:lang w:eastAsia="ar-SA"/>
        </w:rPr>
        <w:t xml:space="preserve">Como consecuencia de lo anterior, mediante los oficios indicados en los Antecedentes Décimo y Decimoquinto del presente Acuerdo, la CGMR envió a la UER la opinión no vinculante sobre el AIR del anteproyecto. </w:t>
      </w:r>
    </w:p>
    <w:p w14:paraId="09EC1B66" w14:textId="77777777" w:rsidR="002773C7" w:rsidRPr="00BA7B62" w:rsidRDefault="002773C7" w:rsidP="002773C7">
      <w:pPr>
        <w:spacing w:line="276" w:lineRule="auto"/>
        <w:jc w:val="both"/>
        <w:rPr>
          <w:rFonts w:ascii="Arial" w:eastAsia="Times New Roman" w:hAnsi="Arial" w:cs="Arial"/>
          <w:sz w:val="22"/>
          <w:szCs w:val="22"/>
          <w:lang w:eastAsia="ar-SA"/>
        </w:rPr>
      </w:pPr>
    </w:p>
    <w:p w14:paraId="41E3BB89" w14:textId="36371E97" w:rsidR="002773C7" w:rsidRPr="00BA7B62" w:rsidRDefault="002773C7" w:rsidP="002773C7">
      <w:pPr>
        <w:spacing w:line="276" w:lineRule="auto"/>
        <w:jc w:val="both"/>
        <w:rPr>
          <w:rFonts w:ascii="Arial" w:eastAsia="Times New Roman" w:hAnsi="Arial" w:cs="Arial"/>
          <w:sz w:val="22"/>
          <w:szCs w:val="22"/>
          <w:lang w:eastAsia="ar-SA"/>
        </w:rPr>
      </w:pPr>
      <w:r w:rsidRPr="00BA7B62">
        <w:rPr>
          <w:rFonts w:ascii="Arial" w:eastAsia="Times New Roman" w:hAnsi="Arial" w:cs="Arial"/>
          <w:sz w:val="22"/>
          <w:szCs w:val="22"/>
          <w:lang w:eastAsia="ar-SA"/>
        </w:rPr>
        <w:t>Asimismo, se manifiesta que, respecto al presente proyecto de disposición administrativa de carácter general, el Instituto puso a disposición de los interesados en participar en la Consulta Pública, el AIR, mismo que ______ modificaciones sustanciales a razón de la Consulta Pública referida en el numeral anterior, ni en virtud de las adecuaciones realizadas al presente Acuerdo.</w:t>
      </w:r>
    </w:p>
    <w:p w14:paraId="589E3DB0" w14:textId="77777777" w:rsidR="002773C7" w:rsidRPr="00BA7B62" w:rsidRDefault="002773C7" w:rsidP="002773C7">
      <w:pPr>
        <w:spacing w:line="276" w:lineRule="auto"/>
        <w:jc w:val="both"/>
        <w:rPr>
          <w:rFonts w:ascii="Arial" w:eastAsia="Times New Roman" w:hAnsi="Arial" w:cs="Arial"/>
          <w:sz w:val="22"/>
          <w:szCs w:val="22"/>
          <w:lang w:eastAsia="ar-SA"/>
        </w:rPr>
      </w:pPr>
    </w:p>
    <w:p w14:paraId="49B17309" w14:textId="77777777" w:rsidR="002773C7" w:rsidRPr="00BA7B62" w:rsidRDefault="002773C7" w:rsidP="002773C7">
      <w:pPr>
        <w:spacing w:line="276" w:lineRule="auto"/>
        <w:jc w:val="both"/>
        <w:rPr>
          <w:rFonts w:ascii="Arial" w:eastAsia="Times New Roman" w:hAnsi="Arial" w:cs="Arial"/>
          <w:sz w:val="22"/>
          <w:szCs w:val="22"/>
          <w:lang w:eastAsia="ar-SA"/>
        </w:rPr>
      </w:pPr>
      <w:r w:rsidRPr="00BA7B62">
        <w:rPr>
          <w:rFonts w:ascii="Arial" w:eastAsia="Times New Roman" w:hAnsi="Arial" w:cs="Arial"/>
          <w:sz w:val="22"/>
          <w:szCs w:val="22"/>
          <w:lang w:eastAsia="ar-SA"/>
        </w:rPr>
        <w:t>Por lo anterior, con fundamento en los artículos 6o., párrafo tercero y apartado B, fracción II; 27, párrafos cuarto y sexto y 28, párrafos décimo quinto, décimo sexto y vigésimo, fracción IV de la Constitución Política de los Estados Unidos Mexicanos; 7, 15, fracciones I, LVI y LVII, 16, 17 fracción I, 54, 55, fracción II, 56 y 64 de la Ley Federal de Telecomunicaciones y Radiodifusión; 1, 4, fracción I y 6, fracciones I, XVIII, XXV y XXXVIII del Estatuto Orgánico del Instituto Federal de Telecomunicaciones, el Pleno de este Instituto expide el siguiente:</w:t>
      </w:r>
    </w:p>
    <w:p w14:paraId="379701E7" w14:textId="77777777" w:rsidR="002773C7" w:rsidRPr="00BA7B62" w:rsidRDefault="002773C7" w:rsidP="002773C7">
      <w:pPr>
        <w:spacing w:line="276" w:lineRule="auto"/>
        <w:jc w:val="both"/>
        <w:rPr>
          <w:rFonts w:ascii="Arial" w:eastAsia="Times New Roman" w:hAnsi="Arial" w:cs="Arial"/>
          <w:sz w:val="22"/>
          <w:szCs w:val="22"/>
          <w:lang w:eastAsia="ar-SA"/>
        </w:rPr>
      </w:pPr>
    </w:p>
    <w:p w14:paraId="3730C865" w14:textId="77777777" w:rsidR="002773C7" w:rsidRPr="00BA7B62" w:rsidRDefault="002773C7" w:rsidP="002773C7">
      <w:pPr>
        <w:spacing w:line="276" w:lineRule="auto"/>
        <w:jc w:val="both"/>
        <w:rPr>
          <w:rFonts w:ascii="Arial" w:eastAsia="Times New Roman" w:hAnsi="Arial" w:cs="Arial"/>
          <w:sz w:val="22"/>
          <w:szCs w:val="22"/>
          <w:lang w:eastAsia="ar-SA"/>
        </w:rPr>
      </w:pPr>
    </w:p>
    <w:p w14:paraId="65849D7C" w14:textId="77777777" w:rsidR="002773C7" w:rsidRPr="00BA7B62" w:rsidRDefault="002773C7" w:rsidP="002773C7">
      <w:pPr>
        <w:pStyle w:val="Ttulo3"/>
        <w:numPr>
          <w:ilvl w:val="0"/>
          <w:numId w:val="0"/>
        </w:numPr>
        <w:spacing w:line="276" w:lineRule="auto"/>
        <w:contextualSpacing w:val="0"/>
        <w:rPr>
          <w:rFonts w:ascii="Arial" w:hAnsi="Arial" w:cs="Arial"/>
          <w:color w:val="auto"/>
          <w:sz w:val="26"/>
          <w:szCs w:val="26"/>
          <w:lang w:val="es-ES"/>
        </w:rPr>
      </w:pPr>
      <w:r w:rsidRPr="00BA7B62">
        <w:rPr>
          <w:rFonts w:ascii="Arial" w:hAnsi="Arial" w:cs="Arial"/>
          <w:color w:val="auto"/>
          <w:sz w:val="26"/>
          <w:szCs w:val="26"/>
          <w:lang w:val="es-ES"/>
        </w:rPr>
        <w:t>Acuerdo</w:t>
      </w:r>
    </w:p>
    <w:p w14:paraId="2B9A933C" w14:textId="77777777" w:rsidR="002773C7" w:rsidRPr="002773C7" w:rsidRDefault="002773C7" w:rsidP="002773C7">
      <w:pPr>
        <w:spacing w:line="276" w:lineRule="auto"/>
        <w:jc w:val="both"/>
        <w:rPr>
          <w:rFonts w:ascii="Arial" w:eastAsia="Times New Roman" w:hAnsi="Arial" w:cs="Arial"/>
          <w:kern w:val="1"/>
          <w:lang w:eastAsia="ar-SA"/>
        </w:rPr>
      </w:pPr>
    </w:p>
    <w:p w14:paraId="640F41EE" w14:textId="77777777" w:rsidR="002773C7" w:rsidRPr="002773C7" w:rsidRDefault="002773C7" w:rsidP="002773C7">
      <w:pPr>
        <w:pStyle w:val="Ttulo4"/>
        <w:numPr>
          <w:ilvl w:val="0"/>
          <w:numId w:val="48"/>
        </w:numPr>
        <w:spacing w:line="276" w:lineRule="auto"/>
        <w:ind w:left="0" w:hanging="11"/>
        <w:rPr>
          <w:b w:val="0"/>
          <w:iCs w:val="0"/>
          <w:kern w:val="1"/>
          <w:lang w:eastAsia="ar-SA"/>
        </w:rPr>
      </w:pPr>
      <w:r w:rsidRPr="002773C7">
        <w:rPr>
          <w:b w:val="0"/>
          <w:iCs w:val="0"/>
        </w:rPr>
        <w:t xml:space="preserve">Se actualizan las condiciones técnicas de operación contenidas en </w:t>
      </w:r>
      <w:r w:rsidRPr="002773C7">
        <w:rPr>
          <w:b w:val="0"/>
          <w:iCs w:val="0"/>
          <w:kern w:val="1"/>
          <w:lang w:eastAsia="ar-SA"/>
        </w:rPr>
        <w:t xml:space="preserve">el Anexo 1 del </w:t>
      </w:r>
      <w:r w:rsidRPr="002773C7">
        <w:rPr>
          <w:b w:val="0"/>
          <w:i/>
          <w:kern w:val="1"/>
          <w:lang w:eastAsia="ar-SA"/>
        </w:rPr>
        <w:t>“Acuerdo mediante el cual el Pleno del Instituto Federal de Telecomunicaciones clasifica la banda de frecuencias 57-64 GHz como espectro libre y expide las condiciones técnicas de operación”</w:t>
      </w:r>
      <w:r w:rsidRPr="002773C7">
        <w:rPr>
          <w:b w:val="0"/>
          <w:iCs w:val="0"/>
          <w:kern w:val="1"/>
          <w:lang w:eastAsia="ar-SA"/>
        </w:rPr>
        <w:t>, para quedar como sigue:</w:t>
      </w:r>
    </w:p>
    <w:p w14:paraId="38613F32" w14:textId="6C6B49F6" w:rsidR="002773C7" w:rsidRDefault="002773C7" w:rsidP="00FA2132">
      <w:pPr>
        <w:spacing w:line="276" w:lineRule="auto"/>
        <w:jc w:val="both"/>
        <w:rPr>
          <w:rFonts w:ascii="Arial" w:hAnsi="Arial" w:cs="Arial"/>
          <w:iCs/>
          <w:lang w:eastAsia="ar-SA"/>
        </w:rPr>
      </w:pPr>
    </w:p>
    <w:p w14:paraId="6B014CFD" w14:textId="2BF37209" w:rsidR="00FA2132" w:rsidRDefault="00FA2132" w:rsidP="00FA2132">
      <w:pPr>
        <w:spacing w:line="276" w:lineRule="auto"/>
        <w:jc w:val="both"/>
        <w:rPr>
          <w:rFonts w:ascii="Arial" w:hAnsi="Arial" w:cs="Arial"/>
          <w:iCs/>
          <w:lang w:eastAsia="ar-SA"/>
        </w:rPr>
      </w:pPr>
    </w:p>
    <w:p w14:paraId="356A7AF1" w14:textId="77777777" w:rsidR="00FA2132" w:rsidRPr="002773C7" w:rsidRDefault="00FA2132" w:rsidP="00FA2132">
      <w:pPr>
        <w:spacing w:line="276" w:lineRule="auto"/>
        <w:jc w:val="both"/>
        <w:rPr>
          <w:rFonts w:ascii="Arial" w:hAnsi="Arial" w:cs="Arial"/>
          <w:iCs/>
          <w:lang w:eastAsia="ar-SA"/>
        </w:rPr>
      </w:pPr>
    </w:p>
    <w:p w14:paraId="05C2450C" w14:textId="77777777" w:rsidR="002773C7" w:rsidRPr="00FA2132" w:rsidRDefault="002773C7" w:rsidP="002773C7">
      <w:pPr>
        <w:pStyle w:val="Ttulo3"/>
        <w:numPr>
          <w:ilvl w:val="0"/>
          <w:numId w:val="0"/>
        </w:numPr>
        <w:spacing w:line="276" w:lineRule="auto"/>
        <w:contextualSpacing w:val="0"/>
        <w:rPr>
          <w:rFonts w:ascii="Arial" w:hAnsi="Arial" w:cs="Arial"/>
          <w:sz w:val="26"/>
          <w:szCs w:val="26"/>
        </w:rPr>
      </w:pPr>
      <w:r w:rsidRPr="00FA2132">
        <w:rPr>
          <w:rFonts w:ascii="Arial" w:hAnsi="Arial" w:cs="Arial"/>
          <w:sz w:val="26"/>
          <w:szCs w:val="26"/>
        </w:rPr>
        <w:t>ANEXO 1</w:t>
      </w:r>
    </w:p>
    <w:p w14:paraId="08DF95B6" w14:textId="77777777" w:rsidR="002773C7" w:rsidRPr="00FA2132" w:rsidRDefault="002773C7" w:rsidP="002773C7">
      <w:pPr>
        <w:pStyle w:val="Ttulo3"/>
        <w:numPr>
          <w:ilvl w:val="0"/>
          <w:numId w:val="0"/>
        </w:numPr>
        <w:spacing w:line="276" w:lineRule="auto"/>
        <w:contextualSpacing w:val="0"/>
        <w:jc w:val="both"/>
        <w:rPr>
          <w:rFonts w:ascii="Arial" w:hAnsi="Arial" w:cs="Arial"/>
          <w:color w:val="auto"/>
          <w:sz w:val="26"/>
          <w:szCs w:val="26"/>
        </w:rPr>
      </w:pPr>
      <w:r w:rsidRPr="00FA2132">
        <w:rPr>
          <w:rFonts w:ascii="Arial" w:hAnsi="Arial" w:cs="Arial"/>
          <w:color w:val="auto"/>
          <w:sz w:val="26"/>
          <w:szCs w:val="26"/>
        </w:rPr>
        <w:t>CONDICIONES TÉCNICAS DE OPERACIÓN PARA EL USO DE LA BANDA DE FRECUENCIAS 57-64 GHz</w:t>
      </w:r>
    </w:p>
    <w:p w14:paraId="047F0B03" w14:textId="77777777" w:rsidR="002773C7" w:rsidRPr="002773C7" w:rsidRDefault="002773C7" w:rsidP="002773C7">
      <w:pPr>
        <w:pStyle w:val="ANOTACION"/>
        <w:spacing w:before="0" w:after="0" w:line="276" w:lineRule="auto"/>
        <w:jc w:val="right"/>
        <w:rPr>
          <w:rFonts w:ascii="Arial" w:hAnsi="Arial" w:cs="Arial"/>
          <w:color w:val="FF0000"/>
          <w:sz w:val="22"/>
          <w:szCs w:val="22"/>
          <w:lang w:eastAsia="es-MX"/>
        </w:rPr>
      </w:pPr>
      <w:r w:rsidRPr="002773C7">
        <w:rPr>
          <w:rFonts w:ascii="Arial" w:eastAsiaTheme="minorHAnsi" w:hAnsi="Arial" w:cs="Arial"/>
          <w:i/>
          <w:color w:val="FF0000"/>
          <w:sz w:val="22"/>
          <w:szCs w:val="22"/>
        </w:rPr>
        <w:t>Adición</w:t>
      </w:r>
    </w:p>
    <w:p w14:paraId="18D625CB" w14:textId="77777777" w:rsidR="002773C7" w:rsidRPr="002773C7" w:rsidRDefault="002773C7" w:rsidP="002773C7">
      <w:pPr>
        <w:pStyle w:val="Prrafodelista"/>
        <w:spacing w:line="276" w:lineRule="auto"/>
        <w:ind w:left="0"/>
        <w:contextualSpacing w:val="0"/>
        <w:jc w:val="both"/>
        <w:rPr>
          <w:rFonts w:ascii="Arial" w:hAnsi="Arial" w:cs="Arial"/>
          <w:b/>
          <w:sz w:val="22"/>
          <w:szCs w:val="22"/>
        </w:rPr>
      </w:pPr>
      <w:r w:rsidRPr="002773C7">
        <w:rPr>
          <w:rFonts w:ascii="Arial" w:hAnsi="Arial" w:cs="Arial"/>
          <w:b/>
          <w:sz w:val="22"/>
          <w:szCs w:val="22"/>
        </w:rPr>
        <w:t>1.</w:t>
      </w:r>
      <w:r w:rsidRPr="002773C7">
        <w:rPr>
          <w:rFonts w:ascii="Arial" w:hAnsi="Arial" w:cs="Arial"/>
          <w:b/>
          <w:sz w:val="22"/>
          <w:szCs w:val="22"/>
        </w:rPr>
        <w:tab/>
      </w:r>
      <w:r w:rsidRPr="002773C7">
        <w:rPr>
          <w:rFonts w:ascii="Arial" w:hAnsi="Arial" w:cs="Arial"/>
          <w:sz w:val="22"/>
          <w:szCs w:val="22"/>
        </w:rPr>
        <w:t>…</w:t>
      </w:r>
    </w:p>
    <w:p w14:paraId="6A749CF5" w14:textId="77777777" w:rsidR="002773C7" w:rsidRPr="002773C7" w:rsidRDefault="002773C7" w:rsidP="002773C7">
      <w:pPr>
        <w:pStyle w:val="Prrafodelista"/>
        <w:spacing w:line="276" w:lineRule="auto"/>
        <w:ind w:left="1418" w:hanging="992"/>
        <w:contextualSpacing w:val="0"/>
        <w:jc w:val="both"/>
        <w:rPr>
          <w:rFonts w:ascii="Arial" w:hAnsi="Arial" w:cs="Arial"/>
          <w:b/>
          <w:sz w:val="22"/>
          <w:szCs w:val="22"/>
        </w:rPr>
      </w:pPr>
      <w:r w:rsidRPr="002773C7">
        <w:rPr>
          <w:rFonts w:ascii="Arial" w:hAnsi="Arial" w:cs="Arial"/>
          <w:b/>
          <w:sz w:val="22"/>
          <w:szCs w:val="22"/>
        </w:rPr>
        <w:t>1.1</w:t>
      </w:r>
      <w:r w:rsidRPr="002773C7">
        <w:rPr>
          <w:rFonts w:ascii="Arial" w:hAnsi="Arial" w:cs="Arial"/>
          <w:b/>
          <w:sz w:val="22"/>
          <w:szCs w:val="22"/>
        </w:rPr>
        <w:tab/>
      </w:r>
      <w:r w:rsidRPr="002773C7">
        <w:rPr>
          <w:rFonts w:ascii="Arial" w:hAnsi="Arial" w:cs="Arial"/>
          <w:sz w:val="22"/>
          <w:szCs w:val="22"/>
        </w:rPr>
        <w:t>…</w:t>
      </w:r>
    </w:p>
    <w:p w14:paraId="16B65665" w14:textId="77777777" w:rsidR="002773C7" w:rsidRPr="002773C7" w:rsidRDefault="002773C7" w:rsidP="002773C7">
      <w:pPr>
        <w:pStyle w:val="Prrafodelista"/>
        <w:spacing w:line="276" w:lineRule="auto"/>
        <w:ind w:left="2268" w:hanging="1134"/>
        <w:contextualSpacing w:val="0"/>
        <w:jc w:val="both"/>
        <w:rPr>
          <w:rFonts w:ascii="Arial" w:hAnsi="Arial" w:cs="Arial"/>
          <w:b/>
          <w:sz w:val="22"/>
          <w:szCs w:val="22"/>
        </w:rPr>
      </w:pPr>
      <w:r w:rsidRPr="002773C7">
        <w:rPr>
          <w:rFonts w:ascii="Arial" w:hAnsi="Arial" w:cs="Arial"/>
          <w:b/>
          <w:sz w:val="22"/>
          <w:szCs w:val="22"/>
        </w:rPr>
        <w:t xml:space="preserve">1.1.1 </w:t>
      </w:r>
      <w:r w:rsidRPr="002773C7">
        <w:rPr>
          <w:rFonts w:ascii="Arial" w:hAnsi="Arial" w:cs="Arial"/>
          <w:b/>
          <w:sz w:val="22"/>
          <w:szCs w:val="22"/>
        </w:rPr>
        <w:tab/>
      </w:r>
      <w:r w:rsidRPr="002773C7">
        <w:rPr>
          <w:rFonts w:ascii="Arial" w:hAnsi="Arial" w:cs="Arial"/>
          <w:sz w:val="22"/>
          <w:szCs w:val="22"/>
        </w:rPr>
        <w:t>…</w:t>
      </w:r>
    </w:p>
    <w:p w14:paraId="6C1D300A" w14:textId="77777777" w:rsidR="002773C7" w:rsidRPr="002773C7" w:rsidRDefault="002773C7" w:rsidP="002773C7">
      <w:pPr>
        <w:pStyle w:val="Prrafodelista"/>
        <w:spacing w:line="276" w:lineRule="auto"/>
        <w:ind w:left="2268" w:hanging="1134"/>
        <w:contextualSpacing w:val="0"/>
        <w:jc w:val="both"/>
        <w:rPr>
          <w:rFonts w:ascii="Arial" w:hAnsi="Arial" w:cs="Arial"/>
          <w:b/>
          <w:sz w:val="22"/>
          <w:szCs w:val="22"/>
        </w:rPr>
      </w:pPr>
      <w:r w:rsidRPr="002773C7">
        <w:rPr>
          <w:rFonts w:ascii="Arial" w:hAnsi="Arial" w:cs="Arial"/>
          <w:b/>
          <w:sz w:val="22"/>
          <w:szCs w:val="22"/>
        </w:rPr>
        <w:t>1.1.2</w:t>
      </w:r>
      <w:r w:rsidRPr="002773C7">
        <w:rPr>
          <w:rFonts w:ascii="Arial" w:hAnsi="Arial" w:cs="Arial"/>
          <w:b/>
          <w:sz w:val="22"/>
          <w:szCs w:val="22"/>
        </w:rPr>
        <w:tab/>
      </w:r>
      <w:r w:rsidRPr="002773C7">
        <w:rPr>
          <w:rFonts w:ascii="Arial" w:hAnsi="Arial" w:cs="Arial"/>
          <w:sz w:val="22"/>
          <w:szCs w:val="22"/>
        </w:rPr>
        <w:t>…</w:t>
      </w:r>
    </w:p>
    <w:p w14:paraId="36C8D72F" w14:textId="77777777" w:rsidR="002773C7" w:rsidRPr="002773C7" w:rsidRDefault="002773C7" w:rsidP="002773C7">
      <w:pPr>
        <w:pStyle w:val="Prrafodelista"/>
        <w:spacing w:line="276" w:lineRule="auto"/>
        <w:ind w:left="2268" w:hanging="1134"/>
        <w:contextualSpacing w:val="0"/>
        <w:jc w:val="both"/>
        <w:rPr>
          <w:rFonts w:ascii="Arial" w:hAnsi="Arial" w:cs="Arial"/>
          <w:sz w:val="22"/>
          <w:szCs w:val="22"/>
        </w:rPr>
      </w:pPr>
      <w:r w:rsidRPr="002773C7">
        <w:rPr>
          <w:rFonts w:ascii="Arial" w:hAnsi="Arial" w:cs="Arial"/>
          <w:b/>
          <w:sz w:val="22"/>
          <w:szCs w:val="22"/>
        </w:rPr>
        <w:t xml:space="preserve">1.1.3 </w:t>
      </w:r>
      <w:r w:rsidRPr="002773C7">
        <w:rPr>
          <w:rFonts w:ascii="Arial" w:hAnsi="Arial" w:cs="Arial"/>
          <w:b/>
          <w:sz w:val="22"/>
          <w:szCs w:val="22"/>
        </w:rPr>
        <w:tab/>
      </w:r>
      <w:r w:rsidRPr="002773C7">
        <w:rPr>
          <w:rFonts w:ascii="Arial" w:hAnsi="Arial" w:cs="Arial"/>
          <w:sz w:val="22"/>
          <w:szCs w:val="22"/>
        </w:rPr>
        <w:t>…</w:t>
      </w:r>
    </w:p>
    <w:p w14:paraId="18DB839D" w14:textId="77777777" w:rsidR="002773C7" w:rsidRPr="002773C7" w:rsidRDefault="002773C7" w:rsidP="002773C7">
      <w:pPr>
        <w:pStyle w:val="Prrafodelista"/>
        <w:spacing w:line="276" w:lineRule="auto"/>
        <w:ind w:left="2268" w:hanging="1134"/>
        <w:contextualSpacing w:val="0"/>
        <w:jc w:val="both"/>
        <w:rPr>
          <w:rFonts w:ascii="Arial" w:hAnsi="Arial" w:cs="Arial"/>
          <w:b/>
          <w:sz w:val="22"/>
          <w:szCs w:val="22"/>
        </w:rPr>
      </w:pPr>
      <w:r w:rsidRPr="002773C7">
        <w:rPr>
          <w:rFonts w:ascii="Arial" w:hAnsi="Arial" w:cs="Arial"/>
          <w:b/>
          <w:sz w:val="22"/>
          <w:szCs w:val="22"/>
        </w:rPr>
        <w:t xml:space="preserve">1.1.3 bis </w:t>
      </w:r>
      <w:r w:rsidRPr="002773C7">
        <w:rPr>
          <w:rFonts w:ascii="Arial" w:hAnsi="Arial" w:cs="Arial"/>
          <w:b/>
          <w:sz w:val="22"/>
          <w:szCs w:val="22"/>
        </w:rPr>
        <w:tab/>
        <w:t>Densidad espectral de potencia: es la potencia media en el ancho de banda de referencia.</w:t>
      </w:r>
    </w:p>
    <w:p w14:paraId="3854DBDA" w14:textId="77777777" w:rsidR="002773C7" w:rsidRPr="002773C7" w:rsidRDefault="002773C7" w:rsidP="002773C7">
      <w:pPr>
        <w:pStyle w:val="ANOTACION"/>
        <w:spacing w:before="0" w:after="0" w:line="276" w:lineRule="auto"/>
        <w:jc w:val="right"/>
        <w:rPr>
          <w:rFonts w:ascii="Arial" w:hAnsi="Arial" w:cs="Arial"/>
          <w:color w:val="FF0000"/>
          <w:sz w:val="22"/>
          <w:szCs w:val="22"/>
          <w:lang w:eastAsia="es-MX"/>
        </w:rPr>
      </w:pPr>
      <w:r w:rsidRPr="002773C7">
        <w:rPr>
          <w:rFonts w:ascii="Arial" w:eastAsiaTheme="minorHAnsi" w:hAnsi="Arial" w:cs="Arial"/>
          <w:i/>
          <w:color w:val="FF0000"/>
          <w:sz w:val="22"/>
          <w:szCs w:val="22"/>
        </w:rPr>
        <w:t>Adición</w:t>
      </w:r>
    </w:p>
    <w:p w14:paraId="00CCD8A5" w14:textId="77777777" w:rsidR="002773C7" w:rsidRPr="002773C7" w:rsidRDefault="002773C7" w:rsidP="002773C7">
      <w:pPr>
        <w:pStyle w:val="Prrafodelista"/>
        <w:spacing w:line="276" w:lineRule="auto"/>
        <w:ind w:left="2268" w:hanging="1134"/>
        <w:contextualSpacing w:val="0"/>
        <w:jc w:val="both"/>
        <w:rPr>
          <w:rFonts w:ascii="Arial" w:hAnsi="Arial" w:cs="Arial"/>
          <w:sz w:val="22"/>
          <w:szCs w:val="22"/>
        </w:rPr>
      </w:pPr>
      <w:r w:rsidRPr="002773C7">
        <w:rPr>
          <w:rFonts w:ascii="Arial" w:hAnsi="Arial" w:cs="Arial"/>
          <w:b/>
          <w:sz w:val="22"/>
          <w:szCs w:val="22"/>
        </w:rPr>
        <w:t>1.1.4</w:t>
      </w:r>
      <w:r w:rsidRPr="002773C7">
        <w:rPr>
          <w:rFonts w:ascii="Arial" w:hAnsi="Arial" w:cs="Arial"/>
          <w:b/>
          <w:sz w:val="22"/>
          <w:szCs w:val="22"/>
        </w:rPr>
        <w:tab/>
        <w:t>Dispositivos de radiocomunicaciones de corto alcance (DRCA): transmisores radioeléctricos que operan con baja potencia para proporcionar comunicaciones unidireccionales o bidireccionales y que tienen baja capacidad de producir interferencias a otros equipos radioeléctricos utilizando antenas integradas, específicas o externas.</w:t>
      </w:r>
    </w:p>
    <w:p w14:paraId="4D9FE724" w14:textId="77777777" w:rsidR="002773C7" w:rsidRPr="002773C7" w:rsidRDefault="002773C7" w:rsidP="002773C7">
      <w:pPr>
        <w:pStyle w:val="Texto"/>
        <w:spacing w:after="0" w:line="276" w:lineRule="auto"/>
        <w:ind w:left="1560" w:hanging="851"/>
        <w:jc w:val="right"/>
        <w:rPr>
          <w:b/>
          <w:bCs/>
          <w:color w:val="FF0000"/>
          <w:sz w:val="22"/>
          <w:szCs w:val="22"/>
          <w:lang w:eastAsia="es-MX"/>
        </w:rPr>
      </w:pPr>
      <w:r w:rsidRPr="002773C7">
        <w:rPr>
          <w:rFonts w:eastAsiaTheme="minorHAnsi"/>
          <w:b/>
          <w:bCs/>
          <w:i/>
          <w:color w:val="FF0000"/>
          <w:sz w:val="22"/>
          <w:szCs w:val="22"/>
        </w:rPr>
        <w:t>Modificación</w:t>
      </w:r>
    </w:p>
    <w:p w14:paraId="0A732893" w14:textId="77777777" w:rsidR="002773C7" w:rsidRPr="002773C7" w:rsidRDefault="002773C7" w:rsidP="002773C7">
      <w:pPr>
        <w:pStyle w:val="Prrafodelista"/>
        <w:spacing w:line="276" w:lineRule="auto"/>
        <w:ind w:left="2268" w:hanging="1134"/>
        <w:contextualSpacing w:val="0"/>
        <w:jc w:val="both"/>
        <w:rPr>
          <w:rFonts w:ascii="Arial" w:hAnsi="Arial" w:cs="Arial"/>
          <w:sz w:val="22"/>
          <w:szCs w:val="22"/>
        </w:rPr>
      </w:pPr>
      <w:r w:rsidRPr="002773C7">
        <w:rPr>
          <w:rFonts w:ascii="Arial" w:hAnsi="Arial" w:cs="Arial"/>
          <w:b/>
          <w:sz w:val="22"/>
          <w:szCs w:val="22"/>
        </w:rPr>
        <w:t>1.1.5</w:t>
      </w:r>
      <w:r w:rsidRPr="002773C7">
        <w:rPr>
          <w:rFonts w:ascii="Arial" w:hAnsi="Arial" w:cs="Arial"/>
          <w:b/>
          <w:sz w:val="22"/>
          <w:szCs w:val="22"/>
        </w:rPr>
        <w:tab/>
      </w:r>
      <w:r w:rsidRPr="002773C7">
        <w:rPr>
          <w:rFonts w:ascii="Arial" w:hAnsi="Arial" w:cs="Arial"/>
          <w:sz w:val="22"/>
          <w:szCs w:val="22"/>
        </w:rPr>
        <w:t>…</w:t>
      </w:r>
    </w:p>
    <w:p w14:paraId="7EE83BD5" w14:textId="77777777" w:rsidR="002773C7" w:rsidRPr="002773C7" w:rsidRDefault="002773C7" w:rsidP="002773C7">
      <w:pPr>
        <w:pStyle w:val="Prrafodelista"/>
        <w:spacing w:line="276" w:lineRule="auto"/>
        <w:ind w:left="2268" w:hanging="1134"/>
        <w:contextualSpacing w:val="0"/>
        <w:jc w:val="both"/>
        <w:rPr>
          <w:rFonts w:ascii="Arial" w:hAnsi="Arial" w:cs="Arial"/>
          <w:b/>
          <w:sz w:val="22"/>
          <w:szCs w:val="22"/>
        </w:rPr>
      </w:pPr>
      <w:r w:rsidRPr="002773C7">
        <w:rPr>
          <w:rFonts w:ascii="Arial" w:hAnsi="Arial" w:cs="Arial"/>
          <w:b/>
          <w:sz w:val="22"/>
          <w:szCs w:val="22"/>
        </w:rPr>
        <w:t>1.1.6</w:t>
      </w:r>
      <w:r w:rsidRPr="002773C7">
        <w:rPr>
          <w:rFonts w:ascii="Arial" w:hAnsi="Arial" w:cs="Arial"/>
          <w:b/>
          <w:sz w:val="22"/>
          <w:szCs w:val="22"/>
        </w:rPr>
        <w:tab/>
      </w:r>
      <w:r w:rsidRPr="002773C7">
        <w:rPr>
          <w:rFonts w:ascii="Arial" w:hAnsi="Arial" w:cs="Arial"/>
          <w:sz w:val="22"/>
          <w:szCs w:val="22"/>
        </w:rPr>
        <w:t>…</w:t>
      </w:r>
    </w:p>
    <w:p w14:paraId="2E4C4F91" w14:textId="77777777" w:rsidR="002773C7" w:rsidRPr="002773C7" w:rsidRDefault="002773C7" w:rsidP="002773C7">
      <w:pPr>
        <w:pStyle w:val="Prrafodelista"/>
        <w:spacing w:line="276" w:lineRule="auto"/>
        <w:ind w:left="2268" w:hanging="1134"/>
        <w:contextualSpacing w:val="0"/>
        <w:jc w:val="both"/>
        <w:rPr>
          <w:rFonts w:ascii="Arial" w:hAnsi="Arial" w:cs="Arial"/>
          <w:b/>
          <w:sz w:val="22"/>
          <w:szCs w:val="22"/>
        </w:rPr>
      </w:pPr>
      <w:r w:rsidRPr="002773C7">
        <w:rPr>
          <w:rFonts w:ascii="Arial" w:hAnsi="Arial" w:cs="Arial"/>
          <w:b/>
          <w:sz w:val="22"/>
          <w:szCs w:val="22"/>
        </w:rPr>
        <w:t>1.1.6 bis</w:t>
      </w:r>
      <w:r w:rsidRPr="002773C7">
        <w:rPr>
          <w:rFonts w:ascii="Arial" w:hAnsi="Arial" w:cs="Arial"/>
          <w:b/>
          <w:sz w:val="22"/>
          <w:szCs w:val="22"/>
        </w:rPr>
        <w:tab/>
        <w:t>Ganancia de la antena: relación generalmente expresada en dB, que debe existir entre la potencia necesaria a la entrada de una antena de referencia sin pérdidas y la potencia suministrada a la entrada de la antena en cuestión, para que ambas antenas produzcan, en una dirección dada, la misma intensidad de campo, o la misma densidad de flujo de potencia, a la misma distancia.</w:t>
      </w:r>
    </w:p>
    <w:p w14:paraId="40954AD0" w14:textId="77777777" w:rsidR="002773C7" w:rsidRPr="002773C7" w:rsidRDefault="002773C7" w:rsidP="002773C7">
      <w:pPr>
        <w:pStyle w:val="ANOTACION"/>
        <w:spacing w:before="0" w:after="0" w:line="276" w:lineRule="auto"/>
        <w:jc w:val="right"/>
        <w:rPr>
          <w:rFonts w:ascii="Arial" w:hAnsi="Arial" w:cs="Arial"/>
          <w:color w:val="FF0000"/>
          <w:sz w:val="22"/>
          <w:szCs w:val="22"/>
          <w:lang w:eastAsia="es-MX"/>
        </w:rPr>
      </w:pPr>
      <w:r w:rsidRPr="002773C7">
        <w:rPr>
          <w:rFonts w:ascii="Arial" w:eastAsiaTheme="minorHAnsi" w:hAnsi="Arial" w:cs="Arial"/>
          <w:i/>
          <w:color w:val="FF0000"/>
          <w:sz w:val="22"/>
          <w:szCs w:val="22"/>
        </w:rPr>
        <w:t>Adición</w:t>
      </w:r>
    </w:p>
    <w:p w14:paraId="3A63DEEF" w14:textId="77777777" w:rsidR="002773C7" w:rsidRPr="002773C7" w:rsidRDefault="002773C7" w:rsidP="002773C7">
      <w:pPr>
        <w:pStyle w:val="Prrafodelista"/>
        <w:spacing w:line="276" w:lineRule="auto"/>
        <w:ind w:left="2268" w:hanging="1134"/>
        <w:contextualSpacing w:val="0"/>
        <w:jc w:val="both"/>
        <w:rPr>
          <w:rFonts w:ascii="Arial" w:hAnsi="Arial" w:cs="Arial"/>
          <w:sz w:val="22"/>
          <w:szCs w:val="22"/>
        </w:rPr>
      </w:pPr>
      <w:r w:rsidRPr="002773C7">
        <w:rPr>
          <w:rFonts w:ascii="Arial" w:hAnsi="Arial" w:cs="Arial"/>
          <w:b/>
          <w:sz w:val="22"/>
          <w:szCs w:val="22"/>
        </w:rPr>
        <w:t>1.1.7</w:t>
      </w:r>
      <w:r w:rsidRPr="002773C7">
        <w:rPr>
          <w:rFonts w:ascii="Arial" w:hAnsi="Arial" w:cs="Arial"/>
          <w:b/>
          <w:sz w:val="22"/>
          <w:szCs w:val="22"/>
        </w:rPr>
        <w:tab/>
      </w:r>
      <w:r w:rsidRPr="002773C7">
        <w:rPr>
          <w:rFonts w:ascii="Arial" w:hAnsi="Arial" w:cs="Arial"/>
          <w:sz w:val="22"/>
          <w:szCs w:val="22"/>
        </w:rPr>
        <w:t>…</w:t>
      </w:r>
    </w:p>
    <w:p w14:paraId="246C5AB5" w14:textId="77777777" w:rsidR="002773C7" w:rsidRPr="002773C7" w:rsidRDefault="002773C7" w:rsidP="002773C7">
      <w:pPr>
        <w:pStyle w:val="Prrafodelista"/>
        <w:spacing w:line="276" w:lineRule="auto"/>
        <w:ind w:left="2268" w:hanging="1134"/>
        <w:contextualSpacing w:val="0"/>
        <w:jc w:val="both"/>
        <w:rPr>
          <w:rFonts w:ascii="Arial" w:hAnsi="Arial" w:cs="Arial"/>
          <w:sz w:val="22"/>
          <w:szCs w:val="22"/>
        </w:rPr>
      </w:pPr>
      <w:r w:rsidRPr="002773C7">
        <w:rPr>
          <w:rFonts w:ascii="Arial" w:hAnsi="Arial" w:cs="Arial"/>
          <w:b/>
          <w:sz w:val="22"/>
          <w:szCs w:val="22"/>
        </w:rPr>
        <w:t>1.1.8</w:t>
      </w:r>
      <w:r w:rsidRPr="002773C7">
        <w:rPr>
          <w:rFonts w:ascii="Arial" w:hAnsi="Arial" w:cs="Arial"/>
          <w:b/>
          <w:sz w:val="22"/>
          <w:szCs w:val="22"/>
        </w:rPr>
        <w:tab/>
      </w:r>
      <w:r w:rsidRPr="002773C7">
        <w:rPr>
          <w:rFonts w:ascii="Arial" w:hAnsi="Arial" w:cs="Arial"/>
          <w:sz w:val="22"/>
          <w:szCs w:val="22"/>
        </w:rPr>
        <w:t>…</w:t>
      </w:r>
    </w:p>
    <w:p w14:paraId="6BE08A19" w14:textId="77777777" w:rsidR="002773C7" w:rsidRPr="002773C7" w:rsidRDefault="002773C7" w:rsidP="002773C7">
      <w:pPr>
        <w:pStyle w:val="Prrafodelista"/>
        <w:spacing w:line="276" w:lineRule="auto"/>
        <w:ind w:left="2268" w:hanging="1134"/>
        <w:contextualSpacing w:val="0"/>
        <w:jc w:val="both"/>
        <w:rPr>
          <w:rFonts w:ascii="Arial" w:hAnsi="Arial" w:cs="Arial"/>
          <w:sz w:val="22"/>
          <w:szCs w:val="22"/>
        </w:rPr>
      </w:pPr>
      <w:r w:rsidRPr="002773C7">
        <w:rPr>
          <w:rFonts w:ascii="Arial" w:hAnsi="Arial" w:cs="Arial"/>
          <w:b/>
          <w:sz w:val="22"/>
          <w:szCs w:val="22"/>
        </w:rPr>
        <w:t>1.1.9</w:t>
      </w:r>
      <w:r w:rsidRPr="002773C7">
        <w:rPr>
          <w:rFonts w:ascii="Arial" w:hAnsi="Arial" w:cs="Arial"/>
          <w:b/>
          <w:sz w:val="22"/>
          <w:szCs w:val="22"/>
        </w:rPr>
        <w:tab/>
      </w:r>
      <w:r w:rsidRPr="002773C7">
        <w:rPr>
          <w:rFonts w:ascii="Arial" w:hAnsi="Arial" w:cs="Arial"/>
          <w:sz w:val="22"/>
          <w:szCs w:val="22"/>
        </w:rPr>
        <w:t>…</w:t>
      </w:r>
    </w:p>
    <w:p w14:paraId="201ED1B4" w14:textId="77777777" w:rsidR="002773C7" w:rsidRPr="002773C7" w:rsidRDefault="002773C7" w:rsidP="002773C7">
      <w:pPr>
        <w:pStyle w:val="Prrafodelista"/>
        <w:spacing w:line="276" w:lineRule="auto"/>
        <w:ind w:left="2268" w:hanging="1134"/>
        <w:contextualSpacing w:val="0"/>
        <w:jc w:val="both"/>
        <w:rPr>
          <w:rFonts w:ascii="Arial" w:hAnsi="Arial" w:cs="Arial"/>
          <w:sz w:val="22"/>
          <w:szCs w:val="22"/>
        </w:rPr>
      </w:pPr>
      <w:r w:rsidRPr="002773C7">
        <w:rPr>
          <w:rFonts w:ascii="Arial" w:hAnsi="Arial" w:cs="Arial"/>
          <w:b/>
          <w:sz w:val="22"/>
          <w:szCs w:val="22"/>
        </w:rPr>
        <w:lastRenderedPageBreak/>
        <w:t>1.1.10</w:t>
      </w:r>
      <w:r w:rsidRPr="002773C7">
        <w:rPr>
          <w:rFonts w:ascii="Arial" w:hAnsi="Arial" w:cs="Arial"/>
          <w:b/>
          <w:sz w:val="22"/>
          <w:szCs w:val="22"/>
        </w:rPr>
        <w:tab/>
        <w:t>Potencia pico de salida:</w:t>
      </w:r>
      <w:r w:rsidRPr="002773C7">
        <w:rPr>
          <w:rFonts w:ascii="Arial" w:hAnsi="Arial" w:cs="Arial"/>
          <w:sz w:val="22"/>
          <w:szCs w:val="22"/>
        </w:rPr>
        <w:t xml:space="preserve"> cantidad de energía máxima a la salida del transmisor</w:t>
      </w:r>
      <w:r w:rsidRPr="002773C7">
        <w:rPr>
          <w:rFonts w:ascii="Arial" w:hAnsi="Arial" w:cs="Arial"/>
          <w:b/>
          <w:sz w:val="22"/>
          <w:szCs w:val="22"/>
        </w:rPr>
        <w:t xml:space="preserve"> en un instante de tiempo.</w:t>
      </w:r>
    </w:p>
    <w:p w14:paraId="595F9A2A" w14:textId="77777777" w:rsidR="002773C7" w:rsidRPr="002773C7" w:rsidRDefault="002773C7" w:rsidP="002773C7">
      <w:pPr>
        <w:pStyle w:val="Texto"/>
        <w:spacing w:after="0" w:line="276" w:lineRule="auto"/>
        <w:ind w:left="1560" w:hanging="851"/>
        <w:jc w:val="right"/>
        <w:rPr>
          <w:b/>
          <w:bCs/>
          <w:color w:val="FF0000"/>
          <w:sz w:val="22"/>
          <w:szCs w:val="22"/>
          <w:lang w:eastAsia="es-MX"/>
        </w:rPr>
      </w:pPr>
      <w:r w:rsidRPr="002773C7">
        <w:rPr>
          <w:rFonts w:eastAsiaTheme="minorHAnsi"/>
          <w:b/>
          <w:bCs/>
          <w:i/>
          <w:color w:val="FF0000"/>
          <w:sz w:val="22"/>
          <w:szCs w:val="22"/>
        </w:rPr>
        <w:t>Modificación</w:t>
      </w:r>
    </w:p>
    <w:p w14:paraId="7238E9BD" w14:textId="77777777" w:rsidR="002773C7" w:rsidRPr="002773C7" w:rsidRDefault="002773C7" w:rsidP="002773C7">
      <w:pPr>
        <w:pStyle w:val="Prrafodelista"/>
        <w:spacing w:line="276" w:lineRule="auto"/>
        <w:ind w:left="2268" w:hanging="1134"/>
        <w:contextualSpacing w:val="0"/>
        <w:jc w:val="both"/>
        <w:rPr>
          <w:rFonts w:ascii="Arial" w:hAnsi="Arial" w:cs="Arial"/>
          <w:sz w:val="22"/>
          <w:szCs w:val="22"/>
        </w:rPr>
      </w:pPr>
      <w:r w:rsidRPr="002773C7">
        <w:rPr>
          <w:rFonts w:ascii="Arial" w:hAnsi="Arial" w:cs="Arial"/>
          <w:b/>
          <w:sz w:val="22"/>
          <w:szCs w:val="22"/>
        </w:rPr>
        <w:t>1.1.11</w:t>
      </w:r>
      <w:r w:rsidRPr="002773C7">
        <w:rPr>
          <w:rFonts w:ascii="Arial" w:hAnsi="Arial" w:cs="Arial"/>
          <w:b/>
          <w:sz w:val="22"/>
          <w:szCs w:val="22"/>
        </w:rPr>
        <w:tab/>
      </w:r>
      <w:r w:rsidRPr="002773C7">
        <w:rPr>
          <w:rFonts w:ascii="Arial" w:hAnsi="Arial" w:cs="Arial"/>
          <w:sz w:val="22"/>
          <w:szCs w:val="22"/>
        </w:rPr>
        <w:t>…</w:t>
      </w:r>
    </w:p>
    <w:p w14:paraId="0C6BEDC0" w14:textId="77777777" w:rsidR="002773C7" w:rsidRPr="002773C7" w:rsidRDefault="002773C7" w:rsidP="002773C7">
      <w:pPr>
        <w:pStyle w:val="Prrafodelista"/>
        <w:spacing w:line="276" w:lineRule="auto"/>
        <w:ind w:left="2268" w:hanging="1134"/>
        <w:contextualSpacing w:val="0"/>
        <w:jc w:val="both"/>
        <w:rPr>
          <w:rFonts w:ascii="Arial" w:hAnsi="Arial" w:cs="Arial"/>
          <w:sz w:val="22"/>
          <w:szCs w:val="22"/>
        </w:rPr>
      </w:pPr>
      <w:r w:rsidRPr="002773C7">
        <w:rPr>
          <w:rFonts w:ascii="Arial" w:hAnsi="Arial" w:cs="Arial"/>
          <w:b/>
          <w:sz w:val="22"/>
          <w:szCs w:val="22"/>
        </w:rPr>
        <w:t>1.1.11 bis</w:t>
      </w:r>
      <w:r w:rsidRPr="002773C7">
        <w:rPr>
          <w:rFonts w:ascii="Arial" w:hAnsi="Arial" w:cs="Arial"/>
          <w:b/>
          <w:sz w:val="22"/>
          <w:szCs w:val="22"/>
        </w:rPr>
        <w:tab/>
        <w:t>Sensor de movimiento: sensor de perturbación de campo utilizado como dispositivo de radiocomunicación de corto alcance para detección de movimiento.</w:t>
      </w:r>
    </w:p>
    <w:p w14:paraId="238C9C6B" w14:textId="77777777" w:rsidR="002773C7" w:rsidRPr="002773C7" w:rsidRDefault="002773C7" w:rsidP="002773C7">
      <w:pPr>
        <w:pStyle w:val="ANOTACION"/>
        <w:spacing w:before="0" w:after="0" w:line="276" w:lineRule="auto"/>
        <w:jc w:val="right"/>
        <w:rPr>
          <w:rFonts w:ascii="Arial" w:eastAsiaTheme="minorHAnsi" w:hAnsi="Arial" w:cs="Arial"/>
          <w:i/>
          <w:color w:val="FF0000"/>
          <w:sz w:val="22"/>
          <w:szCs w:val="22"/>
        </w:rPr>
      </w:pPr>
      <w:r w:rsidRPr="002773C7">
        <w:rPr>
          <w:rFonts w:ascii="Arial" w:eastAsiaTheme="minorHAnsi" w:hAnsi="Arial" w:cs="Arial"/>
          <w:i/>
          <w:color w:val="FF0000"/>
          <w:sz w:val="22"/>
          <w:szCs w:val="22"/>
        </w:rPr>
        <w:t>Adición</w:t>
      </w:r>
    </w:p>
    <w:p w14:paraId="57D66F8B" w14:textId="77777777" w:rsidR="002773C7" w:rsidRPr="002773C7" w:rsidRDefault="002773C7" w:rsidP="002773C7">
      <w:pPr>
        <w:pStyle w:val="Prrafodelista"/>
        <w:spacing w:line="276" w:lineRule="auto"/>
        <w:ind w:left="2268" w:hanging="1134"/>
        <w:contextualSpacing w:val="0"/>
        <w:jc w:val="both"/>
        <w:rPr>
          <w:rFonts w:ascii="Arial" w:hAnsi="Arial" w:cs="Arial"/>
          <w:sz w:val="22"/>
          <w:szCs w:val="22"/>
        </w:rPr>
      </w:pPr>
      <w:r w:rsidRPr="002773C7">
        <w:rPr>
          <w:rFonts w:ascii="Arial" w:hAnsi="Arial" w:cs="Arial"/>
          <w:b/>
          <w:sz w:val="22"/>
          <w:szCs w:val="22"/>
        </w:rPr>
        <w:t>1.1.12</w:t>
      </w:r>
      <w:r w:rsidRPr="002773C7">
        <w:rPr>
          <w:rFonts w:ascii="Arial" w:hAnsi="Arial" w:cs="Arial"/>
          <w:b/>
          <w:sz w:val="22"/>
          <w:szCs w:val="22"/>
        </w:rPr>
        <w:tab/>
      </w:r>
      <w:r w:rsidRPr="002773C7">
        <w:rPr>
          <w:rFonts w:ascii="Arial" w:hAnsi="Arial" w:cs="Arial"/>
          <w:sz w:val="22"/>
          <w:szCs w:val="22"/>
        </w:rPr>
        <w:t>…</w:t>
      </w:r>
    </w:p>
    <w:p w14:paraId="5882024F" w14:textId="77777777" w:rsidR="002773C7" w:rsidRPr="002773C7" w:rsidRDefault="002773C7" w:rsidP="002773C7">
      <w:pPr>
        <w:pStyle w:val="Prrafodelista"/>
        <w:spacing w:line="276" w:lineRule="auto"/>
        <w:ind w:left="2268" w:hanging="1134"/>
        <w:contextualSpacing w:val="0"/>
        <w:jc w:val="both"/>
        <w:rPr>
          <w:rFonts w:ascii="Arial" w:hAnsi="Arial" w:cs="Arial"/>
          <w:sz w:val="22"/>
          <w:szCs w:val="22"/>
        </w:rPr>
      </w:pPr>
      <w:r w:rsidRPr="002773C7">
        <w:rPr>
          <w:rFonts w:ascii="Arial" w:hAnsi="Arial" w:cs="Arial"/>
          <w:b/>
          <w:sz w:val="22"/>
          <w:szCs w:val="22"/>
        </w:rPr>
        <w:t>1.1.13</w:t>
      </w:r>
      <w:r w:rsidRPr="002773C7">
        <w:rPr>
          <w:rFonts w:ascii="Arial" w:hAnsi="Arial" w:cs="Arial"/>
          <w:b/>
          <w:sz w:val="22"/>
          <w:szCs w:val="22"/>
        </w:rPr>
        <w:tab/>
      </w:r>
      <w:r w:rsidRPr="002773C7">
        <w:rPr>
          <w:rFonts w:ascii="Arial" w:hAnsi="Arial" w:cs="Arial"/>
          <w:sz w:val="22"/>
          <w:szCs w:val="22"/>
        </w:rPr>
        <w:t>…</w:t>
      </w:r>
    </w:p>
    <w:p w14:paraId="0E9F703C" w14:textId="77777777" w:rsidR="002773C7" w:rsidRPr="002773C7" w:rsidRDefault="002773C7" w:rsidP="002773C7">
      <w:pPr>
        <w:pStyle w:val="Prrafodelista"/>
        <w:spacing w:line="276" w:lineRule="auto"/>
        <w:ind w:left="2268" w:hanging="1134"/>
        <w:contextualSpacing w:val="0"/>
        <w:jc w:val="both"/>
        <w:rPr>
          <w:rFonts w:ascii="Arial" w:hAnsi="Arial" w:cs="Arial"/>
          <w:sz w:val="22"/>
          <w:szCs w:val="22"/>
        </w:rPr>
      </w:pPr>
      <w:r w:rsidRPr="002773C7">
        <w:rPr>
          <w:rFonts w:ascii="Arial" w:hAnsi="Arial" w:cs="Arial"/>
          <w:b/>
          <w:sz w:val="22"/>
          <w:szCs w:val="22"/>
        </w:rPr>
        <w:t>1.1.14</w:t>
      </w:r>
      <w:r w:rsidRPr="002773C7">
        <w:rPr>
          <w:rFonts w:ascii="Arial" w:hAnsi="Arial" w:cs="Arial"/>
          <w:b/>
          <w:sz w:val="22"/>
          <w:szCs w:val="22"/>
        </w:rPr>
        <w:tab/>
      </w:r>
      <w:r w:rsidRPr="002773C7">
        <w:rPr>
          <w:rFonts w:ascii="Arial" w:hAnsi="Arial" w:cs="Arial"/>
          <w:sz w:val="22"/>
          <w:szCs w:val="22"/>
        </w:rPr>
        <w:t>…</w:t>
      </w:r>
    </w:p>
    <w:p w14:paraId="15A177FB" w14:textId="77777777" w:rsidR="002773C7" w:rsidRPr="002773C7" w:rsidRDefault="002773C7" w:rsidP="002773C7">
      <w:pPr>
        <w:pStyle w:val="Prrafodelista"/>
        <w:spacing w:line="276" w:lineRule="auto"/>
        <w:ind w:left="1418" w:hanging="992"/>
        <w:contextualSpacing w:val="0"/>
        <w:jc w:val="both"/>
        <w:rPr>
          <w:rFonts w:ascii="Arial" w:hAnsi="Arial" w:cs="Arial"/>
          <w:b/>
          <w:sz w:val="22"/>
          <w:szCs w:val="22"/>
        </w:rPr>
      </w:pPr>
      <w:r w:rsidRPr="002773C7">
        <w:rPr>
          <w:rFonts w:ascii="Arial" w:hAnsi="Arial" w:cs="Arial"/>
          <w:b/>
          <w:sz w:val="22"/>
          <w:szCs w:val="22"/>
        </w:rPr>
        <w:t>1.2</w:t>
      </w:r>
      <w:r w:rsidRPr="002773C7">
        <w:rPr>
          <w:rFonts w:ascii="Arial" w:hAnsi="Arial" w:cs="Arial"/>
          <w:b/>
          <w:sz w:val="22"/>
          <w:szCs w:val="22"/>
        </w:rPr>
        <w:tab/>
        <w:t>…</w:t>
      </w:r>
    </w:p>
    <w:p w14:paraId="6E8484EA" w14:textId="77777777" w:rsidR="002773C7" w:rsidRPr="002773C7" w:rsidRDefault="002773C7" w:rsidP="002773C7">
      <w:pPr>
        <w:pStyle w:val="Prrafodelista"/>
        <w:spacing w:line="276" w:lineRule="auto"/>
        <w:ind w:left="1418" w:hanging="992"/>
        <w:contextualSpacing w:val="0"/>
        <w:jc w:val="both"/>
        <w:rPr>
          <w:rFonts w:ascii="Arial" w:hAnsi="Arial" w:cs="Arial"/>
          <w:b/>
          <w:sz w:val="22"/>
          <w:szCs w:val="22"/>
        </w:rPr>
      </w:pPr>
    </w:p>
    <w:p w14:paraId="6CEBEFB4" w14:textId="77777777" w:rsidR="002773C7" w:rsidRPr="002773C7" w:rsidRDefault="002773C7" w:rsidP="002773C7">
      <w:pPr>
        <w:spacing w:line="276" w:lineRule="auto"/>
        <w:jc w:val="both"/>
        <w:rPr>
          <w:rFonts w:ascii="Arial" w:hAnsi="Arial" w:cs="Arial"/>
          <w:b/>
        </w:rPr>
      </w:pPr>
      <w:r w:rsidRPr="002773C7">
        <w:rPr>
          <w:rFonts w:ascii="Arial" w:hAnsi="Arial" w:cs="Arial"/>
          <w:b/>
        </w:rPr>
        <w:t>2.</w:t>
      </w:r>
      <w:r w:rsidRPr="002773C7">
        <w:rPr>
          <w:rFonts w:ascii="Arial" w:hAnsi="Arial" w:cs="Arial"/>
          <w:b/>
        </w:rPr>
        <w:tab/>
        <w:t>CONDICIONES TÉCNICAS</w:t>
      </w:r>
    </w:p>
    <w:p w14:paraId="3257BF68" w14:textId="77777777" w:rsidR="002773C7" w:rsidRPr="002773C7" w:rsidRDefault="002773C7" w:rsidP="002773C7">
      <w:pPr>
        <w:pStyle w:val="Texto"/>
        <w:spacing w:after="0" w:line="276" w:lineRule="auto"/>
        <w:ind w:left="1560" w:hanging="851"/>
        <w:jc w:val="right"/>
        <w:rPr>
          <w:b/>
          <w:bCs/>
          <w:color w:val="FF0000"/>
          <w:sz w:val="22"/>
          <w:szCs w:val="22"/>
          <w:lang w:eastAsia="es-MX"/>
        </w:rPr>
      </w:pPr>
      <w:r w:rsidRPr="002773C7">
        <w:rPr>
          <w:rFonts w:eastAsiaTheme="minorHAnsi"/>
          <w:b/>
          <w:bCs/>
          <w:i/>
          <w:color w:val="FF0000"/>
          <w:sz w:val="22"/>
          <w:szCs w:val="22"/>
        </w:rPr>
        <w:t>Modificación</w:t>
      </w:r>
    </w:p>
    <w:p w14:paraId="6B56CBB9" w14:textId="77777777" w:rsidR="002773C7" w:rsidRPr="002773C7" w:rsidRDefault="002773C7" w:rsidP="002773C7">
      <w:pPr>
        <w:spacing w:line="276" w:lineRule="auto"/>
        <w:jc w:val="both"/>
        <w:rPr>
          <w:rFonts w:ascii="Arial" w:hAnsi="Arial" w:cs="Arial"/>
          <w:b/>
        </w:rPr>
      </w:pPr>
    </w:p>
    <w:p w14:paraId="7BD27B54" w14:textId="77777777" w:rsidR="002773C7" w:rsidRPr="002773C7" w:rsidRDefault="002773C7" w:rsidP="002773C7">
      <w:pPr>
        <w:pStyle w:val="Prrafodelista"/>
        <w:spacing w:line="276" w:lineRule="auto"/>
        <w:ind w:left="1418" w:hanging="992"/>
        <w:contextualSpacing w:val="0"/>
        <w:jc w:val="both"/>
        <w:rPr>
          <w:rFonts w:ascii="Arial" w:hAnsi="Arial" w:cs="Arial"/>
          <w:b/>
          <w:sz w:val="22"/>
          <w:szCs w:val="22"/>
        </w:rPr>
      </w:pPr>
      <w:r w:rsidRPr="002773C7">
        <w:rPr>
          <w:rFonts w:ascii="Arial" w:hAnsi="Arial" w:cs="Arial"/>
          <w:b/>
          <w:sz w:val="22"/>
          <w:szCs w:val="22"/>
        </w:rPr>
        <w:t>2.1</w:t>
      </w:r>
      <w:r w:rsidRPr="002773C7">
        <w:rPr>
          <w:rFonts w:ascii="Arial" w:hAnsi="Arial" w:cs="Arial"/>
          <w:b/>
          <w:sz w:val="22"/>
          <w:szCs w:val="22"/>
        </w:rPr>
        <w:tab/>
        <w:t>…</w:t>
      </w:r>
    </w:p>
    <w:p w14:paraId="54D240EC" w14:textId="77777777" w:rsidR="002773C7" w:rsidRPr="002773C7" w:rsidRDefault="002773C7" w:rsidP="00FA2132">
      <w:pPr>
        <w:pStyle w:val="Prrafodelista"/>
        <w:spacing w:line="276" w:lineRule="auto"/>
        <w:ind w:left="2268" w:hanging="1134"/>
        <w:contextualSpacing w:val="0"/>
        <w:jc w:val="left"/>
        <w:rPr>
          <w:rFonts w:ascii="Arial" w:hAnsi="Arial" w:cs="Arial"/>
          <w:sz w:val="22"/>
          <w:szCs w:val="22"/>
        </w:rPr>
      </w:pPr>
      <w:r w:rsidRPr="002773C7">
        <w:rPr>
          <w:rFonts w:ascii="Arial" w:hAnsi="Arial" w:cs="Arial"/>
          <w:b/>
          <w:sz w:val="22"/>
          <w:szCs w:val="22"/>
        </w:rPr>
        <w:t>2.1.1</w:t>
      </w:r>
      <w:r w:rsidRPr="002773C7">
        <w:rPr>
          <w:rFonts w:ascii="Arial" w:hAnsi="Arial" w:cs="Arial"/>
          <w:b/>
          <w:sz w:val="22"/>
          <w:szCs w:val="22"/>
        </w:rPr>
        <w:tab/>
      </w:r>
      <w:r w:rsidRPr="002773C7">
        <w:rPr>
          <w:rFonts w:ascii="Arial" w:hAnsi="Arial" w:cs="Arial"/>
          <w:sz w:val="22"/>
          <w:szCs w:val="22"/>
        </w:rPr>
        <w:t>…</w:t>
      </w:r>
    </w:p>
    <w:p w14:paraId="21117DDF" w14:textId="77777777" w:rsidR="002773C7" w:rsidRPr="002773C7" w:rsidRDefault="002773C7" w:rsidP="00FA2132">
      <w:pPr>
        <w:pStyle w:val="Prrafodelista"/>
        <w:spacing w:line="276" w:lineRule="auto"/>
        <w:ind w:left="2268" w:hanging="1134"/>
        <w:contextualSpacing w:val="0"/>
        <w:jc w:val="left"/>
        <w:rPr>
          <w:rFonts w:ascii="Arial" w:hAnsi="Arial" w:cs="Arial"/>
          <w:sz w:val="22"/>
          <w:szCs w:val="22"/>
        </w:rPr>
      </w:pPr>
      <w:r w:rsidRPr="002773C7">
        <w:rPr>
          <w:rFonts w:ascii="Arial" w:hAnsi="Arial" w:cs="Arial"/>
          <w:b/>
          <w:sz w:val="22"/>
          <w:szCs w:val="22"/>
        </w:rPr>
        <w:t>2.1.2</w:t>
      </w:r>
      <w:r w:rsidRPr="002773C7">
        <w:rPr>
          <w:rFonts w:ascii="Arial" w:hAnsi="Arial" w:cs="Arial"/>
          <w:b/>
          <w:sz w:val="22"/>
          <w:szCs w:val="22"/>
        </w:rPr>
        <w:tab/>
      </w:r>
      <w:r w:rsidRPr="002773C7">
        <w:rPr>
          <w:rFonts w:ascii="Arial" w:hAnsi="Arial" w:cs="Arial"/>
          <w:sz w:val="22"/>
          <w:szCs w:val="22"/>
        </w:rPr>
        <w:t>…</w:t>
      </w:r>
    </w:p>
    <w:p w14:paraId="37168936" w14:textId="77777777" w:rsidR="002773C7" w:rsidRPr="002773C7" w:rsidRDefault="002773C7" w:rsidP="00FA2132">
      <w:pPr>
        <w:pStyle w:val="Prrafodelista"/>
        <w:spacing w:line="276" w:lineRule="auto"/>
        <w:ind w:left="2268" w:hanging="1134"/>
        <w:contextualSpacing w:val="0"/>
        <w:jc w:val="left"/>
        <w:rPr>
          <w:rFonts w:ascii="Arial" w:hAnsi="Arial" w:cs="Arial"/>
          <w:sz w:val="22"/>
          <w:szCs w:val="22"/>
        </w:rPr>
      </w:pPr>
      <w:r w:rsidRPr="002773C7">
        <w:rPr>
          <w:rFonts w:ascii="Arial" w:hAnsi="Arial" w:cs="Arial"/>
          <w:b/>
          <w:sz w:val="22"/>
          <w:szCs w:val="22"/>
        </w:rPr>
        <w:t>2.1.3</w:t>
      </w:r>
      <w:r w:rsidRPr="002773C7">
        <w:rPr>
          <w:rFonts w:ascii="Arial" w:hAnsi="Arial" w:cs="Arial"/>
          <w:b/>
          <w:sz w:val="22"/>
          <w:szCs w:val="22"/>
        </w:rPr>
        <w:tab/>
      </w:r>
      <w:r w:rsidRPr="002773C7">
        <w:rPr>
          <w:rFonts w:ascii="Arial" w:hAnsi="Arial" w:cs="Arial"/>
          <w:sz w:val="22"/>
          <w:szCs w:val="22"/>
        </w:rPr>
        <w:t>…</w:t>
      </w:r>
    </w:p>
    <w:p w14:paraId="769AB51B" w14:textId="77777777" w:rsidR="002773C7" w:rsidRPr="002773C7" w:rsidRDefault="002773C7" w:rsidP="00FA2132">
      <w:pPr>
        <w:pStyle w:val="Prrafodelista"/>
        <w:spacing w:line="276" w:lineRule="auto"/>
        <w:ind w:left="2268" w:hanging="1134"/>
        <w:contextualSpacing w:val="0"/>
        <w:jc w:val="left"/>
        <w:rPr>
          <w:rFonts w:ascii="Arial" w:hAnsi="Arial" w:cs="Arial"/>
          <w:sz w:val="22"/>
          <w:szCs w:val="22"/>
        </w:rPr>
      </w:pPr>
      <w:r w:rsidRPr="002773C7">
        <w:rPr>
          <w:rFonts w:ascii="Arial" w:hAnsi="Arial" w:cs="Arial"/>
          <w:b/>
          <w:sz w:val="22"/>
          <w:szCs w:val="22"/>
        </w:rPr>
        <w:t>2.1.4</w:t>
      </w:r>
      <w:r w:rsidRPr="002773C7">
        <w:rPr>
          <w:rFonts w:ascii="Arial" w:hAnsi="Arial" w:cs="Arial"/>
          <w:b/>
          <w:sz w:val="22"/>
          <w:szCs w:val="22"/>
        </w:rPr>
        <w:tab/>
      </w:r>
      <w:r w:rsidRPr="002773C7">
        <w:rPr>
          <w:rFonts w:ascii="Arial" w:hAnsi="Arial" w:cs="Arial"/>
          <w:sz w:val="22"/>
          <w:szCs w:val="22"/>
        </w:rPr>
        <w:t>…</w:t>
      </w:r>
    </w:p>
    <w:p w14:paraId="2822BA81" w14:textId="77777777" w:rsidR="002773C7" w:rsidRPr="002773C7" w:rsidRDefault="002773C7" w:rsidP="00FA2132">
      <w:pPr>
        <w:pStyle w:val="Prrafodelista"/>
        <w:spacing w:line="276" w:lineRule="auto"/>
        <w:ind w:left="2268" w:hanging="1134"/>
        <w:contextualSpacing w:val="0"/>
        <w:jc w:val="left"/>
        <w:rPr>
          <w:rFonts w:ascii="Arial" w:hAnsi="Arial" w:cs="Arial"/>
          <w:sz w:val="22"/>
          <w:szCs w:val="22"/>
        </w:rPr>
      </w:pPr>
      <w:r w:rsidRPr="002773C7">
        <w:rPr>
          <w:rFonts w:ascii="Arial" w:hAnsi="Arial" w:cs="Arial"/>
          <w:b/>
          <w:sz w:val="22"/>
          <w:szCs w:val="22"/>
        </w:rPr>
        <w:t>2.1.5</w:t>
      </w:r>
      <w:r w:rsidRPr="002773C7">
        <w:rPr>
          <w:rFonts w:ascii="Arial" w:hAnsi="Arial" w:cs="Arial"/>
          <w:b/>
          <w:sz w:val="22"/>
          <w:szCs w:val="22"/>
        </w:rPr>
        <w:tab/>
      </w:r>
      <w:r w:rsidRPr="002773C7">
        <w:rPr>
          <w:rFonts w:ascii="Arial" w:hAnsi="Arial" w:cs="Arial"/>
          <w:sz w:val="22"/>
          <w:szCs w:val="22"/>
        </w:rPr>
        <w:t>…</w:t>
      </w:r>
    </w:p>
    <w:p w14:paraId="5759BDB4" w14:textId="2C53EEBF" w:rsidR="002773C7" w:rsidRPr="002773C7" w:rsidRDefault="002773C7" w:rsidP="002773C7">
      <w:pPr>
        <w:pStyle w:val="Prrafodelista"/>
        <w:spacing w:line="276" w:lineRule="auto"/>
        <w:ind w:left="2268" w:hanging="1134"/>
        <w:contextualSpacing w:val="0"/>
        <w:jc w:val="both"/>
        <w:rPr>
          <w:rFonts w:ascii="Arial" w:hAnsi="Arial" w:cs="Arial"/>
          <w:b/>
          <w:bCs/>
          <w:sz w:val="22"/>
          <w:szCs w:val="22"/>
        </w:rPr>
      </w:pPr>
      <w:r w:rsidRPr="002773C7">
        <w:rPr>
          <w:rFonts w:ascii="Arial" w:hAnsi="Arial" w:cs="Arial"/>
          <w:b/>
          <w:sz w:val="22"/>
          <w:szCs w:val="22"/>
        </w:rPr>
        <w:t>2.1.5 bis</w:t>
      </w:r>
      <w:r w:rsidRPr="002773C7">
        <w:rPr>
          <w:rFonts w:ascii="Arial" w:hAnsi="Arial" w:cs="Arial"/>
          <w:b/>
          <w:sz w:val="22"/>
          <w:szCs w:val="22"/>
        </w:rPr>
        <w:tab/>
      </w:r>
      <w:r w:rsidRPr="002773C7">
        <w:rPr>
          <w:rFonts w:ascii="Arial" w:hAnsi="Arial" w:cs="Arial"/>
          <w:b/>
          <w:bCs/>
          <w:sz w:val="22"/>
          <w:szCs w:val="22"/>
        </w:rPr>
        <w:t>Los sensores de movimiento que operen con un ciclo de trabajo máximo del 10% en cualquier intervalo de 33 milisegundos (transmisión máxima de 3.3 milisegundos en cualquier periodo de 33 milisegundos), no deberán exceder una potencia pico de salida del transmisor de 10 dBm, una PIRE máxima de 13 dBm y una densidad espectral de potencia de 13 dBm/MHz.</w:t>
      </w:r>
      <w:r w:rsidRPr="002773C7">
        <w:rPr>
          <w:rFonts w:ascii="Arial" w:eastAsia="Calibri" w:hAnsi="Arial" w:cs="Arial"/>
          <w:sz w:val="22"/>
          <w:szCs w:val="22"/>
        </w:rPr>
        <w:t xml:space="preserve"> </w:t>
      </w:r>
      <w:r w:rsidRPr="002773C7">
        <w:rPr>
          <w:rFonts w:ascii="Arial" w:hAnsi="Arial" w:cs="Arial"/>
          <w:b/>
          <w:bCs/>
          <w:sz w:val="22"/>
          <w:szCs w:val="22"/>
        </w:rPr>
        <w:t>Este tipo de sensores deberán dejar de transmitir un tiempo continuo de al menos 26.4 milisegundos en cualquier intervalo de 33 milisegundos, o en su caso, deberán dejar de transmitir un tiempo continuo de al menos 2 milisegundos entre dos pulsos de transmisión sucesivos.</w:t>
      </w:r>
    </w:p>
    <w:p w14:paraId="28CF903D" w14:textId="77777777" w:rsidR="002773C7" w:rsidRPr="002773C7" w:rsidRDefault="002773C7" w:rsidP="002773C7">
      <w:pPr>
        <w:pStyle w:val="ANOTACION"/>
        <w:spacing w:before="0" w:after="0" w:line="276" w:lineRule="auto"/>
        <w:jc w:val="right"/>
        <w:rPr>
          <w:rFonts w:ascii="Arial" w:eastAsiaTheme="minorHAnsi" w:hAnsi="Arial" w:cs="Arial"/>
          <w:i/>
          <w:color w:val="FF0000"/>
          <w:sz w:val="22"/>
          <w:szCs w:val="22"/>
        </w:rPr>
      </w:pPr>
      <w:r w:rsidRPr="002773C7">
        <w:rPr>
          <w:rFonts w:ascii="Arial" w:eastAsiaTheme="minorHAnsi" w:hAnsi="Arial" w:cs="Arial"/>
          <w:i/>
          <w:color w:val="FF0000"/>
          <w:sz w:val="22"/>
          <w:szCs w:val="22"/>
        </w:rPr>
        <w:t>Adición</w:t>
      </w:r>
    </w:p>
    <w:p w14:paraId="69EA1701" w14:textId="77777777" w:rsidR="002773C7" w:rsidRPr="002773C7" w:rsidRDefault="002773C7" w:rsidP="002773C7">
      <w:pPr>
        <w:pStyle w:val="Prrafodelista"/>
        <w:spacing w:line="276" w:lineRule="auto"/>
        <w:ind w:left="2268" w:hanging="1134"/>
        <w:contextualSpacing w:val="0"/>
        <w:jc w:val="both"/>
        <w:rPr>
          <w:rFonts w:ascii="Arial" w:hAnsi="Arial" w:cs="Arial"/>
          <w:b/>
          <w:sz w:val="22"/>
          <w:szCs w:val="22"/>
        </w:rPr>
      </w:pPr>
      <w:r w:rsidRPr="002773C7">
        <w:rPr>
          <w:rFonts w:ascii="Arial" w:hAnsi="Arial" w:cs="Arial"/>
          <w:b/>
          <w:sz w:val="22"/>
          <w:szCs w:val="22"/>
        </w:rPr>
        <w:t xml:space="preserve">2.1.6 </w:t>
      </w:r>
      <w:r w:rsidRPr="002773C7">
        <w:rPr>
          <w:rFonts w:ascii="Arial" w:hAnsi="Arial" w:cs="Arial"/>
          <w:b/>
          <w:sz w:val="22"/>
          <w:szCs w:val="22"/>
        </w:rPr>
        <w:tab/>
      </w:r>
      <w:r w:rsidRPr="002773C7">
        <w:rPr>
          <w:rFonts w:ascii="Arial" w:hAnsi="Arial" w:cs="Arial"/>
          <w:sz w:val="22"/>
          <w:szCs w:val="22"/>
        </w:rPr>
        <w:t xml:space="preserve">Los sensores de perturbación de campo fijo diferentes a los mencionados en los incisos 2.1.4 y 2.1.5, así como los sensores de movimiento </w:t>
      </w:r>
      <w:r w:rsidRPr="002773C7">
        <w:rPr>
          <w:rFonts w:ascii="Arial" w:hAnsi="Arial" w:cs="Arial"/>
          <w:b/>
          <w:bCs/>
          <w:sz w:val="22"/>
          <w:szCs w:val="22"/>
        </w:rPr>
        <w:t>diferentes a los indicados en el inciso 2.1.5 bis</w:t>
      </w:r>
      <w:r w:rsidRPr="002773C7">
        <w:rPr>
          <w:rFonts w:ascii="Arial" w:hAnsi="Arial" w:cs="Arial"/>
          <w:sz w:val="22"/>
          <w:szCs w:val="22"/>
        </w:rPr>
        <w:t xml:space="preserve"> </w:t>
      </w:r>
      <w:r w:rsidRPr="002773C7">
        <w:rPr>
          <w:rFonts w:ascii="Arial" w:hAnsi="Arial" w:cs="Arial"/>
          <w:b/>
          <w:sz w:val="22"/>
          <w:szCs w:val="22"/>
        </w:rPr>
        <w:t>(incluyendo aquellos sin limitación en el ciclo de trabajo)</w:t>
      </w:r>
      <w:r w:rsidRPr="002773C7">
        <w:rPr>
          <w:rFonts w:ascii="Arial" w:hAnsi="Arial" w:cs="Arial"/>
          <w:sz w:val="22"/>
          <w:szCs w:val="22"/>
        </w:rPr>
        <w:t>, no deberán exceder una potencia pico de salida del transmisor de -10 dBm y una PIRE máxima de 10 dBm</w:t>
      </w:r>
      <w:r w:rsidRPr="002773C7">
        <w:rPr>
          <w:rFonts w:ascii="Arial" w:hAnsi="Arial" w:cs="Arial"/>
          <w:b/>
          <w:sz w:val="22"/>
          <w:szCs w:val="22"/>
        </w:rPr>
        <w:t>.</w:t>
      </w:r>
    </w:p>
    <w:p w14:paraId="548166E4" w14:textId="77777777" w:rsidR="002773C7" w:rsidRPr="002773C7" w:rsidRDefault="002773C7" w:rsidP="002773C7">
      <w:pPr>
        <w:pStyle w:val="Texto"/>
        <w:spacing w:after="0" w:line="276" w:lineRule="auto"/>
        <w:ind w:left="1560" w:hanging="851"/>
        <w:jc w:val="right"/>
        <w:rPr>
          <w:b/>
          <w:bCs/>
          <w:color w:val="FF0000"/>
          <w:sz w:val="22"/>
          <w:szCs w:val="22"/>
          <w:lang w:eastAsia="es-MX"/>
        </w:rPr>
      </w:pPr>
      <w:r w:rsidRPr="002773C7">
        <w:rPr>
          <w:rFonts w:eastAsiaTheme="minorHAnsi"/>
          <w:b/>
          <w:bCs/>
          <w:i/>
          <w:color w:val="FF0000"/>
          <w:sz w:val="22"/>
          <w:szCs w:val="22"/>
        </w:rPr>
        <w:t>Modificación</w:t>
      </w:r>
    </w:p>
    <w:p w14:paraId="726F13A5" w14:textId="77777777" w:rsidR="002773C7" w:rsidRPr="002773C7" w:rsidRDefault="002773C7" w:rsidP="002773C7">
      <w:pPr>
        <w:pStyle w:val="Prrafodelista"/>
        <w:spacing w:line="276" w:lineRule="auto"/>
        <w:ind w:left="2268" w:hanging="1134"/>
        <w:contextualSpacing w:val="0"/>
        <w:jc w:val="both"/>
        <w:rPr>
          <w:rFonts w:ascii="Arial" w:hAnsi="Arial" w:cs="Arial"/>
          <w:sz w:val="22"/>
          <w:szCs w:val="22"/>
          <w:lang w:eastAsia="es-MX"/>
        </w:rPr>
      </w:pPr>
      <w:r w:rsidRPr="002773C7">
        <w:rPr>
          <w:rFonts w:ascii="Arial" w:hAnsi="Arial" w:cs="Arial"/>
          <w:b/>
          <w:sz w:val="22"/>
          <w:szCs w:val="22"/>
        </w:rPr>
        <w:t>2.1.7</w:t>
      </w:r>
      <w:r w:rsidRPr="002773C7">
        <w:rPr>
          <w:rFonts w:ascii="Arial" w:hAnsi="Arial" w:cs="Arial"/>
          <w:b/>
          <w:sz w:val="22"/>
          <w:szCs w:val="22"/>
        </w:rPr>
        <w:tab/>
      </w:r>
      <w:r w:rsidRPr="002773C7">
        <w:rPr>
          <w:rFonts w:ascii="Arial" w:hAnsi="Arial" w:cs="Arial"/>
          <w:sz w:val="22"/>
          <w:szCs w:val="22"/>
          <w:lang w:eastAsia="es-MX"/>
        </w:rPr>
        <w:t>…</w:t>
      </w:r>
    </w:p>
    <w:p w14:paraId="2A518340" w14:textId="77777777" w:rsidR="002773C7" w:rsidRPr="002773C7" w:rsidRDefault="002773C7" w:rsidP="002773C7">
      <w:pPr>
        <w:pStyle w:val="Prrafodelista"/>
        <w:spacing w:line="276" w:lineRule="auto"/>
        <w:ind w:left="2268" w:hanging="1134"/>
        <w:contextualSpacing w:val="0"/>
        <w:jc w:val="both"/>
        <w:rPr>
          <w:rFonts w:ascii="Arial" w:hAnsi="Arial" w:cs="Arial"/>
          <w:sz w:val="22"/>
          <w:szCs w:val="22"/>
          <w:lang w:eastAsia="es-MX"/>
        </w:rPr>
      </w:pPr>
      <w:r w:rsidRPr="002773C7">
        <w:rPr>
          <w:rFonts w:ascii="Arial" w:hAnsi="Arial" w:cs="Arial"/>
          <w:b/>
          <w:sz w:val="22"/>
          <w:szCs w:val="22"/>
        </w:rPr>
        <w:t>2.1.8</w:t>
      </w:r>
      <w:r w:rsidRPr="002773C7">
        <w:rPr>
          <w:rFonts w:ascii="Arial" w:hAnsi="Arial" w:cs="Arial"/>
          <w:b/>
          <w:sz w:val="22"/>
          <w:szCs w:val="22"/>
        </w:rPr>
        <w:tab/>
      </w:r>
      <w:r w:rsidRPr="002773C7">
        <w:rPr>
          <w:rFonts w:ascii="Arial" w:hAnsi="Arial" w:cs="Arial"/>
          <w:sz w:val="22"/>
          <w:szCs w:val="22"/>
          <w:lang w:eastAsia="es-MX"/>
        </w:rPr>
        <w:t>…</w:t>
      </w:r>
    </w:p>
    <w:p w14:paraId="142504CC" w14:textId="77777777" w:rsidR="002773C7" w:rsidRPr="002773C7" w:rsidRDefault="002773C7" w:rsidP="002773C7">
      <w:pPr>
        <w:pStyle w:val="Prrafodelista"/>
        <w:spacing w:line="276" w:lineRule="auto"/>
        <w:ind w:left="2268" w:hanging="1134"/>
        <w:contextualSpacing w:val="0"/>
        <w:jc w:val="both"/>
        <w:rPr>
          <w:rFonts w:ascii="Arial" w:hAnsi="Arial" w:cs="Arial"/>
          <w:sz w:val="22"/>
          <w:szCs w:val="22"/>
        </w:rPr>
      </w:pPr>
      <w:r w:rsidRPr="002773C7">
        <w:rPr>
          <w:rFonts w:ascii="Arial" w:hAnsi="Arial" w:cs="Arial"/>
          <w:b/>
          <w:sz w:val="22"/>
          <w:szCs w:val="22"/>
        </w:rPr>
        <w:t>2.1.9</w:t>
      </w:r>
      <w:r w:rsidRPr="002773C7">
        <w:rPr>
          <w:rFonts w:ascii="Arial" w:hAnsi="Arial" w:cs="Arial"/>
          <w:b/>
          <w:sz w:val="22"/>
          <w:szCs w:val="22"/>
        </w:rPr>
        <w:tab/>
      </w:r>
      <w:r w:rsidRPr="002773C7">
        <w:rPr>
          <w:rFonts w:ascii="Arial" w:hAnsi="Arial" w:cs="Arial"/>
          <w:sz w:val="22"/>
          <w:szCs w:val="22"/>
        </w:rPr>
        <w:t>…</w:t>
      </w:r>
    </w:p>
    <w:p w14:paraId="6B35B1B7" w14:textId="77777777" w:rsidR="002773C7" w:rsidRPr="002773C7" w:rsidRDefault="002773C7" w:rsidP="002773C7">
      <w:pPr>
        <w:pStyle w:val="Prrafodelista"/>
        <w:spacing w:line="276" w:lineRule="auto"/>
        <w:ind w:left="2268" w:hanging="1134"/>
        <w:contextualSpacing w:val="0"/>
        <w:jc w:val="both"/>
        <w:rPr>
          <w:rFonts w:ascii="Arial" w:hAnsi="Arial" w:cs="Arial"/>
          <w:sz w:val="22"/>
          <w:szCs w:val="22"/>
        </w:rPr>
      </w:pPr>
      <w:r w:rsidRPr="002773C7">
        <w:rPr>
          <w:rFonts w:ascii="Arial" w:hAnsi="Arial" w:cs="Arial"/>
          <w:b/>
          <w:sz w:val="22"/>
          <w:szCs w:val="22"/>
        </w:rPr>
        <w:t>2.1.10</w:t>
      </w:r>
      <w:r w:rsidRPr="002773C7">
        <w:rPr>
          <w:rFonts w:ascii="Arial" w:hAnsi="Arial" w:cs="Arial"/>
          <w:b/>
          <w:sz w:val="22"/>
          <w:szCs w:val="22"/>
        </w:rPr>
        <w:tab/>
      </w:r>
      <w:r w:rsidRPr="002773C7">
        <w:rPr>
          <w:rFonts w:ascii="Arial" w:hAnsi="Arial" w:cs="Arial"/>
          <w:sz w:val="22"/>
          <w:szCs w:val="22"/>
        </w:rPr>
        <w:t>…</w:t>
      </w:r>
    </w:p>
    <w:p w14:paraId="05EFAEBF" w14:textId="77777777" w:rsidR="002773C7" w:rsidRPr="002773C7" w:rsidRDefault="002773C7" w:rsidP="002773C7">
      <w:pPr>
        <w:pStyle w:val="Prrafodelista"/>
        <w:spacing w:line="276" w:lineRule="auto"/>
        <w:ind w:left="1418" w:hanging="992"/>
        <w:contextualSpacing w:val="0"/>
        <w:jc w:val="both"/>
        <w:rPr>
          <w:rFonts w:ascii="Arial" w:hAnsi="Arial" w:cs="Arial"/>
          <w:b/>
          <w:sz w:val="22"/>
          <w:szCs w:val="22"/>
        </w:rPr>
      </w:pPr>
      <w:r w:rsidRPr="002773C7">
        <w:rPr>
          <w:rFonts w:ascii="Arial" w:hAnsi="Arial" w:cs="Arial"/>
          <w:b/>
          <w:sz w:val="22"/>
          <w:szCs w:val="22"/>
        </w:rPr>
        <w:lastRenderedPageBreak/>
        <w:t>2.2</w:t>
      </w:r>
      <w:r w:rsidRPr="002773C7">
        <w:rPr>
          <w:rFonts w:ascii="Arial" w:hAnsi="Arial" w:cs="Arial"/>
          <w:b/>
          <w:sz w:val="22"/>
          <w:szCs w:val="22"/>
        </w:rPr>
        <w:tab/>
      </w:r>
      <w:r w:rsidRPr="002773C7">
        <w:rPr>
          <w:rFonts w:ascii="Arial" w:hAnsi="Arial" w:cs="Arial"/>
          <w:sz w:val="22"/>
          <w:szCs w:val="22"/>
        </w:rPr>
        <w:t>…</w:t>
      </w:r>
    </w:p>
    <w:p w14:paraId="570F9334" w14:textId="77777777" w:rsidR="002773C7" w:rsidRPr="002773C7" w:rsidRDefault="002773C7" w:rsidP="002773C7">
      <w:pPr>
        <w:pStyle w:val="Prrafodelista"/>
        <w:spacing w:line="276" w:lineRule="auto"/>
        <w:ind w:left="2268" w:hanging="1134"/>
        <w:contextualSpacing w:val="0"/>
        <w:jc w:val="both"/>
        <w:rPr>
          <w:rFonts w:ascii="Arial" w:hAnsi="Arial" w:cs="Arial"/>
          <w:b/>
          <w:sz w:val="22"/>
          <w:szCs w:val="22"/>
        </w:rPr>
      </w:pPr>
      <w:r w:rsidRPr="002773C7">
        <w:rPr>
          <w:rFonts w:ascii="Arial" w:hAnsi="Arial" w:cs="Arial"/>
          <w:b/>
          <w:sz w:val="22"/>
          <w:szCs w:val="22"/>
        </w:rPr>
        <w:t xml:space="preserve">2.2.1 a 2.2.5 </w:t>
      </w:r>
      <w:r w:rsidRPr="002773C7">
        <w:rPr>
          <w:rFonts w:ascii="Arial" w:hAnsi="Arial" w:cs="Arial"/>
          <w:sz w:val="22"/>
          <w:szCs w:val="22"/>
        </w:rPr>
        <w:t>…</w:t>
      </w:r>
    </w:p>
    <w:p w14:paraId="0B8F061D" w14:textId="77777777" w:rsidR="002773C7" w:rsidRPr="002773C7" w:rsidRDefault="002773C7" w:rsidP="002773C7">
      <w:pPr>
        <w:pStyle w:val="Prrafodelista"/>
        <w:spacing w:line="276" w:lineRule="auto"/>
        <w:ind w:left="1418" w:hanging="992"/>
        <w:contextualSpacing w:val="0"/>
        <w:jc w:val="both"/>
        <w:rPr>
          <w:rFonts w:ascii="Arial" w:hAnsi="Arial" w:cs="Arial"/>
          <w:b/>
          <w:sz w:val="22"/>
          <w:szCs w:val="22"/>
        </w:rPr>
      </w:pPr>
      <w:r w:rsidRPr="002773C7">
        <w:rPr>
          <w:rFonts w:ascii="Arial" w:hAnsi="Arial" w:cs="Arial"/>
          <w:b/>
          <w:sz w:val="22"/>
          <w:szCs w:val="22"/>
        </w:rPr>
        <w:t>2.3</w:t>
      </w:r>
      <w:r w:rsidRPr="002773C7">
        <w:rPr>
          <w:rFonts w:ascii="Arial" w:hAnsi="Arial" w:cs="Arial"/>
          <w:b/>
          <w:sz w:val="22"/>
          <w:szCs w:val="22"/>
        </w:rPr>
        <w:tab/>
      </w:r>
      <w:r w:rsidRPr="002773C7">
        <w:rPr>
          <w:rFonts w:ascii="Arial" w:hAnsi="Arial" w:cs="Arial"/>
          <w:sz w:val="22"/>
          <w:szCs w:val="22"/>
        </w:rPr>
        <w:t>…</w:t>
      </w:r>
    </w:p>
    <w:p w14:paraId="08EA404F" w14:textId="77777777" w:rsidR="002773C7" w:rsidRPr="002773C7" w:rsidRDefault="002773C7" w:rsidP="002773C7">
      <w:pPr>
        <w:pStyle w:val="Prrafodelista"/>
        <w:spacing w:line="276" w:lineRule="auto"/>
        <w:ind w:left="2268" w:hanging="1134"/>
        <w:contextualSpacing w:val="0"/>
        <w:jc w:val="both"/>
        <w:rPr>
          <w:rFonts w:ascii="Arial" w:hAnsi="Arial" w:cs="Arial"/>
          <w:b/>
          <w:sz w:val="22"/>
          <w:szCs w:val="22"/>
        </w:rPr>
      </w:pPr>
      <w:r w:rsidRPr="002773C7">
        <w:rPr>
          <w:rFonts w:ascii="Arial" w:hAnsi="Arial" w:cs="Arial"/>
          <w:b/>
          <w:sz w:val="22"/>
          <w:szCs w:val="22"/>
        </w:rPr>
        <w:t xml:space="preserve">2.3.1 a 2.3.4 </w:t>
      </w:r>
      <w:r w:rsidRPr="002773C7">
        <w:rPr>
          <w:rFonts w:ascii="Arial" w:hAnsi="Arial" w:cs="Arial"/>
          <w:sz w:val="22"/>
          <w:szCs w:val="22"/>
        </w:rPr>
        <w:t>…</w:t>
      </w:r>
    </w:p>
    <w:p w14:paraId="1DB1CBE7" w14:textId="77777777" w:rsidR="002773C7" w:rsidRPr="002773C7" w:rsidRDefault="002773C7" w:rsidP="002773C7">
      <w:pPr>
        <w:pStyle w:val="Prrafodelista"/>
        <w:spacing w:line="276" w:lineRule="auto"/>
        <w:ind w:left="1418" w:hanging="992"/>
        <w:contextualSpacing w:val="0"/>
        <w:jc w:val="both"/>
        <w:rPr>
          <w:rFonts w:ascii="Arial" w:hAnsi="Arial" w:cs="Arial"/>
          <w:sz w:val="22"/>
          <w:szCs w:val="22"/>
          <w:lang w:eastAsia="es-MX"/>
        </w:rPr>
      </w:pPr>
    </w:p>
    <w:p w14:paraId="48E80F0B" w14:textId="77777777" w:rsidR="002773C7" w:rsidRPr="002773C7" w:rsidRDefault="002773C7" w:rsidP="002773C7">
      <w:pPr>
        <w:pStyle w:val="Prrafodelista"/>
        <w:spacing w:line="276" w:lineRule="auto"/>
        <w:ind w:left="0"/>
        <w:contextualSpacing w:val="0"/>
        <w:jc w:val="both"/>
        <w:rPr>
          <w:rFonts w:ascii="Arial" w:hAnsi="Arial" w:cs="Arial"/>
          <w:sz w:val="22"/>
          <w:szCs w:val="22"/>
        </w:rPr>
      </w:pPr>
    </w:p>
    <w:p w14:paraId="099606B2" w14:textId="77777777" w:rsidR="002773C7" w:rsidRPr="002773C7" w:rsidRDefault="002773C7" w:rsidP="00D8142B">
      <w:pPr>
        <w:pStyle w:val="Ttulo4"/>
        <w:spacing w:line="276" w:lineRule="auto"/>
        <w:rPr>
          <w:b w:val="0"/>
          <w:iCs w:val="0"/>
        </w:rPr>
      </w:pPr>
      <w:proofErr w:type="gramStart"/>
      <w:r w:rsidRPr="002773C7">
        <w:rPr>
          <w:iCs w:val="0"/>
        </w:rPr>
        <w:t>Segundo.-</w:t>
      </w:r>
      <w:proofErr w:type="gramEnd"/>
      <w:r w:rsidRPr="002773C7">
        <w:rPr>
          <w:b w:val="0"/>
          <w:iCs w:val="0"/>
        </w:rPr>
        <w:tab/>
        <w:t>Publíquese el presente Acuerdo en el Diario Oficial de la Federación, de conformidad con lo establecido en el artículo 46 de la Ley Federal de Telecomunicaciones y Radiodifusión, así como en el portal de Internet del Instituto.</w:t>
      </w:r>
    </w:p>
    <w:p w14:paraId="5B8B8B24" w14:textId="77777777" w:rsidR="002773C7" w:rsidRPr="00FA2132" w:rsidRDefault="002773C7" w:rsidP="002773C7">
      <w:pPr>
        <w:pStyle w:val="Prrafodelista"/>
        <w:spacing w:line="276" w:lineRule="auto"/>
        <w:ind w:left="0"/>
        <w:contextualSpacing w:val="0"/>
        <w:jc w:val="both"/>
        <w:rPr>
          <w:rFonts w:ascii="Arial" w:hAnsi="Arial" w:cs="Arial"/>
          <w:sz w:val="22"/>
          <w:szCs w:val="22"/>
        </w:rPr>
      </w:pPr>
    </w:p>
    <w:p w14:paraId="1365D1ED" w14:textId="77777777" w:rsidR="002773C7" w:rsidRPr="00FA2132" w:rsidRDefault="002773C7" w:rsidP="002773C7">
      <w:pPr>
        <w:pStyle w:val="Ttulo3"/>
        <w:numPr>
          <w:ilvl w:val="0"/>
          <w:numId w:val="0"/>
        </w:numPr>
        <w:spacing w:line="276" w:lineRule="auto"/>
        <w:contextualSpacing w:val="0"/>
        <w:rPr>
          <w:rFonts w:ascii="Arial" w:hAnsi="Arial" w:cs="Arial"/>
          <w:color w:val="auto"/>
          <w:sz w:val="26"/>
          <w:szCs w:val="26"/>
          <w:lang w:val="es-ES"/>
        </w:rPr>
      </w:pPr>
      <w:r w:rsidRPr="00FA2132">
        <w:rPr>
          <w:rFonts w:ascii="Arial" w:hAnsi="Arial" w:cs="Arial"/>
          <w:color w:val="auto"/>
          <w:sz w:val="26"/>
          <w:szCs w:val="26"/>
          <w:lang w:val="es-ES"/>
        </w:rPr>
        <w:t>Transitorio</w:t>
      </w:r>
    </w:p>
    <w:p w14:paraId="44332F83" w14:textId="77777777" w:rsidR="002773C7" w:rsidRPr="00FA2132" w:rsidRDefault="002773C7" w:rsidP="002773C7">
      <w:pPr>
        <w:pStyle w:val="Prrafodelista"/>
        <w:spacing w:line="276" w:lineRule="auto"/>
        <w:ind w:left="0"/>
        <w:contextualSpacing w:val="0"/>
        <w:jc w:val="both"/>
        <w:rPr>
          <w:rFonts w:ascii="Arial" w:hAnsi="Arial" w:cs="Arial"/>
          <w:sz w:val="22"/>
          <w:szCs w:val="22"/>
        </w:rPr>
      </w:pPr>
    </w:p>
    <w:p w14:paraId="7AB29A30" w14:textId="77777777" w:rsidR="002773C7" w:rsidRPr="00FA2132" w:rsidRDefault="002773C7" w:rsidP="002773C7">
      <w:pPr>
        <w:spacing w:line="276" w:lineRule="auto"/>
        <w:jc w:val="both"/>
        <w:rPr>
          <w:rFonts w:ascii="Arial" w:hAnsi="Arial" w:cs="Arial"/>
          <w:sz w:val="22"/>
          <w:szCs w:val="22"/>
          <w:lang w:eastAsia="es-MX"/>
        </w:rPr>
      </w:pPr>
      <w:proofErr w:type="gramStart"/>
      <w:r w:rsidRPr="00FA2132">
        <w:rPr>
          <w:rFonts w:ascii="Arial" w:hAnsi="Arial" w:cs="Arial"/>
          <w:b/>
          <w:sz w:val="22"/>
          <w:szCs w:val="22"/>
          <w:lang w:eastAsia="es-MX"/>
        </w:rPr>
        <w:t>Único.-</w:t>
      </w:r>
      <w:proofErr w:type="gramEnd"/>
      <w:r w:rsidRPr="00FA2132">
        <w:rPr>
          <w:rFonts w:ascii="Arial" w:hAnsi="Arial" w:cs="Arial"/>
          <w:sz w:val="22"/>
          <w:szCs w:val="22"/>
          <w:lang w:eastAsia="es-MX"/>
        </w:rPr>
        <w:tab/>
        <w:t xml:space="preserve">El presente Acuerdo, junto con su Anexo 1, entrarán en vigor al día siguiente de su publicación en el Diario Oficial de la Federación. </w:t>
      </w:r>
    </w:p>
    <w:p w14:paraId="20787587" w14:textId="77777777" w:rsidR="00F57298" w:rsidRPr="00FA2132" w:rsidRDefault="00F57298" w:rsidP="002773C7">
      <w:pPr>
        <w:spacing w:line="276" w:lineRule="auto"/>
        <w:jc w:val="both"/>
        <w:rPr>
          <w:rFonts w:ascii="Arial" w:eastAsia="Times New Roman" w:hAnsi="Arial" w:cs="Arial"/>
          <w:kern w:val="1"/>
          <w:sz w:val="22"/>
          <w:szCs w:val="22"/>
          <w:lang w:eastAsia="ar-SA"/>
        </w:rPr>
      </w:pPr>
    </w:p>
    <w:sectPr w:rsidR="00F57298" w:rsidRPr="00FA2132" w:rsidSect="006E45E5">
      <w:headerReference w:type="even" r:id="rId13"/>
      <w:headerReference w:type="default" r:id="rId14"/>
      <w:footerReference w:type="default" r:id="rId15"/>
      <w:headerReference w:type="first" r:id="rId16"/>
      <w:pgSz w:w="12240" w:h="15840"/>
      <w:pgMar w:top="1985" w:right="1418" w:bottom="1134" w:left="1418"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8A1E0" w14:textId="77777777" w:rsidR="0068251C" w:rsidRDefault="0068251C" w:rsidP="009F523F">
      <w:r>
        <w:separator/>
      </w:r>
    </w:p>
  </w:endnote>
  <w:endnote w:type="continuationSeparator" w:id="0">
    <w:p w14:paraId="6C7ACA9B" w14:textId="77777777" w:rsidR="0068251C" w:rsidRDefault="0068251C" w:rsidP="009F523F">
      <w:r>
        <w:continuationSeparator/>
      </w:r>
    </w:p>
  </w:endnote>
  <w:endnote w:type="continuationNotice" w:id="1">
    <w:p w14:paraId="5D7C4CDC" w14:textId="77777777" w:rsidR="0068251C" w:rsidRDefault="00682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ITC Avant Garde">
    <w:altName w:val="Calibri"/>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ITC Avant Garde" w:hAnsi="ITC Avant Garde"/>
        <w:sz w:val="18"/>
        <w:szCs w:val="16"/>
      </w:rPr>
      <w:id w:val="330949732"/>
      <w:docPartObj>
        <w:docPartGallery w:val="Page Numbers (Bottom of Page)"/>
        <w:docPartUnique/>
      </w:docPartObj>
    </w:sdtPr>
    <w:sdtEndPr/>
    <w:sdtContent>
      <w:sdt>
        <w:sdtPr>
          <w:rPr>
            <w:rFonts w:ascii="ITC Avant Garde" w:hAnsi="ITC Avant Garde"/>
            <w:sz w:val="18"/>
            <w:szCs w:val="16"/>
          </w:rPr>
          <w:id w:val="-1769616900"/>
          <w:docPartObj>
            <w:docPartGallery w:val="Page Numbers (Top of Page)"/>
            <w:docPartUnique/>
          </w:docPartObj>
        </w:sdtPr>
        <w:sdtEndPr/>
        <w:sdtContent>
          <w:p w14:paraId="14FA227B" w14:textId="77777777" w:rsidR="00A80893" w:rsidRDefault="00A80893" w:rsidP="009A6E0C">
            <w:pPr>
              <w:pStyle w:val="Piedepgina"/>
              <w:jc w:val="right"/>
              <w:rPr>
                <w:rFonts w:ascii="ITC Avant Garde" w:hAnsi="ITC Avant Garde"/>
                <w:sz w:val="18"/>
                <w:szCs w:val="16"/>
              </w:rPr>
            </w:pPr>
          </w:p>
          <w:p w14:paraId="618BA11A" w14:textId="04E1A36F" w:rsidR="00A80893" w:rsidRPr="00DA5ADA" w:rsidRDefault="00A80893" w:rsidP="009A6E0C">
            <w:pPr>
              <w:pStyle w:val="Piedepgina"/>
              <w:jc w:val="right"/>
              <w:rPr>
                <w:rFonts w:ascii="Arial" w:hAnsi="Arial" w:cs="Arial"/>
                <w:bCs/>
                <w:sz w:val="18"/>
                <w:szCs w:val="16"/>
              </w:rPr>
            </w:pPr>
            <w:r w:rsidRPr="00DA5ADA">
              <w:rPr>
                <w:rFonts w:ascii="Arial" w:hAnsi="Arial" w:cs="Arial"/>
                <w:sz w:val="18"/>
                <w:szCs w:val="16"/>
                <w:lang w:val="es-ES"/>
              </w:rPr>
              <w:t xml:space="preserve">Página </w:t>
            </w:r>
            <w:r w:rsidRPr="00DA5ADA">
              <w:rPr>
                <w:rFonts w:ascii="Arial" w:hAnsi="Arial" w:cs="Arial"/>
                <w:bCs/>
                <w:sz w:val="18"/>
                <w:szCs w:val="16"/>
              </w:rPr>
              <w:fldChar w:fldCharType="begin"/>
            </w:r>
            <w:r w:rsidRPr="00DA5ADA">
              <w:rPr>
                <w:rFonts w:ascii="Arial" w:hAnsi="Arial" w:cs="Arial"/>
                <w:bCs/>
                <w:sz w:val="18"/>
                <w:szCs w:val="16"/>
              </w:rPr>
              <w:instrText>PAGE</w:instrText>
            </w:r>
            <w:r w:rsidRPr="00DA5ADA">
              <w:rPr>
                <w:rFonts w:ascii="Arial" w:hAnsi="Arial" w:cs="Arial"/>
                <w:bCs/>
                <w:sz w:val="18"/>
                <w:szCs w:val="16"/>
              </w:rPr>
              <w:fldChar w:fldCharType="separate"/>
            </w:r>
            <w:r>
              <w:rPr>
                <w:rFonts w:ascii="Arial" w:hAnsi="Arial" w:cs="Arial"/>
                <w:bCs/>
                <w:noProof/>
                <w:sz w:val="18"/>
                <w:szCs w:val="16"/>
              </w:rPr>
              <w:t>6</w:t>
            </w:r>
            <w:r w:rsidRPr="00DA5ADA">
              <w:rPr>
                <w:rFonts w:ascii="Arial" w:hAnsi="Arial" w:cs="Arial"/>
                <w:bCs/>
                <w:sz w:val="18"/>
                <w:szCs w:val="16"/>
              </w:rPr>
              <w:fldChar w:fldCharType="end"/>
            </w:r>
            <w:r w:rsidRPr="00DA5ADA">
              <w:rPr>
                <w:rFonts w:ascii="Arial" w:hAnsi="Arial" w:cs="Arial"/>
                <w:sz w:val="18"/>
                <w:szCs w:val="16"/>
                <w:lang w:val="es-ES"/>
              </w:rPr>
              <w:t xml:space="preserve"> de </w:t>
            </w:r>
            <w:r w:rsidR="006E45E5">
              <w:rPr>
                <w:rFonts w:ascii="Arial" w:hAnsi="Arial" w:cs="Arial"/>
                <w:sz w:val="18"/>
                <w:szCs w:val="16"/>
                <w:lang w:val="es-ES"/>
              </w:rPr>
              <w:t>2</w:t>
            </w:r>
            <w:r w:rsidR="006E45E5">
              <w:rPr>
                <w:rFonts w:ascii="Arial" w:hAnsi="Arial" w:cs="Arial"/>
                <w:bCs/>
                <w:sz w:val="18"/>
                <w:szCs w:val="16"/>
              </w:rPr>
              <w:t>6</w:t>
            </w:r>
          </w:p>
          <w:p w14:paraId="6F81C62A" w14:textId="036C01BF" w:rsidR="00A80893" w:rsidRPr="009A6E0C" w:rsidRDefault="0068251C" w:rsidP="009A6E0C">
            <w:pPr>
              <w:pStyle w:val="Piedepgina"/>
              <w:jc w:val="right"/>
              <w:rPr>
                <w:rFonts w:ascii="ITC Avant Garde" w:hAnsi="ITC Avant Garde"/>
                <w:sz w:val="18"/>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FB85D" w14:textId="77777777" w:rsidR="0068251C" w:rsidRDefault="0068251C" w:rsidP="000A7A88">
      <w:pPr>
        <w:jc w:val="both"/>
      </w:pPr>
      <w:r>
        <w:separator/>
      </w:r>
    </w:p>
  </w:footnote>
  <w:footnote w:type="continuationSeparator" w:id="0">
    <w:p w14:paraId="58624DF8" w14:textId="77777777" w:rsidR="0068251C" w:rsidRDefault="0068251C" w:rsidP="009F523F">
      <w:r>
        <w:continuationSeparator/>
      </w:r>
    </w:p>
  </w:footnote>
  <w:footnote w:type="continuationNotice" w:id="1">
    <w:p w14:paraId="5578DB9D" w14:textId="77777777" w:rsidR="0068251C" w:rsidRDefault="0068251C"/>
  </w:footnote>
  <w:footnote w:id="2">
    <w:p w14:paraId="2A8D1E44" w14:textId="77777777" w:rsidR="002773C7" w:rsidRPr="006820B1" w:rsidRDefault="002773C7" w:rsidP="002773C7">
      <w:pPr>
        <w:shd w:val="clear" w:color="auto" w:fill="FFFFFF"/>
        <w:ind w:left="142" w:hanging="142"/>
        <w:jc w:val="both"/>
        <w:rPr>
          <w:rFonts w:ascii="Arial" w:hAnsi="Arial" w:cs="Arial"/>
          <w:sz w:val="14"/>
          <w:szCs w:val="14"/>
        </w:rPr>
      </w:pPr>
      <w:r w:rsidRPr="006820B1">
        <w:rPr>
          <w:rStyle w:val="Refdenotaalpie"/>
          <w:rFonts w:ascii="Arial" w:hAnsi="Arial" w:cs="Arial"/>
          <w:sz w:val="14"/>
          <w:szCs w:val="14"/>
        </w:rPr>
        <w:footnoteRef/>
      </w:r>
      <w:r w:rsidRPr="006820B1">
        <w:rPr>
          <w:rFonts w:ascii="Arial" w:hAnsi="Arial" w:cs="Arial"/>
          <w:sz w:val="14"/>
          <w:szCs w:val="14"/>
        </w:rPr>
        <w:t xml:space="preserve"> El CNAF es la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 Consultable en: </w:t>
      </w:r>
      <w:r w:rsidRPr="006820B1">
        <w:rPr>
          <w:rStyle w:val="Hipervnculo"/>
          <w:rFonts w:ascii="Arial" w:hAnsi="Arial" w:cs="Arial"/>
          <w:sz w:val="14"/>
          <w:szCs w:val="14"/>
        </w:rPr>
        <w:t xml:space="preserve"> </w:t>
      </w:r>
      <w:hyperlink r:id="rId1" w:anchor="overlay-context=espectro-radioelectrico/cuadro-nacional-de-atribucion-de-frecuencias-cnaf" w:history="1">
        <w:r w:rsidRPr="006820B1">
          <w:rPr>
            <w:rStyle w:val="Hipervnculo"/>
            <w:rFonts w:ascii="Arial" w:hAnsi="Arial" w:cs="Arial"/>
            <w:sz w:val="14"/>
            <w:szCs w:val="14"/>
          </w:rPr>
          <w:t>http://www.ift.org.mx/sites/default/files/contenidogeneral/espectro-radioelectrico/dofcnaf-2021accesible.pdf#overlay-context=espectro-radioelectrico/cuadro-nacional-de-atribucion-de-frecuencias-cnaf</w:t>
        </w:r>
      </w:hyperlink>
      <w:r w:rsidRPr="006820B1">
        <w:rPr>
          <w:rStyle w:val="Hipervnculo"/>
          <w:rFonts w:ascii="Arial" w:hAnsi="Arial" w:cs="Arial"/>
          <w:sz w:val="14"/>
          <w:szCs w:val="14"/>
        </w:rPr>
        <w:t xml:space="preserve"> </w:t>
      </w:r>
    </w:p>
  </w:footnote>
  <w:footnote w:id="3">
    <w:p w14:paraId="02CED606" w14:textId="77777777" w:rsidR="002773C7" w:rsidRPr="00D8142B" w:rsidRDefault="002773C7" w:rsidP="002773C7">
      <w:pPr>
        <w:pStyle w:val="Textonotapie"/>
        <w:rPr>
          <w:rFonts w:ascii="Arial" w:hAnsi="Arial" w:cs="Arial"/>
          <w:sz w:val="14"/>
          <w:szCs w:val="14"/>
        </w:rPr>
      </w:pPr>
      <w:r w:rsidRPr="006820B1">
        <w:rPr>
          <w:rStyle w:val="Refdenotaalpie"/>
          <w:rFonts w:ascii="Arial" w:hAnsi="Arial" w:cs="Arial"/>
          <w:sz w:val="14"/>
          <w:szCs w:val="14"/>
        </w:rPr>
        <w:footnoteRef/>
      </w:r>
      <w:r w:rsidRPr="006820B1">
        <w:rPr>
          <w:rFonts w:ascii="Arial" w:hAnsi="Arial" w:cs="Arial"/>
          <w:sz w:val="14"/>
          <w:szCs w:val="14"/>
        </w:rPr>
        <w:t xml:space="preserve"> Acuerdo</w:t>
      </w:r>
      <w:r w:rsidRPr="006820B1">
        <w:rPr>
          <w:rFonts w:ascii="Arial" w:hAnsi="Arial" w:cs="Arial"/>
          <w:kern w:val="1"/>
          <w:sz w:val="14"/>
          <w:szCs w:val="14"/>
          <w:lang w:eastAsia="ar-SA"/>
        </w:rPr>
        <w:t xml:space="preserve"> que clasifica la banda 57-64 GHz</w:t>
      </w:r>
      <w:r w:rsidRPr="006820B1">
        <w:rPr>
          <w:rFonts w:ascii="Arial" w:hAnsi="Arial" w:cs="Arial"/>
          <w:sz w:val="14"/>
          <w:szCs w:val="14"/>
        </w:rPr>
        <w:t xml:space="preserve">, disponible para consulta en: </w:t>
      </w:r>
      <w:hyperlink r:id="rId2" w:history="1">
        <w:r w:rsidRPr="006820B1">
          <w:rPr>
            <w:rStyle w:val="Hipervnculo"/>
            <w:rFonts w:ascii="Arial" w:hAnsi="Arial" w:cs="Arial"/>
            <w:sz w:val="14"/>
            <w:szCs w:val="14"/>
          </w:rPr>
          <w:t>http://www.dof.gob.mx/nota_detalle.php?codigo=5481920&amp;fecha=0</w:t>
        </w:r>
        <w:bookmarkStart w:id="0" w:name="_GoBack"/>
        <w:bookmarkEnd w:id="0"/>
        <w:r w:rsidRPr="006820B1">
          <w:rPr>
            <w:rStyle w:val="Hipervnculo"/>
            <w:rFonts w:ascii="Arial" w:hAnsi="Arial" w:cs="Arial"/>
            <w:sz w:val="14"/>
            <w:szCs w:val="14"/>
          </w:rPr>
          <w:t>9/05/2017</w:t>
        </w:r>
      </w:hyperlink>
    </w:p>
  </w:footnote>
  <w:footnote w:id="4">
    <w:p w14:paraId="53F543F3" w14:textId="77777777" w:rsidR="002773C7" w:rsidRPr="006820B1" w:rsidRDefault="002773C7" w:rsidP="002773C7">
      <w:pPr>
        <w:pStyle w:val="Textonotapie"/>
        <w:jc w:val="both"/>
        <w:rPr>
          <w:rFonts w:ascii="Arial" w:hAnsi="Arial" w:cs="Arial"/>
          <w:color w:val="000000"/>
          <w:sz w:val="14"/>
          <w:szCs w:val="14"/>
        </w:rPr>
      </w:pPr>
      <w:r w:rsidRPr="006820B1">
        <w:rPr>
          <w:rStyle w:val="Refdenotaalpie"/>
          <w:rFonts w:ascii="Arial" w:hAnsi="Arial" w:cs="Arial"/>
          <w:sz w:val="14"/>
          <w:szCs w:val="14"/>
        </w:rPr>
        <w:footnoteRef/>
      </w:r>
      <w:r w:rsidRPr="006820B1">
        <w:rPr>
          <w:rFonts w:ascii="Arial" w:hAnsi="Arial" w:cs="Arial"/>
          <w:color w:val="000000"/>
          <w:sz w:val="14"/>
          <w:szCs w:val="14"/>
        </w:rPr>
        <w:t>“</w:t>
      </w:r>
      <w:r w:rsidRPr="006820B1">
        <w:rPr>
          <w:rFonts w:ascii="Arial" w:hAnsi="Arial" w:cs="Arial"/>
          <w:i/>
          <w:color w:val="000000"/>
          <w:sz w:val="14"/>
          <w:szCs w:val="14"/>
        </w:rPr>
        <w:t>INICIATIVA DE DECRETO POR EL QUE SE EXPIDEN LA LEY FEDERAL DE TELECOMUNICACIONES Y RADIODIFUSIÓN, Y LA LEY DEL SISTEMA PÚBLICO DE RADIODIFUSIÓN DE MÉXICO; Y SE REFORMAN, ADICIONAN Y DEROGAN DIVERSAS DISPOSICIONES EN MATERIA DE TELECOMUNICACIONES Y RADIODIFUSIÓN</w:t>
      </w:r>
      <w:r w:rsidRPr="006820B1">
        <w:rPr>
          <w:rFonts w:ascii="Arial" w:hAnsi="Arial" w:cs="Arial"/>
          <w:color w:val="000000"/>
          <w:sz w:val="14"/>
          <w:szCs w:val="14"/>
        </w:rPr>
        <w:t>”, 25 de marzo de 2014, pág. 10. Consultable en el enlace electrónico siguiente</w:t>
      </w:r>
      <w:r w:rsidRPr="006820B1">
        <w:rPr>
          <w:rFonts w:ascii="Arial" w:hAnsi="Arial" w:cs="Arial"/>
          <w:sz w:val="14"/>
          <w:szCs w:val="14"/>
        </w:rPr>
        <w:t>:</w:t>
      </w:r>
      <w:r w:rsidRPr="00D8142B">
        <w:rPr>
          <w:rFonts w:ascii="Arial" w:hAnsi="Arial" w:cs="Arial"/>
          <w:sz w:val="14"/>
          <w:szCs w:val="14"/>
        </w:rPr>
        <w:t xml:space="preserve"> </w:t>
      </w:r>
      <w:hyperlink r:id="rId3" w:history="1">
        <w:r w:rsidRPr="006820B1">
          <w:rPr>
            <w:rStyle w:val="Hipervnculo"/>
            <w:rFonts w:ascii="Arial" w:hAnsi="Arial" w:cs="Arial"/>
            <w:sz w:val="14"/>
            <w:szCs w:val="14"/>
          </w:rPr>
          <w:t>https://infosen.senado.gob.mx/sgsp/gaceta/62/2/2014-03-24-1/assets/documentos/Ini_Telecomunicaciones.pdf</w:t>
        </w:r>
      </w:hyperlink>
      <w:r w:rsidRPr="006820B1">
        <w:rPr>
          <w:rStyle w:val="Hipervnculo"/>
          <w:rFonts w:ascii="Arial" w:hAnsi="Arial" w:cs="Arial"/>
          <w:sz w:val="14"/>
          <w:szCs w:val="14"/>
        </w:rPr>
        <w:t xml:space="preserve"> </w:t>
      </w:r>
    </w:p>
  </w:footnote>
  <w:footnote w:id="5">
    <w:p w14:paraId="033C9BB9" w14:textId="77777777" w:rsidR="002773C7" w:rsidRPr="00D8142B" w:rsidRDefault="002773C7" w:rsidP="002773C7">
      <w:pPr>
        <w:pStyle w:val="Textonotapie"/>
        <w:rPr>
          <w:rFonts w:ascii="Arial" w:hAnsi="Arial" w:cs="Arial"/>
          <w:sz w:val="14"/>
          <w:szCs w:val="14"/>
        </w:rPr>
      </w:pPr>
      <w:r w:rsidRPr="006820B1">
        <w:rPr>
          <w:rStyle w:val="Refdenotaalpie"/>
          <w:rFonts w:ascii="Arial" w:hAnsi="Arial" w:cs="Arial"/>
          <w:sz w:val="14"/>
          <w:szCs w:val="14"/>
        </w:rPr>
        <w:footnoteRef/>
      </w:r>
      <w:r w:rsidRPr="006820B1">
        <w:rPr>
          <w:rFonts w:ascii="Arial" w:hAnsi="Arial" w:cs="Arial"/>
          <w:sz w:val="14"/>
          <w:szCs w:val="14"/>
        </w:rPr>
        <w:t xml:space="preserve"> Manual sobre la Gestión nacional de espectro, Ed. 2015. Consultable en: </w:t>
      </w:r>
      <w:hyperlink r:id="rId4" w:history="1">
        <w:r w:rsidRPr="006820B1">
          <w:rPr>
            <w:rStyle w:val="Hipervnculo"/>
            <w:rFonts w:ascii="Arial" w:hAnsi="Arial" w:cs="Arial"/>
            <w:sz w:val="14"/>
            <w:szCs w:val="14"/>
          </w:rPr>
          <w:t>https://www.itu.int/dms_pub/itu-r/opb/hdb/R-HDB-21-2015-PDF-S.pdf</w:t>
        </w:r>
      </w:hyperlink>
    </w:p>
  </w:footnote>
  <w:footnote w:id="6">
    <w:p w14:paraId="472EB58A" w14:textId="77777777" w:rsidR="002773C7" w:rsidRPr="006820B1" w:rsidRDefault="002773C7" w:rsidP="002773C7">
      <w:pPr>
        <w:pStyle w:val="Textonotapie"/>
        <w:ind w:left="142" w:hanging="142"/>
        <w:rPr>
          <w:rFonts w:ascii="Arial" w:hAnsi="Arial" w:cs="Arial"/>
          <w:sz w:val="14"/>
          <w:szCs w:val="14"/>
        </w:rPr>
      </w:pPr>
      <w:r w:rsidRPr="006820B1">
        <w:rPr>
          <w:rStyle w:val="Refdenotaalpie"/>
          <w:rFonts w:ascii="Arial" w:hAnsi="Arial" w:cs="Arial"/>
          <w:sz w:val="14"/>
          <w:szCs w:val="14"/>
        </w:rPr>
        <w:footnoteRef/>
      </w:r>
      <w:r w:rsidRPr="006820B1">
        <w:rPr>
          <w:rFonts w:ascii="Arial" w:hAnsi="Arial" w:cs="Arial"/>
          <w:sz w:val="14"/>
          <w:szCs w:val="14"/>
        </w:rPr>
        <w:t xml:space="preserve"> Disponible para consulta en: </w:t>
      </w:r>
      <w:hyperlink r:id="rId5" w:anchor="se47.1.15_1255" w:history="1">
        <w:r w:rsidRPr="006820B1">
          <w:rPr>
            <w:rStyle w:val="Hipervnculo"/>
            <w:rFonts w:ascii="Arial" w:hAnsi="Arial" w:cs="Arial"/>
            <w:sz w:val="14"/>
            <w:szCs w:val="14"/>
          </w:rPr>
          <w:t>https://www.ecfr.gov/cgi-bin/retrieveECFR?gp=&amp;SID=fa1c412166c55ad8782af2770f4df3b4&amp;mc=true&amp;n=sp47.1.15.c&amp;r=SUBPART&amp;ty=HTML#se47.1.15_1255</w:t>
        </w:r>
      </w:hyperlink>
    </w:p>
  </w:footnote>
  <w:footnote w:id="7">
    <w:p w14:paraId="65F744DA" w14:textId="77777777" w:rsidR="002773C7" w:rsidRPr="00D8142B" w:rsidRDefault="002773C7" w:rsidP="002773C7">
      <w:pPr>
        <w:pStyle w:val="Textonotapie"/>
        <w:rPr>
          <w:rFonts w:ascii="Arial" w:hAnsi="Arial" w:cs="Arial"/>
          <w:sz w:val="14"/>
          <w:szCs w:val="14"/>
        </w:rPr>
      </w:pPr>
      <w:r w:rsidRPr="00D8142B">
        <w:rPr>
          <w:rStyle w:val="Refdenotaalpie"/>
          <w:rFonts w:ascii="Arial" w:hAnsi="Arial" w:cs="Arial"/>
          <w:sz w:val="14"/>
          <w:szCs w:val="14"/>
        </w:rPr>
        <w:footnoteRef/>
      </w:r>
      <w:r w:rsidRPr="00D8142B">
        <w:rPr>
          <w:rFonts w:ascii="Arial" w:hAnsi="Arial" w:cs="Arial"/>
          <w:sz w:val="14"/>
          <w:szCs w:val="14"/>
        </w:rPr>
        <w:t xml:space="preserve"> </w:t>
      </w:r>
      <w:r w:rsidRPr="006820B1">
        <w:rPr>
          <w:rFonts w:ascii="Arial" w:hAnsi="Arial" w:cs="Arial"/>
          <w:sz w:val="14"/>
          <w:szCs w:val="14"/>
        </w:rPr>
        <w:t xml:space="preserve">Disponible para consulta en: </w:t>
      </w:r>
      <w:hyperlink r:id="rId6" w:history="1">
        <w:r w:rsidRPr="006820B1">
          <w:rPr>
            <w:rStyle w:val="Hipervnculo"/>
            <w:rFonts w:ascii="Arial" w:hAnsi="Arial" w:cs="Arial"/>
            <w:sz w:val="14"/>
            <w:szCs w:val="14"/>
          </w:rPr>
          <w:t>https://www.govinfo.gov/content/pkg/FR-2021-08-19/pdf/2021-16637.pdf</w:t>
        </w:r>
      </w:hyperlink>
      <w:r w:rsidRPr="00D8142B">
        <w:rPr>
          <w:rFonts w:ascii="Arial" w:hAnsi="Arial" w:cs="Arial"/>
          <w:sz w:val="14"/>
          <w:szCs w:val="14"/>
        </w:rPr>
        <w:t xml:space="preserve"> </w:t>
      </w:r>
    </w:p>
  </w:footnote>
  <w:footnote w:id="8">
    <w:p w14:paraId="5A19483E" w14:textId="77777777" w:rsidR="002773C7" w:rsidRPr="006820B1" w:rsidRDefault="002773C7" w:rsidP="002773C7">
      <w:pPr>
        <w:pStyle w:val="Textonotapie"/>
        <w:rPr>
          <w:rFonts w:ascii="Arial" w:hAnsi="Arial" w:cs="Arial"/>
          <w:sz w:val="14"/>
          <w:szCs w:val="14"/>
        </w:rPr>
      </w:pPr>
      <w:r w:rsidRPr="006820B1">
        <w:rPr>
          <w:rStyle w:val="Refdenotaalpie"/>
          <w:rFonts w:ascii="Arial" w:hAnsi="Arial" w:cs="Arial"/>
          <w:sz w:val="14"/>
          <w:szCs w:val="14"/>
        </w:rPr>
        <w:footnoteRef/>
      </w:r>
      <w:r w:rsidRPr="006820B1">
        <w:rPr>
          <w:rFonts w:ascii="Arial" w:hAnsi="Arial" w:cs="Arial"/>
          <w:sz w:val="14"/>
          <w:szCs w:val="14"/>
        </w:rPr>
        <w:t xml:space="preserve"> Disponible para consulta en: </w:t>
      </w:r>
      <w:hyperlink r:id="rId7" w:history="1">
        <w:r w:rsidRPr="006820B1">
          <w:rPr>
            <w:rStyle w:val="Hipervnculo"/>
            <w:rFonts w:ascii="Arial" w:hAnsi="Arial" w:cs="Arial"/>
            <w:sz w:val="14"/>
            <w:szCs w:val="14"/>
          </w:rPr>
          <w:t>https://www.ic.gc.ca/eic/site/smt-gst.nsf/eng/sf01320.html</w:t>
        </w:r>
      </w:hyperlink>
    </w:p>
  </w:footnote>
  <w:footnote w:id="9">
    <w:p w14:paraId="16F565B1" w14:textId="77777777" w:rsidR="002773C7" w:rsidRPr="00D8142B" w:rsidRDefault="002773C7" w:rsidP="002773C7">
      <w:pPr>
        <w:pStyle w:val="Textonotapie"/>
        <w:rPr>
          <w:rFonts w:ascii="Arial" w:hAnsi="Arial" w:cs="Arial"/>
          <w:sz w:val="14"/>
          <w:szCs w:val="14"/>
        </w:rPr>
      </w:pPr>
      <w:r w:rsidRPr="00D8142B">
        <w:rPr>
          <w:rStyle w:val="Refdenotaalpie"/>
          <w:rFonts w:ascii="Arial" w:hAnsi="Arial" w:cs="Arial"/>
          <w:sz w:val="14"/>
          <w:szCs w:val="14"/>
        </w:rPr>
        <w:footnoteRef/>
      </w:r>
      <w:r w:rsidRPr="00D8142B">
        <w:rPr>
          <w:rFonts w:ascii="Arial" w:hAnsi="Arial" w:cs="Arial"/>
          <w:sz w:val="14"/>
          <w:szCs w:val="14"/>
        </w:rPr>
        <w:t xml:space="preserve"> </w:t>
      </w:r>
      <w:r w:rsidRPr="006820B1">
        <w:rPr>
          <w:rFonts w:ascii="Arial" w:hAnsi="Arial" w:cs="Arial"/>
          <w:sz w:val="14"/>
          <w:szCs w:val="14"/>
        </w:rPr>
        <w:t xml:space="preserve">Recomendación UIT-R SM.2103-0, Ed. 2017. Consultable en: </w:t>
      </w:r>
      <w:hyperlink r:id="rId8" w:history="1">
        <w:r w:rsidRPr="006820B1">
          <w:rPr>
            <w:rStyle w:val="Hipervnculo"/>
            <w:rFonts w:ascii="Arial" w:hAnsi="Arial" w:cs="Arial"/>
            <w:sz w:val="14"/>
            <w:szCs w:val="14"/>
          </w:rPr>
          <w:t>https://www.itu.int/dms_pubrec/itu-r/rec/sm/R-REC-SM.2103-0-201709-I!!PDF-S.pdf</w:t>
        </w:r>
      </w:hyperlink>
      <w:r w:rsidRPr="006820B1">
        <w:rPr>
          <w:rFonts w:ascii="Arial" w:hAnsi="Arial" w:cs="Arial"/>
          <w:sz w:val="14"/>
          <w:szCs w:val="14"/>
        </w:rPr>
        <w:t xml:space="preserve"> </w:t>
      </w:r>
    </w:p>
  </w:footnote>
  <w:footnote w:id="10">
    <w:p w14:paraId="5F4AF1BE" w14:textId="77777777" w:rsidR="002773C7" w:rsidRPr="00D8142B" w:rsidRDefault="002773C7" w:rsidP="002773C7">
      <w:pPr>
        <w:pStyle w:val="Textonotapie"/>
        <w:rPr>
          <w:rFonts w:ascii="Arial" w:hAnsi="Arial" w:cs="Arial"/>
          <w:sz w:val="14"/>
          <w:szCs w:val="14"/>
        </w:rPr>
      </w:pPr>
      <w:r w:rsidRPr="00D8142B">
        <w:rPr>
          <w:rStyle w:val="Refdenotaalpie"/>
          <w:rFonts w:ascii="Arial" w:hAnsi="Arial" w:cs="Arial"/>
          <w:sz w:val="14"/>
          <w:szCs w:val="14"/>
        </w:rPr>
        <w:footnoteRef/>
      </w:r>
      <w:r w:rsidRPr="00D8142B">
        <w:rPr>
          <w:rFonts w:ascii="Arial" w:hAnsi="Arial" w:cs="Arial"/>
          <w:sz w:val="14"/>
          <w:szCs w:val="14"/>
        </w:rPr>
        <w:t xml:space="preserve"> </w:t>
      </w:r>
      <w:r w:rsidRPr="006820B1">
        <w:rPr>
          <w:rFonts w:ascii="Arial" w:hAnsi="Arial" w:cs="Arial"/>
          <w:sz w:val="14"/>
          <w:szCs w:val="14"/>
        </w:rPr>
        <w:t xml:space="preserve">Informe UITR- SM.2153-8, Ed. 2021. Consultable en: </w:t>
      </w:r>
      <w:hyperlink r:id="rId9" w:history="1">
        <w:r w:rsidRPr="006820B1">
          <w:rPr>
            <w:rStyle w:val="Hipervnculo"/>
            <w:rFonts w:ascii="Arial" w:hAnsi="Arial" w:cs="Arial"/>
            <w:sz w:val="14"/>
            <w:szCs w:val="14"/>
          </w:rPr>
          <w:t>https://www.itu.int/dms_pub/itu-r/opb/rep/R-REP-SM.2153-8-2021-PDF-S.pdf</w:t>
        </w:r>
      </w:hyperlink>
      <w:r w:rsidRPr="006820B1">
        <w:rPr>
          <w:rFonts w:ascii="Arial" w:hAnsi="Arial" w:cs="Arial"/>
          <w:sz w:val="14"/>
          <w:szCs w:val="14"/>
        </w:rPr>
        <w:t xml:space="preserve"> </w:t>
      </w:r>
    </w:p>
  </w:footnote>
  <w:footnote w:id="11">
    <w:p w14:paraId="5928F9F0" w14:textId="77777777" w:rsidR="002773C7" w:rsidRPr="00D8142B" w:rsidRDefault="002773C7" w:rsidP="002773C7">
      <w:pPr>
        <w:pStyle w:val="Textonotapie"/>
        <w:rPr>
          <w:rFonts w:ascii="Arial" w:hAnsi="Arial" w:cs="Arial"/>
          <w:sz w:val="14"/>
          <w:szCs w:val="14"/>
        </w:rPr>
      </w:pPr>
      <w:r w:rsidRPr="00D8142B">
        <w:rPr>
          <w:rStyle w:val="Refdenotaalpie"/>
          <w:rFonts w:ascii="Arial" w:hAnsi="Arial" w:cs="Arial"/>
          <w:sz w:val="14"/>
          <w:szCs w:val="14"/>
        </w:rPr>
        <w:footnoteRef/>
      </w:r>
      <w:r w:rsidRPr="00D8142B">
        <w:rPr>
          <w:rFonts w:ascii="Arial" w:hAnsi="Arial" w:cs="Arial"/>
          <w:sz w:val="14"/>
          <w:szCs w:val="14"/>
        </w:rPr>
        <w:t xml:space="preserve"> </w:t>
      </w:r>
      <w:r w:rsidRPr="006820B1">
        <w:rPr>
          <w:rFonts w:ascii="Arial" w:hAnsi="Arial" w:cs="Arial"/>
          <w:sz w:val="14"/>
          <w:szCs w:val="14"/>
        </w:rPr>
        <w:t xml:space="preserve">Resolución UIT-R 54-3, Ed. 2019. Consultable en: </w:t>
      </w:r>
      <w:hyperlink r:id="rId10" w:history="1">
        <w:r w:rsidRPr="006820B1">
          <w:rPr>
            <w:rStyle w:val="Hipervnculo"/>
            <w:rFonts w:ascii="Arial" w:hAnsi="Arial" w:cs="Arial"/>
            <w:sz w:val="14"/>
            <w:szCs w:val="14"/>
          </w:rPr>
          <w:t>https://www.itu.int/dms_pub/itu-r/opb/res/R-RES-R.54-3-2019-PDF-S.pdf</w:t>
        </w:r>
      </w:hyperlink>
      <w:r w:rsidRPr="006820B1">
        <w:rPr>
          <w:rFonts w:ascii="Arial" w:hAnsi="Arial"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1C9B7" w14:textId="4409BE5B" w:rsidR="00A80893" w:rsidRDefault="006E45E5">
    <w:pPr>
      <w:pStyle w:val="Encabezado"/>
    </w:pPr>
    <w:r>
      <w:rPr>
        <w:noProof/>
      </w:rPr>
      <w:pict w14:anchorId="1E3A7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096829" o:spid="_x0000_s2053" type="#_x0000_t136" style="position:absolute;left:0;text-align:left;margin-left:0;margin-top:0;width:530.35pt;height:132.55pt;rotation:315;z-index:-251654143;mso-position-horizontal:center;mso-position-horizontal-relative:margin;mso-position-vertical:center;mso-position-vertical-relative:margin" o:allowincell="f" fillcolor="silver" stroked="f">
          <v:fill opacity=".5"/>
          <v:textpath style="font-family:&quot;Calibri Light&quot;;font-size:1pt" string="Anteproyecto"/>
        </v:shape>
      </w:pict>
    </w:r>
    <w:r w:rsidR="0068251C">
      <w:rPr>
        <w:noProof/>
      </w:rPr>
      <w:pict w14:anchorId="51959252">
        <v:shape id="_x0000_s2050" type="#_x0000_t136" style="position:absolute;left:0;text-align:left;margin-left:0;margin-top:0;width:534.05pt;height:89pt;rotation:315;z-index:-251658239;mso-position-horizontal:center;mso-position-horizontal-relative:margin;mso-position-vertical:center;mso-position-vertical-relative:margin" o:allowincell="f" fillcolor="silver" stroked="f">
          <v:fill opacity=".5"/>
          <v:textpath style="font-family:&quot;ITC Avant Garde&quot;;font-size:1pt" string="Anteproyec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82CFA" w14:textId="41E95FC6" w:rsidR="00A80893" w:rsidRDefault="006E45E5" w:rsidP="0019279B">
    <w:pPr>
      <w:pStyle w:val="Encabezado"/>
      <w:jc w:val="both"/>
    </w:pPr>
    <w:r>
      <w:rPr>
        <w:noProof/>
      </w:rPr>
      <w:pict w14:anchorId="44ED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55" type="#_x0000_t75" alt="hoja membretada s dir-01" style="position:absolute;left:0;text-align:left;margin-left:-71pt;margin-top:-115.65pt;width:612pt;height:808pt;z-index:-251651071;visibility:visible;mso-wrap-edited:f;mso-width-percent:0;mso-height-percent:0;mso-position-horizontal-relative:margin;mso-position-vertical-relative:margin;mso-width-percent:0;mso-height-percent:0" o:allowincell="f">
          <v:imagedata r:id="rId1" o:title="hoja membretada s dir-01"/>
          <w10:wrap anchorx="margin" anchory="margin"/>
        </v:shape>
      </w:pict>
    </w:r>
    <w:r>
      <w:rPr>
        <w:noProof/>
      </w:rPr>
      <w:pict w14:anchorId="36C23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096830" o:spid="_x0000_s2054" type="#_x0000_t136" style="position:absolute;left:0;text-align:left;margin-left:0;margin-top:0;width:530.35pt;height:132.55pt;rotation:315;z-index:-251652095;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FE155" w14:textId="46E25DD0" w:rsidR="00A80893" w:rsidRDefault="006E45E5">
    <w:pPr>
      <w:pStyle w:val="Encabezado"/>
    </w:pPr>
    <w:r>
      <w:rPr>
        <w:noProof/>
      </w:rPr>
      <w:pict w14:anchorId="73E8D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096828" o:spid="_x0000_s2052" type="#_x0000_t136" style="position:absolute;left:0;text-align:left;margin-left:0;margin-top:0;width:530.35pt;height:132.55pt;rotation:315;z-index:-251656191;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4FFE"/>
      </v:shape>
    </w:pict>
  </w:numPicBullet>
  <w:abstractNum w:abstractNumId="0" w15:restartNumberingAfterBreak="0">
    <w:nsid w:val="00B726D3"/>
    <w:multiLevelType w:val="hybridMultilevel"/>
    <w:tmpl w:val="50F64532"/>
    <w:lvl w:ilvl="0" w:tplc="080A0019">
      <w:start w:val="1"/>
      <w:numFmt w:val="lowerLetter"/>
      <w:lvlText w:val="%1."/>
      <w:lvlJc w:val="left"/>
      <w:pPr>
        <w:ind w:left="4188" w:hanging="360"/>
      </w:p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 w15:restartNumberingAfterBreak="0">
    <w:nsid w:val="05513701"/>
    <w:multiLevelType w:val="hybridMultilevel"/>
    <w:tmpl w:val="25CC7962"/>
    <w:lvl w:ilvl="0" w:tplc="22D2150C">
      <w:start w:val="1"/>
      <w:numFmt w:val="upperRoman"/>
      <w:lvlText w:val="%1."/>
      <w:lvlJc w:val="right"/>
      <w:pPr>
        <w:ind w:left="720" w:hanging="360"/>
      </w:pPr>
      <w:rPr>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C87246"/>
    <w:multiLevelType w:val="hybridMultilevel"/>
    <w:tmpl w:val="CACEF750"/>
    <w:lvl w:ilvl="0" w:tplc="8110D90C">
      <w:start w:val="1"/>
      <w:numFmt w:val="decimal"/>
      <w:lvlText w:val="(%1)"/>
      <w:lvlJc w:val="left"/>
      <w:pPr>
        <w:ind w:left="2487" w:hanging="360"/>
      </w:pPr>
      <w:rPr>
        <w:rFonts w:hint="default"/>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3" w15:restartNumberingAfterBreak="0">
    <w:nsid w:val="072B1EAA"/>
    <w:multiLevelType w:val="hybridMultilevel"/>
    <w:tmpl w:val="C70221B6"/>
    <w:lvl w:ilvl="0" w:tplc="90269180">
      <w:start w:val="1"/>
      <w:numFmt w:val="ordinalText"/>
      <w:lvlText w:val="%1.-"/>
      <w:lvlJc w:val="left"/>
      <w:pPr>
        <w:ind w:left="2345" w:hanging="360"/>
      </w:pPr>
      <w:rPr>
        <w:rFonts w:hint="default"/>
        <w:b/>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 w15:restartNumberingAfterBreak="0">
    <w:nsid w:val="129634E1"/>
    <w:multiLevelType w:val="hybridMultilevel"/>
    <w:tmpl w:val="CF163448"/>
    <w:lvl w:ilvl="0" w:tplc="9042B6C4">
      <w:start w:val="2"/>
      <w:numFmt w:val="ordinalText"/>
      <w:lvlText w:val="%1.-"/>
      <w:lvlJc w:val="left"/>
      <w:pPr>
        <w:ind w:left="720" w:hanging="360"/>
      </w:pPr>
      <w:rPr>
        <w:rFonts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C53D22"/>
    <w:multiLevelType w:val="hybridMultilevel"/>
    <w:tmpl w:val="075A50A0"/>
    <w:lvl w:ilvl="0" w:tplc="B3821968">
      <w:start w:val="5"/>
      <w:numFmt w:val="lowerLetter"/>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0A0206"/>
    <w:multiLevelType w:val="hybridMultilevel"/>
    <w:tmpl w:val="FF40C890"/>
    <w:lvl w:ilvl="0" w:tplc="76A2B26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7AD7B7E"/>
    <w:multiLevelType w:val="hybridMultilevel"/>
    <w:tmpl w:val="B628BBC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E22BB0"/>
    <w:multiLevelType w:val="hybridMultilevel"/>
    <w:tmpl w:val="FB720750"/>
    <w:lvl w:ilvl="0" w:tplc="4DBED92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1C214E"/>
    <w:multiLevelType w:val="hybridMultilevel"/>
    <w:tmpl w:val="A0E038C0"/>
    <w:lvl w:ilvl="0" w:tplc="347858FC">
      <w:start w:val="1"/>
      <w:numFmt w:val="ordinalText"/>
      <w:lvlText w:val="%1.-"/>
      <w:lvlJc w:val="left"/>
      <w:pPr>
        <w:ind w:left="720" w:hanging="360"/>
      </w:pPr>
      <w:rPr>
        <w:rFonts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BB69F5"/>
    <w:multiLevelType w:val="hybridMultilevel"/>
    <w:tmpl w:val="37D686A6"/>
    <w:lvl w:ilvl="0" w:tplc="6054F768">
      <w:start w:val="1"/>
      <w:numFmt w:val="ordinalText"/>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D1918"/>
    <w:multiLevelType w:val="hybridMultilevel"/>
    <w:tmpl w:val="4DFAC6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3F473E"/>
    <w:multiLevelType w:val="hybridMultilevel"/>
    <w:tmpl w:val="E4CAB178"/>
    <w:lvl w:ilvl="0" w:tplc="21307D86">
      <w:start w:val="1"/>
      <w:numFmt w:val="ordinalText"/>
      <w:pStyle w:val="Ttulo3"/>
      <w:lvlText w:val="%1.-"/>
      <w:lvlJc w:val="left"/>
      <w:pPr>
        <w:ind w:left="786" w:hanging="360"/>
      </w:pPr>
      <w:rPr>
        <w:rFonts w:ascii="Arial" w:hAnsi="Arial" w:cs="Arial" w:hint="default"/>
        <w:b/>
        <w:i w:val="0"/>
        <w:caps w:val="0"/>
        <w:sz w:val="22"/>
        <w:szCs w:val="22"/>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F4368A6"/>
    <w:multiLevelType w:val="hybridMultilevel"/>
    <w:tmpl w:val="F1E81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C10B1C"/>
    <w:multiLevelType w:val="hybridMultilevel"/>
    <w:tmpl w:val="A22E6DF4"/>
    <w:lvl w:ilvl="0" w:tplc="301E6B44">
      <w:start w:val="3"/>
      <w:numFmt w:val="lowerLetter"/>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E90562"/>
    <w:multiLevelType w:val="multilevel"/>
    <w:tmpl w:val="FE6C22E8"/>
    <w:lvl w:ilvl="0">
      <w:start w:val="2"/>
      <w:numFmt w:val="upperRoman"/>
      <w:lvlText w:val="%1."/>
      <w:lvlJc w:val="left"/>
      <w:pPr>
        <w:ind w:left="3131" w:hanging="720"/>
      </w:pPr>
      <w:rPr>
        <w:rFonts w:hint="default"/>
        <w:b/>
      </w:rPr>
    </w:lvl>
    <w:lvl w:ilvl="1">
      <w:start w:val="1"/>
      <w:numFmt w:val="decimal"/>
      <w:isLgl/>
      <w:lvlText w:val="%1.%2"/>
      <w:lvlJc w:val="left"/>
      <w:pPr>
        <w:ind w:left="2771"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491" w:hanging="108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3851" w:hanging="1440"/>
      </w:pPr>
      <w:rPr>
        <w:rFonts w:hint="default"/>
      </w:rPr>
    </w:lvl>
    <w:lvl w:ilvl="8">
      <w:start w:val="1"/>
      <w:numFmt w:val="decimal"/>
      <w:isLgl/>
      <w:lvlText w:val="%1.%2.%3.%4.%5.%6.%7.%8.%9"/>
      <w:lvlJc w:val="left"/>
      <w:pPr>
        <w:ind w:left="4211" w:hanging="1800"/>
      </w:pPr>
      <w:rPr>
        <w:rFonts w:hint="default"/>
      </w:rPr>
    </w:lvl>
  </w:abstractNum>
  <w:abstractNum w:abstractNumId="16" w15:restartNumberingAfterBreak="0">
    <w:nsid w:val="35163D8C"/>
    <w:multiLevelType w:val="hybridMultilevel"/>
    <w:tmpl w:val="D7B8345E"/>
    <w:lvl w:ilvl="0" w:tplc="55ECBD9E">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35C03BE7"/>
    <w:multiLevelType w:val="hybridMultilevel"/>
    <w:tmpl w:val="84703C22"/>
    <w:lvl w:ilvl="0" w:tplc="080A0013">
      <w:start w:val="1"/>
      <w:numFmt w:val="upperRoman"/>
      <w:lvlText w:val="%1."/>
      <w:lvlJc w:val="right"/>
      <w:pPr>
        <w:ind w:left="778" w:hanging="360"/>
      </w:pPr>
      <w:rPr>
        <w:rFonts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8" w15:restartNumberingAfterBreak="0">
    <w:nsid w:val="39D84433"/>
    <w:multiLevelType w:val="multilevel"/>
    <w:tmpl w:val="37E6ED80"/>
    <w:lvl w:ilvl="0">
      <w:start w:val="2"/>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C7E6F5A"/>
    <w:multiLevelType w:val="hybridMultilevel"/>
    <w:tmpl w:val="C1F43D14"/>
    <w:lvl w:ilvl="0" w:tplc="080A0013">
      <w:start w:val="1"/>
      <w:numFmt w:val="upp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B352E9"/>
    <w:multiLevelType w:val="hybridMultilevel"/>
    <w:tmpl w:val="1A6A996C"/>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21" w15:restartNumberingAfterBreak="0">
    <w:nsid w:val="3CE55261"/>
    <w:multiLevelType w:val="hybridMultilevel"/>
    <w:tmpl w:val="4DFAC6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C90B77"/>
    <w:multiLevelType w:val="multilevel"/>
    <w:tmpl w:val="9D52BE3C"/>
    <w:lvl w:ilvl="0">
      <w:start w:val="1"/>
      <w:numFmt w:val="decimal"/>
      <w:lvlText w:val="%1."/>
      <w:lvlJc w:val="left"/>
      <w:pPr>
        <w:ind w:left="720" w:hanging="360"/>
      </w:pPr>
      <w:rPr>
        <w:b/>
      </w:rPr>
    </w:lvl>
    <w:lvl w:ilvl="1">
      <w:start w:val="1"/>
      <w:numFmt w:val="decimal"/>
      <w:isLgl/>
      <w:lvlText w:val="%1.%2."/>
      <w:lvlJc w:val="left"/>
      <w:pPr>
        <w:ind w:left="1428" w:hanging="720"/>
      </w:pPr>
      <w:rPr>
        <w:rFonts w:eastAsiaTheme="minorHAnsi" w:hint="default"/>
        <w:b/>
        <w:color w:val="000000" w:themeColor="text1"/>
      </w:rPr>
    </w:lvl>
    <w:lvl w:ilvl="2">
      <w:start w:val="1"/>
      <w:numFmt w:val="decimal"/>
      <w:isLgl/>
      <w:lvlText w:val="%1.%2.%3."/>
      <w:lvlJc w:val="left"/>
      <w:pPr>
        <w:ind w:left="1776" w:hanging="720"/>
      </w:pPr>
      <w:rPr>
        <w:rFonts w:eastAsiaTheme="minorHAnsi" w:hint="default"/>
        <w:b w:val="0"/>
        <w:color w:val="000000" w:themeColor="text1"/>
      </w:rPr>
    </w:lvl>
    <w:lvl w:ilvl="3">
      <w:start w:val="1"/>
      <w:numFmt w:val="decimal"/>
      <w:isLgl/>
      <w:lvlText w:val="%1.%2.%3.%4."/>
      <w:lvlJc w:val="left"/>
      <w:pPr>
        <w:ind w:left="2484" w:hanging="1080"/>
      </w:pPr>
      <w:rPr>
        <w:rFonts w:eastAsiaTheme="minorHAnsi" w:hint="default"/>
        <w:b w:val="0"/>
        <w:color w:val="000000" w:themeColor="text1"/>
      </w:rPr>
    </w:lvl>
    <w:lvl w:ilvl="4">
      <w:start w:val="1"/>
      <w:numFmt w:val="decimal"/>
      <w:isLgl/>
      <w:lvlText w:val="%1.%2.%3.%4.%5."/>
      <w:lvlJc w:val="left"/>
      <w:pPr>
        <w:ind w:left="2832" w:hanging="1080"/>
      </w:pPr>
      <w:rPr>
        <w:rFonts w:eastAsiaTheme="minorHAnsi" w:hint="default"/>
        <w:b w:val="0"/>
        <w:color w:val="000000" w:themeColor="text1"/>
      </w:rPr>
    </w:lvl>
    <w:lvl w:ilvl="5">
      <w:start w:val="1"/>
      <w:numFmt w:val="decimal"/>
      <w:isLgl/>
      <w:lvlText w:val="%1.%2.%3.%4.%5.%6."/>
      <w:lvlJc w:val="left"/>
      <w:pPr>
        <w:ind w:left="3540" w:hanging="1440"/>
      </w:pPr>
      <w:rPr>
        <w:rFonts w:eastAsiaTheme="minorHAnsi" w:hint="default"/>
        <w:b w:val="0"/>
        <w:color w:val="000000" w:themeColor="text1"/>
      </w:rPr>
    </w:lvl>
    <w:lvl w:ilvl="6">
      <w:start w:val="1"/>
      <w:numFmt w:val="decimal"/>
      <w:isLgl/>
      <w:lvlText w:val="%1.%2.%3.%4.%5.%6.%7."/>
      <w:lvlJc w:val="left"/>
      <w:pPr>
        <w:ind w:left="3888" w:hanging="1440"/>
      </w:pPr>
      <w:rPr>
        <w:rFonts w:eastAsiaTheme="minorHAnsi" w:hint="default"/>
        <w:b w:val="0"/>
        <w:color w:val="000000" w:themeColor="text1"/>
      </w:rPr>
    </w:lvl>
    <w:lvl w:ilvl="7">
      <w:start w:val="1"/>
      <w:numFmt w:val="decimal"/>
      <w:isLgl/>
      <w:lvlText w:val="%1.%2.%3.%4.%5.%6.%7.%8."/>
      <w:lvlJc w:val="left"/>
      <w:pPr>
        <w:ind w:left="4596" w:hanging="1800"/>
      </w:pPr>
      <w:rPr>
        <w:rFonts w:eastAsiaTheme="minorHAnsi" w:hint="default"/>
        <w:b w:val="0"/>
        <w:color w:val="000000" w:themeColor="text1"/>
      </w:rPr>
    </w:lvl>
    <w:lvl w:ilvl="8">
      <w:start w:val="1"/>
      <w:numFmt w:val="decimal"/>
      <w:isLgl/>
      <w:lvlText w:val="%1.%2.%3.%4.%5.%6.%7.%8.%9."/>
      <w:lvlJc w:val="left"/>
      <w:pPr>
        <w:ind w:left="4944" w:hanging="1800"/>
      </w:pPr>
      <w:rPr>
        <w:rFonts w:eastAsiaTheme="minorHAnsi" w:hint="default"/>
        <w:b w:val="0"/>
        <w:color w:val="000000" w:themeColor="text1"/>
      </w:rPr>
    </w:lvl>
  </w:abstractNum>
  <w:abstractNum w:abstractNumId="23" w15:restartNumberingAfterBreak="0">
    <w:nsid w:val="47B81001"/>
    <w:multiLevelType w:val="hybridMultilevel"/>
    <w:tmpl w:val="C1F43D14"/>
    <w:lvl w:ilvl="0" w:tplc="080A0013">
      <w:start w:val="1"/>
      <w:numFmt w:val="upp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461D25"/>
    <w:multiLevelType w:val="hybridMultilevel"/>
    <w:tmpl w:val="7A601C06"/>
    <w:lvl w:ilvl="0" w:tplc="5750190C">
      <w:start w:val="1"/>
      <w:numFmt w:val="ordinalText"/>
      <w:lvlText w:val="%1."/>
      <w:lvlJc w:val="left"/>
      <w:pPr>
        <w:ind w:left="3479" w:hanging="360"/>
      </w:pPr>
      <w:rPr>
        <w:rFonts w:hint="default"/>
        <w:b/>
        <w:caps/>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FD6645"/>
    <w:multiLevelType w:val="hybridMultilevel"/>
    <w:tmpl w:val="47A8512A"/>
    <w:lvl w:ilvl="0" w:tplc="7CD0C972">
      <w:start w:val="4"/>
      <w:numFmt w:val="ordinalText"/>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1C1A9A"/>
    <w:multiLevelType w:val="hybridMultilevel"/>
    <w:tmpl w:val="07AA6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B93BD1"/>
    <w:multiLevelType w:val="hybridMultilevel"/>
    <w:tmpl w:val="05444094"/>
    <w:lvl w:ilvl="0" w:tplc="6054F768">
      <w:start w:val="1"/>
      <w:numFmt w:val="ordinalText"/>
      <w:lvlText w:val="%1.-"/>
      <w:lvlJc w:val="left"/>
      <w:pPr>
        <w:ind w:left="502" w:hanging="360"/>
      </w:pPr>
      <w:rPr>
        <w:rFonts w:hint="default"/>
        <w:b/>
      </w:rPr>
    </w:lvl>
    <w:lvl w:ilvl="1" w:tplc="08090019" w:tentative="1">
      <w:start w:val="1"/>
      <w:numFmt w:val="lowerLetter"/>
      <w:lvlText w:val="%2."/>
      <w:lvlJc w:val="left"/>
      <w:pPr>
        <w:ind w:left="164" w:hanging="360"/>
      </w:pPr>
    </w:lvl>
    <w:lvl w:ilvl="2" w:tplc="0809001B" w:tentative="1">
      <w:start w:val="1"/>
      <w:numFmt w:val="lowerRoman"/>
      <w:lvlText w:val="%3."/>
      <w:lvlJc w:val="right"/>
      <w:pPr>
        <w:ind w:left="884" w:hanging="180"/>
      </w:pPr>
    </w:lvl>
    <w:lvl w:ilvl="3" w:tplc="0809000F" w:tentative="1">
      <w:start w:val="1"/>
      <w:numFmt w:val="decimal"/>
      <w:lvlText w:val="%4."/>
      <w:lvlJc w:val="left"/>
      <w:pPr>
        <w:ind w:left="1604" w:hanging="360"/>
      </w:pPr>
    </w:lvl>
    <w:lvl w:ilvl="4" w:tplc="08090019" w:tentative="1">
      <w:start w:val="1"/>
      <w:numFmt w:val="lowerLetter"/>
      <w:lvlText w:val="%5."/>
      <w:lvlJc w:val="left"/>
      <w:pPr>
        <w:ind w:left="2324" w:hanging="360"/>
      </w:pPr>
    </w:lvl>
    <w:lvl w:ilvl="5" w:tplc="0809001B" w:tentative="1">
      <w:start w:val="1"/>
      <w:numFmt w:val="lowerRoman"/>
      <w:lvlText w:val="%6."/>
      <w:lvlJc w:val="right"/>
      <w:pPr>
        <w:ind w:left="3044" w:hanging="180"/>
      </w:pPr>
    </w:lvl>
    <w:lvl w:ilvl="6" w:tplc="0809000F" w:tentative="1">
      <w:start w:val="1"/>
      <w:numFmt w:val="decimal"/>
      <w:lvlText w:val="%7."/>
      <w:lvlJc w:val="left"/>
      <w:pPr>
        <w:ind w:left="3764" w:hanging="360"/>
      </w:pPr>
    </w:lvl>
    <w:lvl w:ilvl="7" w:tplc="08090019" w:tentative="1">
      <w:start w:val="1"/>
      <w:numFmt w:val="lowerLetter"/>
      <w:lvlText w:val="%8."/>
      <w:lvlJc w:val="left"/>
      <w:pPr>
        <w:ind w:left="4484" w:hanging="360"/>
      </w:pPr>
    </w:lvl>
    <w:lvl w:ilvl="8" w:tplc="0809001B" w:tentative="1">
      <w:start w:val="1"/>
      <w:numFmt w:val="lowerRoman"/>
      <w:lvlText w:val="%9."/>
      <w:lvlJc w:val="right"/>
      <w:pPr>
        <w:ind w:left="5204" w:hanging="180"/>
      </w:pPr>
    </w:lvl>
  </w:abstractNum>
  <w:abstractNum w:abstractNumId="28" w15:restartNumberingAfterBreak="0">
    <w:nsid w:val="52C930B5"/>
    <w:multiLevelType w:val="hybridMultilevel"/>
    <w:tmpl w:val="F91421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B45838"/>
    <w:multiLevelType w:val="hybridMultilevel"/>
    <w:tmpl w:val="481822A8"/>
    <w:lvl w:ilvl="0" w:tplc="347858FC">
      <w:start w:val="1"/>
      <w:numFmt w:val="ordinalText"/>
      <w:lvlText w:val="%1.-"/>
      <w:lvlJc w:val="left"/>
      <w:pPr>
        <w:ind w:left="720" w:hanging="360"/>
      </w:pPr>
      <w:rPr>
        <w:rFonts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775BC2"/>
    <w:multiLevelType w:val="hybridMultilevel"/>
    <w:tmpl w:val="7D72004E"/>
    <w:lvl w:ilvl="0" w:tplc="080A0017">
      <w:start w:val="1"/>
      <w:numFmt w:val="lowerLetter"/>
      <w:lvlText w:val="%1)"/>
      <w:lvlJc w:val="left"/>
      <w:pPr>
        <w:ind w:left="720" w:hanging="360"/>
      </w:pPr>
    </w:lvl>
    <w:lvl w:ilvl="1" w:tplc="11DC7836">
      <w:start w:val="1"/>
      <w:numFmt w:val="decimal"/>
      <w:lvlText w:val="%2."/>
      <w:lvlJc w:val="left"/>
      <w:pPr>
        <w:ind w:left="1455" w:hanging="37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232571"/>
    <w:multiLevelType w:val="hybridMultilevel"/>
    <w:tmpl w:val="2C10B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2C5129"/>
    <w:multiLevelType w:val="hybridMultilevel"/>
    <w:tmpl w:val="EC18EE54"/>
    <w:lvl w:ilvl="0" w:tplc="B540FA44">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611775"/>
    <w:multiLevelType w:val="hybridMultilevel"/>
    <w:tmpl w:val="62305E6A"/>
    <w:lvl w:ilvl="0" w:tplc="90269180">
      <w:start w:val="1"/>
      <w:numFmt w:val="ordinalText"/>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F672CD"/>
    <w:multiLevelType w:val="hybridMultilevel"/>
    <w:tmpl w:val="B5F898C6"/>
    <w:lvl w:ilvl="0" w:tplc="83F84F10">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BE79FA"/>
    <w:multiLevelType w:val="hybridMultilevel"/>
    <w:tmpl w:val="5FAA6212"/>
    <w:lvl w:ilvl="0" w:tplc="0A34DF36">
      <w:start w:val="3"/>
      <w:numFmt w:val="decimal"/>
      <w:lvlText w:val="(%1)"/>
      <w:lvlJc w:val="left"/>
      <w:pPr>
        <w:ind w:left="2487"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863BA2"/>
    <w:multiLevelType w:val="hybridMultilevel"/>
    <w:tmpl w:val="E36AE254"/>
    <w:lvl w:ilvl="0" w:tplc="90269180">
      <w:start w:val="1"/>
      <w:numFmt w:val="ordinalText"/>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AB79B4"/>
    <w:multiLevelType w:val="hybridMultilevel"/>
    <w:tmpl w:val="31723B5A"/>
    <w:lvl w:ilvl="0" w:tplc="6054F768">
      <w:start w:val="1"/>
      <w:numFmt w:val="ordinalText"/>
      <w:lvlText w:val="%1.-"/>
      <w:lvlJc w:val="left"/>
      <w:pPr>
        <w:ind w:left="786" w:hanging="360"/>
      </w:pPr>
      <w:rPr>
        <w:rFonts w:hint="default"/>
        <w:b/>
      </w:rPr>
    </w:lvl>
    <w:lvl w:ilvl="1" w:tplc="51FA5882">
      <w:start w:val="1"/>
      <w:numFmt w:val="lowerLetter"/>
      <w:lvlText w:val="%2)"/>
      <w:lvlJc w:val="left"/>
      <w:pPr>
        <w:ind w:left="-763" w:hanging="567"/>
      </w:pPr>
      <w:rPr>
        <w:rFonts w:hint="default"/>
      </w:rPr>
    </w:lvl>
    <w:lvl w:ilvl="2" w:tplc="080A001B" w:tentative="1">
      <w:start w:val="1"/>
      <w:numFmt w:val="lowerRoman"/>
      <w:lvlText w:val="%3."/>
      <w:lvlJc w:val="right"/>
      <w:pPr>
        <w:ind w:left="-250" w:hanging="180"/>
      </w:pPr>
    </w:lvl>
    <w:lvl w:ilvl="3" w:tplc="080A000F" w:tentative="1">
      <w:start w:val="1"/>
      <w:numFmt w:val="decimal"/>
      <w:lvlText w:val="%4."/>
      <w:lvlJc w:val="left"/>
      <w:pPr>
        <w:ind w:left="470" w:hanging="360"/>
      </w:pPr>
    </w:lvl>
    <w:lvl w:ilvl="4" w:tplc="080A0019" w:tentative="1">
      <w:start w:val="1"/>
      <w:numFmt w:val="lowerLetter"/>
      <w:lvlText w:val="%5."/>
      <w:lvlJc w:val="left"/>
      <w:pPr>
        <w:ind w:left="1190" w:hanging="360"/>
      </w:pPr>
    </w:lvl>
    <w:lvl w:ilvl="5" w:tplc="080A001B" w:tentative="1">
      <w:start w:val="1"/>
      <w:numFmt w:val="lowerRoman"/>
      <w:lvlText w:val="%6."/>
      <w:lvlJc w:val="right"/>
      <w:pPr>
        <w:ind w:left="1910" w:hanging="180"/>
      </w:pPr>
    </w:lvl>
    <w:lvl w:ilvl="6" w:tplc="080A000F" w:tentative="1">
      <w:start w:val="1"/>
      <w:numFmt w:val="decimal"/>
      <w:lvlText w:val="%7."/>
      <w:lvlJc w:val="left"/>
      <w:pPr>
        <w:ind w:left="2630" w:hanging="360"/>
      </w:pPr>
    </w:lvl>
    <w:lvl w:ilvl="7" w:tplc="080A0019" w:tentative="1">
      <w:start w:val="1"/>
      <w:numFmt w:val="lowerLetter"/>
      <w:lvlText w:val="%8."/>
      <w:lvlJc w:val="left"/>
      <w:pPr>
        <w:ind w:left="3350" w:hanging="360"/>
      </w:pPr>
    </w:lvl>
    <w:lvl w:ilvl="8" w:tplc="080A001B" w:tentative="1">
      <w:start w:val="1"/>
      <w:numFmt w:val="lowerRoman"/>
      <w:lvlText w:val="%9."/>
      <w:lvlJc w:val="right"/>
      <w:pPr>
        <w:ind w:left="4070" w:hanging="180"/>
      </w:pPr>
    </w:lvl>
  </w:abstractNum>
  <w:abstractNum w:abstractNumId="38" w15:restartNumberingAfterBreak="0">
    <w:nsid w:val="6B915AF6"/>
    <w:multiLevelType w:val="multilevel"/>
    <w:tmpl w:val="ABE4C59A"/>
    <w:lvl w:ilvl="0">
      <w:start w:val="1"/>
      <w:numFmt w:val="upperRoman"/>
      <w:lvlText w:val="%1."/>
      <w:lvlJc w:val="left"/>
      <w:pPr>
        <w:ind w:left="1287" w:hanging="72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9" w15:restartNumberingAfterBreak="0">
    <w:nsid w:val="6CC7565D"/>
    <w:multiLevelType w:val="hybridMultilevel"/>
    <w:tmpl w:val="C93CA3B8"/>
    <w:lvl w:ilvl="0" w:tplc="6054F768">
      <w:start w:val="1"/>
      <w:numFmt w:val="ordinalText"/>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1A40A5"/>
    <w:multiLevelType w:val="hybridMultilevel"/>
    <w:tmpl w:val="DAEE8658"/>
    <w:lvl w:ilvl="0" w:tplc="6054F768">
      <w:start w:val="1"/>
      <w:numFmt w:val="ordinalText"/>
      <w:lvlText w:val="%1.-"/>
      <w:lvlJc w:val="left"/>
      <w:pPr>
        <w:ind w:left="5682"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3A6828"/>
    <w:multiLevelType w:val="hybridMultilevel"/>
    <w:tmpl w:val="DB4A435A"/>
    <w:lvl w:ilvl="0" w:tplc="5930F0F0">
      <w:start w:val="1"/>
      <w:numFmt w:val="ordinalText"/>
      <w:lvlText w:val="%1.-"/>
      <w:lvlJc w:val="left"/>
      <w:pPr>
        <w:ind w:left="720"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5A3EDB"/>
    <w:multiLevelType w:val="hybridMultilevel"/>
    <w:tmpl w:val="14AC7E70"/>
    <w:lvl w:ilvl="0" w:tplc="080A0013">
      <w:start w:val="1"/>
      <w:numFmt w:val="upp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E01A51"/>
    <w:multiLevelType w:val="multilevel"/>
    <w:tmpl w:val="9698E40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CD1C48"/>
    <w:multiLevelType w:val="hybridMultilevel"/>
    <w:tmpl w:val="EC18EE54"/>
    <w:lvl w:ilvl="0" w:tplc="B540FA44">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3E0675"/>
    <w:multiLevelType w:val="multilevel"/>
    <w:tmpl w:val="4EF224CC"/>
    <w:lvl w:ilvl="0">
      <w:start w:val="1"/>
      <w:numFmt w:val="decimal"/>
      <w:lvlText w:val="%1."/>
      <w:lvlJc w:val="left"/>
      <w:pPr>
        <w:ind w:left="786" w:hanging="360"/>
      </w:pPr>
      <w:rPr>
        <w:rFonts w:hint="default"/>
        <w:b/>
      </w:rPr>
    </w:lvl>
    <w:lvl w:ilvl="1">
      <w:start w:val="1"/>
      <w:numFmt w:val="decimal"/>
      <w:isLgl/>
      <w:lvlText w:val="%1.%2."/>
      <w:lvlJc w:val="left"/>
      <w:pPr>
        <w:ind w:left="1364" w:hanging="720"/>
      </w:pPr>
      <w:rPr>
        <w:rFonts w:hint="default"/>
        <w:b w:val="0"/>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46" w15:restartNumberingAfterBreak="0">
    <w:nsid w:val="7AD75FC0"/>
    <w:multiLevelType w:val="hybridMultilevel"/>
    <w:tmpl w:val="2EEEB8E6"/>
    <w:lvl w:ilvl="0" w:tplc="C4D82402">
      <w:start w:val="1"/>
      <w:numFmt w:val="decimal"/>
      <w:lvlText w:val="%1."/>
      <w:lvlJc w:val="left"/>
      <w:pPr>
        <w:ind w:left="720" w:hanging="360"/>
      </w:pPr>
      <w:rPr>
        <w:rFonts w:ascii="ITC Avant Garde" w:eastAsiaTheme="minorEastAsia" w:hAnsi="ITC Avant Garde" w:cs="Arial"/>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8D042D"/>
    <w:multiLevelType w:val="hybridMultilevel"/>
    <w:tmpl w:val="D7A2E336"/>
    <w:lvl w:ilvl="0" w:tplc="080A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6"/>
  </w:num>
  <w:num w:numId="3">
    <w:abstractNumId w:val="20"/>
  </w:num>
  <w:num w:numId="4">
    <w:abstractNumId w:val="13"/>
  </w:num>
  <w:num w:numId="5">
    <w:abstractNumId w:val="31"/>
  </w:num>
  <w:num w:numId="6">
    <w:abstractNumId w:val="21"/>
  </w:num>
  <w:num w:numId="7">
    <w:abstractNumId w:val="17"/>
  </w:num>
  <w:num w:numId="8">
    <w:abstractNumId w:val="16"/>
  </w:num>
  <w:num w:numId="9">
    <w:abstractNumId w:val="45"/>
  </w:num>
  <w:num w:numId="10">
    <w:abstractNumId w:val="34"/>
  </w:num>
  <w:num w:numId="11">
    <w:abstractNumId w:val="12"/>
  </w:num>
  <w:num w:numId="12">
    <w:abstractNumId w:val="12"/>
  </w:num>
  <w:num w:numId="13">
    <w:abstractNumId w:val="12"/>
  </w:num>
  <w:num w:numId="14">
    <w:abstractNumId w:val="12"/>
  </w:num>
  <w:num w:numId="15">
    <w:abstractNumId w:val="12"/>
    <w:lvlOverride w:ilvl="0">
      <w:startOverride w:val="1"/>
    </w:lvlOverride>
  </w:num>
  <w:num w:numId="16">
    <w:abstractNumId w:val="12"/>
  </w:num>
  <w:num w:numId="17">
    <w:abstractNumId w:val="12"/>
  </w:num>
  <w:num w:numId="18">
    <w:abstractNumId w:val="0"/>
  </w:num>
  <w:num w:numId="19">
    <w:abstractNumId w:val="33"/>
  </w:num>
  <w:num w:numId="20">
    <w:abstractNumId w:val="43"/>
  </w:num>
  <w:num w:numId="21">
    <w:abstractNumId w:val="2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1"/>
  </w:num>
  <w:num w:numId="30">
    <w:abstractNumId w:val="40"/>
  </w:num>
  <w:num w:numId="31">
    <w:abstractNumId w:val="37"/>
  </w:num>
  <w:num w:numId="32">
    <w:abstractNumId w:val="7"/>
  </w:num>
  <w:num w:numId="33">
    <w:abstractNumId w:val="27"/>
  </w:num>
  <w:num w:numId="34">
    <w:abstractNumId w:val="39"/>
  </w:num>
  <w:num w:numId="35">
    <w:abstractNumId w:val="36"/>
  </w:num>
  <w:num w:numId="36">
    <w:abstractNumId w:val="3"/>
  </w:num>
  <w:num w:numId="37">
    <w:abstractNumId w:val="19"/>
  </w:num>
  <w:num w:numId="38">
    <w:abstractNumId w:val="42"/>
  </w:num>
  <w:num w:numId="39">
    <w:abstractNumId w:val="41"/>
  </w:num>
  <w:num w:numId="40">
    <w:abstractNumId w:val="38"/>
  </w:num>
  <w:num w:numId="41">
    <w:abstractNumId w:val="30"/>
  </w:num>
  <w:num w:numId="42">
    <w:abstractNumId w:val="15"/>
  </w:num>
  <w:num w:numId="43">
    <w:abstractNumId w:val="24"/>
  </w:num>
  <w:num w:numId="44">
    <w:abstractNumId w:val="8"/>
  </w:num>
  <w:num w:numId="45">
    <w:abstractNumId w:val="47"/>
  </w:num>
  <w:num w:numId="46">
    <w:abstractNumId w:val="44"/>
  </w:num>
  <w:num w:numId="47">
    <w:abstractNumId w:val="26"/>
  </w:num>
  <w:num w:numId="48">
    <w:abstractNumId w:val="10"/>
  </w:num>
  <w:num w:numId="49">
    <w:abstractNumId w:val="9"/>
  </w:num>
  <w:num w:numId="50">
    <w:abstractNumId w:val="29"/>
  </w:num>
  <w:num w:numId="51">
    <w:abstractNumId w:val="4"/>
  </w:num>
  <w:num w:numId="52">
    <w:abstractNumId w:val="25"/>
  </w:num>
  <w:num w:numId="53">
    <w:abstractNumId w:val="28"/>
  </w:num>
  <w:num w:numId="54">
    <w:abstractNumId w:val="6"/>
  </w:num>
  <w:num w:numId="55">
    <w:abstractNumId w:val="2"/>
  </w:num>
  <w:num w:numId="56">
    <w:abstractNumId w:val="14"/>
  </w:num>
  <w:num w:numId="57">
    <w:abstractNumId w:val="35"/>
  </w:num>
  <w:num w:numId="58">
    <w:abstractNumId w:val="5"/>
  </w:num>
  <w:num w:numId="59">
    <w:abstractNumId w:val="32"/>
  </w:num>
  <w:num w:numId="60">
    <w:abstractNumId w:val="18"/>
  </w:num>
  <w:num w:numId="61">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CEF"/>
    <w:rsid w:val="0000057B"/>
    <w:rsid w:val="00000D8F"/>
    <w:rsid w:val="00002C80"/>
    <w:rsid w:val="00005A28"/>
    <w:rsid w:val="000078E7"/>
    <w:rsid w:val="00011139"/>
    <w:rsid w:val="00011BBF"/>
    <w:rsid w:val="00017898"/>
    <w:rsid w:val="00024E50"/>
    <w:rsid w:val="0002504E"/>
    <w:rsid w:val="00026C4B"/>
    <w:rsid w:val="00033806"/>
    <w:rsid w:val="00033C0A"/>
    <w:rsid w:val="00035562"/>
    <w:rsid w:val="00036F64"/>
    <w:rsid w:val="0003745B"/>
    <w:rsid w:val="000378ED"/>
    <w:rsid w:val="00041164"/>
    <w:rsid w:val="00042044"/>
    <w:rsid w:val="0004384F"/>
    <w:rsid w:val="00050BAD"/>
    <w:rsid w:val="0005374F"/>
    <w:rsid w:val="000573B1"/>
    <w:rsid w:val="000612C7"/>
    <w:rsid w:val="00061DC8"/>
    <w:rsid w:val="000641C8"/>
    <w:rsid w:val="0006560C"/>
    <w:rsid w:val="00065A7C"/>
    <w:rsid w:val="00066496"/>
    <w:rsid w:val="000671D6"/>
    <w:rsid w:val="00067BBE"/>
    <w:rsid w:val="00070200"/>
    <w:rsid w:val="0007174F"/>
    <w:rsid w:val="00073DDE"/>
    <w:rsid w:val="000756BC"/>
    <w:rsid w:val="00081265"/>
    <w:rsid w:val="00083543"/>
    <w:rsid w:val="00084614"/>
    <w:rsid w:val="0008671B"/>
    <w:rsid w:val="0009680E"/>
    <w:rsid w:val="0009786B"/>
    <w:rsid w:val="00097DB6"/>
    <w:rsid w:val="000A0856"/>
    <w:rsid w:val="000A0D7F"/>
    <w:rsid w:val="000A0E28"/>
    <w:rsid w:val="000A142C"/>
    <w:rsid w:val="000A1B55"/>
    <w:rsid w:val="000A6640"/>
    <w:rsid w:val="000A683B"/>
    <w:rsid w:val="000A77DC"/>
    <w:rsid w:val="000A7A88"/>
    <w:rsid w:val="000B3030"/>
    <w:rsid w:val="000B425C"/>
    <w:rsid w:val="000C012C"/>
    <w:rsid w:val="000C0A24"/>
    <w:rsid w:val="000C2694"/>
    <w:rsid w:val="000C56A4"/>
    <w:rsid w:val="000C6D24"/>
    <w:rsid w:val="000D030A"/>
    <w:rsid w:val="000D23D1"/>
    <w:rsid w:val="000D3491"/>
    <w:rsid w:val="000D77CF"/>
    <w:rsid w:val="000E0CB5"/>
    <w:rsid w:val="000E3983"/>
    <w:rsid w:val="000E3DBA"/>
    <w:rsid w:val="000E6A27"/>
    <w:rsid w:val="000F0243"/>
    <w:rsid w:val="000F5252"/>
    <w:rsid w:val="000F553C"/>
    <w:rsid w:val="000F5923"/>
    <w:rsid w:val="000F737B"/>
    <w:rsid w:val="00101592"/>
    <w:rsid w:val="00104658"/>
    <w:rsid w:val="001075D8"/>
    <w:rsid w:val="00110A58"/>
    <w:rsid w:val="00112C5A"/>
    <w:rsid w:val="00113192"/>
    <w:rsid w:val="00113A0B"/>
    <w:rsid w:val="001152FF"/>
    <w:rsid w:val="001155E3"/>
    <w:rsid w:val="00115C6D"/>
    <w:rsid w:val="00121BD1"/>
    <w:rsid w:val="0012281F"/>
    <w:rsid w:val="00122A79"/>
    <w:rsid w:val="001240C0"/>
    <w:rsid w:val="00124A3C"/>
    <w:rsid w:val="00124ABF"/>
    <w:rsid w:val="001254C1"/>
    <w:rsid w:val="00126A24"/>
    <w:rsid w:val="001301BC"/>
    <w:rsid w:val="00130616"/>
    <w:rsid w:val="00132C26"/>
    <w:rsid w:val="001348E8"/>
    <w:rsid w:val="00135DD8"/>
    <w:rsid w:val="00141E08"/>
    <w:rsid w:val="001449C8"/>
    <w:rsid w:val="0015024B"/>
    <w:rsid w:val="0015075A"/>
    <w:rsid w:val="0015287E"/>
    <w:rsid w:val="00154594"/>
    <w:rsid w:val="001545D9"/>
    <w:rsid w:val="00160B32"/>
    <w:rsid w:val="001616F3"/>
    <w:rsid w:val="00162588"/>
    <w:rsid w:val="00163776"/>
    <w:rsid w:val="001638A8"/>
    <w:rsid w:val="00170F15"/>
    <w:rsid w:val="00173E0F"/>
    <w:rsid w:val="00174CEF"/>
    <w:rsid w:val="00175B47"/>
    <w:rsid w:val="001837A4"/>
    <w:rsid w:val="00183996"/>
    <w:rsid w:val="001858EA"/>
    <w:rsid w:val="001921BF"/>
    <w:rsid w:val="00192345"/>
    <w:rsid w:val="0019279B"/>
    <w:rsid w:val="00193540"/>
    <w:rsid w:val="001945E1"/>
    <w:rsid w:val="00194795"/>
    <w:rsid w:val="001966E4"/>
    <w:rsid w:val="00196E2D"/>
    <w:rsid w:val="001A0826"/>
    <w:rsid w:val="001A0D2E"/>
    <w:rsid w:val="001A203F"/>
    <w:rsid w:val="001A27C6"/>
    <w:rsid w:val="001A3048"/>
    <w:rsid w:val="001A6DDB"/>
    <w:rsid w:val="001B0B49"/>
    <w:rsid w:val="001B1B99"/>
    <w:rsid w:val="001B1E4C"/>
    <w:rsid w:val="001B2944"/>
    <w:rsid w:val="001B4000"/>
    <w:rsid w:val="001B4142"/>
    <w:rsid w:val="001C16C9"/>
    <w:rsid w:val="001C3448"/>
    <w:rsid w:val="001C3559"/>
    <w:rsid w:val="001C423C"/>
    <w:rsid w:val="001C49E3"/>
    <w:rsid w:val="001C49EF"/>
    <w:rsid w:val="001C4AF3"/>
    <w:rsid w:val="001D2353"/>
    <w:rsid w:val="001D4A83"/>
    <w:rsid w:val="001D4F3E"/>
    <w:rsid w:val="001D52C6"/>
    <w:rsid w:val="001D6479"/>
    <w:rsid w:val="001E18EE"/>
    <w:rsid w:val="001E607A"/>
    <w:rsid w:val="001E70C0"/>
    <w:rsid w:val="001F075D"/>
    <w:rsid w:val="001F24F4"/>
    <w:rsid w:val="001F2529"/>
    <w:rsid w:val="001F4E72"/>
    <w:rsid w:val="001F52E7"/>
    <w:rsid w:val="001F58F1"/>
    <w:rsid w:val="001F5C73"/>
    <w:rsid w:val="00201ABD"/>
    <w:rsid w:val="00211DAB"/>
    <w:rsid w:val="00216573"/>
    <w:rsid w:val="0021680D"/>
    <w:rsid w:val="0022009E"/>
    <w:rsid w:val="002200E4"/>
    <w:rsid w:val="00220A69"/>
    <w:rsid w:val="00222456"/>
    <w:rsid w:val="0022363E"/>
    <w:rsid w:val="00226CD6"/>
    <w:rsid w:val="00230C45"/>
    <w:rsid w:val="00232752"/>
    <w:rsid w:val="00234143"/>
    <w:rsid w:val="00236495"/>
    <w:rsid w:val="00236E5B"/>
    <w:rsid w:val="00237795"/>
    <w:rsid w:val="002410B4"/>
    <w:rsid w:val="0024336B"/>
    <w:rsid w:val="00243BF7"/>
    <w:rsid w:val="00243DD1"/>
    <w:rsid w:val="00247503"/>
    <w:rsid w:val="00250B23"/>
    <w:rsid w:val="00254FEE"/>
    <w:rsid w:val="00256282"/>
    <w:rsid w:val="00256664"/>
    <w:rsid w:val="00256C72"/>
    <w:rsid w:val="00256EF5"/>
    <w:rsid w:val="00260455"/>
    <w:rsid w:val="00260E60"/>
    <w:rsid w:val="00262C35"/>
    <w:rsid w:val="0026388B"/>
    <w:rsid w:val="00264A0C"/>
    <w:rsid w:val="002667F9"/>
    <w:rsid w:val="00267C32"/>
    <w:rsid w:val="00267D6B"/>
    <w:rsid w:val="002703E5"/>
    <w:rsid w:val="00271CAE"/>
    <w:rsid w:val="00275D1D"/>
    <w:rsid w:val="0027604C"/>
    <w:rsid w:val="002773C7"/>
    <w:rsid w:val="002807E5"/>
    <w:rsid w:val="002839CD"/>
    <w:rsid w:val="00292552"/>
    <w:rsid w:val="0029285F"/>
    <w:rsid w:val="00296187"/>
    <w:rsid w:val="00296A06"/>
    <w:rsid w:val="00296A8C"/>
    <w:rsid w:val="00296B68"/>
    <w:rsid w:val="002A2816"/>
    <w:rsid w:val="002A7664"/>
    <w:rsid w:val="002A7C09"/>
    <w:rsid w:val="002B570D"/>
    <w:rsid w:val="002C392F"/>
    <w:rsid w:val="002C4073"/>
    <w:rsid w:val="002C61A5"/>
    <w:rsid w:val="002C724D"/>
    <w:rsid w:val="002D31A2"/>
    <w:rsid w:val="002D4CE4"/>
    <w:rsid w:val="002D50EF"/>
    <w:rsid w:val="002D6C04"/>
    <w:rsid w:val="002D6E3D"/>
    <w:rsid w:val="002E1352"/>
    <w:rsid w:val="002E4E30"/>
    <w:rsid w:val="002F1FF0"/>
    <w:rsid w:val="002F2355"/>
    <w:rsid w:val="002F2553"/>
    <w:rsid w:val="002F2658"/>
    <w:rsid w:val="002F2FBF"/>
    <w:rsid w:val="002F4897"/>
    <w:rsid w:val="002F5085"/>
    <w:rsid w:val="002F5A21"/>
    <w:rsid w:val="002F64CD"/>
    <w:rsid w:val="00302282"/>
    <w:rsid w:val="003055AC"/>
    <w:rsid w:val="003061D8"/>
    <w:rsid w:val="00306AB2"/>
    <w:rsid w:val="00307538"/>
    <w:rsid w:val="00307B2F"/>
    <w:rsid w:val="003131FF"/>
    <w:rsid w:val="0031537E"/>
    <w:rsid w:val="003153BD"/>
    <w:rsid w:val="00316254"/>
    <w:rsid w:val="00316A84"/>
    <w:rsid w:val="00316DC0"/>
    <w:rsid w:val="0032112C"/>
    <w:rsid w:val="00323F81"/>
    <w:rsid w:val="00325E76"/>
    <w:rsid w:val="00326669"/>
    <w:rsid w:val="003267A3"/>
    <w:rsid w:val="00331AA8"/>
    <w:rsid w:val="00332381"/>
    <w:rsid w:val="00332562"/>
    <w:rsid w:val="003325A8"/>
    <w:rsid w:val="00334EF0"/>
    <w:rsid w:val="00336855"/>
    <w:rsid w:val="00337E55"/>
    <w:rsid w:val="003400ED"/>
    <w:rsid w:val="00340A9B"/>
    <w:rsid w:val="00341A62"/>
    <w:rsid w:val="00343624"/>
    <w:rsid w:val="003473D1"/>
    <w:rsid w:val="0035158E"/>
    <w:rsid w:val="00351EBE"/>
    <w:rsid w:val="00353E54"/>
    <w:rsid w:val="003552D1"/>
    <w:rsid w:val="00357496"/>
    <w:rsid w:val="00360AAC"/>
    <w:rsid w:val="00360F07"/>
    <w:rsid w:val="00362155"/>
    <w:rsid w:val="0036556C"/>
    <w:rsid w:val="0036753D"/>
    <w:rsid w:val="003708DE"/>
    <w:rsid w:val="00371B3F"/>
    <w:rsid w:val="00374354"/>
    <w:rsid w:val="00377609"/>
    <w:rsid w:val="0038391C"/>
    <w:rsid w:val="0038502C"/>
    <w:rsid w:val="003925C5"/>
    <w:rsid w:val="003928E7"/>
    <w:rsid w:val="00393D30"/>
    <w:rsid w:val="00397A89"/>
    <w:rsid w:val="003A0537"/>
    <w:rsid w:val="003A4B56"/>
    <w:rsid w:val="003A6136"/>
    <w:rsid w:val="003B0A08"/>
    <w:rsid w:val="003B2CDE"/>
    <w:rsid w:val="003B2DA2"/>
    <w:rsid w:val="003B65F4"/>
    <w:rsid w:val="003B66E6"/>
    <w:rsid w:val="003C4830"/>
    <w:rsid w:val="003D678A"/>
    <w:rsid w:val="003D6897"/>
    <w:rsid w:val="003D7725"/>
    <w:rsid w:val="003E2257"/>
    <w:rsid w:val="003E7A14"/>
    <w:rsid w:val="003F1A1A"/>
    <w:rsid w:val="003F5488"/>
    <w:rsid w:val="003F7399"/>
    <w:rsid w:val="003F75F1"/>
    <w:rsid w:val="00400F1D"/>
    <w:rsid w:val="004033B6"/>
    <w:rsid w:val="00404711"/>
    <w:rsid w:val="004051B4"/>
    <w:rsid w:val="00407E73"/>
    <w:rsid w:val="004108F0"/>
    <w:rsid w:val="00410C58"/>
    <w:rsid w:val="004168A8"/>
    <w:rsid w:val="00416998"/>
    <w:rsid w:val="00416E48"/>
    <w:rsid w:val="00417565"/>
    <w:rsid w:val="004213C7"/>
    <w:rsid w:val="00422EEE"/>
    <w:rsid w:val="00423D0B"/>
    <w:rsid w:val="00424448"/>
    <w:rsid w:val="004251E5"/>
    <w:rsid w:val="00427B81"/>
    <w:rsid w:val="00427FB9"/>
    <w:rsid w:val="004314AD"/>
    <w:rsid w:val="00431EBC"/>
    <w:rsid w:val="0043251F"/>
    <w:rsid w:val="00435657"/>
    <w:rsid w:val="00437A70"/>
    <w:rsid w:val="00437FFA"/>
    <w:rsid w:val="00441F99"/>
    <w:rsid w:val="0044303E"/>
    <w:rsid w:val="00443FBF"/>
    <w:rsid w:val="004459E7"/>
    <w:rsid w:val="00451F3D"/>
    <w:rsid w:val="00452CE4"/>
    <w:rsid w:val="004535DE"/>
    <w:rsid w:val="004540AA"/>
    <w:rsid w:val="004560FE"/>
    <w:rsid w:val="00457B1B"/>
    <w:rsid w:val="00462C37"/>
    <w:rsid w:val="00462CA8"/>
    <w:rsid w:val="00465889"/>
    <w:rsid w:val="00467575"/>
    <w:rsid w:val="004728DC"/>
    <w:rsid w:val="0047438C"/>
    <w:rsid w:val="00475CEE"/>
    <w:rsid w:val="0047640F"/>
    <w:rsid w:val="00477BA2"/>
    <w:rsid w:val="004800B3"/>
    <w:rsid w:val="00480930"/>
    <w:rsid w:val="00481991"/>
    <w:rsid w:val="00482F1E"/>
    <w:rsid w:val="00484BEE"/>
    <w:rsid w:val="00487A37"/>
    <w:rsid w:val="0049402A"/>
    <w:rsid w:val="00494C3C"/>
    <w:rsid w:val="00497613"/>
    <w:rsid w:val="004A0896"/>
    <w:rsid w:val="004A0A31"/>
    <w:rsid w:val="004A28B7"/>
    <w:rsid w:val="004A384F"/>
    <w:rsid w:val="004A43FC"/>
    <w:rsid w:val="004B0478"/>
    <w:rsid w:val="004B09DD"/>
    <w:rsid w:val="004B211F"/>
    <w:rsid w:val="004C09F8"/>
    <w:rsid w:val="004C2FA8"/>
    <w:rsid w:val="004C3176"/>
    <w:rsid w:val="004C3DE4"/>
    <w:rsid w:val="004C613F"/>
    <w:rsid w:val="004D0AB4"/>
    <w:rsid w:val="004D4F0A"/>
    <w:rsid w:val="004D574B"/>
    <w:rsid w:val="004D712A"/>
    <w:rsid w:val="004E259C"/>
    <w:rsid w:val="004E574D"/>
    <w:rsid w:val="004E7721"/>
    <w:rsid w:val="004F260A"/>
    <w:rsid w:val="004F6C28"/>
    <w:rsid w:val="004F73A8"/>
    <w:rsid w:val="00500436"/>
    <w:rsid w:val="005032FA"/>
    <w:rsid w:val="00503D9D"/>
    <w:rsid w:val="0050414F"/>
    <w:rsid w:val="00510853"/>
    <w:rsid w:val="005116C2"/>
    <w:rsid w:val="00511CB7"/>
    <w:rsid w:val="00513C38"/>
    <w:rsid w:val="005175FE"/>
    <w:rsid w:val="00521048"/>
    <w:rsid w:val="005220E0"/>
    <w:rsid w:val="005250EE"/>
    <w:rsid w:val="00527DDC"/>
    <w:rsid w:val="00532830"/>
    <w:rsid w:val="00534B70"/>
    <w:rsid w:val="00534DBF"/>
    <w:rsid w:val="0053554A"/>
    <w:rsid w:val="00536A76"/>
    <w:rsid w:val="0053754D"/>
    <w:rsid w:val="00540796"/>
    <w:rsid w:val="005444F0"/>
    <w:rsid w:val="00546051"/>
    <w:rsid w:val="0055065A"/>
    <w:rsid w:val="00553287"/>
    <w:rsid w:val="00554A6F"/>
    <w:rsid w:val="00557080"/>
    <w:rsid w:val="005571E0"/>
    <w:rsid w:val="0056424E"/>
    <w:rsid w:val="005673B2"/>
    <w:rsid w:val="005678A0"/>
    <w:rsid w:val="0057093B"/>
    <w:rsid w:val="005751D4"/>
    <w:rsid w:val="00576B70"/>
    <w:rsid w:val="0057741D"/>
    <w:rsid w:val="0058273C"/>
    <w:rsid w:val="00587A71"/>
    <w:rsid w:val="00590E32"/>
    <w:rsid w:val="00591A23"/>
    <w:rsid w:val="00591D70"/>
    <w:rsid w:val="00592B06"/>
    <w:rsid w:val="00594683"/>
    <w:rsid w:val="0059549F"/>
    <w:rsid w:val="005970F9"/>
    <w:rsid w:val="005972F2"/>
    <w:rsid w:val="005B0673"/>
    <w:rsid w:val="005B112B"/>
    <w:rsid w:val="005B25CF"/>
    <w:rsid w:val="005C2AB7"/>
    <w:rsid w:val="005C2B66"/>
    <w:rsid w:val="005C5306"/>
    <w:rsid w:val="005C719F"/>
    <w:rsid w:val="005D0580"/>
    <w:rsid w:val="005D071E"/>
    <w:rsid w:val="005D0CEE"/>
    <w:rsid w:val="005E1532"/>
    <w:rsid w:val="005E43F4"/>
    <w:rsid w:val="005E50FE"/>
    <w:rsid w:val="005E6C33"/>
    <w:rsid w:val="005F3636"/>
    <w:rsid w:val="005F4B63"/>
    <w:rsid w:val="00600ED4"/>
    <w:rsid w:val="00602A7F"/>
    <w:rsid w:val="00602E61"/>
    <w:rsid w:val="00605D63"/>
    <w:rsid w:val="00610EF4"/>
    <w:rsid w:val="00611D05"/>
    <w:rsid w:val="0061355A"/>
    <w:rsid w:val="006143F2"/>
    <w:rsid w:val="00620997"/>
    <w:rsid w:val="006215CE"/>
    <w:rsid w:val="006228A5"/>
    <w:rsid w:val="00625C6A"/>
    <w:rsid w:val="00630F82"/>
    <w:rsid w:val="006311C6"/>
    <w:rsid w:val="006324D3"/>
    <w:rsid w:val="006333B9"/>
    <w:rsid w:val="0063442D"/>
    <w:rsid w:val="00636344"/>
    <w:rsid w:val="00636F88"/>
    <w:rsid w:val="00637270"/>
    <w:rsid w:val="006423D0"/>
    <w:rsid w:val="00643531"/>
    <w:rsid w:val="00644EDC"/>
    <w:rsid w:val="00646527"/>
    <w:rsid w:val="00647286"/>
    <w:rsid w:val="00647FBE"/>
    <w:rsid w:val="00651E64"/>
    <w:rsid w:val="00652493"/>
    <w:rsid w:val="00653787"/>
    <w:rsid w:val="00653953"/>
    <w:rsid w:val="00656ABB"/>
    <w:rsid w:val="00657F5D"/>
    <w:rsid w:val="006610DD"/>
    <w:rsid w:val="00666C76"/>
    <w:rsid w:val="00671406"/>
    <w:rsid w:val="00673E8C"/>
    <w:rsid w:val="0067474F"/>
    <w:rsid w:val="00674FE1"/>
    <w:rsid w:val="006760FD"/>
    <w:rsid w:val="006808F3"/>
    <w:rsid w:val="0068251C"/>
    <w:rsid w:val="006853B9"/>
    <w:rsid w:val="00686A6C"/>
    <w:rsid w:val="00690CE9"/>
    <w:rsid w:val="0069247D"/>
    <w:rsid w:val="00693C33"/>
    <w:rsid w:val="00694493"/>
    <w:rsid w:val="00695B09"/>
    <w:rsid w:val="006A4292"/>
    <w:rsid w:val="006A5D26"/>
    <w:rsid w:val="006A6325"/>
    <w:rsid w:val="006A740F"/>
    <w:rsid w:val="006B105C"/>
    <w:rsid w:val="006B1228"/>
    <w:rsid w:val="006B3F15"/>
    <w:rsid w:val="006B3F65"/>
    <w:rsid w:val="006B52FB"/>
    <w:rsid w:val="006B6F18"/>
    <w:rsid w:val="006C49CB"/>
    <w:rsid w:val="006C6BC5"/>
    <w:rsid w:val="006D0BCE"/>
    <w:rsid w:val="006D3028"/>
    <w:rsid w:val="006D5FE8"/>
    <w:rsid w:val="006E012A"/>
    <w:rsid w:val="006E0782"/>
    <w:rsid w:val="006E0C73"/>
    <w:rsid w:val="006E1A87"/>
    <w:rsid w:val="006E2AE5"/>
    <w:rsid w:val="006E45E5"/>
    <w:rsid w:val="006E598B"/>
    <w:rsid w:val="006E66E3"/>
    <w:rsid w:val="006F3F85"/>
    <w:rsid w:val="006F58A9"/>
    <w:rsid w:val="006F61E8"/>
    <w:rsid w:val="006F6C70"/>
    <w:rsid w:val="00701098"/>
    <w:rsid w:val="007027F2"/>
    <w:rsid w:val="007103C4"/>
    <w:rsid w:val="0071522C"/>
    <w:rsid w:val="0071608F"/>
    <w:rsid w:val="00716764"/>
    <w:rsid w:val="00717F2B"/>
    <w:rsid w:val="00721C8C"/>
    <w:rsid w:val="00724473"/>
    <w:rsid w:val="00724C2C"/>
    <w:rsid w:val="00724CA2"/>
    <w:rsid w:val="00725C14"/>
    <w:rsid w:val="00726FB7"/>
    <w:rsid w:val="00730A04"/>
    <w:rsid w:val="00731B30"/>
    <w:rsid w:val="007324BF"/>
    <w:rsid w:val="007328B0"/>
    <w:rsid w:val="007328D3"/>
    <w:rsid w:val="00734214"/>
    <w:rsid w:val="007349E2"/>
    <w:rsid w:val="00740B89"/>
    <w:rsid w:val="00742993"/>
    <w:rsid w:val="00742D30"/>
    <w:rsid w:val="00744A35"/>
    <w:rsid w:val="0074504B"/>
    <w:rsid w:val="00746649"/>
    <w:rsid w:val="00746B1D"/>
    <w:rsid w:val="00746E13"/>
    <w:rsid w:val="00752B72"/>
    <w:rsid w:val="007566F5"/>
    <w:rsid w:val="00756B03"/>
    <w:rsid w:val="0076221C"/>
    <w:rsid w:val="00763F95"/>
    <w:rsid w:val="00766D6E"/>
    <w:rsid w:val="00770EE3"/>
    <w:rsid w:val="00775370"/>
    <w:rsid w:val="00781C0A"/>
    <w:rsid w:val="00783ECD"/>
    <w:rsid w:val="00786368"/>
    <w:rsid w:val="007903F4"/>
    <w:rsid w:val="00790F58"/>
    <w:rsid w:val="00791FFC"/>
    <w:rsid w:val="007939A6"/>
    <w:rsid w:val="00794BA4"/>
    <w:rsid w:val="00797938"/>
    <w:rsid w:val="007A4247"/>
    <w:rsid w:val="007A59DD"/>
    <w:rsid w:val="007B3A97"/>
    <w:rsid w:val="007B6B67"/>
    <w:rsid w:val="007C42D0"/>
    <w:rsid w:val="007C5A4F"/>
    <w:rsid w:val="007C5DDB"/>
    <w:rsid w:val="007C6074"/>
    <w:rsid w:val="007C7DE2"/>
    <w:rsid w:val="007D338F"/>
    <w:rsid w:val="007D39C0"/>
    <w:rsid w:val="007D415C"/>
    <w:rsid w:val="007D6124"/>
    <w:rsid w:val="007D7B52"/>
    <w:rsid w:val="007E0146"/>
    <w:rsid w:val="007E2171"/>
    <w:rsid w:val="007E2730"/>
    <w:rsid w:val="007E6049"/>
    <w:rsid w:val="007E7DE5"/>
    <w:rsid w:val="007F01DB"/>
    <w:rsid w:val="007F2C87"/>
    <w:rsid w:val="007F3FFD"/>
    <w:rsid w:val="007F5A9B"/>
    <w:rsid w:val="007F7224"/>
    <w:rsid w:val="00800FB5"/>
    <w:rsid w:val="008018E6"/>
    <w:rsid w:val="00801F28"/>
    <w:rsid w:val="0080200D"/>
    <w:rsid w:val="00802F39"/>
    <w:rsid w:val="008030AA"/>
    <w:rsid w:val="008036DA"/>
    <w:rsid w:val="00803F7A"/>
    <w:rsid w:val="008040AC"/>
    <w:rsid w:val="00804B9D"/>
    <w:rsid w:val="00804DA7"/>
    <w:rsid w:val="008109FF"/>
    <w:rsid w:val="008144E4"/>
    <w:rsid w:val="008150CD"/>
    <w:rsid w:val="00817E1B"/>
    <w:rsid w:val="00820C2E"/>
    <w:rsid w:val="008218EA"/>
    <w:rsid w:val="0082309D"/>
    <w:rsid w:val="00825301"/>
    <w:rsid w:val="00825A8A"/>
    <w:rsid w:val="00826EFD"/>
    <w:rsid w:val="008302B2"/>
    <w:rsid w:val="00830C7B"/>
    <w:rsid w:val="008328F9"/>
    <w:rsid w:val="00832D8C"/>
    <w:rsid w:val="0083446C"/>
    <w:rsid w:val="008405F5"/>
    <w:rsid w:val="00842E73"/>
    <w:rsid w:val="00844CBE"/>
    <w:rsid w:val="00845485"/>
    <w:rsid w:val="008461AA"/>
    <w:rsid w:val="00850416"/>
    <w:rsid w:val="0085071B"/>
    <w:rsid w:val="0085104A"/>
    <w:rsid w:val="00851C96"/>
    <w:rsid w:val="008541CC"/>
    <w:rsid w:val="00854EFC"/>
    <w:rsid w:val="00855798"/>
    <w:rsid w:val="00855F31"/>
    <w:rsid w:val="00856EC2"/>
    <w:rsid w:val="00857617"/>
    <w:rsid w:val="00860308"/>
    <w:rsid w:val="00862AD1"/>
    <w:rsid w:val="00864A90"/>
    <w:rsid w:val="00871127"/>
    <w:rsid w:val="00871EA2"/>
    <w:rsid w:val="00872338"/>
    <w:rsid w:val="008752B2"/>
    <w:rsid w:val="00875495"/>
    <w:rsid w:val="00882E5C"/>
    <w:rsid w:val="00892F77"/>
    <w:rsid w:val="00893D42"/>
    <w:rsid w:val="008A2B93"/>
    <w:rsid w:val="008A73B3"/>
    <w:rsid w:val="008A7CF8"/>
    <w:rsid w:val="008B118E"/>
    <w:rsid w:val="008B1636"/>
    <w:rsid w:val="008B72A2"/>
    <w:rsid w:val="008B7A89"/>
    <w:rsid w:val="008C5597"/>
    <w:rsid w:val="008C6BBF"/>
    <w:rsid w:val="008C78E6"/>
    <w:rsid w:val="008D080E"/>
    <w:rsid w:val="008D23CA"/>
    <w:rsid w:val="008D2941"/>
    <w:rsid w:val="008D6F53"/>
    <w:rsid w:val="008E2AE9"/>
    <w:rsid w:val="008E4C6E"/>
    <w:rsid w:val="008E62F8"/>
    <w:rsid w:val="008E6803"/>
    <w:rsid w:val="008E6F7D"/>
    <w:rsid w:val="008F5275"/>
    <w:rsid w:val="008F675B"/>
    <w:rsid w:val="008F7622"/>
    <w:rsid w:val="009077A2"/>
    <w:rsid w:val="009128B8"/>
    <w:rsid w:val="0091389E"/>
    <w:rsid w:val="009209F6"/>
    <w:rsid w:val="0092250B"/>
    <w:rsid w:val="00922FD8"/>
    <w:rsid w:val="00923C72"/>
    <w:rsid w:val="0092400B"/>
    <w:rsid w:val="009259B5"/>
    <w:rsid w:val="00925B8E"/>
    <w:rsid w:val="00925E1C"/>
    <w:rsid w:val="00927219"/>
    <w:rsid w:val="00931229"/>
    <w:rsid w:val="00933815"/>
    <w:rsid w:val="0093503F"/>
    <w:rsid w:val="00935104"/>
    <w:rsid w:val="00936E5C"/>
    <w:rsid w:val="00937574"/>
    <w:rsid w:val="00941EDD"/>
    <w:rsid w:val="0094504F"/>
    <w:rsid w:val="009452AE"/>
    <w:rsid w:val="009477AD"/>
    <w:rsid w:val="0095021E"/>
    <w:rsid w:val="00951992"/>
    <w:rsid w:val="009521C6"/>
    <w:rsid w:val="00953089"/>
    <w:rsid w:val="00953464"/>
    <w:rsid w:val="009543C3"/>
    <w:rsid w:val="0095493F"/>
    <w:rsid w:val="00954A7F"/>
    <w:rsid w:val="009555EE"/>
    <w:rsid w:val="009556B2"/>
    <w:rsid w:val="00955FC7"/>
    <w:rsid w:val="00956862"/>
    <w:rsid w:val="0096222C"/>
    <w:rsid w:val="00965574"/>
    <w:rsid w:val="00966F70"/>
    <w:rsid w:val="0096729A"/>
    <w:rsid w:val="00967FD0"/>
    <w:rsid w:val="00970BA5"/>
    <w:rsid w:val="009727AD"/>
    <w:rsid w:val="0098206D"/>
    <w:rsid w:val="00982631"/>
    <w:rsid w:val="00982F84"/>
    <w:rsid w:val="00983071"/>
    <w:rsid w:val="009831EF"/>
    <w:rsid w:val="00983840"/>
    <w:rsid w:val="00985961"/>
    <w:rsid w:val="00993714"/>
    <w:rsid w:val="009968E4"/>
    <w:rsid w:val="009A09E9"/>
    <w:rsid w:val="009A19DC"/>
    <w:rsid w:val="009A2D60"/>
    <w:rsid w:val="009A56D2"/>
    <w:rsid w:val="009A6E0C"/>
    <w:rsid w:val="009B20C9"/>
    <w:rsid w:val="009B4CDC"/>
    <w:rsid w:val="009B6247"/>
    <w:rsid w:val="009B685F"/>
    <w:rsid w:val="009C04F8"/>
    <w:rsid w:val="009C292B"/>
    <w:rsid w:val="009C375F"/>
    <w:rsid w:val="009C5308"/>
    <w:rsid w:val="009C548F"/>
    <w:rsid w:val="009C54B4"/>
    <w:rsid w:val="009C647E"/>
    <w:rsid w:val="009C6BAE"/>
    <w:rsid w:val="009C76E8"/>
    <w:rsid w:val="009D04F4"/>
    <w:rsid w:val="009D0FF1"/>
    <w:rsid w:val="009D2A93"/>
    <w:rsid w:val="009D7098"/>
    <w:rsid w:val="009E1861"/>
    <w:rsid w:val="009E28CB"/>
    <w:rsid w:val="009E2FE8"/>
    <w:rsid w:val="009E3B5A"/>
    <w:rsid w:val="009E536B"/>
    <w:rsid w:val="009E5926"/>
    <w:rsid w:val="009E6C98"/>
    <w:rsid w:val="009F1BF7"/>
    <w:rsid w:val="009F4CC6"/>
    <w:rsid w:val="009F523F"/>
    <w:rsid w:val="009F720F"/>
    <w:rsid w:val="009F79AE"/>
    <w:rsid w:val="00A0246D"/>
    <w:rsid w:val="00A1090B"/>
    <w:rsid w:val="00A12039"/>
    <w:rsid w:val="00A129A3"/>
    <w:rsid w:val="00A13200"/>
    <w:rsid w:val="00A13BE8"/>
    <w:rsid w:val="00A13E9C"/>
    <w:rsid w:val="00A15CDE"/>
    <w:rsid w:val="00A16125"/>
    <w:rsid w:val="00A20B79"/>
    <w:rsid w:val="00A23A61"/>
    <w:rsid w:val="00A241EB"/>
    <w:rsid w:val="00A24C4A"/>
    <w:rsid w:val="00A304AD"/>
    <w:rsid w:val="00A31005"/>
    <w:rsid w:val="00A3214F"/>
    <w:rsid w:val="00A3245D"/>
    <w:rsid w:val="00A4223C"/>
    <w:rsid w:val="00A42A75"/>
    <w:rsid w:val="00A4481E"/>
    <w:rsid w:val="00A464F9"/>
    <w:rsid w:val="00A51308"/>
    <w:rsid w:val="00A53181"/>
    <w:rsid w:val="00A5330A"/>
    <w:rsid w:val="00A57463"/>
    <w:rsid w:val="00A57BC9"/>
    <w:rsid w:val="00A6019F"/>
    <w:rsid w:val="00A615C0"/>
    <w:rsid w:val="00A63628"/>
    <w:rsid w:val="00A70466"/>
    <w:rsid w:val="00A7098B"/>
    <w:rsid w:val="00A70B6E"/>
    <w:rsid w:val="00A733EF"/>
    <w:rsid w:val="00A752FC"/>
    <w:rsid w:val="00A77F60"/>
    <w:rsid w:val="00A80893"/>
    <w:rsid w:val="00A80AF0"/>
    <w:rsid w:val="00A80E3F"/>
    <w:rsid w:val="00A81913"/>
    <w:rsid w:val="00A8264F"/>
    <w:rsid w:val="00A85D1A"/>
    <w:rsid w:val="00A874AB"/>
    <w:rsid w:val="00A90CBC"/>
    <w:rsid w:val="00A91571"/>
    <w:rsid w:val="00A91F4F"/>
    <w:rsid w:val="00A96369"/>
    <w:rsid w:val="00A9730F"/>
    <w:rsid w:val="00A97AF5"/>
    <w:rsid w:val="00AA0138"/>
    <w:rsid w:val="00AA04EC"/>
    <w:rsid w:val="00AA1049"/>
    <w:rsid w:val="00AA19D5"/>
    <w:rsid w:val="00AA1B7E"/>
    <w:rsid w:val="00AA2CEB"/>
    <w:rsid w:val="00AA34FA"/>
    <w:rsid w:val="00AA486F"/>
    <w:rsid w:val="00AA4E8F"/>
    <w:rsid w:val="00AA54D1"/>
    <w:rsid w:val="00AB3F6A"/>
    <w:rsid w:val="00AB4554"/>
    <w:rsid w:val="00AB4BE0"/>
    <w:rsid w:val="00AB6888"/>
    <w:rsid w:val="00AB6E09"/>
    <w:rsid w:val="00AB7936"/>
    <w:rsid w:val="00AC217F"/>
    <w:rsid w:val="00AC2411"/>
    <w:rsid w:val="00AC2BB4"/>
    <w:rsid w:val="00AC6A5E"/>
    <w:rsid w:val="00AD0843"/>
    <w:rsid w:val="00AD7164"/>
    <w:rsid w:val="00AE031F"/>
    <w:rsid w:val="00AE1421"/>
    <w:rsid w:val="00AE2FE9"/>
    <w:rsid w:val="00AE5835"/>
    <w:rsid w:val="00AF33E7"/>
    <w:rsid w:val="00AF38E8"/>
    <w:rsid w:val="00AF4D75"/>
    <w:rsid w:val="00B00F2C"/>
    <w:rsid w:val="00B00FE2"/>
    <w:rsid w:val="00B02043"/>
    <w:rsid w:val="00B04042"/>
    <w:rsid w:val="00B04B16"/>
    <w:rsid w:val="00B149AA"/>
    <w:rsid w:val="00B173A6"/>
    <w:rsid w:val="00B264D1"/>
    <w:rsid w:val="00B324EC"/>
    <w:rsid w:val="00B35F26"/>
    <w:rsid w:val="00B37B27"/>
    <w:rsid w:val="00B456EA"/>
    <w:rsid w:val="00B4624C"/>
    <w:rsid w:val="00B46479"/>
    <w:rsid w:val="00B465B1"/>
    <w:rsid w:val="00B52244"/>
    <w:rsid w:val="00B53191"/>
    <w:rsid w:val="00B60AE3"/>
    <w:rsid w:val="00B6137F"/>
    <w:rsid w:val="00B6497F"/>
    <w:rsid w:val="00B7099D"/>
    <w:rsid w:val="00B727F7"/>
    <w:rsid w:val="00B7344E"/>
    <w:rsid w:val="00B73F76"/>
    <w:rsid w:val="00B75874"/>
    <w:rsid w:val="00B7689E"/>
    <w:rsid w:val="00B803D1"/>
    <w:rsid w:val="00B81A4A"/>
    <w:rsid w:val="00B85C6D"/>
    <w:rsid w:val="00B869D7"/>
    <w:rsid w:val="00B87B7B"/>
    <w:rsid w:val="00B87C2C"/>
    <w:rsid w:val="00B91157"/>
    <w:rsid w:val="00B92126"/>
    <w:rsid w:val="00B93D90"/>
    <w:rsid w:val="00B940F5"/>
    <w:rsid w:val="00B97FBC"/>
    <w:rsid w:val="00BA7B62"/>
    <w:rsid w:val="00BB3CA1"/>
    <w:rsid w:val="00BB56AF"/>
    <w:rsid w:val="00BC137B"/>
    <w:rsid w:val="00BC217C"/>
    <w:rsid w:val="00BC2D78"/>
    <w:rsid w:val="00BC3077"/>
    <w:rsid w:val="00BC6711"/>
    <w:rsid w:val="00BD342F"/>
    <w:rsid w:val="00BD53BB"/>
    <w:rsid w:val="00BD7838"/>
    <w:rsid w:val="00BE027D"/>
    <w:rsid w:val="00BE19FB"/>
    <w:rsid w:val="00BE24EA"/>
    <w:rsid w:val="00BE55C0"/>
    <w:rsid w:val="00BE6969"/>
    <w:rsid w:val="00BF16E5"/>
    <w:rsid w:val="00BF1991"/>
    <w:rsid w:val="00BF487B"/>
    <w:rsid w:val="00C03027"/>
    <w:rsid w:val="00C0432B"/>
    <w:rsid w:val="00C0458D"/>
    <w:rsid w:val="00C060F4"/>
    <w:rsid w:val="00C0669C"/>
    <w:rsid w:val="00C0797F"/>
    <w:rsid w:val="00C1414A"/>
    <w:rsid w:val="00C17C7C"/>
    <w:rsid w:val="00C23930"/>
    <w:rsid w:val="00C27F99"/>
    <w:rsid w:val="00C30308"/>
    <w:rsid w:val="00C364E8"/>
    <w:rsid w:val="00C3675E"/>
    <w:rsid w:val="00C418EF"/>
    <w:rsid w:val="00C42761"/>
    <w:rsid w:val="00C45A3C"/>
    <w:rsid w:val="00C46616"/>
    <w:rsid w:val="00C506CE"/>
    <w:rsid w:val="00C507C1"/>
    <w:rsid w:val="00C62756"/>
    <w:rsid w:val="00C65725"/>
    <w:rsid w:val="00C6610C"/>
    <w:rsid w:val="00C7137A"/>
    <w:rsid w:val="00C722A4"/>
    <w:rsid w:val="00C72FC6"/>
    <w:rsid w:val="00C8231A"/>
    <w:rsid w:val="00C83EE0"/>
    <w:rsid w:val="00C8404C"/>
    <w:rsid w:val="00C84625"/>
    <w:rsid w:val="00C85CC4"/>
    <w:rsid w:val="00C97F72"/>
    <w:rsid w:val="00CA13F8"/>
    <w:rsid w:val="00CA3454"/>
    <w:rsid w:val="00CA7240"/>
    <w:rsid w:val="00CB0F2D"/>
    <w:rsid w:val="00CB1A1A"/>
    <w:rsid w:val="00CB1D64"/>
    <w:rsid w:val="00CB30C3"/>
    <w:rsid w:val="00CB4EDD"/>
    <w:rsid w:val="00CB52D4"/>
    <w:rsid w:val="00CB5B82"/>
    <w:rsid w:val="00CB5C86"/>
    <w:rsid w:val="00CB5EAE"/>
    <w:rsid w:val="00CC1C08"/>
    <w:rsid w:val="00CC3EBD"/>
    <w:rsid w:val="00CC7E67"/>
    <w:rsid w:val="00CD01B4"/>
    <w:rsid w:val="00CD4E29"/>
    <w:rsid w:val="00CD6F2E"/>
    <w:rsid w:val="00CE043E"/>
    <w:rsid w:val="00CE07DF"/>
    <w:rsid w:val="00CE102A"/>
    <w:rsid w:val="00CE1740"/>
    <w:rsid w:val="00CE45FF"/>
    <w:rsid w:val="00CE4C02"/>
    <w:rsid w:val="00CF1033"/>
    <w:rsid w:val="00CF38CF"/>
    <w:rsid w:val="00CF4AF6"/>
    <w:rsid w:val="00CF6EFE"/>
    <w:rsid w:val="00CF7C44"/>
    <w:rsid w:val="00D0101C"/>
    <w:rsid w:val="00D0207F"/>
    <w:rsid w:val="00D03296"/>
    <w:rsid w:val="00D04266"/>
    <w:rsid w:val="00D04462"/>
    <w:rsid w:val="00D0505B"/>
    <w:rsid w:val="00D07B01"/>
    <w:rsid w:val="00D11C0F"/>
    <w:rsid w:val="00D12631"/>
    <w:rsid w:val="00D12DD5"/>
    <w:rsid w:val="00D13EC7"/>
    <w:rsid w:val="00D142D2"/>
    <w:rsid w:val="00D16721"/>
    <w:rsid w:val="00D23045"/>
    <w:rsid w:val="00D2397C"/>
    <w:rsid w:val="00D24694"/>
    <w:rsid w:val="00D27AD3"/>
    <w:rsid w:val="00D30AE0"/>
    <w:rsid w:val="00D3100F"/>
    <w:rsid w:val="00D32B75"/>
    <w:rsid w:val="00D33171"/>
    <w:rsid w:val="00D33257"/>
    <w:rsid w:val="00D3697D"/>
    <w:rsid w:val="00D41067"/>
    <w:rsid w:val="00D42AF4"/>
    <w:rsid w:val="00D42CEB"/>
    <w:rsid w:val="00D4369D"/>
    <w:rsid w:val="00D46408"/>
    <w:rsid w:val="00D509B0"/>
    <w:rsid w:val="00D512E3"/>
    <w:rsid w:val="00D51980"/>
    <w:rsid w:val="00D53E77"/>
    <w:rsid w:val="00D545DB"/>
    <w:rsid w:val="00D545F5"/>
    <w:rsid w:val="00D64CAB"/>
    <w:rsid w:val="00D6532C"/>
    <w:rsid w:val="00D654F6"/>
    <w:rsid w:val="00D72676"/>
    <w:rsid w:val="00D73639"/>
    <w:rsid w:val="00D73AB7"/>
    <w:rsid w:val="00D74EFA"/>
    <w:rsid w:val="00D75016"/>
    <w:rsid w:val="00D76593"/>
    <w:rsid w:val="00D807CC"/>
    <w:rsid w:val="00D8142B"/>
    <w:rsid w:val="00D8449E"/>
    <w:rsid w:val="00D8611B"/>
    <w:rsid w:val="00D86764"/>
    <w:rsid w:val="00D86A04"/>
    <w:rsid w:val="00D879F3"/>
    <w:rsid w:val="00D87FDF"/>
    <w:rsid w:val="00D91943"/>
    <w:rsid w:val="00D93095"/>
    <w:rsid w:val="00D95757"/>
    <w:rsid w:val="00D96C4D"/>
    <w:rsid w:val="00DA0700"/>
    <w:rsid w:val="00DA4331"/>
    <w:rsid w:val="00DA45CF"/>
    <w:rsid w:val="00DA5ADA"/>
    <w:rsid w:val="00DB03D8"/>
    <w:rsid w:val="00DB109C"/>
    <w:rsid w:val="00DB17ED"/>
    <w:rsid w:val="00DB2EF3"/>
    <w:rsid w:val="00DB3810"/>
    <w:rsid w:val="00DC41F8"/>
    <w:rsid w:val="00DD027A"/>
    <w:rsid w:val="00DD0A12"/>
    <w:rsid w:val="00DD1920"/>
    <w:rsid w:val="00DD4776"/>
    <w:rsid w:val="00DD4A8B"/>
    <w:rsid w:val="00DD536F"/>
    <w:rsid w:val="00DE33E2"/>
    <w:rsid w:val="00DE7165"/>
    <w:rsid w:val="00DE734F"/>
    <w:rsid w:val="00DE7925"/>
    <w:rsid w:val="00DF0E36"/>
    <w:rsid w:val="00E01395"/>
    <w:rsid w:val="00E0534E"/>
    <w:rsid w:val="00E11A04"/>
    <w:rsid w:val="00E11ABE"/>
    <w:rsid w:val="00E11E21"/>
    <w:rsid w:val="00E13F70"/>
    <w:rsid w:val="00E14901"/>
    <w:rsid w:val="00E15EB2"/>
    <w:rsid w:val="00E20A69"/>
    <w:rsid w:val="00E20D19"/>
    <w:rsid w:val="00E2471E"/>
    <w:rsid w:val="00E24DFB"/>
    <w:rsid w:val="00E25093"/>
    <w:rsid w:val="00E263CC"/>
    <w:rsid w:val="00E32137"/>
    <w:rsid w:val="00E34417"/>
    <w:rsid w:val="00E34D69"/>
    <w:rsid w:val="00E34DDB"/>
    <w:rsid w:val="00E3504B"/>
    <w:rsid w:val="00E351EF"/>
    <w:rsid w:val="00E37640"/>
    <w:rsid w:val="00E40BE1"/>
    <w:rsid w:val="00E411D6"/>
    <w:rsid w:val="00E4164B"/>
    <w:rsid w:val="00E41AA6"/>
    <w:rsid w:val="00E45EAB"/>
    <w:rsid w:val="00E460C9"/>
    <w:rsid w:val="00E504FE"/>
    <w:rsid w:val="00E56B49"/>
    <w:rsid w:val="00E573F8"/>
    <w:rsid w:val="00E60699"/>
    <w:rsid w:val="00E61B7C"/>
    <w:rsid w:val="00E6381F"/>
    <w:rsid w:val="00E70253"/>
    <w:rsid w:val="00E74958"/>
    <w:rsid w:val="00E7526C"/>
    <w:rsid w:val="00E75FCC"/>
    <w:rsid w:val="00E762C2"/>
    <w:rsid w:val="00E8418D"/>
    <w:rsid w:val="00E842A4"/>
    <w:rsid w:val="00E84D76"/>
    <w:rsid w:val="00E87DDC"/>
    <w:rsid w:val="00E924BE"/>
    <w:rsid w:val="00E936BC"/>
    <w:rsid w:val="00E94D46"/>
    <w:rsid w:val="00E95470"/>
    <w:rsid w:val="00E96C68"/>
    <w:rsid w:val="00E97215"/>
    <w:rsid w:val="00EA1407"/>
    <w:rsid w:val="00EA1C52"/>
    <w:rsid w:val="00EA2C72"/>
    <w:rsid w:val="00EA360B"/>
    <w:rsid w:val="00EA5AD5"/>
    <w:rsid w:val="00EA64B1"/>
    <w:rsid w:val="00EB2347"/>
    <w:rsid w:val="00EB2941"/>
    <w:rsid w:val="00EB4BDF"/>
    <w:rsid w:val="00EB560F"/>
    <w:rsid w:val="00EB76A3"/>
    <w:rsid w:val="00EC1FF6"/>
    <w:rsid w:val="00EC34FA"/>
    <w:rsid w:val="00EC4775"/>
    <w:rsid w:val="00EC4F0E"/>
    <w:rsid w:val="00EC72B1"/>
    <w:rsid w:val="00ED19EF"/>
    <w:rsid w:val="00ED2705"/>
    <w:rsid w:val="00ED63BA"/>
    <w:rsid w:val="00ED72CA"/>
    <w:rsid w:val="00EE240A"/>
    <w:rsid w:val="00EE26EB"/>
    <w:rsid w:val="00EE46D9"/>
    <w:rsid w:val="00EE6F33"/>
    <w:rsid w:val="00EE7320"/>
    <w:rsid w:val="00EF0047"/>
    <w:rsid w:val="00EF0779"/>
    <w:rsid w:val="00EF55F6"/>
    <w:rsid w:val="00EF68D6"/>
    <w:rsid w:val="00EF7CC1"/>
    <w:rsid w:val="00F00346"/>
    <w:rsid w:val="00F020F7"/>
    <w:rsid w:val="00F025F9"/>
    <w:rsid w:val="00F03020"/>
    <w:rsid w:val="00F03C5F"/>
    <w:rsid w:val="00F03D55"/>
    <w:rsid w:val="00F071C2"/>
    <w:rsid w:val="00F12C9B"/>
    <w:rsid w:val="00F14D22"/>
    <w:rsid w:val="00F16BCC"/>
    <w:rsid w:val="00F205DD"/>
    <w:rsid w:val="00F2317F"/>
    <w:rsid w:val="00F27C26"/>
    <w:rsid w:val="00F308EA"/>
    <w:rsid w:val="00F36475"/>
    <w:rsid w:val="00F36908"/>
    <w:rsid w:val="00F37C52"/>
    <w:rsid w:val="00F4051D"/>
    <w:rsid w:val="00F40634"/>
    <w:rsid w:val="00F417AD"/>
    <w:rsid w:val="00F4266D"/>
    <w:rsid w:val="00F435CC"/>
    <w:rsid w:val="00F44C02"/>
    <w:rsid w:val="00F456E3"/>
    <w:rsid w:val="00F502F1"/>
    <w:rsid w:val="00F50533"/>
    <w:rsid w:val="00F5261C"/>
    <w:rsid w:val="00F54587"/>
    <w:rsid w:val="00F560B4"/>
    <w:rsid w:val="00F57298"/>
    <w:rsid w:val="00F62D89"/>
    <w:rsid w:val="00F65A1C"/>
    <w:rsid w:val="00F72D6A"/>
    <w:rsid w:val="00F73F8A"/>
    <w:rsid w:val="00F82987"/>
    <w:rsid w:val="00F84ED8"/>
    <w:rsid w:val="00F867B2"/>
    <w:rsid w:val="00F94EBB"/>
    <w:rsid w:val="00F96DC2"/>
    <w:rsid w:val="00FA2132"/>
    <w:rsid w:val="00FA4033"/>
    <w:rsid w:val="00FA4EF7"/>
    <w:rsid w:val="00FA6345"/>
    <w:rsid w:val="00FB0C61"/>
    <w:rsid w:val="00FB39AD"/>
    <w:rsid w:val="00FB666A"/>
    <w:rsid w:val="00FC43E8"/>
    <w:rsid w:val="00FC4F73"/>
    <w:rsid w:val="00FD3AB1"/>
    <w:rsid w:val="00FD5D0B"/>
    <w:rsid w:val="00FD6682"/>
    <w:rsid w:val="00FD6E51"/>
    <w:rsid w:val="00FE26E3"/>
    <w:rsid w:val="00FE4545"/>
    <w:rsid w:val="00FE4B88"/>
    <w:rsid w:val="00FE634F"/>
    <w:rsid w:val="00FE6ACA"/>
    <w:rsid w:val="00FE76B5"/>
    <w:rsid w:val="00FF2A26"/>
    <w:rsid w:val="00FF47A8"/>
    <w:rsid w:val="00FF51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5C21BDE"/>
  <w15:chartTrackingRefBased/>
  <w15:docId w15:val="{B6BC94E6-B8E6-433E-9288-865CD784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CEF"/>
    <w:pPr>
      <w:jc w:val="center"/>
    </w:pPr>
    <w:rPr>
      <w:rFonts w:eastAsiaTheme="minorEastAsia"/>
      <w:sz w:val="21"/>
      <w:szCs w:val="21"/>
    </w:rPr>
  </w:style>
  <w:style w:type="paragraph" w:styleId="Ttulo1">
    <w:name w:val="heading 1"/>
    <w:basedOn w:val="Normal"/>
    <w:next w:val="Normal"/>
    <w:link w:val="Ttulo1Car"/>
    <w:uiPriority w:val="9"/>
    <w:qFormat/>
    <w:rsid w:val="007C42D0"/>
    <w:pPr>
      <w:keepNext/>
      <w:keepLines/>
      <w:spacing w:before="240" w:line="259" w:lineRule="auto"/>
      <w:jc w:val="left"/>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00F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400F1D"/>
    <w:pPr>
      <w:keepNext w:val="0"/>
      <w:keepLines w:val="0"/>
      <w:numPr>
        <w:numId w:val="11"/>
      </w:numPr>
      <w:pBdr>
        <w:top w:val="nil"/>
        <w:left w:val="nil"/>
        <w:bottom w:val="nil"/>
        <w:right w:val="nil"/>
        <w:between w:val="nil"/>
        <w:bar w:val="nil"/>
      </w:pBdr>
      <w:spacing w:before="0"/>
      <w:contextualSpacing/>
      <w:outlineLvl w:val="2"/>
    </w:pPr>
    <w:rPr>
      <w:rFonts w:ascii="ITC Avant Garde" w:eastAsia="Times New Roman" w:hAnsi="ITC Avant Garde" w:cs="Times"/>
      <w:b/>
      <w:color w:val="2F2F2F"/>
      <w:sz w:val="24"/>
      <w:szCs w:val="24"/>
      <w:bdr w:val="nil"/>
      <w:lang w:eastAsia="es-MX"/>
    </w:rPr>
  </w:style>
  <w:style w:type="paragraph" w:styleId="Ttulo4">
    <w:name w:val="heading 4"/>
    <w:basedOn w:val="Normal"/>
    <w:next w:val="Normal"/>
    <w:link w:val="Ttulo4Car"/>
    <w:uiPriority w:val="9"/>
    <w:unhideWhenUsed/>
    <w:qFormat/>
    <w:rsid w:val="002773C7"/>
    <w:pPr>
      <w:keepNext/>
      <w:keepLines/>
      <w:jc w:val="both"/>
      <w:outlineLvl w:val="3"/>
    </w:pPr>
    <w:rPr>
      <w:rFonts w:ascii="Arial" w:eastAsiaTheme="majorEastAsia" w:hAnsi="Arial" w:cs="Arial"/>
      <w:b/>
      <w:i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OMANOS">
    <w:name w:val="ROMANOS"/>
    <w:basedOn w:val="Normal"/>
    <w:link w:val="ROMANOSCar"/>
    <w:rsid w:val="00174CEF"/>
    <w:pPr>
      <w:tabs>
        <w:tab w:val="left" w:pos="720"/>
      </w:tabs>
      <w:spacing w:after="101" w:line="216" w:lineRule="exact"/>
      <w:ind w:left="720" w:hanging="432"/>
      <w:jc w:val="both"/>
    </w:pPr>
    <w:rPr>
      <w:rFonts w:ascii="Arial" w:hAnsi="Arial" w:cs="Arial"/>
      <w:sz w:val="18"/>
      <w:szCs w:val="18"/>
    </w:rPr>
  </w:style>
  <w:style w:type="paragraph" w:customStyle="1" w:styleId="ANOTACION">
    <w:name w:val="ANOTACION"/>
    <w:basedOn w:val="Normal"/>
    <w:link w:val="ANOTACIONCar"/>
    <w:rsid w:val="00174CEF"/>
    <w:pPr>
      <w:spacing w:before="101" w:after="101" w:line="216" w:lineRule="atLeast"/>
    </w:pPr>
    <w:rPr>
      <w:b/>
      <w:sz w:val="18"/>
      <w:szCs w:val="20"/>
      <w:lang w:val="es-ES_tradnl"/>
    </w:rPr>
  </w:style>
  <w:style w:type="character" w:customStyle="1" w:styleId="ROMANOSCar">
    <w:name w:val="ROMANOS Car"/>
    <w:link w:val="ROMANOS"/>
    <w:locked/>
    <w:rsid w:val="00174CEF"/>
    <w:rPr>
      <w:rFonts w:ascii="Arial" w:eastAsiaTheme="minorEastAsia" w:hAnsi="Arial" w:cs="Arial"/>
      <w:sz w:val="18"/>
      <w:szCs w:val="18"/>
    </w:rPr>
  </w:style>
  <w:style w:type="character" w:customStyle="1" w:styleId="ANOTACIONCar">
    <w:name w:val="ANOTACION Car"/>
    <w:link w:val="ANOTACION"/>
    <w:locked/>
    <w:rsid w:val="00174CEF"/>
    <w:rPr>
      <w:rFonts w:eastAsiaTheme="minorEastAsia"/>
      <w:b/>
      <w:sz w:val="18"/>
      <w:szCs w:val="20"/>
      <w:lang w:val="es-ES_tradnl"/>
    </w:rPr>
  </w:style>
  <w:style w:type="paragraph" w:styleId="Prrafodelista">
    <w:name w:val="List Paragraph"/>
    <w:aliases w:val="4 Viñ 1nivel,Numeración 1,Cuadrícula media 1 - Énfasis 21,Bullet List,FooterText,numbered,List Paragraph1,Paragraphe de liste1,Bulletr List Paragraph,列出段落,列出段落1,Cuadros,Lista general,Listas,lp1,CNBV Parrafo1,List Paragraph-Thesis,Dot pt"/>
    <w:basedOn w:val="Normal"/>
    <w:link w:val="PrrafodelistaCar"/>
    <w:uiPriority w:val="34"/>
    <w:qFormat/>
    <w:rsid w:val="00174CEF"/>
    <w:pPr>
      <w:ind w:left="720"/>
      <w:contextualSpacing/>
    </w:pPr>
  </w:style>
  <w:style w:type="paragraph" w:customStyle="1" w:styleId="Default">
    <w:name w:val="Default"/>
    <w:link w:val="DefaultCar"/>
    <w:rsid w:val="00174CEF"/>
    <w:pPr>
      <w:autoSpaceDE w:val="0"/>
      <w:autoSpaceDN w:val="0"/>
      <w:adjustRightInd w:val="0"/>
    </w:pPr>
    <w:rPr>
      <w:rFonts w:ascii="Times New Roman" w:eastAsia="MS Mincho" w:hAnsi="Times New Roman" w:cs="Times New Roman"/>
      <w:color w:val="000000"/>
      <w:sz w:val="24"/>
      <w:szCs w:val="24"/>
      <w:lang w:eastAsia="es-MX"/>
    </w:rPr>
  </w:style>
  <w:style w:type="character" w:customStyle="1" w:styleId="PrrafodelistaCar">
    <w:name w:val="Párrafo de lista Car"/>
    <w:aliases w:val="4 Viñ 1nivel Car,Numeración 1 Car,Cuadrícula media 1 - Énfasis 21 Car,Bullet List Car,FooterText Car,numbered Car,List Paragraph1 Car,Paragraphe de liste1 Car,Bulletr List Paragraph Car,列出段落 Car,列出段落1 Car,Cuadros Car,Listas Car"/>
    <w:basedOn w:val="Fuentedeprrafopredeter"/>
    <w:link w:val="Prrafodelista"/>
    <w:uiPriority w:val="34"/>
    <w:qFormat/>
    <w:locked/>
    <w:rsid w:val="00174CEF"/>
    <w:rPr>
      <w:rFonts w:eastAsiaTheme="minorEastAsia"/>
      <w:sz w:val="21"/>
      <w:szCs w:val="21"/>
    </w:rPr>
  </w:style>
  <w:style w:type="character" w:styleId="Refdecomentario">
    <w:name w:val="annotation reference"/>
    <w:basedOn w:val="Fuentedeprrafopredeter"/>
    <w:uiPriority w:val="99"/>
    <w:semiHidden/>
    <w:unhideWhenUsed/>
    <w:rsid w:val="00174CEF"/>
    <w:rPr>
      <w:sz w:val="16"/>
      <w:szCs w:val="16"/>
    </w:rPr>
  </w:style>
  <w:style w:type="paragraph" w:styleId="Textocomentario">
    <w:name w:val="annotation text"/>
    <w:basedOn w:val="Normal"/>
    <w:link w:val="TextocomentarioCar"/>
    <w:uiPriority w:val="99"/>
    <w:unhideWhenUsed/>
    <w:rsid w:val="00174CEF"/>
    <w:rPr>
      <w:sz w:val="20"/>
      <w:szCs w:val="20"/>
    </w:rPr>
  </w:style>
  <w:style w:type="character" w:customStyle="1" w:styleId="TextocomentarioCar">
    <w:name w:val="Texto comentario Car"/>
    <w:basedOn w:val="Fuentedeprrafopredeter"/>
    <w:link w:val="Textocomentario"/>
    <w:uiPriority w:val="99"/>
    <w:rsid w:val="00174CEF"/>
    <w:rPr>
      <w:rFonts w:eastAsiaTheme="minorEastAsia"/>
      <w:sz w:val="20"/>
      <w:szCs w:val="20"/>
    </w:rPr>
  </w:style>
  <w:style w:type="paragraph" w:styleId="Textodeglobo">
    <w:name w:val="Balloon Text"/>
    <w:basedOn w:val="Normal"/>
    <w:link w:val="TextodegloboCar"/>
    <w:uiPriority w:val="99"/>
    <w:semiHidden/>
    <w:unhideWhenUsed/>
    <w:rsid w:val="00174CE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CEF"/>
    <w:rPr>
      <w:rFonts w:ascii="Segoe UI" w:eastAsiaTheme="minorEastAsia"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9A2D60"/>
    <w:rPr>
      <w:b/>
      <w:bCs/>
    </w:rPr>
  </w:style>
  <w:style w:type="character" w:customStyle="1" w:styleId="AsuntodelcomentarioCar">
    <w:name w:val="Asunto del comentario Car"/>
    <w:basedOn w:val="TextocomentarioCar"/>
    <w:link w:val="Asuntodelcomentario"/>
    <w:uiPriority w:val="99"/>
    <w:semiHidden/>
    <w:rsid w:val="009A2D60"/>
    <w:rPr>
      <w:rFonts w:eastAsiaTheme="minorEastAsia"/>
      <w:b/>
      <w:bCs/>
      <w:sz w:val="20"/>
      <w:szCs w:val="20"/>
    </w:rPr>
  </w:style>
  <w:style w:type="paragraph" w:customStyle="1" w:styleId="Texto">
    <w:name w:val="Texto"/>
    <w:basedOn w:val="Normal"/>
    <w:link w:val="TextoCar"/>
    <w:rsid w:val="00E70253"/>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E70253"/>
    <w:rPr>
      <w:rFonts w:ascii="Arial" w:eastAsia="Times New Roman" w:hAnsi="Arial" w:cs="Arial"/>
      <w:sz w:val="18"/>
      <w:szCs w:val="20"/>
      <w:lang w:eastAsia="es-ES"/>
    </w:rPr>
  </w:style>
  <w:style w:type="character" w:styleId="Textoennegrita">
    <w:name w:val="Strong"/>
    <w:basedOn w:val="Fuentedeprrafopredeter"/>
    <w:uiPriority w:val="22"/>
    <w:qFormat/>
    <w:rsid w:val="00E842A4"/>
    <w:rPr>
      <w:b/>
      <w:bCs/>
    </w:rPr>
  </w:style>
  <w:style w:type="table" w:styleId="Tablaconcuadrcula">
    <w:name w:val="Table Grid"/>
    <w:basedOn w:val="Tablanormal"/>
    <w:uiPriority w:val="39"/>
    <w:rsid w:val="0010159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TDC2"/>
    <w:next w:val="Normal"/>
    <w:autoRedefine/>
    <w:uiPriority w:val="39"/>
    <w:unhideWhenUsed/>
    <w:rsid w:val="00101592"/>
    <w:pPr>
      <w:spacing w:after="0" w:line="276" w:lineRule="auto"/>
      <w:ind w:left="0"/>
    </w:pPr>
    <w:rPr>
      <w:rFonts w:ascii="Times New Roman" w:eastAsia="Calibri" w:hAnsi="Times New Roman" w:cs="Times New Roman"/>
      <w:noProof/>
      <w:sz w:val="20"/>
      <w:szCs w:val="22"/>
      <w:lang w:val="es-ES"/>
    </w:rPr>
  </w:style>
  <w:style w:type="paragraph" w:styleId="TDC2">
    <w:name w:val="toc 2"/>
    <w:basedOn w:val="Normal"/>
    <w:next w:val="Normal"/>
    <w:autoRedefine/>
    <w:uiPriority w:val="39"/>
    <w:semiHidden/>
    <w:unhideWhenUsed/>
    <w:rsid w:val="00101592"/>
    <w:pPr>
      <w:spacing w:after="100"/>
      <w:ind w:left="210"/>
    </w:pPr>
  </w:style>
  <w:style w:type="paragraph" w:styleId="Encabezado">
    <w:name w:val="header"/>
    <w:basedOn w:val="Normal"/>
    <w:link w:val="EncabezadoCar"/>
    <w:uiPriority w:val="99"/>
    <w:unhideWhenUsed/>
    <w:rsid w:val="009F523F"/>
    <w:pPr>
      <w:tabs>
        <w:tab w:val="center" w:pos="4419"/>
        <w:tab w:val="right" w:pos="8838"/>
      </w:tabs>
    </w:pPr>
  </w:style>
  <w:style w:type="character" w:customStyle="1" w:styleId="EncabezadoCar">
    <w:name w:val="Encabezado Car"/>
    <w:basedOn w:val="Fuentedeprrafopredeter"/>
    <w:link w:val="Encabezado"/>
    <w:uiPriority w:val="99"/>
    <w:rsid w:val="009F523F"/>
    <w:rPr>
      <w:rFonts w:eastAsiaTheme="minorEastAsia"/>
      <w:sz w:val="21"/>
      <w:szCs w:val="21"/>
    </w:rPr>
  </w:style>
  <w:style w:type="paragraph" w:styleId="Piedepgina">
    <w:name w:val="footer"/>
    <w:basedOn w:val="Normal"/>
    <w:link w:val="PiedepginaCar"/>
    <w:uiPriority w:val="99"/>
    <w:unhideWhenUsed/>
    <w:rsid w:val="009F523F"/>
    <w:pPr>
      <w:tabs>
        <w:tab w:val="center" w:pos="4419"/>
        <w:tab w:val="right" w:pos="8838"/>
      </w:tabs>
    </w:pPr>
  </w:style>
  <w:style w:type="character" w:customStyle="1" w:styleId="PiedepginaCar">
    <w:name w:val="Pie de página Car"/>
    <w:basedOn w:val="Fuentedeprrafopredeter"/>
    <w:link w:val="Piedepgina"/>
    <w:uiPriority w:val="99"/>
    <w:rsid w:val="009F523F"/>
    <w:rPr>
      <w:rFonts w:eastAsiaTheme="minorEastAsia"/>
      <w:sz w:val="21"/>
      <w:szCs w:val="21"/>
    </w:rPr>
  </w:style>
  <w:style w:type="paragraph" w:customStyle="1" w:styleId="texto0">
    <w:name w:val="texto"/>
    <w:basedOn w:val="Normal"/>
    <w:rsid w:val="008E2AE9"/>
    <w:pPr>
      <w:snapToGrid w:val="0"/>
      <w:spacing w:after="101" w:line="216" w:lineRule="exact"/>
      <w:ind w:firstLine="288"/>
      <w:jc w:val="both"/>
    </w:pPr>
    <w:rPr>
      <w:rFonts w:ascii="Arial" w:eastAsia="Times New Roman" w:hAnsi="Arial" w:cs="Arial"/>
      <w:sz w:val="18"/>
      <w:szCs w:val="18"/>
      <w:lang w:eastAsia="zh-CN"/>
    </w:rPr>
  </w:style>
  <w:style w:type="character" w:customStyle="1" w:styleId="Ttulo3Car">
    <w:name w:val="Título 3 Car"/>
    <w:basedOn w:val="Fuentedeprrafopredeter"/>
    <w:link w:val="Ttulo3"/>
    <w:uiPriority w:val="9"/>
    <w:rsid w:val="00400F1D"/>
    <w:rPr>
      <w:rFonts w:ascii="ITC Avant Garde" w:eastAsia="Times New Roman" w:hAnsi="ITC Avant Garde" w:cs="Times"/>
      <w:b/>
      <w:color w:val="2F2F2F"/>
      <w:sz w:val="24"/>
      <w:szCs w:val="24"/>
      <w:bdr w:val="nil"/>
      <w:lang w:eastAsia="es-MX"/>
    </w:rPr>
  </w:style>
  <w:style w:type="character" w:customStyle="1" w:styleId="Ttulo2Car">
    <w:name w:val="Título 2 Car"/>
    <w:basedOn w:val="Fuentedeprrafopredeter"/>
    <w:link w:val="Ttulo2"/>
    <w:uiPriority w:val="9"/>
    <w:rsid w:val="00400F1D"/>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7C42D0"/>
    <w:rPr>
      <w:rFonts w:asciiTheme="majorHAnsi" w:eastAsiaTheme="majorEastAsia" w:hAnsiTheme="majorHAnsi" w:cstheme="majorBidi"/>
      <w:color w:val="2E74B5" w:themeColor="accent1" w:themeShade="BF"/>
      <w:sz w:val="32"/>
      <w:szCs w:val="32"/>
    </w:rPr>
  </w:style>
  <w:style w:type="paragraph" w:styleId="Descripcin">
    <w:name w:val="caption"/>
    <w:basedOn w:val="Normal"/>
    <w:next w:val="Normal"/>
    <w:uiPriority w:val="35"/>
    <w:unhideWhenUsed/>
    <w:qFormat/>
    <w:rsid w:val="000B3030"/>
    <w:pPr>
      <w:spacing w:after="200"/>
    </w:pPr>
    <w:rPr>
      <w:i/>
      <w:iCs/>
      <w:color w:val="44546A" w:themeColor="text2"/>
      <w:sz w:val="18"/>
      <w:szCs w:val="18"/>
    </w:rPr>
  </w:style>
  <w:style w:type="paragraph" w:styleId="Revisin">
    <w:name w:val="Revision"/>
    <w:hidden/>
    <w:uiPriority w:val="99"/>
    <w:semiHidden/>
    <w:rsid w:val="009D7098"/>
    <w:rPr>
      <w:rFonts w:eastAsiaTheme="minorEastAsia"/>
      <w:sz w:val="21"/>
      <w:szCs w:val="21"/>
    </w:rPr>
  </w:style>
  <w:style w:type="paragraph" w:styleId="NormalWeb">
    <w:name w:val="Normal (Web)"/>
    <w:basedOn w:val="Normal"/>
    <w:uiPriority w:val="99"/>
    <w:unhideWhenUsed/>
    <w:rsid w:val="00D30AE0"/>
    <w:pPr>
      <w:spacing w:before="100" w:beforeAutospacing="1" w:after="100" w:afterAutospacing="1"/>
      <w:jc w:val="left"/>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D12631"/>
    <w:rPr>
      <w:color w:val="0563C1" w:themeColor="hyperlink"/>
      <w:u w:val="single"/>
    </w:rPr>
  </w:style>
  <w:style w:type="character" w:styleId="Hipervnculovisitado">
    <w:name w:val="FollowedHyperlink"/>
    <w:basedOn w:val="Fuentedeprrafopredeter"/>
    <w:uiPriority w:val="99"/>
    <w:semiHidden/>
    <w:unhideWhenUsed/>
    <w:rsid w:val="00511CB7"/>
    <w:rPr>
      <w:color w:val="954F72" w:themeColor="followedHyperlink"/>
      <w:u w:val="single"/>
    </w:rPr>
  </w:style>
  <w:style w:type="character" w:customStyle="1" w:styleId="DefaultCar">
    <w:name w:val="Default Car"/>
    <w:basedOn w:val="Fuentedeprrafopredeter"/>
    <w:link w:val="Default"/>
    <w:rsid w:val="0007174F"/>
    <w:rPr>
      <w:rFonts w:ascii="Times New Roman" w:eastAsia="MS Mincho" w:hAnsi="Times New Roman" w:cs="Times New Roman"/>
      <w:color w:val="000000"/>
      <w:sz w:val="24"/>
      <w:szCs w:val="24"/>
      <w:lang w:eastAsia="es-MX"/>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DN"/>
    <w:basedOn w:val="Normal"/>
    <w:link w:val="TextonotapieCar"/>
    <w:uiPriority w:val="99"/>
    <w:unhideWhenUsed/>
    <w:qFormat/>
    <w:rsid w:val="00F4266D"/>
    <w:pPr>
      <w:pBdr>
        <w:top w:val="nil"/>
        <w:left w:val="nil"/>
        <w:bottom w:val="nil"/>
        <w:right w:val="nil"/>
        <w:between w:val="nil"/>
        <w:bar w:val="nil"/>
      </w:pBdr>
      <w:jc w:val="left"/>
    </w:pPr>
    <w:rPr>
      <w:rFonts w:ascii="Times New Roman" w:eastAsia="Arial Unicode MS" w:hAnsi="Times New Roman" w:cs="Times New Roman"/>
      <w:sz w:val="24"/>
      <w:szCs w:val="24"/>
      <w:bdr w:val="nil"/>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DN Car"/>
    <w:basedOn w:val="Fuentedeprrafopredeter"/>
    <w:link w:val="Textonotapie"/>
    <w:uiPriority w:val="99"/>
    <w:rsid w:val="00F4266D"/>
    <w:rPr>
      <w:rFonts w:ascii="Times New Roman" w:eastAsia="Arial Unicode MS" w:hAnsi="Times New Roman" w:cs="Times New Roman"/>
      <w:sz w:val="24"/>
      <w:szCs w:val="24"/>
      <w:bdr w:val="nil"/>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uiPriority w:val="99"/>
    <w:qFormat/>
    <w:rsid w:val="00F4266D"/>
    <w:rPr>
      <w:vertAlign w:val="superscript"/>
    </w:rPr>
  </w:style>
  <w:style w:type="character" w:customStyle="1" w:styleId="Ttulo4Car">
    <w:name w:val="Título 4 Car"/>
    <w:basedOn w:val="Fuentedeprrafopredeter"/>
    <w:link w:val="Ttulo4"/>
    <w:uiPriority w:val="9"/>
    <w:rsid w:val="002773C7"/>
    <w:rPr>
      <w:rFonts w:ascii="Arial" w:eastAsiaTheme="majorEastAsia" w:hAnsi="Arial" w:cs="Arial"/>
      <w:b/>
      <w:iCs/>
    </w:rPr>
  </w:style>
  <w:style w:type="paragraph" w:customStyle="1" w:styleId="estilo30">
    <w:name w:val="estilo30"/>
    <w:basedOn w:val="Normal"/>
    <w:rsid w:val="002773C7"/>
    <w:pPr>
      <w:spacing w:before="100" w:beforeAutospacing="1" w:after="100" w:afterAutospacing="1"/>
      <w:jc w:val="left"/>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semiHidden/>
    <w:unhideWhenUsed/>
    <w:rsid w:val="002773C7"/>
    <w:pPr>
      <w:spacing w:after="120" w:line="276" w:lineRule="auto"/>
      <w:jc w:val="left"/>
    </w:pPr>
    <w:rPr>
      <w:rFonts w:ascii="Calibri" w:eastAsia="Calibri" w:hAnsi="Calibri" w:cs="Times New Roman"/>
      <w:sz w:val="22"/>
      <w:szCs w:val="22"/>
    </w:rPr>
  </w:style>
  <w:style w:type="character" w:customStyle="1" w:styleId="TextoindependienteCar">
    <w:name w:val="Texto independiente Car"/>
    <w:basedOn w:val="Fuentedeprrafopredeter"/>
    <w:link w:val="Textoindependiente"/>
    <w:uiPriority w:val="99"/>
    <w:semiHidden/>
    <w:rsid w:val="002773C7"/>
    <w:rPr>
      <w:rFonts w:ascii="Calibri" w:eastAsia="Calibri" w:hAnsi="Calibri" w:cs="Times New Roman"/>
    </w:rPr>
  </w:style>
  <w:style w:type="character" w:customStyle="1" w:styleId="apple-converted-space">
    <w:name w:val="apple-converted-space"/>
    <w:basedOn w:val="Fuentedeprrafopredeter"/>
    <w:rsid w:val="002773C7"/>
  </w:style>
  <w:style w:type="paragraph" w:customStyle="1" w:styleId="Pa54">
    <w:name w:val="Pa5+4"/>
    <w:basedOn w:val="Default"/>
    <w:next w:val="Default"/>
    <w:uiPriority w:val="99"/>
    <w:rsid w:val="002773C7"/>
    <w:pPr>
      <w:spacing w:line="181" w:lineRule="atLeast"/>
    </w:pPr>
    <w:rPr>
      <w:rFonts w:ascii="Helvetica" w:eastAsiaTheme="minorHAnsi" w:hAnsi="Helvetica" w:cs="Helvetica"/>
      <w:color w:val="auto"/>
      <w:lang w:eastAsia="en-US"/>
    </w:rPr>
  </w:style>
  <w:style w:type="character" w:customStyle="1" w:styleId="A42">
    <w:name w:val="A4+2"/>
    <w:uiPriority w:val="99"/>
    <w:rsid w:val="002773C7"/>
    <w:rPr>
      <w:color w:val="000000"/>
    </w:rPr>
  </w:style>
  <w:style w:type="character" w:customStyle="1" w:styleId="FirmasDGDTRCar">
    <w:name w:val="Firmas DGDTR Car"/>
    <w:basedOn w:val="Fuentedeprrafopredeter"/>
    <w:link w:val="FirmasDGDTR"/>
    <w:locked/>
    <w:rsid w:val="002773C7"/>
    <w:rPr>
      <w:rFonts w:ascii="ITC Avant Garde" w:eastAsiaTheme="minorEastAsia" w:hAnsi="ITC Avant Garde" w:cs="Arial"/>
      <w:b/>
      <w:color w:val="000000"/>
      <w:lang w:val="es-ES_tradnl" w:eastAsia="es-ES"/>
    </w:rPr>
  </w:style>
  <w:style w:type="paragraph" w:customStyle="1" w:styleId="FirmasDGDTR">
    <w:name w:val="Firmas DGDTR"/>
    <w:basedOn w:val="Normal"/>
    <w:link w:val="FirmasDGDTRCar"/>
    <w:qFormat/>
    <w:rsid w:val="002773C7"/>
    <w:rPr>
      <w:rFonts w:ascii="ITC Avant Garde" w:hAnsi="ITC Avant Garde" w:cs="Arial"/>
      <w:b/>
      <w:color w:val="000000"/>
      <w:sz w:val="22"/>
      <w:szCs w:val="22"/>
      <w:lang w:val="es-ES_tradnl" w:eastAsia="es-ES"/>
    </w:rPr>
  </w:style>
  <w:style w:type="table" w:styleId="Tablaconcuadrcula4-nfasis6">
    <w:name w:val="Grid Table 4 Accent 6"/>
    <w:basedOn w:val="Tablanormal"/>
    <w:uiPriority w:val="49"/>
    <w:rsid w:val="002773C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a">
    <w:name w:val="Tabla"/>
    <w:link w:val="TablaCar"/>
    <w:qFormat/>
    <w:rsid w:val="002773C7"/>
    <w:pPr>
      <w:spacing w:after="160" w:line="259" w:lineRule="auto"/>
    </w:pPr>
    <w:rPr>
      <w:rFonts w:ascii="ITC Avant Garde" w:eastAsia="Times New Roman" w:hAnsi="ITC Avant Garde" w:cs="Times New Roman"/>
      <w:b/>
      <w:bCs/>
      <w:i/>
      <w:color w:val="3B3838" w:themeColor="background2" w:themeShade="40"/>
      <w:sz w:val="18"/>
      <w:szCs w:val="16"/>
      <w:lang w:eastAsia="es-MX"/>
    </w:rPr>
  </w:style>
  <w:style w:type="character" w:customStyle="1" w:styleId="TablaCar">
    <w:name w:val="Tabla Car"/>
    <w:basedOn w:val="Fuentedeprrafopredeter"/>
    <w:link w:val="Tabla"/>
    <w:rsid w:val="002773C7"/>
    <w:rPr>
      <w:rFonts w:ascii="ITC Avant Garde" w:eastAsia="Times New Roman" w:hAnsi="ITC Avant Garde" w:cs="Times New Roman"/>
      <w:b/>
      <w:bCs/>
      <w:i/>
      <w:color w:val="3B3838" w:themeColor="background2" w:themeShade="40"/>
      <w:sz w:val="18"/>
      <w:szCs w:val="16"/>
      <w:lang w:eastAsia="es-MX"/>
    </w:rPr>
  </w:style>
  <w:style w:type="paragraph" w:customStyle="1" w:styleId="xl81">
    <w:name w:val="xl81"/>
    <w:basedOn w:val="Normal"/>
    <w:rsid w:val="002773C7"/>
    <w:pPr>
      <w:pBdr>
        <w:left w:val="single" w:sz="8" w:space="0" w:color="auto"/>
        <w:bottom w:val="single" w:sz="8" w:space="0" w:color="auto"/>
        <w:right w:val="single" w:sz="8" w:space="0" w:color="auto"/>
      </w:pBdr>
      <w:shd w:val="clear" w:color="000000" w:fill="95B3D7"/>
      <w:spacing w:before="100" w:beforeAutospacing="1" w:after="100" w:afterAutospacing="1"/>
      <w:jc w:val="right"/>
      <w:textAlignment w:val="center"/>
    </w:pPr>
    <w:rPr>
      <w:rFonts w:ascii="Times New Roman" w:eastAsia="Times New Roman" w:hAnsi="Times New Roman" w:cs="Times New Roman"/>
      <w:b/>
      <w:bCs/>
      <w:color w:val="000000" w:themeColor="text1"/>
      <w:sz w:val="16"/>
      <w:szCs w:val="16"/>
      <w:lang w:eastAsia="es-MX"/>
    </w:rPr>
  </w:style>
  <w:style w:type="paragraph" w:customStyle="1" w:styleId="Notasalpie">
    <w:name w:val="Notas al pie"/>
    <w:basedOn w:val="Textonotapie"/>
    <w:link w:val="NotasalpieCar"/>
    <w:qFormat/>
    <w:rsid w:val="002773C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Arial"/>
      <w:sz w:val="14"/>
      <w:szCs w:val="14"/>
      <w:bdr w:val="none" w:sz="0" w:space="0" w:color="auto"/>
    </w:rPr>
  </w:style>
  <w:style w:type="character" w:customStyle="1" w:styleId="NotasalpieCar">
    <w:name w:val="Notas al pie Car"/>
    <w:basedOn w:val="Fuentedeprrafopredeter"/>
    <w:link w:val="Notasalpie"/>
    <w:rsid w:val="002773C7"/>
    <w:rPr>
      <w:rFonts w:ascii="Arial" w:hAnsi="Arial" w:cs="Arial"/>
      <w:sz w:val="14"/>
      <w:szCs w:val="14"/>
    </w:rPr>
  </w:style>
  <w:style w:type="character" w:styleId="Mencinsinresolver">
    <w:name w:val="Unresolved Mention"/>
    <w:basedOn w:val="Fuentedeprrafopredeter"/>
    <w:uiPriority w:val="99"/>
    <w:semiHidden/>
    <w:unhideWhenUsed/>
    <w:rsid w:val="00277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625323">
      <w:bodyDiv w:val="1"/>
      <w:marLeft w:val="0"/>
      <w:marRight w:val="0"/>
      <w:marTop w:val="0"/>
      <w:marBottom w:val="0"/>
      <w:divBdr>
        <w:top w:val="none" w:sz="0" w:space="0" w:color="auto"/>
        <w:left w:val="none" w:sz="0" w:space="0" w:color="auto"/>
        <w:bottom w:val="none" w:sz="0" w:space="0" w:color="auto"/>
        <w:right w:val="none" w:sz="0" w:space="0" w:color="auto"/>
      </w:divBdr>
      <w:divsChild>
        <w:div w:id="1115707727">
          <w:marLeft w:val="0"/>
          <w:marRight w:val="0"/>
          <w:marTop w:val="0"/>
          <w:marBottom w:val="0"/>
          <w:divBdr>
            <w:top w:val="none" w:sz="0" w:space="0" w:color="auto"/>
            <w:left w:val="none" w:sz="0" w:space="0" w:color="auto"/>
            <w:bottom w:val="none" w:sz="0" w:space="0" w:color="auto"/>
            <w:right w:val="none" w:sz="0" w:space="0" w:color="auto"/>
          </w:divBdr>
        </w:div>
        <w:div w:id="1310667416">
          <w:marLeft w:val="0"/>
          <w:marRight w:val="0"/>
          <w:marTop w:val="0"/>
          <w:marBottom w:val="0"/>
          <w:divBdr>
            <w:top w:val="none" w:sz="0" w:space="0" w:color="auto"/>
            <w:left w:val="none" w:sz="0" w:space="0" w:color="auto"/>
            <w:bottom w:val="none" w:sz="0" w:space="0" w:color="auto"/>
            <w:right w:val="none" w:sz="0" w:space="0" w:color="auto"/>
          </w:divBdr>
        </w:div>
      </w:divsChild>
    </w:div>
    <w:div w:id="561258044">
      <w:bodyDiv w:val="1"/>
      <w:marLeft w:val="0"/>
      <w:marRight w:val="0"/>
      <w:marTop w:val="0"/>
      <w:marBottom w:val="0"/>
      <w:divBdr>
        <w:top w:val="none" w:sz="0" w:space="0" w:color="auto"/>
        <w:left w:val="none" w:sz="0" w:space="0" w:color="auto"/>
        <w:bottom w:val="none" w:sz="0" w:space="0" w:color="auto"/>
        <w:right w:val="none" w:sz="0" w:space="0" w:color="auto"/>
      </w:divBdr>
    </w:div>
    <w:div w:id="646478707">
      <w:bodyDiv w:val="1"/>
      <w:marLeft w:val="0"/>
      <w:marRight w:val="0"/>
      <w:marTop w:val="0"/>
      <w:marBottom w:val="0"/>
      <w:divBdr>
        <w:top w:val="none" w:sz="0" w:space="0" w:color="auto"/>
        <w:left w:val="none" w:sz="0" w:space="0" w:color="auto"/>
        <w:bottom w:val="none" w:sz="0" w:space="0" w:color="auto"/>
        <w:right w:val="none" w:sz="0" w:space="0" w:color="auto"/>
      </w:divBdr>
      <w:divsChild>
        <w:div w:id="2020499380">
          <w:marLeft w:val="0"/>
          <w:marRight w:val="0"/>
          <w:marTop w:val="0"/>
          <w:marBottom w:val="0"/>
          <w:divBdr>
            <w:top w:val="none" w:sz="0" w:space="0" w:color="auto"/>
            <w:left w:val="none" w:sz="0" w:space="0" w:color="auto"/>
            <w:bottom w:val="none" w:sz="0" w:space="0" w:color="auto"/>
            <w:right w:val="none" w:sz="0" w:space="0" w:color="auto"/>
          </w:divBdr>
        </w:div>
      </w:divsChild>
    </w:div>
    <w:div w:id="1575580442">
      <w:bodyDiv w:val="1"/>
      <w:marLeft w:val="0"/>
      <w:marRight w:val="0"/>
      <w:marTop w:val="0"/>
      <w:marBottom w:val="0"/>
      <w:divBdr>
        <w:top w:val="none" w:sz="0" w:space="0" w:color="auto"/>
        <w:left w:val="none" w:sz="0" w:space="0" w:color="auto"/>
        <w:bottom w:val="none" w:sz="0" w:space="0" w:color="auto"/>
        <w:right w:val="none" w:sz="0" w:space="0" w:color="auto"/>
      </w:divBdr>
      <w:divsChild>
        <w:div w:id="628322831">
          <w:marLeft w:val="0"/>
          <w:marRight w:val="0"/>
          <w:marTop w:val="0"/>
          <w:marBottom w:val="0"/>
          <w:divBdr>
            <w:top w:val="none" w:sz="0" w:space="0" w:color="auto"/>
            <w:left w:val="none" w:sz="0" w:space="0" w:color="auto"/>
            <w:bottom w:val="none" w:sz="0" w:space="0" w:color="auto"/>
            <w:right w:val="none" w:sz="0" w:space="0" w:color="auto"/>
          </w:divBdr>
        </w:div>
      </w:divsChild>
    </w:div>
    <w:div w:id="1608535852">
      <w:bodyDiv w:val="1"/>
      <w:marLeft w:val="0"/>
      <w:marRight w:val="0"/>
      <w:marTop w:val="0"/>
      <w:marBottom w:val="0"/>
      <w:divBdr>
        <w:top w:val="none" w:sz="0" w:space="0" w:color="auto"/>
        <w:left w:val="none" w:sz="0" w:space="0" w:color="auto"/>
        <w:bottom w:val="none" w:sz="0" w:space="0" w:color="auto"/>
        <w:right w:val="none" w:sz="0" w:space="0" w:color="auto"/>
      </w:divBdr>
      <w:divsChild>
        <w:div w:id="977615548">
          <w:marLeft w:val="0"/>
          <w:marRight w:val="0"/>
          <w:marTop w:val="0"/>
          <w:marBottom w:val="0"/>
          <w:divBdr>
            <w:top w:val="none" w:sz="0" w:space="0" w:color="auto"/>
            <w:left w:val="none" w:sz="0" w:space="0" w:color="auto"/>
            <w:bottom w:val="none" w:sz="0" w:space="0" w:color="auto"/>
            <w:right w:val="none" w:sz="0" w:space="0" w:color="auto"/>
          </w:divBdr>
        </w:div>
      </w:divsChild>
    </w:div>
    <w:div w:id="1843205142">
      <w:bodyDiv w:val="1"/>
      <w:marLeft w:val="0"/>
      <w:marRight w:val="0"/>
      <w:marTop w:val="0"/>
      <w:marBottom w:val="0"/>
      <w:divBdr>
        <w:top w:val="none" w:sz="0" w:space="0" w:color="auto"/>
        <w:left w:val="none" w:sz="0" w:space="0" w:color="auto"/>
        <w:bottom w:val="none" w:sz="0" w:space="0" w:color="auto"/>
        <w:right w:val="none" w:sz="0" w:space="0" w:color="auto"/>
      </w:divBdr>
    </w:div>
    <w:div w:id="1986469312">
      <w:bodyDiv w:val="1"/>
      <w:marLeft w:val="0"/>
      <w:marRight w:val="0"/>
      <w:marTop w:val="0"/>
      <w:marBottom w:val="0"/>
      <w:divBdr>
        <w:top w:val="none" w:sz="0" w:space="0" w:color="auto"/>
        <w:left w:val="none" w:sz="0" w:space="0" w:color="auto"/>
        <w:bottom w:val="none" w:sz="0" w:space="0" w:color="auto"/>
        <w:right w:val="none" w:sz="0" w:space="0" w:color="auto"/>
      </w:divBdr>
    </w:div>
    <w:div w:id="2028361480">
      <w:bodyDiv w:val="1"/>
      <w:marLeft w:val="0"/>
      <w:marRight w:val="0"/>
      <w:marTop w:val="0"/>
      <w:marBottom w:val="0"/>
      <w:divBdr>
        <w:top w:val="none" w:sz="0" w:space="0" w:color="auto"/>
        <w:left w:val="none" w:sz="0" w:space="0" w:color="auto"/>
        <w:bottom w:val="none" w:sz="0" w:space="0" w:color="auto"/>
        <w:right w:val="none" w:sz="0" w:space="0" w:color="auto"/>
      </w:divBdr>
      <w:divsChild>
        <w:div w:id="1586189839">
          <w:marLeft w:val="720"/>
          <w:marRight w:val="0"/>
          <w:marTop w:val="0"/>
          <w:marBottom w:val="101"/>
          <w:divBdr>
            <w:top w:val="none" w:sz="0" w:space="0" w:color="auto"/>
            <w:left w:val="none" w:sz="0" w:space="0" w:color="auto"/>
            <w:bottom w:val="none" w:sz="0" w:space="0" w:color="auto"/>
            <w:right w:val="none" w:sz="0" w:space="0" w:color="auto"/>
          </w:divBdr>
        </w:div>
        <w:div w:id="496920400">
          <w:marLeft w:val="720"/>
          <w:marRight w:val="0"/>
          <w:marTop w:val="0"/>
          <w:marBottom w:val="101"/>
          <w:divBdr>
            <w:top w:val="none" w:sz="0" w:space="0" w:color="auto"/>
            <w:left w:val="none" w:sz="0" w:space="0" w:color="auto"/>
            <w:bottom w:val="none" w:sz="0" w:space="0" w:color="auto"/>
            <w:right w:val="none" w:sz="0" w:space="0" w:color="auto"/>
          </w:divBdr>
        </w:div>
        <w:div w:id="181167871">
          <w:marLeft w:val="720"/>
          <w:marRight w:val="0"/>
          <w:marTop w:val="0"/>
          <w:marBottom w:val="101"/>
          <w:divBdr>
            <w:top w:val="none" w:sz="0" w:space="0" w:color="auto"/>
            <w:left w:val="none" w:sz="0" w:space="0" w:color="auto"/>
            <w:bottom w:val="none" w:sz="0" w:space="0" w:color="auto"/>
            <w:right w:val="none" w:sz="0" w:space="0" w:color="auto"/>
          </w:divBdr>
        </w:div>
        <w:div w:id="1529833135">
          <w:marLeft w:val="720"/>
          <w:marRight w:val="0"/>
          <w:marTop w:val="0"/>
          <w:marBottom w:val="101"/>
          <w:divBdr>
            <w:top w:val="none" w:sz="0" w:space="0" w:color="auto"/>
            <w:left w:val="none" w:sz="0" w:space="0" w:color="auto"/>
            <w:bottom w:val="none" w:sz="0" w:space="0" w:color="auto"/>
            <w:right w:val="none" w:sz="0" w:space="0" w:color="auto"/>
          </w:divBdr>
        </w:div>
      </w:divsChild>
    </w:div>
    <w:div w:id="2076275948">
      <w:bodyDiv w:val="1"/>
      <w:marLeft w:val="0"/>
      <w:marRight w:val="0"/>
      <w:marTop w:val="0"/>
      <w:marBottom w:val="0"/>
      <w:divBdr>
        <w:top w:val="none" w:sz="0" w:space="0" w:color="auto"/>
        <w:left w:val="none" w:sz="0" w:space="0" w:color="auto"/>
        <w:bottom w:val="none" w:sz="0" w:space="0" w:color="auto"/>
        <w:right w:val="none" w:sz="0" w:space="0" w:color="auto"/>
      </w:divBdr>
      <w:divsChild>
        <w:div w:id="918294105">
          <w:marLeft w:val="720"/>
          <w:marRight w:val="0"/>
          <w:marTop w:val="0"/>
          <w:marBottom w:val="101"/>
          <w:divBdr>
            <w:top w:val="none" w:sz="0" w:space="0" w:color="auto"/>
            <w:left w:val="none" w:sz="0" w:space="0" w:color="auto"/>
            <w:bottom w:val="none" w:sz="0" w:space="0" w:color="auto"/>
            <w:right w:val="none" w:sz="0" w:space="0" w:color="auto"/>
          </w:divBdr>
        </w:div>
        <w:div w:id="189491982">
          <w:marLeft w:val="720"/>
          <w:marRight w:val="0"/>
          <w:marTop w:val="0"/>
          <w:marBottom w:val="101"/>
          <w:divBdr>
            <w:top w:val="none" w:sz="0" w:space="0" w:color="auto"/>
            <w:left w:val="none" w:sz="0" w:space="0" w:color="auto"/>
            <w:bottom w:val="none" w:sz="0" w:space="0" w:color="auto"/>
            <w:right w:val="none" w:sz="0" w:space="0" w:color="auto"/>
          </w:divBdr>
        </w:div>
        <w:div w:id="483592915">
          <w:marLeft w:val="720"/>
          <w:marRight w:val="0"/>
          <w:marTop w:val="0"/>
          <w:marBottom w:val="101"/>
          <w:divBdr>
            <w:top w:val="none" w:sz="0" w:space="0" w:color="auto"/>
            <w:left w:val="none" w:sz="0" w:space="0" w:color="auto"/>
            <w:bottom w:val="none" w:sz="0" w:space="0" w:color="auto"/>
            <w:right w:val="none" w:sz="0" w:space="0" w:color="auto"/>
          </w:divBdr>
        </w:div>
        <w:div w:id="1200433475">
          <w:marLeft w:val="72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itu.int/dms_pubrec/itu-r/rec/sm/R-REC-SM.2103-0-201709-I!!PDF-S.pdf" TargetMode="External"/><Relationship Id="rId3" Type="http://schemas.openxmlformats.org/officeDocument/2006/relationships/hyperlink" Target="https://infosen.senado.gob.mx/sgsp/gaceta/62/2/2014-03-24-1/assets/documentos/Ini_Telecomunicaciones.pdf" TargetMode="External"/><Relationship Id="rId7" Type="http://schemas.openxmlformats.org/officeDocument/2006/relationships/hyperlink" Target="https://www.ic.gc.ca/eic/site/smt-gst.nsf/eng/sf01320.html" TargetMode="External"/><Relationship Id="rId2" Type="http://schemas.openxmlformats.org/officeDocument/2006/relationships/hyperlink" Target="http://www.dof.gob.mx/nota_detalle.php?codigo=5481920&amp;fecha=09/05/2017" TargetMode="External"/><Relationship Id="rId1" Type="http://schemas.openxmlformats.org/officeDocument/2006/relationships/hyperlink" Target="http://www.ift.org.mx/sites/default/files/contenidogeneral/espectro-radioelectrico/dofcnaf-2021accesible.pdf" TargetMode="External"/><Relationship Id="rId6" Type="http://schemas.openxmlformats.org/officeDocument/2006/relationships/hyperlink" Target="https://www.govinfo.gov/content/pkg/FR-2021-08-19/pdf/2021-16637.pdf" TargetMode="External"/><Relationship Id="rId5" Type="http://schemas.openxmlformats.org/officeDocument/2006/relationships/hyperlink" Target="https://www.ecfr.gov/cgi-bin/retrieveECFR?gp=&amp;SID=fa1c412166c55ad8782af2770f4df3b4&amp;mc=true&amp;n=sp47.1.15.c&amp;r=SUBPART&amp;ty=HTML" TargetMode="External"/><Relationship Id="rId10" Type="http://schemas.openxmlformats.org/officeDocument/2006/relationships/hyperlink" Target="https://www.itu.int/dms_pub/itu-r/opb/res/R-RES-R.54-3-2019-PDF-S.pdf" TargetMode="External"/><Relationship Id="rId4" Type="http://schemas.openxmlformats.org/officeDocument/2006/relationships/hyperlink" Target="https://www.itu.int/dms_pub/itu-r/opb/hdb/R-HDB-21-2015-PDF-S.pdf" TargetMode="External"/><Relationship Id="rId9" Type="http://schemas.openxmlformats.org/officeDocument/2006/relationships/hyperlink" Target="https://www.itu.int/dms_pub/itu-r/opb/rep/R-REP-SM.2153-8-2021-PDF-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0" ma:contentTypeDescription="Crear nuevo documento." ma:contentTypeScope="" ma:versionID="54b0fcd7487e5d1ec88ef671f37e3486">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0" ma:contentTypeDescription="Crear nuevo documento." ma:contentTypeScope="" ma:versionID="54b0fcd7487e5d1ec88ef671f37e3486">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0" ma:contentTypeDescription="Crear nuevo documento." ma:contentTypeScope="" ma:versionID="54b0fcd7487e5d1ec88ef671f37e3486">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F2EFA-0795-42A4-BED6-09F7D854ABE4}">
  <ds:schemaRefs>
    <ds:schemaRef ds:uri="http://schemas.microsoft.com/sharepoint/v3/contenttype/forms"/>
  </ds:schemaRefs>
</ds:datastoreItem>
</file>

<file path=customXml/itemProps2.xml><?xml version="1.0" encoding="utf-8"?>
<ds:datastoreItem xmlns:ds="http://schemas.openxmlformats.org/officeDocument/2006/customXml" ds:itemID="{3050FA29-867F-4964-81A5-F15132D7F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46F2F9-050D-41CA-BF9D-6F926B53B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A55F6A9-CABD-4739-9E4C-93BF61113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A7E727C-DFCE-48BA-BFC8-EB392B61925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8B4EA0B0-877A-43B8-B431-6E681CF4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7568</Words>
  <Characters>41624</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Esthephanie Marisela Alvarez Martínez</dc:creator>
  <cp:keywords/>
  <dc:description/>
  <cp:lastModifiedBy>Josue Teoyotl Calderon</cp:lastModifiedBy>
  <cp:revision>4</cp:revision>
  <dcterms:created xsi:type="dcterms:W3CDTF">2022-02-23T17:06:00Z</dcterms:created>
  <dcterms:modified xsi:type="dcterms:W3CDTF">2022-02-24T02:09:00Z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0x01010058C8B56F3A3DA246B94E264FDC70B166</vt:lpwstr>
  </property>
</Properties>
</file>