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72AA3" w14:textId="77777777" w:rsidR="00C84BB4" w:rsidRDefault="00C84BB4" w:rsidP="007A6974">
      <w:pPr>
        <w:spacing w:after="0"/>
        <w:jc w:val="center"/>
        <w:rPr>
          <w:rFonts w:ascii="ITC Avant Garde" w:hAnsi="ITC Avant Garde"/>
          <w:b/>
        </w:rPr>
      </w:pPr>
    </w:p>
    <w:p w14:paraId="7C8B9963" w14:textId="77777777" w:rsidR="0038199D" w:rsidRPr="003353FC" w:rsidRDefault="0038199D" w:rsidP="003353FC">
      <w:pPr>
        <w:pStyle w:val="Ttulo1"/>
      </w:pPr>
      <w:r w:rsidRPr="003353FC">
        <w:t>FORMATO PARA PARTICIPAR EN LA CONSULTA PÚBLICA</w:t>
      </w:r>
    </w:p>
    <w:p w14:paraId="128853A5" w14:textId="77777777" w:rsidR="006601AF" w:rsidRPr="00F36A5D" w:rsidRDefault="006601AF" w:rsidP="00C900FF">
      <w:pPr>
        <w:spacing w:after="0"/>
        <w:rPr>
          <w:rFonts w:ascii="ITC Avant Garde" w:hAnsi="ITC Avant Garde"/>
          <w:b/>
        </w:rPr>
      </w:pPr>
    </w:p>
    <w:p w14:paraId="12FD8AFB" w14:textId="45F15685"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23C96ED7" w14:textId="77777777" w:rsidR="004970C4" w:rsidRPr="00F36A5D" w:rsidRDefault="004970C4" w:rsidP="007A6974">
      <w:pPr>
        <w:spacing w:after="0"/>
        <w:rPr>
          <w:rFonts w:ascii="ITC Avant Garde" w:hAnsi="ITC Avant Garde"/>
          <w:b/>
          <w:sz w:val="16"/>
        </w:rPr>
      </w:pPr>
    </w:p>
    <w:p w14:paraId="01ADF5AB" w14:textId="0681B7FA" w:rsidR="0038199D" w:rsidRPr="00D06A7E" w:rsidRDefault="0038199D" w:rsidP="00D06A7E">
      <w:pPr>
        <w:pStyle w:val="Listavistosa-nfasis110"/>
        <w:numPr>
          <w:ilvl w:val="0"/>
          <w:numId w:val="1"/>
        </w:numPr>
        <w:spacing w:after="0"/>
        <w:ind w:left="426" w:right="49" w:hanging="426"/>
        <w:jc w:val="both"/>
        <w:rPr>
          <w:rFonts w:ascii="ITC Avant Garde" w:hAnsi="ITC Avant Garde"/>
          <w:sz w:val="14"/>
          <w:szCs w:val="14"/>
        </w:rPr>
      </w:pPr>
      <w:r w:rsidRPr="00D06A7E">
        <w:rPr>
          <w:rFonts w:ascii="ITC Avant Garde" w:hAnsi="ITC Avant Garde"/>
          <w:sz w:val="14"/>
          <w:szCs w:val="14"/>
        </w:rPr>
        <w:t>Las opiniones, comentarios y propuestas deberán ser remitidas a la siguiente dirección de correo electrónico:</w:t>
      </w:r>
      <w:r w:rsidR="008F0D3E">
        <w:rPr>
          <w:rStyle w:val="Hipervnculo"/>
          <w:rFonts w:ascii="ITC Avant Garde" w:hAnsi="ITC Avant Garde"/>
          <w:sz w:val="14"/>
          <w:szCs w:val="14"/>
        </w:rPr>
        <w:t xml:space="preserve">   </w:t>
      </w:r>
      <w:hyperlink r:id="rId11" w:history="1">
        <w:r w:rsidR="008F0D3E" w:rsidRPr="009417F7">
          <w:rPr>
            <w:rStyle w:val="Hipervnculo"/>
            <w:rFonts w:ascii="ITC Avant Garde" w:hAnsi="ITC Avant Garde" w:cs="Calibri Light"/>
            <w:sz w:val="14"/>
            <w:szCs w:val="14"/>
          </w:rPr>
          <w:t>tercerabienal.aept@ift.org.mx</w:t>
        </w:r>
      </w:hyperlink>
      <w:r w:rsidRPr="00D06A7E">
        <w:rPr>
          <w:rFonts w:ascii="ITC Avant Garde" w:hAnsi="ITC Avant Garde"/>
          <w:sz w:val="14"/>
          <w:szCs w:val="14"/>
        </w:rPr>
        <w:t>, en donde</w:t>
      </w:r>
      <w:r w:rsidR="00CC53F7" w:rsidRPr="00D06A7E">
        <w:rPr>
          <w:rFonts w:ascii="ITC Avant Garde" w:hAnsi="ITC Avant Garde"/>
          <w:sz w:val="14"/>
          <w:szCs w:val="14"/>
        </w:rPr>
        <w:t xml:space="preserve"> se deberá </w:t>
      </w:r>
      <w:r w:rsidRPr="00D06A7E">
        <w:rPr>
          <w:rFonts w:ascii="ITC Avant Garde" w:hAnsi="ITC Avant Garde"/>
          <w:sz w:val="14"/>
          <w:szCs w:val="14"/>
        </w:rPr>
        <w:t xml:space="preserve">considerar que la capacidad límite para la </w:t>
      </w:r>
      <w:r w:rsidR="00CC53F7" w:rsidRPr="00D06A7E">
        <w:rPr>
          <w:rFonts w:ascii="ITC Avant Garde" w:hAnsi="ITC Avant Garde"/>
          <w:sz w:val="14"/>
          <w:szCs w:val="14"/>
        </w:rPr>
        <w:t xml:space="preserve">recepción </w:t>
      </w:r>
      <w:r w:rsidRPr="00D06A7E">
        <w:rPr>
          <w:rFonts w:ascii="ITC Avant Garde" w:hAnsi="ITC Avant Garde"/>
          <w:sz w:val="14"/>
          <w:szCs w:val="14"/>
        </w:rPr>
        <w:t xml:space="preserve">de archivos es de </w:t>
      </w:r>
      <w:r w:rsidR="00B533DC" w:rsidRPr="00D06A7E">
        <w:rPr>
          <w:rFonts w:ascii="ITC Avant Garde" w:hAnsi="ITC Avant Garde"/>
          <w:sz w:val="14"/>
          <w:szCs w:val="14"/>
        </w:rPr>
        <w:t>25 Mb</w:t>
      </w:r>
      <w:r w:rsidRPr="00D06A7E">
        <w:rPr>
          <w:rFonts w:ascii="ITC Avant Garde" w:hAnsi="ITC Avant Garde"/>
          <w:sz w:val="14"/>
          <w:szCs w:val="14"/>
        </w:rPr>
        <w:t>.</w:t>
      </w:r>
    </w:p>
    <w:p w14:paraId="09B64025" w14:textId="77777777" w:rsidR="0038199D" w:rsidRPr="00F36A5D" w:rsidRDefault="0038199D" w:rsidP="00C900FF">
      <w:pPr>
        <w:pStyle w:val="Listavistosa-nfasis110"/>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2FC78690" w14:textId="77777777" w:rsidR="008200BE" w:rsidRPr="00F36A5D" w:rsidRDefault="008200BE" w:rsidP="00C900FF">
      <w:pPr>
        <w:pStyle w:val="Listavistosa-nfasis110"/>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148218D9" w14:textId="4FCC9F6D" w:rsidR="0038199D" w:rsidRPr="00F36A5D" w:rsidRDefault="00800852" w:rsidP="00C900FF">
      <w:pPr>
        <w:pStyle w:val="Listavistosa-nfasis110"/>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Vierta sus comentarios conforme a </w:t>
      </w:r>
      <w:r w:rsidR="00B21444">
        <w:rPr>
          <w:rFonts w:ascii="ITC Avant Garde" w:hAnsi="ITC Avant Garde"/>
          <w:sz w:val="14"/>
          <w:szCs w:val="14"/>
        </w:rPr>
        <w:t>las indicaciones en la sección “II</w:t>
      </w:r>
      <w:r w:rsidR="00C67A95">
        <w:rPr>
          <w:rFonts w:ascii="ITC Avant Garde" w:hAnsi="ITC Avant Garde"/>
          <w:sz w:val="14"/>
          <w:szCs w:val="14"/>
        </w:rPr>
        <w:t>I</w:t>
      </w:r>
      <w:r w:rsidR="00B21444">
        <w:rPr>
          <w:rFonts w:ascii="ITC Avant Garde" w:hAnsi="ITC Avant Garde"/>
          <w:sz w:val="14"/>
          <w:szCs w:val="14"/>
        </w:rPr>
        <w:t>. Guía para el llenado del formato”</w:t>
      </w:r>
      <w:r w:rsidR="0038199D" w:rsidRPr="00F36A5D">
        <w:rPr>
          <w:rFonts w:ascii="ITC Avant Garde" w:hAnsi="ITC Avant Garde"/>
          <w:sz w:val="14"/>
          <w:szCs w:val="14"/>
        </w:rPr>
        <w:t>.</w:t>
      </w:r>
    </w:p>
    <w:p w14:paraId="5DFFFF8E" w14:textId="77777777" w:rsidR="0038199D" w:rsidRPr="00B86143" w:rsidRDefault="0038199D" w:rsidP="00C900FF">
      <w:pPr>
        <w:pStyle w:val="Listavistosa-nfasis110"/>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De contar con </w:t>
      </w:r>
      <w:r w:rsidRPr="00B86143">
        <w:rPr>
          <w:rFonts w:ascii="ITC Avant Garde" w:hAnsi="ITC Avant Garde"/>
          <w:sz w:val="14"/>
          <w:szCs w:val="14"/>
        </w:rPr>
        <w:t>observaciones generales o alguna aportación adicional proporciónelos en el último recuadro.</w:t>
      </w:r>
    </w:p>
    <w:p w14:paraId="40FBCE0E" w14:textId="77777777" w:rsidR="0038199D" w:rsidRPr="00B86143" w:rsidRDefault="00800852" w:rsidP="00C900FF">
      <w:pPr>
        <w:pStyle w:val="Listavistosa-nfasis110"/>
        <w:numPr>
          <w:ilvl w:val="0"/>
          <w:numId w:val="1"/>
        </w:numPr>
        <w:spacing w:after="0"/>
        <w:ind w:left="426" w:right="49" w:hanging="426"/>
        <w:jc w:val="both"/>
        <w:rPr>
          <w:rFonts w:ascii="ITC Avant Garde" w:hAnsi="ITC Avant Garde"/>
          <w:sz w:val="14"/>
          <w:szCs w:val="14"/>
        </w:rPr>
      </w:pPr>
      <w:r w:rsidRPr="00B86143">
        <w:rPr>
          <w:rFonts w:ascii="ITC Avant Garde" w:hAnsi="ITC Avant Garde"/>
          <w:sz w:val="14"/>
          <w:szCs w:val="14"/>
        </w:rPr>
        <w:t>En caso de que sea de su interés, podrá</w:t>
      </w:r>
      <w:r w:rsidR="0038199D" w:rsidRPr="00B86143">
        <w:rPr>
          <w:rFonts w:ascii="ITC Avant Garde" w:hAnsi="ITC Avant Garde"/>
          <w:sz w:val="14"/>
          <w:szCs w:val="14"/>
        </w:rPr>
        <w:t xml:space="preserve"> adjuntar a su correo electrónico la documentación que </w:t>
      </w:r>
      <w:r w:rsidRPr="00B86143">
        <w:rPr>
          <w:rFonts w:ascii="ITC Avant Garde" w:hAnsi="ITC Avant Garde"/>
          <w:sz w:val="14"/>
          <w:szCs w:val="14"/>
        </w:rPr>
        <w:t>estime</w:t>
      </w:r>
      <w:r w:rsidR="0038199D" w:rsidRPr="00B86143">
        <w:rPr>
          <w:rFonts w:ascii="ITC Avant Garde" w:hAnsi="ITC Avant Garde"/>
          <w:sz w:val="14"/>
          <w:szCs w:val="14"/>
        </w:rPr>
        <w:t xml:space="preserve"> conveniente.</w:t>
      </w:r>
    </w:p>
    <w:p w14:paraId="171CBA9E" w14:textId="7C03923F" w:rsidR="0038199D" w:rsidRPr="009B2022" w:rsidRDefault="0038199D" w:rsidP="00C900FF">
      <w:pPr>
        <w:pStyle w:val="Listavistosa-nfasis110"/>
        <w:numPr>
          <w:ilvl w:val="0"/>
          <w:numId w:val="1"/>
        </w:numPr>
        <w:spacing w:after="0"/>
        <w:ind w:left="426" w:right="49" w:hanging="426"/>
        <w:jc w:val="both"/>
        <w:rPr>
          <w:rFonts w:ascii="ITC Avant Garde" w:hAnsi="ITC Avant Garde"/>
          <w:sz w:val="14"/>
          <w:szCs w:val="14"/>
        </w:rPr>
      </w:pPr>
      <w:r w:rsidRPr="00B86143">
        <w:rPr>
          <w:rFonts w:ascii="ITC Avant Garde" w:hAnsi="ITC Avant Garde"/>
          <w:sz w:val="14"/>
          <w:szCs w:val="14"/>
        </w:rPr>
        <w:t xml:space="preserve">El período de consulta pública </w:t>
      </w:r>
      <w:r w:rsidR="006F7B29" w:rsidRPr="00B86143">
        <w:rPr>
          <w:rFonts w:ascii="ITC Avant Garde" w:hAnsi="ITC Avant Garde"/>
          <w:sz w:val="14"/>
          <w:szCs w:val="14"/>
        </w:rPr>
        <w:t xml:space="preserve">será del </w:t>
      </w:r>
      <w:r w:rsidR="00E8218C">
        <w:rPr>
          <w:rFonts w:ascii="ITC Avant Garde" w:hAnsi="ITC Avant Garde"/>
          <w:sz w:val="14"/>
          <w:szCs w:val="14"/>
        </w:rPr>
        <w:t>4</w:t>
      </w:r>
      <w:r w:rsidR="006F7B29" w:rsidRPr="00B86143">
        <w:rPr>
          <w:rFonts w:ascii="ITC Avant Garde" w:hAnsi="ITC Avant Garde"/>
          <w:sz w:val="14"/>
          <w:szCs w:val="14"/>
        </w:rPr>
        <w:t xml:space="preserve"> de </w:t>
      </w:r>
      <w:r w:rsidR="00E8218C">
        <w:rPr>
          <w:rFonts w:ascii="ITC Avant Garde" w:hAnsi="ITC Avant Garde"/>
          <w:sz w:val="14"/>
          <w:szCs w:val="14"/>
        </w:rPr>
        <w:t>enero</w:t>
      </w:r>
      <w:r w:rsidR="006F7B29" w:rsidRPr="00B86143">
        <w:rPr>
          <w:rFonts w:ascii="ITC Avant Garde" w:hAnsi="ITC Avant Garde"/>
          <w:sz w:val="14"/>
          <w:szCs w:val="14"/>
        </w:rPr>
        <w:t xml:space="preserve"> al </w:t>
      </w:r>
      <w:r w:rsidR="008F0D3E">
        <w:rPr>
          <w:rFonts w:ascii="ITC Avant Garde" w:hAnsi="ITC Avant Garde"/>
          <w:sz w:val="14"/>
          <w:szCs w:val="14"/>
        </w:rPr>
        <w:t>1</w:t>
      </w:r>
      <w:r w:rsidR="00E8218C">
        <w:rPr>
          <w:rFonts w:ascii="ITC Avant Garde" w:hAnsi="ITC Avant Garde"/>
          <w:sz w:val="14"/>
          <w:szCs w:val="14"/>
        </w:rPr>
        <w:t>5</w:t>
      </w:r>
      <w:r w:rsidR="006F7B29" w:rsidRPr="00B86143">
        <w:rPr>
          <w:rFonts w:ascii="ITC Avant Garde" w:hAnsi="ITC Avant Garde"/>
          <w:sz w:val="14"/>
          <w:szCs w:val="14"/>
        </w:rPr>
        <w:t xml:space="preserve"> de </w:t>
      </w:r>
      <w:r w:rsidR="00B86143" w:rsidRPr="00B86143">
        <w:rPr>
          <w:rFonts w:ascii="ITC Avant Garde" w:hAnsi="ITC Avant Garde"/>
          <w:sz w:val="14"/>
          <w:szCs w:val="14"/>
        </w:rPr>
        <w:t>febrero</w:t>
      </w:r>
      <w:r w:rsidR="006F7B29" w:rsidRPr="00B86143">
        <w:rPr>
          <w:rFonts w:ascii="ITC Avant Garde" w:hAnsi="ITC Avant Garde"/>
          <w:sz w:val="14"/>
          <w:szCs w:val="14"/>
        </w:rPr>
        <w:t xml:space="preserve"> de </w:t>
      </w:r>
      <w:r w:rsidR="00B86143" w:rsidRPr="00B86143">
        <w:rPr>
          <w:rFonts w:ascii="ITC Avant Garde" w:hAnsi="ITC Avant Garde"/>
          <w:sz w:val="14"/>
          <w:szCs w:val="14"/>
        </w:rPr>
        <w:t>202</w:t>
      </w:r>
      <w:r w:rsidR="008F0D3E">
        <w:rPr>
          <w:rFonts w:ascii="ITC Avant Garde" w:hAnsi="ITC Avant Garde"/>
          <w:sz w:val="14"/>
          <w:szCs w:val="14"/>
        </w:rPr>
        <w:t>3</w:t>
      </w:r>
      <w:r w:rsidR="0034067D" w:rsidRPr="00B86143">
        <w:rPr>
          <w:rFonts w:ascii="ITC Avant Garde" w:hAnsi="ITC Avant Garde"/>
          <w:sz w:val="14"/>
          <w:szCs w:val="14"/>
        </w:rPr>
        <w:t xml:space="preserve"> (i.e. </w:t>
      </w:r>
      <w:r w:rsidR="008F0D3E">
        <w:rPr>
          <w:rFonts w:ascii="ITC Avant Garde" w:hAnsi="ITC Avant Garde"/>
          <w:sz w:val="14"/>
          <w:szCs w:val="14"/>
        </w:rPr>
        <w:t>30</w:t>
      </w:r>
      <w:r w:rsidR="0034067D" w:rsidRPr="00B86143">
        <w:rPr>
          <w:rFonts w:ascii="ITC Avant Garde" w:hAnsi="ITC Avant Garde"/>
          <w:sz w:val="14"/>
          <w:szCs w:val="14"/>
        </w:rPr>
        <w:t xml:space="preserve"> días hábiles)</w:t>
      </w:r>
      <w:r w:rsidRPr="00B86143">
        <w:rPr>
          <w:rFonts w:ascii="ITC Avant Garde" w:hAnsi="ITC Avant Garde"/>
          <w:sz w:val="14"/>
          <w:szCs w:val="14"/>
        </w:rPr>
        <w:t>. Una</w:t>
      </w:r>
      <w:r w:rsidRPr="009B2022">
        <w:rPr>
          <w:rFonts w:ascii="ITC Avant Garde" w:hAnsi="ITC Avant Garde"/>
          <w:sz w:val="14"/>
          <w:szCs w:val="14"/>
        </w:rPr>
        <w:t xml:space="preserve"> vez concluido</w:t>
      </w:r>
      <w:r w:rsidR="00CC53F7" w:rsidRPr="009B2022">
        <w:rPr>
          <w:rFonts w:ascii="ITC Avant Garde" w:hAnsi="ITC Avant Garde"/>
          <w:sz w:val="14"/>
          <w:szCs w:val="14"/>
        </w:rPr>
        <w:t xml:space="preserve"> dicho periodo</w:t>
      </w:r>
      <w:r w:rsidR="004970C4" w:rsidRPr="009B2022">
        <w:rPr>
          <w:rFonts w:ascii="ITC Avant Garde" w:hAnsi="ITC Avant Garde"/>
          <w:sz w:val="14"/>
          <w:szCs w:val="14"/>
        </w:rPr>
        <w:t>,</w:t>
      </w:r>
      <w:r w:rsidRPr="009B2022">
        <w:rPr>
          <w:rFonts w:ascii="ITC Avant Garde" w:hAnsi="ITC Avant Garde"/>
          <w:sz w:val="14"/>
          <w:szCs w:val="14"/>
        </w:rPr>
        <w:t xml:space="preserve"> se podrá</w:t>
      </w:r>
      <w:r w:rsidR="008F2B1A" w:rsidRPr="009B2022">
        <w:rPr>
          <w:rFonts w:ascii="ITC Avant Garde" w:hAnsi="ITC Avant Garde"/>
          <w:sz w:val="14"/>
          <w:szCs w:val="14"/>
        </w:rPr>
        <w:t>n</w:t>
      </w:r>
      <w:r w:rsidRPr="009B2022">
        <w:rPr>
          <w:rFonts w:ascii="ITC Avant Garde" w:hAnsi="ITC Avant Garde"/>
          <w:sz w:val="14"/>
          <w:szCs w:val="14"/>
        </w:rPr>
        <w:t xml:space="preserve"> continuar visualizando los comentarios vertidos, así como los documentos adjuntos en la siguiente dirección electrónica:</w:t>
      </w:r>
      <w:r w:rsidR="000D2838" w:rsidRPr="009B2022">
        <w:rPr>
          <w:rFonts w:ascii="ITC Avant Garde" w:hAnsi="ITC Avant Garde"/>
          <w:sz w:val="14"/>
          <w:szCs w:val="14"/>
        </w:rPr>
        <w:t xml:space="preserve"> </w:t>
      </w:r>
      <w:hyperlink r:id="rId12" w:tooltip="Liga directa a la seccióndel  portal del IFT en la que se encuentran todas las consultas públicas" w:history="1">
        <w:r w:rsidR="000D2838" w:rsidRPr="009B2022">
          <w:rPr>
            <w:rStyle w:val="Hipervnculo"/>
            <w:rFonts w:ascii="ITC Avant Garde" w:hAnsi="ITC Avant Garde"/>
            <w:sz w:val="14"/>
            <w:szCs w:val="14"/>
          </w:rPr>
          <w:t>http://www.ift.org.mx/industria/consultas-publicas</w:t>
        </w:r>
      </w:hyperlink>
      <w:r w:rsidR="000D2838" w:rsidRPr="009B2022">
        <w:rPr>
          <w:rFonts w:ascii="ITC Avant Garde" w:hAnsi="ITC Avant Garde"/>
          <w:sz w:val="14"/>
          <w:szCs w:val="14"/>
        </w:rPr>
        <w:t xml:space="preserve"> </w:t>
      </w:r>
    </w:p>
    <w:p w14:paraId="442FF679" w14:textId="3B96CAC9" w:rsidR="006601AF" w:rsidRPr="00C82970" w:rsidRDefault="000D2838" w:rsidP="00C900FF">
      <w:pPr>
        <w:pStyle w:val="Listavistosa-nfasis110"/>
        <w:numPr>
          <w:ilvl w:val="0"/>
          <w:numId w:val="1"/>
        </w:numPr>
        <w:spacing w:after="0"/>
        <w:ind w:left="426" w:right="49" w:hanging="426"/>
        <w:jc w:val="both"/>
        <w:rPr>
          <w:rFonts w:ascii="ITC Avant Garde" w:hAnsi="ITC Avant Garde"/>
          <w:sz w:val="14"/>
          <w:szCs w:val="14"/>
        </w:rPr>
      </w:pPr>
      <w:r w:rsidRPr="009B2022">
        <w:rPr>
          <w:rFonts w:ascii="ITC Avant Garde" w:hAnsi="ITC Avant Garde"/>
          <w:sz w:val="14"/>
          <w:szCs w:val="14"/>
        </w:rPr>
        <w:t xml:space="preserve">Para cualquier duda, comentario o inquietud sobre el presente proceso consultivo, el Instituto pone a </w:t>
      </w:r>
      <w:r w:rsidR="008F2B1A" w:rsidRPr="009B2022">
        <w:rPr>
          <w:rFonts w:ascii="ITC Avant Garde" w:hAnsi="ITC Avant Garde"/>
          <w:sz w:val="14"/>
          <w:szCs w:val="14"/>
        </w:rPr>
        <w:t xml:space="preserve">su </w:t>
      </w:r>
      <w:r w:rsidR="00A75A67" w:rsidRPr="009B2022">
        <w:rPr>
          <w:rFonts w:ascii="ITC Avant Garde" w:hAnsi="ITC Avant Garde"/>
          <w:sz w:val="14"/>
          <w:szCs w:val="14"/>
        </w:rPr>
        <w:t>disposición</w:t>
      </w:r>
      <w:r w:rsidR="00F212B2" w:rsidRPr="009B2022">
        <w:rPr>
          <w:rFonts w:ascii="ITC Avant Garde" w:hAnsi="ITC Avant Garde"/>
          <w:sz w:val="14"/>
          <w:szCs w:val="14"/>
        </w:rPr>
        <w:t xml:space="preserve"> </w:t>
      </w:r>
      <w:r w:rsidR="00A75A67" w:rsidRPr="009B2022">
        <w:rPr>
          <w:rFonts w:ascii="ITC Avant Garde" w:hAnsi="ITC Avant Garde"/>
          <w:sz w:val="14"/>
          <w:szCs w:val="14"/>
        </w:rPr>
        <w:t>el</w:t>
      </w:r>
      <w:r w:rsidRPr="009B2022">
        <w:rPr>
          <w:rFonts w:ascii="ITC Avant Garde" w:hAnsi="ITC Avant Garde"/>
          <w:sz w:val="14"/>
          <w:szCs w:val="14"/>
        </w:rPr>
        <w:t xml:space="preserve"> siguiente punto de </w:t>
      </w:r>
      <w:r w:rsidRPr="00C82970">
        <w:rPr>
          <w:rFonts w:ascii="ITC Avant Garde" w:hAnsi="ITC Avant Garde"/>
          <w:sz w:val="14"/>
          <w:szCs w:val="14"/>
        </w:rPr>
        <w:t xml:space="preserve">contacto: </w:t>
      </w:r>
      <w:r w:rsidR="009B3834">
        <w:rPr>
          <w:rFonts w:ascii="ITC Avant Garde" w:hAnsi="ITC Avant Garde"/>
          <w:sz w:val="14"/>
          <w:szCs w:val="14"/>
        </w:rPr>
        <w:t>Danyel Bengerar Muñoz Hernández</w:t>
      </w:r>
      <w:r w:rsidR="006F7B29" w:rsidRPr="004510A1">
        <w:rPr>
          <w:rFonts w:ascii="ITC Avant Garde" w:hAnsi="ITC Avant Garde"/>
          <w:sz w:val="14"/>
          <w:szCs w:val="14"/>
        </w:rPr>
        <w:t xml:space="preserve"> </w:t>
      </w:r>
      <w:r w:rsidR="0034067D" w:rsidRPr="00755121">
        <w:rPr>
          <w:rFonts w:ascii="ITC Avant Garde" w:hAnsi="ITC Avant Garde"/>
          <w:sz w:val="14"/>
          <w:szCs w:val="14"/>
        </w:rPr>
        <w:t xml:space="preserve">Director de </w:t>
      </w:r>
      <w:r w:rsidR="009B3834" w:rsidRPr="009B3834">
        <w:rPr>
          <w:rFonts w:ascii="ITC Avant Garde" w:hAnsi="ITC Avant Garde"/>
          <w:sz w:val="14"/>
          <w:szCs w:val="14"/>
        </w:rPr>
        <w:t>Cuantificación de Derechos y Obligaciones</w:t>
      </w:r>
      <w:r w:rsidR="0034067D" w:rsidRPr="00755121">
        <w:rPr>
          <w:rFonts w:ascii="ITC Avant Garde" w:hAnsi="ITC Avant Garde"/>
          <w:sz w:val="14"/>
          <w:szCs w:val="14"/>
        </w:rPr>
        <w:t xml:space="preserve">, correo electrónico: </w:t>
      </w:r>
      <w:hyperlink r:id="rId13" w:history="1">
        <w:r w:rsidR="009B5A35" w:rsidRPr="00EF2058">
          <w:rPr>
            <w:rStyle w:val="Hipervnculo"/>
            <w:rFonts w:ascii="ITC Avant Garde" w:hAnsi="ITC Avant Garde"/>
            <w:sz w:val="14"/>
            <w:szCs w:val="14"/>
          </w:rPr>
          <w:t>danyel.munoz@ift.org.mx</w:t>
        </w:r>
      </w:hyperlink>
      <w:r w:rsidR="0034067D" w:rsidRPr="00755121">
        <w:rPr>
          <w:rFonts w:ascii="ITC Avant Garde" w:hAnsi="ITC Avant Garde"/>
          <w:sz w:val="14"/>
          <w:szCs w:val="14"/>
        </w:rPr>
        <w:t>, número telefónico 55</w:t>
      </w:r>
      <w:r w:rsidR="0034067D">
        <w:rPr>
          <w:rFonts w:ascii="ITC Avant Garde" w:hAnsi="ITC Avant Garde"/>
          <w:sz w:val="14"/>
          <w:szCs w:val="14"/>
        </w:rPr>
        <w:t xml:space="preserve"> </w:t>
      </w:r>
      <w:r w:rsidR="0034067D" w:rsidRPr="00755121">
        <w:rPr>
          <w:rFonts w:ascii="ITC Avant Garde" w:hAnsi="ITC Avant Garde"/>
          <w:sz w:val="14"/>
          <w:szCs w:val="14"/>
        </w:rPr>
        <w:t>5015</w:t>
      </w:r>
      <w:r w:rsidR="0034067D">
        <w:rPr>
          <w:rFonts w:ascii="ITC Avant Garde" w:hAnsi="ITC Avant Garde"/>
          <w:sz w:val="14"/>
          <w:szCs w:val="14"/>
        </w:rPr>
        <w:t xml:space="preserve"> </w:t>
      </w:r>
      <w:r w:rsidR="0034067D" w:rsidRPr="00755121">
        <w:rPr>
          <w:rFonts w:ascii="ITC Avant Garde" w:hAnsi="ITC Avant Garde"/>
          <w:sz w:val="14"/>
          <w:szCs w:val="14"/>
        </w:rPr>
        <w:t xml:space="preserve">4000, extensión </w:t>
      </w:r>
      <w:r w:rsidR="009B5A35">
        <w:rPr>
          <w:rFonts w:ascii="ITC Avant Garde" w:hAnsi="ITC Avant Garde"/>
          <w:sz w:val="14"/>
          <w:szCs w:val="14"/>
        </w:rPr>
        <w:t>2342</w:t>
      </w:r>
      <w:r w:rsidR="0034067D" w:rsidRPr="00755121">
        <w:rPr>
          <w:rFonts w:ascii="ITC Avant Garde" w:hAnsi="ITC Avant Garde"/>
          <w:sz w:val="14"/>
          <w:szCs w:val="14"/>
        </w:rPr>
        <w:t xml:space="preserve">  o </w:t>
      </w:r>
      <w:r w:rsidR="00A078AE">
        <w:rPr>
          <w:rFonts w:ascii="ITC Avant Garde" w:hAnsi="ITC Avant Garde"/>
          <w:sz w:val="14"/>
          <w:szCs w:val="14"/>
        </w:rPr>
        <w:t>Noemí Quiroz González</w:t>
      </w:r>
      <w:r w:rsidR="0034067D" w:rsidRPr="00755121">
        <w:rPr>
          <w:rFonts w:ascii="ITC Avant Garde" w:hAnsi="ITC Avant Garde"/>
          <w:sz w:val="14"/>
          <w:szCs w:val="14"/>
        </w:rPr>
        <w:t>, Subdirector</w:t>
      </w:r>
      <w:r w:rsidR="00A078AE">
        <w:rPr>
          <w:rFonts w:ascii="ITC Avant Garde" w:hAnsi="ITC Avant Garde"/>
          <w:sz w:val="14"/>
          <w:szCs w:val="14"/>
        </w:rPr>
        <w:t>a</w:t>
      </w:r>
      <w:r w:rsidR="0034067D" w:rsidRPr="00755121">
        <w:rPr>
          <w:rFonts w:ascii="ITC Avant Garde" w:hAnsi="ITC Avant Garde"/>
          <w:sz w:val="14"/>
          <w:szCs w:val="14"/>
        </w:rPr>
        <w:t xml:space="preserve"> de </w:t>
      </w:r>
      <w:r w:rsidR="00A078AE">
        <w:rPr>
          <w:rFonts w:ascii="ITC Avant Garde" w:hAnsi="ITC Avant Garde"/>
          <w:sz w:val="14"/>
          <w:szCs w:val="14"/>
        </w:rPr>
        <w:t>Análisis Cuantitativo 1</w:t>
      </w:r>
      <w:r w:rsidR="0034067D" w:rsidRPr="00755121">
        <w:rPr>
          <w:rFonts w:ascii="ITC Avant Garde" w:hAnsi="ITC Avant Garde"/>
          <w:sz w:val="14"/>
          <w:szCs w:val="14"/>
        </w:rPr>
        <w:t>, correo electrónico:</w:t>
      </w:r>
      <w:r w:rsidR="0034067D">
        <w:rPr>
          <w:rFonts w:ascii="ITC Avant Garde" w:hAnsi="ITC Avant Garde"/>
          <w:sz w:val="14"/>
          <w:szCs w:val="14"/>
        </w:rPr>
        <w:t xml:space="preserve"> </w:t>
      </w:r>
      <w:hyperlink r:id="rId14" w:history="1">
        <w:r w:rsidR="00A078AE" w:rsidRPr="00A078AE">
          <w:rPr>
            <w:rStyle w:val="Hipervnculo"/>
            <w:rFonts w:ascii="ITC Avant Garde" w:hAnsi="ITC Avant Garde" w:cs="Calibri Light"/>
            <w:sz w:val="14"/>
            <w:szCs w:val="14"/>
          </w:rPr>
          <w:t>noemi</w:t>
        </w:r>
        <w:r w:rsidR="00A078AE" w:rsidRPr="005511C7">
          <w:rPr>
            <w:rStyle w:val="Hipervnculo"/>
            <w:rFonts w:ascii="ITC Avant Garde" w:hAnsi="ITC Avant Garde" w:cs="Calibri Light"/>
            <w:sz w:val="14"/>
            <w:szCs w:val="14"/>
          </w:rPr>
          <w:t>.quiroz@ift.org.mx</w:t>
        </w:r>
      </w:hyperlink>
      <w:r w:rsidR="0034067D" w:rsidRPr="00755121">
        <w:rPr>
          <w:rFonts w:ascii="ITC Avant Garde" w:hAnsi="ITC Avant Garde"/>
          <w:sz w:val="14"/>
          <w:szCs w:val="14"/>
        </w:rPr>
        <w:t>, número telefónico 55</w:t>
      </w:r>
      <w:r w:rsidR="0034067D">
        <w:rPr>
          <w:rFonts w:ascii="ITC Avant Garde" w:hAnsi="ITC Avant Garde"/>
          <w:sz w:val="14"/>
          <w:szCs w:val="14"/>
        </w:rPr>
        <w:t xml:space="preserve"> </w:t>
      </w:r>
      <w:r w:rsidR="0034067D" w:rsidRPr="00755121">
        <w:rPr>
          <w:rFonts w:ascii="ITC Avant Garde" w:hAnsi="ITC Avant Garde"/>
          <w:sz w:val="14"/>
          <w:szCs w:val="14"/>
        </w:rPr>
        <w:t>5015</w:t>
      </w:r>
      <w:r w:rsidR="0034067D">
        <w:rPr>
          <w:rFonts w:ascii="ITC Avant Garde" w:hAnsi="ITC Avant Garde"/>
          <w:sz w:val="14"/>
          <w:szCs w:val="14"/>
        </w:rPr>
        <w:t xml:space="preserve"> </w:t>
      </w:r>
      <w:r w:rsidR="0034067D" w:rsidRPr="00755121">
        <w:rPr>
          <w:rFonts w:ascii="ITC Avant Garde" w:hAnsi="ITC Avant Garde"/>
          <w:sz w:val="14"/>
          <w:szCs w:val="14"/>
        </w:rPr>
        <w:t>4000, extensión 4</w:t>
      </w:r>
      <w:r w:rsidR="00A078AE">
        <w:rPr>
          <w:rFonts w:ascii="ITC Avant Garde" w:hAnsi="ITC Avant Garde"/>
          <w:sz w:val="14"/>
          <w:szCs w:val="14"/>
        </w:rPr>
        <w:t xml:space="preserve">898 y </w:t>
      </w:r>
      <w:r w:rsidR="008F0D3E">
        <w:rPr>
          <w:rFonts w:ascii="ITC Avant Garde" w:hAnsi="ITC Avant Garde"/>
          <w:sz w:val="14"/>
          <w:szCs w:val="14"/>
        </w:rPr>
        <w:t>Agustín Trajano García Aguilar</w:t>
      </w:r>
      <w:r w:rsidR="00A078AE">
        <w:rPr>
          <w:rFonts w:ascii="ITC Avant Garde" w:hAnsi="ITC Avant Garde"/>
          <w:sz w:val="14"/>
          <w:szCs w:val="14"/>
        </w:rPr>
        <w:t xml:space="preserve">, Subdirector de </w:t>
      </w:r>
      <w:r w:rsidR="008F0D3E">
        <w:rPr>
          <w:rFonts w:ascii="ITC Avant Garde" w:hAnsi="ITC Avant Garde"/>
          <w:sz w:val="14"/>
          <w:szCs w:val="14"/>
        </w:rPr>
        <w:t>Cuantificación de Derechos y Obligaciones 1</w:t>
      </w:r>
      <w:r w:rsidR="00A078AE">
        <w:rPr>
          <w:rFonts w:ascii="ITC Avant Garde" w:hAnsi="ITC Avant Garde"/>
          <w:sz w:val="14"/>
          <w:szCs w:val="14"/>
        </w:rPr>
        <w:t xml:space="preserve">, correo electrónico: </w:t>
      </w:r>
      <w:hyperlink r:id="rId15" w:history="1">
        <w:r w:rsidR="008F0D3E" w:rsidRPr="009417F7">
          <w:rPr>
            <w:rStyle w:val="Hipervnculo"/>
            <w:rFonts w:ascii="ITC Avant Garde" w:hAnsi="ITC Avant Garde"/>
            <w:sz w:val="14"/>
            <w:szCs w:val="14"/>
          </w:rPr>
          <w:t>agustin.garcia@ift.org.mx</w:t>
        </w:r>
      </w:hyperlink>
      <w:r w:rsidR="00A078AE">
        <w:rPr>
          <w:rFonts w:ascii="ITC Avant Garde" w:hAnsi="ITC Avant Garde"/>
          <w:sz w:val="14"/>
          <w:szCs w:val="14"/>
        </w:rPr>
        <w:t xml:space="preserve">, </w:t>
      </w:r>
      <w:r w:rsidR="00A078AE" w:rsidRPr="00755121">
        <w:rPr>
          <w:rFonts w:ascii="ITC Avant Garde" w:hAnsi="ITC Avant Garde"/>
          <w:sz w:val="14"/>
          <w:szCs w:val="14"/>
        </w:rPr>
        <w:t>número telefónico 55</w:t>
      </w:r>
      <w:r w:rsidR="00A078AE">
        <w:rPr>
          <w:rFonts w:ascii="ITC Avant Garde" w:hAnsi="ITC Avant Garde"/>
          <w:sz w:val="14"/>
          <w:szCs w:val="14"/>
        </w:rPr>
        <w:t xml:space="preserve"> </w:t>
      </w:r>
      <w:r w:rsidR="00A078AE" w:rsidRPr="00755121">
        <w:rPr>
          <w:rFonts w:ascii="ITC Avant Garde" w:hAnsi="ITC Avant Garde"/>
          <w:sz w:val="14"/>
          <w:szCs w:val="14"/>
        </w:rPr>
        <w:t>5015</w:t>
      </w:r>
      <w:r w:rsidR="00A078AE">
        <w:rPr>
          <w:rFonts w:ascii="ITC Avant Garde" w:hAnsi="ITC Avant Garde"/>
          <w:sz w:val="14"/>
          <w:szCs w:val="14"/>
        </w:rPr>
        <w:t xml:space="preserve"> </w:t>
      </w:r>
      <w:r w:rsidR="00A078AE" w:rsidRPr="00755121">
        <w:rPr>
          <w:rFonts w:ascii="ITC Avant Garde" w:hAnsi="ITC Avant Garde"/>
          <w:sz w:val="14"/>
          <w:szCs w:val="14"/>
        </w:rPr>
        <w:t>4000, extensión 4</w:t>
      </w:r>
      <w:r w:rsidR="008F0D3E">
        <w:rPr>
          <w:rFonts w:ascii="ITC Avant Garde" w:hAnsi="ITC Avant Garde"/>
          <w:sz w:val="14"/>
          <w:szCs w:val="14"/>
        </w:rPr>
        <w:t>599</w:t>
      </w:r>
      <w:r w:rsidR="00CB5DC7">
        <w:rPr>
          <w:rFonts w:ascii="ITC Avant Garde" w:hAnsi="ITC Avant Garde"/>
          <w:sz w:val="14"/>
          <w:szCs w:val="14"/>
        </w:rPr>
        <w:t>.</w:t>
      </w:r>
    </w:p>
    <w:p w14:paraId="7F0F46D6" w14:textId="77777777" w:rsidR="006601AF" w:rsidRPr="00F36A5D" w:rsidRDefault="006601AF" w:rsidP="007A6974">
      <w:pPr>
        <w:pStyle w:val="Listavistosa-nfasis110"/>
        <w:spacing w:after="0"/>
        <w:ind w:left="284"/>
        <w:jc w:val="both"/>
        <w:rPr>
          <w:rFonts w:ascii="ITC Avant Garde" w:hAnsi="ITC Avant Garde"/>
          <w:sz w:val="16"/>
        </w:rPr>
      </w:pPr>
    </w:p>
    <w:tbl>
      <w:tblPr>
        <w:tblW w:w="8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7"/>
        <w:gridCol w:w="4063"/>
      </w:tblGrid>
      <w:tr w:rsidR="00DF154A" w:rsidRPr="00F36A5D" w14:paraId="6DCB03C8" w14:textId="77777777" w:rsidTr="00F97305">
        <w:trPr>
          <w:trHeight w:val="600"/>
        </w:trPr>
        <w:tc>
          <w:tcPr>
            <w:tcW w:w="8610" w:type="dxa"/>
            <w:gridSpan w:val="2"/>
            <w:shd w:val="clear" w:color="auto" w:fill="D9D9D9"/>
            <w:vAlign w:val="center"/>
            <w:hideMark/>
          </w:tcPr>
          <w:p w14:paraId="081D7981" w14:textId="77777777" w:rsidR="00DF154A" w:rsidRPr="003353FC" w:rsidRDefault="00DF154A" w:rsidP="00246FA5">
            <w:pPr>
              <w:pStyle w:val="Ttulo2"/>
              <w:ind w:left="783"/>
            </w:pPr>
            <w:r w:rsidRPr="003353FC">
              <w:t>Datos de</w:t>
            </w:r>
            <w:r w:rsidR="003D2703" w:rsidRPr="003353FC">
              <w:t xml:space="preserve"> </w:t>
            </w:r>
            <w:r w:rsidRPr="003353FC">
              <w:t>l</w:t>
            </w:r>
            <w:r w:rsidR="003D2703" w:rsidRPr="003353FC">
              <w:t>a persona</w:t>
            </w:r>
            <w:r w:rsidRPr="003353FC">
              <w:t xml:space="preserve"> participante</w:t>
            </w:r>
          </w:p>
        </w:tc>
      </w:tr>
      <w:tr w:rsidR="00DF154A" w:rsidRPr="00F36A5D" w14:paraId="0F6817BE" w14:textId="77777777" w:rsidTr="00F97305">
        <w:trPr>
          <w:trHeight w:val="509"/>
        </w:trPr>
        <w:tc>
          <w:tcPr>
            <w:tcW w:w="4547" w:type="dxa"/>
            <w:shd w:val="clear" w:color="auto" w:fill="C5E0B3"/>
            <w:vAlign w:val="center"/>
            <w:hideMark/>
          </w:tcPr>
          <w:p w14:paraId="205CF92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29CF43C8"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1DA80307" w14:textId="77777777" w:rsidTr="00F97305">
        <w:trPr>
          <w:trHeight w:val="403"/>
        </w:trPr>
        <w:tc>
          <w:tcPr>
            <w:tcW w:w="4547" w:type="dxa"/>
            <w:shd w:val="clear" w:color="auto" w:fill="E2EFD9"/>
            <w:vAlign w:val="center"/>
            <w:hideMark/>
          </w:tcPr>
          <w:p w14:paraId="27637D76"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2ED0DC81"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5B46AF0C" w14:textId="77777777" w:rsidTr="00F97305">
        <w:trPr>
          <w:trHeight w:val="523"/>
        </w:trPr>
        <w:tc>
          <w:tcPr>
            <w:tcW w:w="4547" w:type="dxa"/>
            <w:shd w:val="clear" w:color="auto" w:fill="C5E0B3"/>
            <w:vAlign w:val="center"/>
            <w:hideMark/>
          </w:tcPr>
          <w:p w14:paraId="5188E5EE"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0BE9B2C2"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1F7B610B" w14:textId="342D6C11" w:rsidR="00DF154A" w:rsidRPr="00F36A5D" w:rsidRDefault="00876E61">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46668F8EA0F84D7995D86D2FF88722F7"/>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D06A7E" w:rsidRPr="00B81578">
                  <w:rPr>
                    <w:rFonts w:ascii="ITC Avant Garde" w:eastAsia="Times New Roman" w:hAnsi="ITC Avant Garde" w:cs="Arial"/>
                    <w:color w:val="000000"/>
                    <w:sz w:val="20"/>
                    <w:lang w:eastAsia="es-MX"/>
                  </w:rPr>
                  <w:t>Elija un elemento</w:t>
                </w:r>
                <w:r w:rsidR="00D06A7E">
                  <w:rPr>
                    <w:rFonts w:ascii="ITC Avant Garde" w:eastAsia="Times New Roman" w:hAnsi="ITC Avant Garde" w:cs="Arial"/>
                    <w:color w:val="000000"/>
                    <w:sz w:val="20"/>
                    <w:lang w:eastAsia="es-MX"/>
                  </w:rPr>
                  <w:t>.</w:t>
                </w:r>
              </w:sdtContent>
            </w:sdt>
          </w:p>
        </w:tc>
      </w:tr>
      <w:tr w:rsidR="00DF154A" w:rsidRPr="00F36A5D" w14:paraId="08D6B305" w14:textId="77777777" w:rsidTr="00F97305">
        <w:trPr>
          <w:trHeight w:val="300"/>
        </w:trPr>
        <w:tc>
          <w:tcPr>
            <w:tcW w:w="8610" w:type="dxa"/>
            <w:gridSpan w:val="2"/>
            <w:shd w:val="clear" w:color="auto" w:fill="D9D9D9"/>
            <w:noWrap/>
            <w:vAlign w:val="center"/>
            <w:hideMark/>
          </w:tcPr>
          <w:p w14:paraId="41B64736" w14:textId="77777777" w:rsidR="00D50117" w:rsidRPr="00E62A8C" w:rsidRDefault="00E17493" w:rsidP="00E62A8C">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9E072C">
              <w:rPr>
                <w:rFonts w:ascii="ITC Avant Garde" w:hAnsi="ITC Avant Garde"/>
                <w:b/>
              </w:rPr>
              <w:t>UNIDA</w:t>
            </w:r>
            <w:r w:rsidR="00A85F71">
              <w:rPr>
                <w:rFonts w:ascii="ITC Avant Garde" w:hAnsi="ITC Avant Garde"/>
                <w:b/>
              </w:rPr>
              <w:t>D</w:t>
            </w:r>
            <w:r w:rsidR="009E072C">
              <w:rPr>
                <w:rFonts w:ascii="ITC Avant Garde" w:hAnsi="ITC Avant Garde"/>
                <w:b/>
              </w:rPr>
              <w:t xml:space="preserve"> DE POLÍTICA REGULATORIA</w:t>
            </w:r>
          </w:p>
        </w:tc>
      </w:tr>
      <w:tr w:rsidR="00DF154A" w:rsidRPr="00F36A5D" w14:paraId="362E0753" w14:textId="77777777" w:rsidTr="00F97305">
        <w:trPr>
          <w:trHeight w:val="274"/>
        </w:trPr>
        <w:tc>
          <w:tcPr>
            <w:tcW w:w="8610" w:type="dxa"/>
            <w:gridSpan w:val="2"/>
            <w:shd w:val="clear" w:color="auto" w:fill="auto"/>
            <w:vAlign w:val="center"/>
            <w:hideMark/>
          </w:tcPr>
          <w:p w14:paraId="2F9E7679"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6D33C783"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w:t>
            </w:r>
            <w:r w:rsidRPr="00A04017">
              <w:rPr>
                <w:rFonts w:ascii="ITC Avant Garde" w:eastAsia="Times New Roman" w:hAnsi="ITC Avant Garde"/>
                <w:b/>
                <w:color w:val="000000"/>
                <w:sz w:val="14"/>
                <w:szCs w:val="16"/>
                <w:lang w:eastAsia="es-MX"/>
              </w:rPr>
              <w:t>LGPDPPSO</w:t>
            </w:r>
            <w:r w:rsidRPr="00F04B09">
              <w:rPr>
                <w:rFonts w:ascii="ITC Avant Garde" w:eastAsia="Times New Roman" w:hAnsi="ITC Avant Garde"/>
                <w:color w:val="000000"/>
                <w:sz w:val="14"/>
                <w:szCs w:val="16"/>
                <w:lang w:eastAsia="es-MX"/>
              </w:rPr>
              <w:t>”); 9, fracción II, 15 y 26 al 45 de los Lineamientos Generales de Protección de Datos Personales para el Sector Público (en lo sucesivo los “</w:t>
            </w:r>
            <w:r w:rsidRPr="00A04017">
              <w:rPr>
                <w:rFonts w:ascii="ITC Avant Garde" w:eastAsia="Times New Roman" w:hAnsi="ITC Avant Garde"/>
                <w:b/>
                <w:color w:val="000000"/>
                <w:sz w:val="14"/>
                <w:szCs w:val="16"/>
                <w:lang w:eastAsia="es-MX"/>
              </w:rPr>
              <w:t>Lineamientos Generales</w:t>
            </w:r>
            <w:r w:rsidRPr="00F04B09">
              <w:rPr>
                <w:rFonts w:ascii="ITC Avant Garde" w:eastAsia="Times New Roman" w:hAnsi="ITC Avant Garde"/>
                <w:color w:val="000000"/>
                <w:sz w:val="14"/>
                <w:szCs w:val="16"/>
                <w:lang w:eastAsia="es-MX"/>
              </w:rPr>
              <w:t>”); 11 de los Lineamientos que establecen los parámetros, modalidades y procedimientos para la portabilidad de datos personales (en lo sucesivo los “</w:t>
            </w:r>
            <w:r w:rsidRPr="00A04017">
              <w:rPr>
                <w:rFonts w:ascii="ITC Avant Garde" w:eastAsia="Times New Roman" w:hAnsi="ITC Avant Garde"/>
                <w:b/>
                <w:color w:val="000000"/>
                <w:sz w:val="14"/>
                <w:szCs w:val="16"/>
                <w:lang w:eastAsia="es-MX"/>
              </w:rPr>
              <w:t>Lineamientos de Portabilidad</w:t>
            </w:r>
            <w:r w:rsidRPr="00F04B09">
              <w:rPr>
                <w:rFonts w:ascii="ITC Avant Garde" w:eastAsia="Times New Roman" w:hAnsi="ITC Avant Garde"/>
                <w:color w:val="000000"/>
                <w:sz w:val="14"/>
                <w:szCs w:val="16"/>
                <w:lang w:eastAsia="es-MX"/>
              </w:rPr>
              <w:t>”), numeral Segundo, punto 5, y numeral Cuarto de la Política de Protección de Datos Personales del Instituto Federal de Telecomunicaciones, se pone a disposición de los titulares de datos personales, el siguiente Aviso de Privacidad Integral:</w:t>
            </w:r>
          </w:p>
          <w:p w14:paraId="7679D85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B6D3CE0"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68C52AE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w:t>
            </w:r>
            <w:r w:rsidRPr="00A04017">
              <w:rPr>
                <w:rFonts w:ascii="ITC Avant Garde" w:eastAsia="Times New Roman" w:hAnsi="ITC Avant Garde"/>
                <w:b/>
                <w:color w:val="000000"/>
                <w:sz w:val="14"/>
                <w:szCs w:val="16"/>
                <w:lang w:eastAsia="es-MX"/>
              </w:rPr>
              <w:t>IFT</w:t>
            </w:r>
            <w:r w:rsidRPr="00F04B09">
              <w:rPr>
                <w:rFonts w:ascii="ITC Avant Garde" w:eastAsia="Times New Roman" w:hAnsi="ITC Avant Garde"/>
                <w:color w:val="000000"/>
                <w:sz w:val="14"/>
                <w:szCs w:val="16"/>
                <w:lang w:eastAsia="es-MX"/>
              </w:rPr>
              <w:t>”).</w:t>
            </w:r>
          </w:p>
          <w:p w14:paraId="6F0C9FD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25DABFD"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6E9BE67E"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6DE66AF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BA2042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5186539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A85F71" w:rsidRPr="002E6C44">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29409DC5" w14:textId="77777777" w:rsidR="00E17493" w:rsidRPr="00F04B09" w:rsidRDefault="00E17493">
            <w:pPr>
              <w:numPr>
                <w:ilvl w:val="0"/>
                <w:numId w:val="3"/>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de identificación: Nombre completo y Correo electrónico.</w:t>
            </w:r>
          </w:p>
          <w:p w14:paraId="2EF15BF8" w14:textId="77777777" w:rsidR="00E17493" w:rsidRPr="00F04B09" w:rsidRDefault="00E17493">
            <w:pPr>
              <w:numPr>
                <w:ilvl w:val="0"/>
                <w:numId w:val="3"/>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7C6204EB" w14:textId="77777777" w:rsidR="00E17493" w:rsidRPr="00F04B09" w:rsidRDefault="00E17493">
            <w:pPr>
              <w:numPr>
                <w:ilvl w:val="0"/>
                <w:numId w:val="3"/>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5763A4AE"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4B1840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9239C3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762D04B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A85F71" w:rsidRPr="003F04F2">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381A70F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96C8C1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04466E4D"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A85F71" w:rsidRPr="003F04F2">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1D0238B2" w14:textId="77777777" w:rsidR="00E17493" w:rsidRPr="00F04B09" w:rsidRDefault="00E17493">
            <w:pPr>
              <w:numPr>
                <w:ilvl w:val="0"/>
                <w:numId w:val="4"/>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7945CB65" w14:textId="77777777" w:rsidR="00E17493" w:rsidRPr="00F04B09" w:rsidRDefault="00E17493">
            <w:pPr>
              <w:numPr>
                <w:ilvl w:val="0"/>
                <w:numId w:val="4"/>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0598CD84" w14:textId="77777777" w:rsidR="00E17493" w:rsidRPr="00F04B09" w:rsidRDefault="00E17493">
            <w:pPr>
              <w:numPr>
                <w:ilvl w:val="0"/>
                <w:numId w:val="4"/>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5211031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1B1584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3B94BFD0"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A85F71" w:rsidRPr="003F04F2">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548F599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A6BE2B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7E4AA65"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5A69B57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46368BB"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14B580E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w:t>
            </w:r>
            <w:r w:rsidRPr="00A04017">
              <w:rPr>
                <w:rFonts w:ascii="ITC Avant Garde" w:eastAsia="Times New Roman" w:hAnsi="ITC Avant Garde"/>
                <w:b/>
                <w:color w:val="000000"/>
                <w:sz w:val="14"/>
                <w:szCs w:val="16"/>
                <w:lang w:eastAsia="es-MX"/>
              </w:rPr>
              <w:t>INAI</w:t>
            </w:r>
            <w:r w:rsidRPr="00F04B09">
              <w:rPr>
                <w:rFonts w:ascii="ITC Avant Garde" w:eastAsia="Times New Roman" w:hAnsi="ITC Avant Garde"/>
                <w:color w:val="000000"/>
                <w:sz w:val="14"/>
                <w:szCs w:val="16"/>
                <w:lang w:eastAsia="es-MX"/>
              </w:rPr>
              <w:t xml:space="preserve">”). </w:t>
            </w:r>
          </w:p>
          <w:p w14:paraId="121E4BB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2F4BC815" w14:textId="77777777" w:rsidR="00E17493" w:rsidRPr="00F04B09" w:rsidRDefault="00E17493">
            <w:pPr>
              <w:numPr>
                <w:ilvl w:val="0"/>
                <w:numId w:val="5"/>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0947993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ACE50D7" w14:textId="77777777" w:rsidR="00E17493" w:rsidRPr="00F04B09" w:rsidRDefault="00E17493">
            <w:pPr>
              <w:numPr>
                <w:ilvl w:val="0"/>
                <w:numId w:val="6"/>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78000ADD" w14:textId="77777777" w:rsidR="00E17493" w:rsidRPr="00F04B09" w:rsidRDefault="00E17493">
            <w:pPr>
              <w:numPr>
                <w:ilvl w:val="0"/>
                <w:numId w:val="6"/>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34ADBA6B" w14:textId="77777777" w:rsidR="00E17493" w:rsidRPr="00F04B09" w:rsidRDefault="00E17493">
            <w:pPr>
              <w:numPr>
                <w:ilvl w:val="0"/>
                <w:numId w:val="6"/>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07D577B6" w14:textId="77777777" w:rsidR="00E17493" w:rsidRPr="00F04B09" w:rsidRDefault="00E17493">
            <w:pPr>
              <w:numPr>
                <w:ilvl w:val="0"/>
                <w:numId w:val="6"/>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235E369E" w14:textId="77777777" w:rsidR="00E17493" w:rsidRPr="00F04B09" w:rsidRDefault="00E17493">
            <w:pPr>
              <w:numPr>
                <w:ilvl w:val="0"/>
                <w:numId w:val="6"/>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70621965" w14:textId="77777777" w:rsidR="00E17493" w:rsidRPr="00F04B09" w:rsidRDefault="00E17493">
            <w:pPr>
              <w:numPr>
                <w:ilvl w:val="0"/>
                <w:numId w:val="6"/>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7E753B4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26F780A" w14:textId="77777777" w:rsidR="00E17493" w:rsidRPr="00F04B09" w:rsidRDefault="00E17493">
            <w:pPr>
              <w:numPr>
                <w:ilvl w:val="0"/>
                <w:numId w:val="5"/>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395D1DD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444E3425" w14:textId="77777777" w:rsidR="00E17493" w:rsidRPr="00F04B09" w:rsidRDefault="00E17493">
            <w:pPr>
              <w:numPr>
                <w:ilvl w:val="0"/>
                <w:numId w:val="5"/>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0733390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formularios que ha desarrollado el INAI para el ejercicio de los derechos ARCO, se encuentran disponibles en su portal de Internet </w:t>
            </w:r>
            <w:hyperlink r:id="rId17"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531F5CE4" w14:textId="77777777" w:rsidR="00E17493" w:rsidRPr="00F04B09" w:rsidRDefault="00E17493">
            <w:pPr>
              <w:numPr>
                <w:ilvl w:val="0"/>
                <w:numId w:val="5"/>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753B7C2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0615EE03" w14:textId="77777777" w:rsidR="00E17493" w:rsidRPr="00F04B09" w:rsidRDefault="00E17493">
            <w:pPr>
              <w:numPr>
                <w:ilvl w:val="0"/>
                <w:numId w:val="5"/>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2588B7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69EBD5D5" w14:textId="77777777" w:rsidR="00E17493" w:rsidRPr="00F04B09" w:rsidRDefault="00E17493">
            <w:pPr>
              <w:numPr>
                <w:ilvl w:val="0"/>
                <w:numId w:val="5"/>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77738A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53C5243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4D0AA7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2CD9CC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A89FF3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5B0FC1D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068BE9B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4091C31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32F5DFE9" w14:textId="77777777" w:rsidR="00E17493" w:rsidRPr="00F04B09" w:rsidRDefault="00E17493">
            <w:pPr>
              <w:numPr>
                <w:ilvl w:val="0"/>
                <w:numId w:val="5"/>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1D9BBAF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7A60A750"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8"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68FFA57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27CAF50"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745E500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2"/>
            </w:r>
            <w:r w:rsidRPr="00F04B09">
              <w:rPr>
                <w:rFonts w:ascii="ITC Avant Garde" w:eastAsia="Times New Roman" w:hAnsi="ITC Avant Garde"/>
                <w:color w:val="000000"/>
                <w:sz w:val="14"/>
                <w:szCs w:val="16"/>
                <w:lang w:eastAsia="es-MX"/>
              </w:rPr>
              <w:t>.</w:t>
            </w:r>
          </w:p>
          <w:p w14:paraId="0A518F0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5E8E0D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0207C95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7FC3F20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B291E8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1385417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9"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A2D47F2"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lastRenderedPageBreak/>
              <w:t>Última actualización: (27/01/2020)</w:t>
            </w:r>
          </w:p>
        </w:tc>
      </w:tr>
    </w:tbl>
    <w:p w14:paraId="1EDBD119" w14:textId="77777777" w:rsidR="00DF5B3F" w:rsidRDefault="00DF5B3F" w:rsidP="00DF5B3F">
      <w:pPr>
        <w:spacing w:after="0"/>
        <w:rPr>
          <w:rFonts w:ascii="ITC Avant Garde" w:hAnsi="ITC Avant Garde"/>
        </w:rPr>
      </w:pPr>
    </w:p>
    <w:p w14:paraId="71F16CAB" w14:textId="77777777" w:rsidR="00EA094D" w:rsidRDefault="00EA094D" w:rsidP="00DF5B3F">
      <w:pPr>
        <w:spacing w:after="0"/>
        <w:rPr>
          <w:rFonts w:ascii="ITC Avant Garde" w:hAnsi="ITC Avant Garde"/>
        </w:rPr>
      </w:pPr>
    </w:p>
    <w:tbl>
      <w:tblPr>
        <w:tblW w:w="864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4"/>
      </w:tblGrid>
      <w:tr w:rsidR="000553DD" w:rsidRPr="00E9169D" w14:paraId="78B88A17" w14:textId="77777777" w:rsidTr="00184FA4">
        <w:trPr>
          <w:trHeight w:val="597"/>
        </w:trPr>
        <w:tc>
          <w:tcPr>
            <w:tcW w:w="8644" w:type="dxa"/>
            <w:shd w:val="clear" w:color="auto" w:fill="D9D9D9"/>
            <w:vAlign w:val="center"/>
            <w:hideMark/>
          </w:tcPr>
          <w:p w14:paraId="55E2CBFD" w14:textId="77777777" w:rsidR="000553DD" w:rsidRPr="00C0424E" w:rsidRDefault="000553DD" w:rsidP="00246FA5">
            <w:pPr>
              <w:pStyle w:val="Ttulo2"/>
              <w:ind w:left="783"/>
            </w:pPr>
            <w:r w:rsidRPr="00C0424E">
              <w:t>Marco de referencia</w:t>
            </w:r>
          </w:p>
        </w:tc>
      </w:tr>
      <w:tr w:rsidR="000553DD" w:rsidRPr="00E9169D" w14:paraId="39CD3F32" w14:textId="77777777" w:rsidTr="00184FA4">
        <w:trPr>
          <w:trHeight w:val="717"/>
        </w:trPr>
        <w:tc>
          <w:tcPr>
            <w:tcW w:w="8644" w:type="dxa"/>
            <w:shd w:val="clear" w:color="000000" w:fill="FFFFFF"/>
            <w:noWrap/>
          </w:tcPr>
          <w:p w14:paraId="1568D859" w14:textId="39F368DB" w:rsidR="00FD07B9" w:rsidRDefault="00FD07B9" w:rsidP="00261F84">
            <w:pPr>
              <w:spacing w:after="120" w:line="276" w:lineRule="auto"/>
              <w:ind w:right="309"/>
              <w:jc w:val="both"/>
              <w:rPr>
                <w:rFonts w:ascii="ITC Avant Garde" w:eastAsia="Times New Roman" w:hAnsi="ITC Avant Garde"/>
                <w:bCs/>
                <w:color w:val="000000"/>
                <w:sz w:val="20"/>
                <w:szCs w:val="20"/>
                <w:lang w:val="es-ES_tradnl" w:eastAsia="es-MX"/>
              </w:rPr>
            </w:pPr>
            <w:r>
              <w:rPr>
                <w:rFonts w:ascii="ITC Avant Garde" w:eastAsia="Times New Roman" w:hAnsi="ITC Avant Garde"/>
                <w:bCs/>
                <w:color w:val="000000"/>
                <w:sz w:val="20"/>
                <w:szCs w:val="20"/>
                <w:lang w:eastAsia="es-MX"/>
              </w:rPr>
              <w:t>L</w:t>
            </w:r>
            <w:r w:rsidRPr="00FD07B9">
              <w:rPr>
                <w:rFonts w:ascii="ITC Avant Garde" w:eastAsia="Times New Roman" w:hAnsi="ITC Avant Garde"/>
                <w:bCs/>
                <w:color w:val="000000"/>
                <w:sz w:val="20"/>
                <w:szCs w:val="20"/>
                <w:lang w:val="es-ES_tradnl" w:eastAsia="es-MX"/>
              </w:rPr>
              <w:t xml:space="preserve">a fracción III del artículo Octavo Transitorio del </w:t>
            </w:r>
            <w:r w:rsidRPr="001F5B68">
              <w:rPr>
                <w:rFonts w:ascii="ITC Avant Garde" w:eastAsia="Times New Roman" w:hAnsi="ITC Avant Garde"/>
                <w:b/>
                <w:color w:val="000000"/>
                <w:sz w:val="20"/>
                <w:szCs w:val="20"/>
                <w:lang w:val="es-ES_tradnl" w:eastAsia="es-MX"/>
              </w:rPr>
              <w:t>Decreto de Reforma Constitucional</w:t>
            </w:r>
            <w:r w:rsidR="00F30BCE">
              <w:rPr>
                <w:rStyle w:val="Refdenotaalpie"/>
                <w:rFonts w:ascii="ITC Avant Garde" w:eastAsia="Times New Roman" w:hAnsi="ITC Avant Garde"/>
                <w:bCs/>
                <w:color w:val="000000"/>
                <w:sz w:val="20"/>
                <w:szCs w:val="20"/>
                <w:lang w:val="es-ES_tradnl" w:eastAsia="es-MX"/>
              </w:rPr>
              <w:footnoteReference w:id="3"/>
            </w:r>
            <w:r w:rsidRPr="00FD07B9">
              <w:rPr>
                <w:rFonts w:ascii="ITC Avant Garde" w:eastAsia="Times New Roman" w:hAnsi="ITC Avant Garde"/>
                <w:bCs/>
                <w:color w:val="000000"/>
                <w:sz w:val="20"/>
                <w:szCs w:val="20"/>
                <w:lang w:val="es-ES_tradnl" w:eastAsia="es-MX"/>
              </w:rPr>
              <w:t xml:space="preserve"> en </w:t>
            </w:r>
            <w:r w:rsidR="004B0FD3">
              <w:rPr>
                <w:rFonts w:ascii="ITC Avant Garde" w:eastAsia="Times New Roman" w:hAnsi="ITC Avant Garde"/>
                <w:bCs/>
                <w:color w:val="000000"/>
                <w:sz w:val="20"/>
                <w:szCs w:val="20"/>
                <w:lang w:val="es-ES_tradnl" w:eastAsia="es-MX"/>
              </w:rPr>
              <w:t>t</w:t>
            </w:r>
            <w:r w:rsidRPr="00FD07B9">
              <w:rPr>
                <w:rFonts w:ascii="ITC Avant Garde" w:eastAsia="Times New Roman" w:hAnsi="ITC Avant Garde"/>
                <w:bCs/>
                <w:color w:val="000000"/>
                <w:sz w:val="20"/>
                <w:szCs w:val="20"/>
                <w:lang w:val="es-ES_tradnl" w:eastAsia="es-MX"/>
              </w:rPr>
              <w:t xml:space="preserve">elecomunicaciones estableció la obligación al IFT de determinar agentes económicos preponderantes en los sectores de telecomunicaciones y radiodifusión, y de imponer medidas para evitar que se afecten la competencia y libre concurrencia y, con ello, a los usuarios finales. </w:t>
            </w:r>
          </w:p>
          <w:p w14:paraId="320401DA" w14:textId="4008F9A2" w:rsidR="00F30BCE" w:rsidRDefault="00FD07B9" w:rsidP="00261F84">
            <w:pPr>
              <w:spacing w:after="120" w:line="276" w:lineRule="auto"/>
              <w:ind w:right="309"/>
              <w:jc w:val="both"/>
              <w:rPr>
                <w:rFonts w:ascii="ITC Avant Garde" w:eastAsia="Times New Roman" w:hAnsi="ITC Avant Garde"/>
                <w:bCs/>
                <w:color w:val="000000"/>
                <w:sz w:val="20"/>
                <w:szCs w:val="20"/>
                <w:lang w:eastAsia="es-MX"/>
              </w:rPr>
            </w:pPr>
            <w:r>
              <w:rPr>
                <w:rFonts w:ascii="ITC Avant Garde" w:eastAsia="Times New Roman" w:hAnsi="ITC Avant Garde"/>
                <w:bCs/>
                <w:color w:val="000000"/>
                <w:sz w:val="20"/>
                <w:szCs w:val="20"/>
                <w:lang w:val="es-ES_tradnl" w:eastAsia="es-MX"/>
              </w:rPr>
              <w:t xml:space="preserve">Por lo anterior, </w:t>
            </w:r>
            <w:r w:rsidR="00866699">
              <w:rPr>
                <w:rFonts w:ascii="ITC Avant Garde" w:eastAsia="Times New Roman" w:hAnsi="ITC Avant Garde"/>
                <w:bCs/>
                <w:color w:val="000000"/>
                <w:sz w:val="20"/>
                <w:szCs w:val="20"/>
                <w:lang w:val="es-ES_tradnl" w:eastAsia="es-MX"/>
              </w:rPr>
              <w:t>e</w:t>
            </w:r>
            <w:r w:rsidR="00261F84" w:rsidRPr="00261F84">
              <w:rPr>
                <w:rFonts w:ascii="ITC Avant Garde" w:eastAsia="Times New Roman" w:hAnsi="ITC Avant Garde"/>
                <w:bCs/>
                <w:color w:val="000000"/>
                <w:sz w:val="20"/>
                <w:szCs w:val="20"/>
                <w:lang w:val="es-ES_tradnl" w:eastAsia="es-MX"/>
              </w:rPr>
              <w:t>l 6 de marzo de 2014,</w:t>
            </w:r>
            <w:r w:rsidR="00261F84" w:rsidRPr="00261F84">
              <w:rPr>
                <w:rFonts w:ascii="ITC Avant Garde" w:eastAsia="Times New Roman" w:hAnsi="ITC Avant Garde"/>
                <w:bCs/>
                <w:color w:val="000000"/>
                <w:sz w:val="20"/>
                <w:szCs w:val="20"/>
                <w:lang w:eastAsia="es-MX"/>
              </w:rPr>
              <w:t xml:space="preserve"> el Pleno del Instituto</w:t>
            </w:r>
            <w:r w:rsidR="00D80FE0">
              <w:rPr>
                <w:rFonts w:ascii="ITC Avant Garde" w:eastAsia="Times New Roman" w:hAnsi="ITC Avant Garde"/>
                <w:bCs/>
                <w:color w:val="000000"/>
                <w:sz w:val="20"/>
                <w:szCs w:val="20"/>
                <w:lang w:eastAsia="es-MX"/>
              </w:rPr>
              <w:t xml:space="preserve"> determinó al agente económico preponderante en el sector de telecomunicaciones (en lo sucesivo, el “AEPT”)</w:t>
            </w:r>
            <w:r w:rsidR="00261F84" w:rsidRPr="00261F84">
              <w:rPr>
                <w:rFonts w:ascii="ITC Avant Garde" w:eastAsia="Times New Roman" w:hAnsi="ITC Avant Garde"/>
                <w:bCs/>
                <w:color w:val="000000"/>
                <w:sz w:val="20"/>
                <w:szCs w:val="20"/>
                <w:lang w:eastAsia="es-MX"/>
              </w:rPr>
              <w:t xml:space="preserve"> </w:t>
            </w:r>
            <w:r w:rsidR="00F30BCE">
              <w:rPr>
                <w:rFonts w:ascii="ITC Avant Garde" w:eastAsia="Times New Roman" w:hAnsi="ITC Avant Garde"/>
                <w:bCs/>
                <w:color w:val="000000"/>
                <w:sz w:val="20"/>
                <w:szCs w:val="20"/>
                <w:lang w:eastAsia="es-MX"/>
              </w:rPr>
              <w:t xml:space="preserve">mediante la </w:t>
            </w:r>
            <w:r w:rsidR="00F30BCE" w:rsidRPr="001F5B68">
              <w:rPr>
                <w:rFonts w:ascii="ITC Avant Garde" w:eastAsia="Times New Roman" w:hAnsi="ITC Avant Garde"/>
                <w:b/>
                <w:color w:val="000000"/>
                <w:sz w:val="20"/>
                <w:szCs w:val="20"/>
                <w:lang w:eastAsia="es-MX"/>
              </w:rPr>
              <w:t>Resolución de AEPT</w:t>
            </w:r>
            <w:r w:rsidR="00F30BCE">
              <w:rPr>
                <w:rStyle w:val="Refdenotaalpie"/>
                <w:rFonts w:ascii="ITC Avant Garde" w:eastAsia="Times New Roman" w:hAnsi="ITC Avant Garde"/>
                <w:bCs/>
                <w:color w:val="000000"/>
                <w:sz w:val="20"/>
                <w:szCs w:val="20"/>
                <w:lang w:eastAsia="es-MX"/>
              </w:rPr>
              <w:footnoteReference w:id="4"/>
            </w:r>
            <w:r w:rsidR="004B0FD3">
              <w:rPr>
                <w:rFonts w:ascii="ITC Avant Garde" w:eastAsia="Times New Roman" w:hAnsi="ITC Avant Garde"/>
                <w:b/>
                <w:color w:val="000000"/>
                <w:sz w:val="20"/>
                <w:szCs w:val="20"/>
                <w:lang w:eastAsia="es-MX"/>
              </w:rPr>
              <w:t>,</w:t>
            </w:r>
            <w:r w:rsidR="00F30BCE">
              <w:rPr>
                <w:rFonts w:ascii="ITC Avant Garde" w:eastAsia="Times New Roman" w:hAnsi="ITC Avant Garde"/>
                <w:bCs/>
                <w:color w:val="000000"/>
                <w:sz w:val="20"/>
                <w:szCs w:val="20"/>
                <w:lang w:eastAsia="es-MX"/>
              </w:rPr>
              <w:t xml:space="preserve"> y le impuso medidas asimétricas. </w:t>
            </w:r>
          </w:p>
          <w:p w14:paraId="6F5E1EA3" w14:textId="284FF875" w:rsidR="00F30BCE" w:rsidRDefault="00F30BCE" w:rsidP="00261F84">
            <w:pPr>
              <w:spacing w:after="120" w:line="276" w:lineRule="auto"/>
              <w:ind w:right="309"/>
              <w:jc w:val="both"/>
              <w:rPr>
                <w:rFonts w:ascii="ITC Avant Garde" w:eastAsia="Times New Roman" w:hAnsi="ITC Avant Garde"/>
                <w:bCs/>
                <w:color w:val="000000"/>
                <w:sz w:val="20"/>
                <w:szCs w:val="20"/>
                <w:lang w:eastAsia="es-MX"/>
              </w:rPr>
            </w:pPr>
            <w:r>
              <w:rPr>
                <w:rFonts w:ascii="ITC Avant Garde" w:eastAsia="Times New Roman" w:hAnsi="ITC Avant Garde"/>
                <w:bCs/>
                <w:color w:val="000000"/>
                <w:sz w:val="20"/>
                <w:szCs w:val="20"/>
                <w:lang w:eastAsia="es-MX"/>
              </w:rPr>
              <w:t xml:space="preserve">Como parte de la Resolución de AEPT </w:t>
            </w:r>
            <w:r w:rsidRPr="00F30BCE">
              <w:rPr>
                <w:rFonts w:ascii="ITC Avant Garde" w:eastAsia="Times New Roman" w:hAnsi="ITC Avant Garde"/>
                <w:bCs/>
                <w:color w:val="000000"/>
                <w:sz w:val="20"/>
                <w:szCs w:val="20"/>
                <w:lang w:eastAsia="es-MX"/>
              </w:rPr>
              <w:t>el Instituto se autoimpuso</w:t>
            </w:r>
            <w:r>
              <w:rPr>
                <w:rStyle w:val="Refdenotaalpie"/>
                <w:rFonts w:ascii="ITC Avant Garde" w:eastAsia="Times New Roman" w:hAnsi="ITC Avant Garde"/>
                <w:bCs/>
                <w:color w:val="000000"/>
                <w:sz w:val="20"/>
                <w:szCs w:val="20"/>
                <w:lang w:eastAsia="es-MX"/>
              </w:rPr>
              <w:footnoteReference w:id="5"/>
            </w:r>
            <w:r w:rsidRPr="00F30BCE">
              <w:rPr>
                <w:rFonts w:ascii="ITC Avant Garde" w:eastAsia="Times New Roman" w:hAnsi="ITC Avant Garde"/>
                <w:bCs/>
                <w:color w:val="000000"/>
                <w:sz w:val="20"/>
                <w:szCs w:val="20"/>
                <w:lang w:eastAsia="es-MX"/>
              </w:rPr>
              <w:t xml:space="preserve"> realizar una evaluación</w:t>
            </w:r>
            <w:r w:rsidR="004B0FD3">
              <w:rPr>
                <w:rFonts w:ascii="ITC Avant Garde" w:eastAsia="Times New Roman" w:hAnsi="ITC Avant Garde"/>
                <w:bCs/>
                <w:color w:val="000000"/>
                <w:sz w:val="20"/>
                <w:szCs w:val="20"/>
                <w:lang w:eastAsia="es-MX"/>
              </w:rPr>
              <w:t xml:space="preserve"> de impacto de las medidas, en términos de competencia, </w:t>
            </w:r>
            <w:r w:rsidRPr="00F30BCE">
              <w:rPr>
                <w:rFonts w:ascii="ITC Avant Garde" w:eastAsia="Times New Roman" w:hAnsi="ITC Avant Garde"/>
                <w:bCs/>
                <w:color w:val="000000"/>
                <w:sz w:val="20"/>
                <w:szCs w:val="20"/>
                <w:lang w:eastAsia="es-MX"/>
              </w:rPr>
              <w:t>cada dos años a efecto de suprimir, modificar o, en su caso, establecer nuevas medidas.</w:t>
            </w:r>
            <w:r>
              <w:rPr>
                <w:rFonts w:ascii="ITC Avant Garde" w:eastAsia="Times New Roman" w:hAnsi="ITC Avant Garde"/>
                <w:bCs/>
                <w:color w:val="000000"/>
                <w:sz w:val="20"/>
                <w:szCs w:val="20"/>
                <w:lang w:eastAsia="es-MX"/>
              </w:rPr>
              <w:t xml:space="preserve"> En consecuencia, el Instituto ha emitido </w:t>
            </w:r>
            <w:r w:rsidR="002843F1">
              <w:rPr>
                <w:rFonts w:ascii="ITC Avant Garde" w:eastAsia="Times New Roman" w:hAnsi="ITC Avant Garde"/>
                <w:bCs/>
                <w:color w:val="000000"/>
                <w:sz w:val="20"/>
                <w:szCs w:val="20"/>
                <w:lang w:eastAsia="es-MX"/>
              </w:rPr>
              <w:t xml:space="preserve">dos </w:t>
            </w:r>
            <w:r>
              <w:rPr>
                <w:rFonts w:ascii="ITC Avant Garde" w:eastAsia="Times New Roman" w:hAnsi="ITC Avant Garde"/>
                <w:bCs/>
                <w:color w:val="000000"/>
                <w:sz w:val="20"/>
                <w:szCs w:val="20"/>
                <w:lang w:eastAsia="es-MX"/>
              </w:rPr>
              <w:t>resoluciones como parte de</w:t>
            </w:r>
            <w:r w:rsidR="002843F1">
              <w:rPr>
                <w:rFonts w:ascii="ITC Avant Garde" w:eastAsia="Times New Roman" w:hAnsi="ITC Avant Garde"/>
                <w:bCs/>
                <w:color w:val="000000"/>
                <w:sz w:val="20"/>
                <w:szCs w:val="20"/>
                <w:lang w:eastAsia="es-MX"/>
              </w:rPr>
              <w:t xml:space="preserve"> los</w:t>
            </w:r>
            <w:r>
              <w:rPr>
                <w:rFonts w:ascii="ITC Avant Garde" w:eastAsia="Times New Roman" w:hAnsi="ITC Avant Garde"/>
                <w:bCs/>
                <w:color w:val="000000"/>
                <w:sz w:val="20"/>
                <w:szCs w:val="20"/>
                <w:lang w:eastAsia="es-MX"/>
              </w:rPr>
              <w:t xml:space="preserve"> ejercicio</w:t>
            </w:r>
            <w:r w:rsidR="002843F1">
              <w:rPr>
                <w:rFonts w:ascii="ITC Avant Garde" w:eastAsia="Times New Roman" w:hAnsi="ITC Avant Garde"/>
                <w:bCs/>
                <w:color w:val="000000"/>
                <w:sz w:val="20"/>
                <w:szCs w:val="20"/>
                <w:lang w:eastAsia="es-MX"/>
              </w:rPr>
              <w:t>s</w:t>
            </w:r>
            <w:r>
              <w:rPr>
                <w:rFonts w:ascii="ITC Avant Garde" w:eastAsia="Times New Roman" w:hAnsi="ITC Avant Garde"/>
                <w:bCs/>
                <w:color w:val="000000"/>
                <w:sz w:val="20"/>
                <w:szCs w:val="20"/>
                <w:lang w:eastAsia="es-MX"/>
              </w:rPr>
              <w:t xml:space="preserve"> de evaluación bienal: </w:t>
            </w:r>
            <w:r w:rsidRPr="001F5B68">
              <w:rPr>
                <w:rFonts w:ascii="ITC Avant Garde" w:eastAsia="Times New Roman" w:hAnsi="ITC Avant Garde"/>
                <w:b/>
                <w:color w:val="000000"/>
                <w:sz w:val="20"/>
                <w:szCs w:val="20"/>
                <w:lang w:eastAsia="es-MX"/>
              </w:rPr>
              <w:t>Primera Resolución Bienal</w:t>
            </w:r>
            <w:r w:rsidR="001F5B68">
              <w:rPr>
                <w:rFonts w:ascii="ITC Avant Garde" w:eastAsia="Times New Roman" w:hAnsi="ITC Avant Garde"/>
                <w:b/>
                <w:color w:val="000000"/>
                <w:sz w:val="20"/>
                <w:szCs w:val="20"/>
                <w:lang w:eastAsia="es-MX"/>
              </w:rPr>
              <w:t xml:space="preserve"> de Telecomunicaciones</w:t>
            </w:r>
            <w:r w:rsidR="00D2761A">
              <w:rPr>
                <w:rStyle w:val="Refdenotaalpie"/>
                <w:rFonts w:ascii="ITC Avant Garde" w:eastAsia="Times New Roman" w:hAnsi="ITC Avant Garde"/>
                <w:bCs/>
                <w:color w:val="000000"/>
                <w:sz w:val="20"/>
                <w:szCs w:val="20"/>
                <w:lang w:eastAsia="es-MX"/>
              </w:rPr>
              <w:footnoteReference w:id="6"/>
            </w:r>
            <w:r>
              <w:rPr>
                <w:rFonts w:ascii="ITC Avant Garde" w:eastAsia="Times New Roman" w:hAnsi="ITC Avant Garde"/>
                <w:bCs/>
                <w:color w:val="000000"/>
                <w:sz w:val="20"/>
                <w:szCs w:val="20"/>
                <w:lang w:eastAsia="es-MX"/>
              </w:rPr>
              <w:t xml:space="preserve"> y </w:t>
            </w:r>
            <w:r w:rsidRPr="001F5B68">
              <w:rPr>
                <w:rFonts w:ascii="ITC Avant Garde" w:eastAsia="Times New Roman" w:hAnsi="ITC Avant Garde"/>
                <w:b/>
                <w:color w:val="000000"/>
                <w:sz w:val="20"/>
                <w:szCs w:val="20"/>
                <w:lang w:eastAsia="es-MX"/>
              </w:rPr>
              <w:t>Segunda Resolución Bienal</w:t>
            </w:r>
            <w:r w:rsidR="001F5B68">
              <w:rPr>
                <w:rFonts w:ascii="ITC Avant Garde" w:eastAsia="Times New Roman" w:hAnsi="ITC Avant Garde"/>
                <w:b/>
                <w:color w:val="000000"/>
                <w:sz w:val="20"/>
                <w:szCs w:val="20"/>
                <w:lang w:eastAsia="es-MX"/>
              </w:rPr>
              <w:t xml:space="preserve"> de Telecomunicaciones</w:t>
            </w:r>
            <w:r w:rsidR="00D2761A">
              <w:rPr>
                <w:rStyle w:val="Refdenotaalpie"/>
                <w:rFonts w:ascii="ITC Avant Garde" w:eastAsia="Times New Roman" w:hAnsi="ITC Avant Garde"/>
                <w:bCs/>
                <w:color w:val="000000"/>
                <w:sz w:val="20"/>
                <w:szCs w:val="20"/>
                <w:lang w:eastAsia="es-MX"/>
              </w:rPr>
              <w:footnoteReference w:id="7"/>
            </w:r>
            <w:r>
              <w:rPr>
                <w:rFonts w:ascii="ITC Avant Garde" w:eastAsia="Times New Roman" w:hAnsi="ITC Avant Garde"/>
                <w:bCs/>
                <w:color w:val="000000"/>
                <w:sz w:val="20"/>
                <w:szCs w:val="20"/>
                <w:lang w:eastAsia="es-MX"/>
              </w:rPr>
              <w:t>.</w:t>
            </w:r>
          </w:p>
          <w:p w14:paraId="5206CA44" w14:textId="1B960796" w:rsidR="00CB0700" w:rsidRDefault="00CB0700" w:rsidP="00261F84">
            <w:pPr>
              <w:spacing w:after="120" w:line="276" w:lineRule="auto"/>
              <w:ind w:right="309"/>
              <w:jc w:val="both"/>
              <w:rPr>
                <w:rFonts w:ascii="ITC Avant Garde" w:eastAsia="Times New Roman" w:hAnsi="ITC Avant Garde"/>
                <w:bCs/>
                <w:color w:val="000000"/>
                <w:sz w:val="20"/>
                <w:szCs w:val="20"/>
                <w:lang w:eastAsia="es-MX"/>
              </w:rPr>
            </w:pPr>
            <w:r>
              <w:rPr>
                <w:rFonts w:ascii="ITC Avant Garde" w:eastAsia="Times New Roman" w:hAnsi="ITC Avant Garde"/>
                <w:bCs/>
                <w:color w:val="000000"/>
                <w:sz w:val="20"/>
                <w:szCs w:val="20"/>
                <w:lang w:eastAsia="es-MX"/>
              </w:rPr>
              <w:t>Por lo anterior, las medidas asimétricas vigentes se pueden consultar en los siguientes enlaces:</w:t>
            </w:r>
          </w:p>
          <w:p w14:paraId="5D8A6F38" w14:textId="77777777" w:rsidR="00CB0700" w:rsidRDefault="00CB0700" w:rsidP="00CB0700">
            <w:pPr>
              <w:spacing w:after="120" w:line="276" w:lineRule="auto"/>
              <w:ind w:right="306"/>
              <w:jc w:val="both"/>
              <w:rPr>
                <w:rFonts w:ascii="ITC Avant Garde" w:eastAsia="Times New Roman" w:hAnsi="ITC Avant Garde"/>
                <w:color w:val="000000"/>
                <w:sz w:val="20"/>
                <w:szCs w:val="20"/>
                <w:lang w:eastAsia="es-MX"/>
              </w:rPr>
            </w:pPr>
            <w:r w:rsidRPr="001F1F79">
              <w:rPr>
                <w:rFonts w:ascii="ITC Avant Garde" w:eastAsia="Times New Roman" w:hAnsi="ITC Avant Garde"/>
                <w:color w:val="000000"/>
                <w:sz w:val="20"/>
                <w:szCs w:val="20"/>
                <w:lang w:eastAsia="es-MX"/>
              </w:rPr>
              <w:t>Anexo 1:</w:t>
            </w:r>
          </w:p>
          <w:p w14:paraId="22D99DFF" w14:textId="77777777" w:rsidR="00CB0700" w:rsidRPr="00885864" w:rsidRDefault="00876E61" w:rsidP="00CB0700">
            <w:pPr>
              <w:spacing w:after="120" w:line="276" w:lineRule="auto"/>
              <w:ind w:right="306"/>
              <w:jc w:val="both"/>
              <w:rPr>
                <w:rStyle w:val="Hipervnculo"/>
                <w:rFonts w:ascii="ITC Avant Garde" w:eastAsia="Times New Roman" w:hAnsi="ITC Avant Garde"/>
                <w:sz w:val="20"/>
                <w:szCs w:val="20"/>
                <w:lang w:eastAsia="es-MX"/>
              </w:rPr>
            </w:pPr>
            <w:hyperlink r:id="rId20" w:history="1">
              <w:r w:rsidR="00CB0700" w:rsidRPr="00885864">
                <w:rPr>
                  <w:rStyle w:val="Hipervnculo"/>
                  <w:rFonts w:ascii="ITC Avant Garde" w:eastAsia="Times New Roman" w:hAnsi="ITC Avant Garde"/>
                  <w:sz w:val="20"/>
                  <w:szCs w:val="20"/>
                  <w:lang w:eastAsia="es-MX"/>
                </w:rPr>
                <w:t>https://www.ift.org.mx/sites/default/files/anexo_1_medidas_2014-2017-2020_telecom.pdf</w:t>
              </w:r>
            </w:hyperlink>
          </w:p>
          <w:p w14:paraId="118F13A2" w14:textId="77777777" w:rsidR="00CB0700" w:rsidRPr="001F1F79" w:rsidRDefault="00CB0700" w:rsidP="00CB0700">
            <w:pPr>
              <w:spacing w:after="120" w:line="276" w:lineRule="auto"/>
              <w:ind w:right="306"/>
              <w:jc w:val="both"/>
              <w:rPr>
                <w:rFonts w:ascii="ITC Avant Garde" w:eastAsia="Times New Roman" w:hAnsi="ITC Avant Garde"/>
                <w:color w:val="000000"/>
                <w:sz w:val="20"/>
                <w:szCs w:val="20"/>
                <w:lang w:eastAsia="es-MX"/>
              </w:rPr>
            </w:pPr>
            <w:r w:rsidRPr="001F1F79">
              <w:rPr>
                <w:rFonts w:ascii="ITC Avant Garde" w:eastAsia="Times New Roman" w:hAnsi="ITC Avant Garde"/>
                <w:color w:val="000000"/>
                <w:sz w:val="20"/>
                <w:szCs w:val="20"/>
                <w:lang w:eastAsia="es-MX"/>
              </w:rPr>
              <w:lastRenderedPageBreak/>
              <w:t xml:space="preserve">Anexo 2: </w:t>
            </w:r>
          </w:p>
          <w:p w14:paraId="38F0F915" w14:textId="77777777" w:rsidR="00CB0700" w:rsidRPr="008F0D3E" w:rsidRDefault="00876E61" w:rsidP="00CB0700">
            <w:pPr>
              <w:spacing w:after="120" w:line="276" w:lineRule="auto"/>
              <w:ind w:right="306"/>
              <w:jc w:val="both"/>
              <w:rPr>
                <w:rFonts w:ascii="ITC Avant Garde" w:eastAsia="Times New Roman" w:hAnsi="ITC Avant Garde"/>
                <w:color w:val="0563C1"/>
                <w:sz w:val="20"/>
                <w:szCs w:val="20"/>
                <w:u w:val="single"/>
                <w:lang w:eastAsia="es-MX"/>
              </w:rPr>
            </w:pPr>
            <w:hyperlink r:id="rId21" w:history="1">
              <w:r w:rsidR="00CB0700" w:rsidRPr="00885864">
                <w:rPr>
                  <w:rStyle w:val="Hipervnculo"/>
                  <w:rFonts w:ascii="ITC Avant Garde" w:eastAsia="Times New Roman" w:hAnsi="ITC Avant Garde"/>
                  <w:sz w:val="20"/>
                  <w:szCs w:val="20"/>
                  <w:lang w:eastAsia="es-MX"/>
                </w:rPr>
                <w:t>https://www.ift.org.mx/sites/default/files/anexo_2_12.pdf</w:t>
              </w:r>
            </w:hyperlink>
          </w:p>
          <w:p w14:paraId="0F905C32" w14:textId="77777777" w:rsidR="00CB0700" w:rsidRDefault="00CB0700" w:rsidP="00CB0700">
            <w:pPr>
              <w:spacing w:after="120" w:line="276" w:lineRule="auto"/>
              <w:ind w:right="306"/>
              <w:jc w:val="both"/>
              <w:rPr>
                <w:rFonts w:ascii="ITC Avant Garde" w:eastAsia="Times New Roman" w:hAnsi="ITC Avant Garde"/>
                <w:color w:val="000000"/>
                <w:sz w:val="20"/>
                <w:szCs w:val="20"/>
                <w:lang w:eastAsia="es-MX"/>
              </w:rPr>
            </w:pPr>
            <w:r w:rsidRPr="001F1F79">
              <w:rPr>
                <w:rFonts w:ascii="ITC Avant Garde" w:eastAsia="Times New Roman" w:hAnsi="ITC Avant Garde"/>
                <w:color w:val="000000"/>
                <w:sz w:val="20"/>
                <w:szCs w:val="20"/>
                <w:lang w:eastAsia="es-MX"/>
              </w:rPr>
              <w:t>Anexo 3:</w:t>
            </w:r>
          </w:p>
          <w:p w14:paraId="302D9B2B" w14:textId="77777777" w:rsidR="00CB0700" w:rsidRPr="00885864" w:rsidRDefault="00CB0700" w:rsidP="00CB0700">
            <w:pPr>
              <w:spacing w:after="120" w:line="276" w:lineRule="auto"/>
              <w:ind w:right="306"/>
              <w:jc w:val="both"/>
              <w:rPr>
                <w:rStyle w:val="Hipervnculo"/>
                <w:rFonts w:ascii="ITC Avant Garde" w:eastAsia="Times New Roman" w:hAnsi="ITC Avant Garde"/>
                <w:sz w:val="20"/>
                <w:szCs w:val="20"/>
                <w:lang w:eastAsia="es-MX"/>
              </w:rPr>
            </w:pPr>
            <w:r w:rsidRPr="00885864">
              <w:rPr>
                <w:rStyle w:val="Hipervnculo"/>
                <w:rFonts w:ascii="ITC Avant Garde" w:eastAsia="Times New Roman" w:hAnsi="ITC Avant Garde"/>
                <w:sz w:val="20"/>
                <w:szCs w:val="20"/>
                <w:lang w:eastAsia="es-MX"/>
              </w:rPr>
              <w:t>https://www.ift.org.mx/sites/default/files/anexo_3_medidas_2014-2017-2020_telecom.pdf</w:t>
            </w:r>
          </w:p>
          <w:p w14:paraId="65ADC900" w14:textId="77777777" w:rsidR="00CB0700" w:rsidRDefault="00CB0700" w:rsidP="00261F84">
            <w:pPr>
              <w:spacing w:after="120" w:line="276" w:lineRule="auto"/>
              <w:ind w:right="309"/>
              <w:jc w:val="both"/>
              <w:rPr>
                <w:rFonts w:ascii="ITC Avant Garde" w:eastAsia="Times New Roman" w:hAnsi="ITC Avant Garde"/>
                <w:bCs/>
                <w:color w:val="000000"/>
                <w:sz w:val="20"/>
                <w:szCs w:val="20"/>
                <w:lang w:eastAsia="es-MX"/>
              </w:rPr>
            </w:pPr>
          </w:p>
          <w:p w14:paraId="156C94DD" w14:textId="62A4123C" w:rsidR="002843F1" w:rsidRDefault="002843F1" w:rsidP="00261F84">
            <w:pPr>
              <w:spacing w:after="120" w:line="276" w:lineRule="auto"/>
              <w:ind w:right="309"/>
              <w:jc w:val="both"/>
              <w:rPr>
                <w:rFonts w:ascii="ITC Avant Garde" w:eastAsia="Times New Roman" w:hAnsi="ITC Avant Garde"/>
                <w:bCs/>
                <w:color w:val="000000"/>
                <w:sz w:val="20"/>
                <w:szCs w:val="20"/>
                <w:lang w:eastAsia="es-MX"/>
              </w:rPr>
            </w:pPr>
            <w:r>
              <w:rPr>
                <w:rFonts w:ascii="ITC Avant Garde" w:eastAsia="Times New Roman" w:hAnsi="ITC Avant Garde"/>
                <w:bCs/>
                <w:color w:val="000000"/>
                <w:sz w:val="20"/>
                <w:szCs w:val="20"/>
                <w:lang w:eastAsia="es-MX"/>
              </w:rPr>
              <w:t>Como parte del ejercicio de la evaluación bienal el Instituto realiza un análisis exhaustivo e integral que</w:t>
            </w:r>
            <w:r w:rsidR="004D2FD5">
              <w:rPr>
                <w:rFonts w:ascii="ITC Avant Garde" w:eastAsia="Times New Roman" w:hAnsi="ITC Avant Garde"/>
                <w:bCs/>
                <w:color w:val="000000"/>
                <w:sz w:val="20"/>
                <w:szCs w:val="20"/>
                <w:lang w:eastAsia="es-MX"/>
              </w:rPr>
              <w:t xml:space="preserve">, al menos, </w:t>
            </w:r>
            <w:r>
              <w:rPr>
                <w:rFonts w:ascii="ITC Avant Garde" w:eastAsia="Times New Roman" w:hAnsi="ITC Avant Garde"/>
                <w:bCs/>
                <w:color w:val="000000"/>
                <w:sz w:val="20"/>
                <w:szCs w:val="20"/>
                <w:lang w:eastAsia="es-MX"/>
              </w:rPr>
              <w:t xml:space="preserve">considera </w:t>
            </w:r>
            <w:r w:rsidR="004D2FD5" w:rsidRPr="004D2FD5">
              <w:rPr>
                <w:rFonts w:ascii="ITC Avant Garde" w:eastAsia="Times New Roman" w:hAnsi="ITC Avant Garde"/>
                <w:bCs/>
                <w:color w:val="000000"/>
                <w:sz w:val="20"/>
                <w:szCs w:val="20"/>
                <w:lang w:eastAsia="es-MX"/>
              </w:rPr>
              <w:t>el impacto en la competencia de las medida</w:t>
            </w:r>
            <w:r w:rsidR="004D2FD5">
              <w:rPr>
                <w:rFonts w:ascii="ITC Avant Garde" w:eastAsia="Times New Roman" w:hAnsi="ITC Avant Garde"/>
                <w:bCs/>
                <w:color w:val="000000"/>
                <w:sz w:val="20"/>
                <w:szCs w:val="20"/>
                <w:lang w:eastAsia="es-MX"/>
              </w:rPr>
              <w:t xml:space="preserve">s, </w:t>
            </w:r>
            <w:r w:rsidR="004D2FD5" w:rsidRPr="004D2FD5">
              <w:rPr>
                <w:rFonts w:ascii="ITC Avant Garde" w:eastAsia="Times New Roman" w:hAnsi="ITC Avant Garde"/>
                <w:bCs/>
                <w:color w:val="000000"/>
                <w:sz w:val="20"/>
                <w:szCs w:val="20"/>
                <w:lang w:eastAsia="es-MX"/>
              </w:rPr>
              <w:t xml:space="preserve">los resultados de </w:t>
            </w:r>
            <w:r w:rsidR="004B0FD3">
              <w:rPr>
                <w:rFonts w:ascii="ITC Avant Garde" w:eastAsia="Times New Roman" w:hAnsi="ITC Avant Garde"/>
                <w:bCs/>
                <w:color w:val="000000"/>
                <w:sz w:val="20"/>
                <w:szCs w:val="20"/>
                <w:lang w:eastAsia="es-MX"/>
              </w:rPr>
              <w:t>su</w:t>
            </w:r>
            <w:r w:rsidR="004B0FD3" w:rsidRPr="004D2FD5">
              <w:rPr>
                <w:rFonts w:ascii="ITC Avant Garde" w:eastAsia="Times New Roman" w:hAnsi="ITC Avant Garde"/>
                <w:bCs/>
                <w:color w:val="000000"/>
                <w:sz w:val="20"/>
                <w:szCs w:val="20"/>
                <w:lang w:eastAsia="es-MX"/>
              </w:rPr>
              <w:t xml:space="preserve"> </w:t>
            </w:r>
            <w:r w:rsidR="004D2FD5" w:rsidRPr="004D2FD5">
              <w:rPr>
                <w:rFonts w:ascii="ITC Avant Garde" w:eastAsia="Times New Roman" w:hAnsi="ITC Avant Garde"/>
                <w:bCs/>
                <w:color w:val="000000"/>
                <w:sz w:val="20"/>
                <w:szCs w:val="20"/>
                <w:lang w:eastAsia="es-MX"/>
              </w:rPr>
              <w:t>implementación</w:t>
            </w:r>
            <w:r w:rsidR="004D2FD5">
              <w:rPr>
                <w:rFonts w:ascii="ITC Avant Garde" w:eastAsia="Times New Roman" w:hAnsi="ITC Avant Garde"/>
                <w:bCs/>
                <w:color w:val="000000"/>
                <w:sz w:val="20"/>
                <w:szCs w:val="20"/>
                <w:lang w:eastAsia="es-MX"/>
              </w:rPr>
              <w:t>, las mejores prácticas internacionales, el aprendizaje adquirido desde la imposición de las medidas como parte de su implementación y las manifestaciones de la industria, académicos</w:t>
            </w:r>
            <w:r w:rsidR="004B0FD3">
              <w:rPr>
                <w:rFonts w:ascii="ITC Avant Garde" w:eastAsia="Times New Roman" w:hAnsi="ITC Avant Garde"/>
                <w:bCs/>
                <w:color w:val="000000"/>
                <w:sz w:val="20"/>
                <w:szCs w:val="20"/>
                <w:lang w:eastAsia="es-MX"/>
              </w:rPr>
              <w:t>,</w:t>
            </w:r>
            <w:r w:rsidR="004D2FD5">
              <w:rPr>
                <w:rFonts w:ascii="ITC Avant Garde" w:eastAsia="Times New Roman" w:hAnsi="ITC Avant Garde"/>
                <w:bCs/>
                <w:color w:val="000000"/>
                <w:sz w:val="20"/>
                <w:szCs w:val="20"/>
                <w:lang w:eastAsia="es-MX"/>
              </w:rPr>
              <w:t xml:space="preserve"> sociedad civil</w:t>
            </w:r>
            <w:r w:rsidR="004B0FD3">
              <w:rPr>
                <w:rFonts w:ascii="ITC Avant Garde" w:eastAsia="Times New Roman" w:hAnsi="ITC Avant Garde"/>
                <w:bCs/>
                <w:color w:val="000000"/>
                <w:sz w:val="20"/>
                <w:szCs w:val="20"/>
                <w:lang w:eastAsia="es-MX"/>
              </w:rPr>
              <w:t xml:space="preserve"> y demás personas interesadas en el tema</w:t>
            </w:r>
            <w:r w:rsidR="004D2FD5">
              <w:rPr>
                <w:rFonts w:ascii="ITC Avant Garde" w:eastAsia="Times New Roman" w:hAnsi="ITC Avant Garde"/>
                <w:bCs/>
                <w:color w:val="000000"/>
                <w:sz w:val="20"/>
                <w:szCs w:val="20"/>
                <w:lang w:eastAsia="es-MX"/>
              </w:rPr>
              <w:t>.</w:t>
            </w:r>
          </w:p>
          <w:p w14:paraId="53155A9D" w14:textId="6BE00148" w:rsidR="00261F84" w:rsidRPr="00261F84" w:rsidRDefault="002843F1" w:rsidP="001F1F79">
            <w:pPr>
              <w:spacing w:after="120" w:line="276" w:lineRule="auto"/>
              <w:ind w:right="361"/>
              <w:jc w:val="both"/>
              <w:rPr>
                <w:rFonts w:ascii="ITC Avant Garde" w:eastAsia="Times New Roman" w:hAnsi="ITC Avant Garde"/>
                <w:color w:val="000000"/>
                <w:sz w:val="20"/>
                <w:szCs w:val="20"/>
                <w:lang w:eastAsia="es-MX"/>
              </w:rPr>
            </w:pPr>
            <w:r>
              <w:rPr>
                <w:rFonts w:ascii="ITC Avant Garde" w:eastAsia="Times New Roman" w:hAnsi="ITC Avant Garde"/>
                <w:bCs/>
                <w:color w:val="000000"/>
                <w:sz w:val="20"/>
                <w:szCs w:val="20"/>
                <w:lang w:eastAsia="es-MX"/>
              </w:rPr>
              <w:t xml:space="preserve">Por lo anterior, </w:t>
            </w:r>
            <w:r>
              <w:rPr>
                <w:rFonts w:ascii="ITC Avant Garde" w:eastAsia="Times New Roman" w:hAnsi="ITC Avant Garde"/>
                <w:color w:val="000000"/>
                <w:sz w:val="20"/>
                <w:szCs w:val="20"/>
                <w:lang w:eastAsia="es-MX"/>
              </w:rPr>
              <w:t>e</w:t>
            </w:r>
            <w:r w:rsidR="00261F84" w:rsidRPr="00261F84">
              <w:rPr>
                <w:rFonts w:ascii="ITC Avant Garde" w:eastAsia="Times New Roman" w:hAnsi="ITC Avant Garde"/>
                <w:color w:val="000000"/>
                <w:sz w:val="20"/>
                <w:szCs w:val="20"/>
                <w:lang w:eastAsia="es-MX"/>
              </w:rPr>
              <w:t xml:space="preserve">l Instituto Federal de Telecomunicaciones (en lo sucesivo, el “Instituto”) lleva a cabo la presente </w:t>
            </w:r>
            <w:r w:rsidR="005855BA">
              <w:rPr>
                <w:rFonts w:ascii="ITC Avant Garde" w:eastAsia="Times New Roman" w:hAnsi="ITC Avant Garde"/>
                <w:color w:val="000000"/>
                <w:sz w:val="20"/>
                <w:szCs w:val="20"/>
                <w:lang w:eastAsia="es-MX"/>
              </w:rPr>
              <w:t>C</w:t>
            </w:r>
            <w:r w:rsidR="00261F84" w:rsidRPr="00261F84">
              <w:rPr>
                <w:rFonts w:ascii="ITC Avant Garde" w:eastAsia="Times New Roman" w:hAnsi="ITC Avant Garde"/>
                <w:color w:val="000000"/>
                <w:sz w:val="20"/>
                <w:szCs w:val="20"/>
                <w:lang w:eastAsia="es-MX"/>
              </w:rPr>
              <w:t xml:space="preserve">onsulta </w:t>
            </w:r>
            <w:r w:rsidR="005855BA">
              <w:rPr>
                <w:rFonts w:ascii="ITC Avant Garde" w:eastAsia="Times New Roman" w:hAnsi="ITC Avant Garde"/>
                <w:color w:val="000000"/>
                <w:sz w:val="20"/>
                <w:szCs w:val="20"/>
                <w:lang w:eastAsia="es-MX"/>
              </w:rPr>
              <w:t>P</w:t>
            </w:r>
            <w:r w:rsidR="00261F84" w:rsidRPr="00261F84">
              <w:rPr>
                <w:rFonts w:ascii="ITC Avant Garde" w:eastAsia="Times New Roman" w:hAnsi="ITC Avant Garde"/>
                <w:color w:val="000000"/>
                <w:sz w:val="20"/>
                <w:szCs w:val="20"/>
                <w:lang w:eastAsia="es-MX"/>
              </w:rPr>
              <w:t xml:space="preserve">ública </w:t>
            </w:r>
            <w:r w:rsidR="004B0FD3">
              <w:rPr>
                <w:rFonts w:ascii="ITC Avant Garde" w:eastAsia="Times New Roman" w:hAnsi="ITC Avant Garde"/>
                <w:color w:val="000000"/>
                <w:sz w:val="20"/>
                <w:szCs w:val="20"/>
                <w:lang w:eastAsia="es-MX"/>
              </w:rPr>
              <w:t xml:space="preserve">de </w:t>
            </w:r>
            <w:r w:rsidR="005855BA">
              <w:rPr>
                <w:rFonts w:ascii="ITC Avant Garde" w:eastAsia="Times New Roman" w:hAnsi="ITC Avant Garde"/>
                <w:color w:val="000000"/>
                <w:sz w:val="20"/>
                <w:szCs w:val="20"/>
                <w:lang w:eastAsia="es-MX"/>
              </w:rPr>
              <w:t>I</w:t>
            </w:r>
            <w:r w:rsidR="004B0FD3">
              <w:rPr>
                <w:rFonts w:ascii="ITC Avant Garde" w:eastAsia="Times New Roman" w:hAnsi="ITC Avant Garde"/>
                <w:color w:val="000000"/>
                <w:sz w:val="20"/>
                <w:szCs w:val="20"/>
                <w:lang w:eastAsia="es-MX"/>
              </w:rPr>
              <w:t xml:space="preserve">ntegración </w:t>
            </w:r>
            <w:r w:rsidR="00261F84" w:rsidRPr="00261F84">
              <w:rPr>
                <w:rFonts w:ascii="ITC Avant Garde" w:eastAsia="Times New Roman" w:hAnsi="ITC Avant Garde"/>
                <w:color w:val="000000"/>
                <w:sz w:val="20"/>
                <w:szCs w:val="20"/>
                <w:lang w:eastAsia="es-MX"/>
              </w:rPr>
              <w:t>con la finalidad de recabar:</w:t>
            </w:r>
          </w:p>
          <w:p w14:paraId="75422C32" w14:textId="24CAB17F" w:rsidR="00261F84" w:rsidRPr="00261F84" w:rsidRDefault="00261F84">
            <w:pPr>
              <w:numPr>
                <w:ilvl w:val="0"/>
                <w:numId w:val="8"/>
              </w:numPr>
              <w:spacing w:after="120" w:line="276" w:lineRule="auto"/>
              <w:ind w:right="361"/>
              <w:jc w:val="both"/>
              <w:rPr>
                <w:rFonts w:ascii="ITC Avant Garde" w:eastAsia="Times New Roman" w:hAnsi="ITC Avant Garde"/>
                <w:color w:val="000000"/>
                <w:sz w:val="20"/>
                <w:szCs w:val="20"/>
                <w:lang w:eastAsia="es-MX"/>
              </w:rPr>
            </w:pPr>
            <w:r w:rsidRPr="00261F84">
              <w:rPr>
                <w:rFonts w:ascii="ITC Avant Garde" w:eastAsia="Times New Roman" w:hAnsi="ITC Avant Garde"/>
                <w:color w:val="000000"/>
                <w:sz w:val="20"/>
                <w:szCs w:val="20"/>
                <w:lang w:eastAsia="es-MX"/>
              </w:rPr>
              <w:t xml:space="preserve">Información, comentarios, opiniones, aportaciones u otros elementos de análisis que puedan ser útiles para evaluar el impacto en términos de competencia de las medidas impuestas al </w:t>
            </w:r>
            <w:r w:rsidR="004D2FD5">
              <w:rPr>
                <w:rFonts w:ascii="ITC Avant Garde" w:eastAsia="Times New Roman" w:hAnsi="ITC Avant Garde"/>
                <w:color w:val="000000"/>
                <w:sz w:val="20"/>
                <w:szCs w:val="20"/>
                <w:lang w:eastAsia="es-MX"/>
              </w:rPr>
              <w:t>AEPT</w:t>
            </w:r>
            <w:r w:rsidRPr="00261F84">
              <w:rPr>
                <w:rFonts w:ascii="ITC Avant Garde" w:eastAsia="Times New Roman" w:hAnsi="ITC Avant Garde"/>
                <w:color w:val="000000"/>
                <w:sz w:val="20"/>
                <w:szCs w:val="20"/>
                <w:lang w:eastAsia="es-MX"/>
              </w:rPr>
              <w:t>, y</w:t>
            </w:r>
          </w:p>
          <w:p w14:paraId="72DC1EAF" w14:textId="77777777" w:rsidR="000553DD" w:rsidRPr="00D226A1" w:rsidRDefault="00261F84">
            <w:pPr>
              <w:numPr>
                <w:ilvl w:val="0"/>
                <w:numId w:val="8"/>
              </w:numPr>
              <w:spacing w:after="120" w:line="276" w:lineRule="auto"/>
              <w:ind w:right="361"/>
              <w:jc w:val="both"/>
              <w:rPr>
                <w:rFonts w:eastAsia="Times New Roman"/>
                <w:color w:val="000000"/>
                <w:szCs w:val="20"/>
                <w:lang w:eastAsia="es-MX"/>
              </w:rPr>
            </w:pPr>
            <w:r w:rsidRPr="00261F84">
              <w:rPr>
                <w:rFonts w:ascii="ITC Avant Garde" w:eastAsia="Times New Roman" w:hAnsi="ITC Avant Garde"/>
                <w:color w:val="000000"/>
                <w:sz w:val="20"/>
                <w:szCs w:val="20"/>
                <w:lang w:eastAsia="es-MX"/>
              </w:rPr>
              <w:t>En su caso, propuestas justificadas de supresión, modificación o adición de medidas.</w:t>
            </w:r>
          </w:p>
          <w:p w14:paraId="0192058E" w14:textId="4DB7A1D3" w:rsidR="00D226A1" w:rsidRPr="0045024C" w:rsidRDefault="00B1038A" w:rsidP="00B1038A">
            <w:pPr>
              <w:spacing w:after="120" w:line="276" w:lineRule="auto"/>
              <w:ind w:right="361"/>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Si bien </w:t>
            </w:r>
            <w:r w:rsidR="00D226A1" w:rsidRPr="0045024C">
              <w:rPr>
                <w:rFonts w:ascii="ITC Avant Garde" w:eastAsia="Times New Roman" w:hAnsi="ITC Avant Garde"/>
                <w:color w:val="000000"/>
                <w:sz w:val="20"/>
                <w:szCs w:val="20"/>
                <w:lang w:eastAsia="es-MX"/>
              </w:rPr>
              <w:t>la regulación asimétrica impuesta al AEPT consiste tanto en las propias medidas como en instrumentos regulatorios asociados</w:t>
            </w:r>
            <w:r>
              <w:rPr>
                <w:rFonts w:ascii="ITC Avant Garde" w:eastAsia="Times New Roman" w:hAnsi="ITC Avant Garde"/>
                <w:color w:val="000000"/>
                <w:sz w:val="20"/>
                <w:szCs w:val="20"/>
                <w:lang w:eastAsia="es-MX"/>
              </w:rPr>
              <w:t xml:space="preserve"> (</w:t>
            </w:r>
            <w:r w:rsidR="001F5B68">
              <w:rPr>
                <w:rFonts w:ascii="ITC Avant Garde" w:eastAsia="Times New Roman" w:hAnsi="ITC Avant Garde"/>
                <w:color w:val="000000"/>
                <w:sz w:val="20"/>
                <w:szCs w:val="20"/>
                <w:lang w:eastAsia="es-MX"/>
              </w:rPr>
              <w:t xml:space="preserve">ej., </w:t>
            </w:r>
            <w:r>
              <w:rPr>
                <w:rFonts w:ascii="ITC Avant Garde" w:eastAsia="Times New Roman" w:hAnsi="ITC Avant Garde"/>
                <w:color w:val="000000"/>
                <w:sz w:val="20"/>
                <w:szCs w:val="20"/>
                <w:lang w:eastAsia="es-MX"/>
              </w:rPr>
              <w:t>ofertas de referencia, metodologías de replicabilidad económica, indicadores clave de desempeño, modelos de costos, entro otros), la</w:t>
            </w:r>
            <w:r w:rsidR="00D226A1" w:rsidRPr="0045024C">
              <w:rPr>
                <w:rFonts w:ascii="ITC Avant Garde" w:eastAsia="Times New Roman" w:hAnsi="ITC Avant Garde"/>
                <w:color w:val="000000"/>
                <w:sz w:val="20"/>
                <w:szCs w:val="20"/>
                <w:lang w:eastAsia="es-MX"/>
              </w:rPr>
              <w:t xml:space="preserve"> presente </w:t>
            </w:r>
            <w:r w:rsidR="005855BA">
              <w:rPr>
                <w:rFonts w:ascii="ITC Avant Garde" w:eastAsia="Times New Roman" w:hAnsi="ITC Avant Garde"/>
                <w:color w:val="000000"/>
                <w:sz w:val="20"/>
                <w:szCs w:val="20"/>
                <w:lang w:eastAsia="es-MX"/>
              </w:rPr>
              <w:t>C</w:t>
            </w:r>
            <w:r w:rsidR="00D226A1" w:rsidRPr="0045024C">
              <w:rPr>
                <w:rFonts w:ascii="ITC Avant Garde" w:eastAsia="Times New Roman" w:hAnsi="ITC Avant Garde"/>
                <w:color w:val="000000"/>
                <w:sz w:val="20"/>
                <w:szCs w:val="20"/>
                <w:lang w:eastAsia="es-MX"/>
              </w:rPr>
              <w:t xml:space="preserve">onsulta </w:t>
            </w:r>
            <w:r w:rsidR="005855BA">
              <w:rPr>
                <w:rFonts w:ascii="ITC Avant Garde" w:eastAsia="Times New Roman" w:hAnsi="ITC Avant Garde"/>
                <w:color w:val="000000"/>
                <w:sz w:val="20"/>
                <w:szCs w:val="20"/>
                <w:lang w:eastAsia="es-MX"/>
              </w:rPr>
              <w:t>P</w:t>
            </w:r>
            <w:r w:rsidR="00D226A1" w:rsidRPr="0045024C">
              <w:rPr>
                <w:rFonts w:ascii="ITC Avant Garde" w:eastAsia="Times New Roman" w:hAnsi="ITC Avant Garde"/>
                <w:color w:val="000000"/>
                <w:sz w:val="20"/>
                <w:szCs w:val="20"/>
                <w:lang w:eastAsia="es-MX"/>
              </w:rPr>
              <w:t>ública</w:t>
            </w:r>
            <w:r w:rsidR="005855BA">
              <w:rPr>
                <w:rFonts w:ascii="ITC Avant Garde" w:eastAsia="Times New Roman" w:hAnsi="ITC Avant Garde"/>
                <w:color w:val="000000"/>
                <w:sz w:val="20"/>
                <w:szCs w:val="20"/>
                <w:lang w:eastAsia="es-MX"/>
              </w:rPr>
              <w:t xml:space="preserve"> de Integración</w:t>
            </w:r>
            <w:r w:rsidR="00D226A1" w:rsidRPr="0045024C">
              <w:rPr>
                <w:rFonts w:ascii="ITC Avant Garde" w:eastAsia="Times New Roman" w:hAnsi="ITC Avant Garde"/>
                <w:color w:val="000000"/>
                <w:sz w:val="20"/>
                <w:szCs w:val="20"/>
                <w:lang w:eastAsia="es-MX"/>
              </w:rPr>
              <w:t xml:space="preserve"> servirá como insumo para el análisis del impacto de las medidas</w:t>
            </w:r>
            <w:r>
              <w:rPr>
                <w:rFonts w:ascii="ITC Avant Garde" w:eastAsia="Times New Roman" w:hAnsi="ITC Avant Garde"/>
                <w:color w:val="000000"/>
                <w:sz w:val="20"/>
                <w:szCs w:val="20"/>
                <w:lang w:eastAsia="es-MX"/>
              </w:rPr>
              <w:t>, en consistencia con el objetivo del procedimiento de la evaluación bienal.</w:t>
            </w:r>
          </w:p>
          <w:p w14:paraId="72EE44AB" w14:textId="0B76657D" w:rsidR="00D226A1" w:rsidRPr="0045024C" w:rsidRDefault="00D226A1" w:rsidP="00D226A1">
            <w:pPr>
              <w:spacing w:after="120" w:line="276" w:lineRule="auto"/>
              <w:ind w:right="361"/>
              <w:jc w:val="both"/>
              <w:rPr>
                <w:rFonts w:ascii="ITC Avant Garde" w:eastAsia="Times New Roman" w:hAnsi="ITC Avant Garde"/>
                <w:color w:val="000000"/>
                <w:sz w:val="20"/>
                <w:szCs w:val="20"/>
                <w:lang w:eastAsia="es-MX"/>
              </w:rPr>
            </w:pPr>
          </w:p>
        </w:tc>
      </w:tr>
      <w:tr w:rsidR="000553DD" w:rsidRPr="00E9169D" w14:paraId="5EAC43BE" w14:textId="77777777" w:rsidTr="00184FA4">
        <w:trPr>
          <w:trHeight w:val="298"/>
        </w:trPr>
        <w:tc>
          <w:tcPr>
            <w:tcW w:w="8644" w:type="dxa"/>
            <w:shd w:val="clear" w:color="auto" w:fill="C5E0B3"/>
            <w:noWrap/>
            <w:vAlign w:val="center"/>
          </w:tcPr>
          <w:p w14:paraId="11FE2A5F" w14:textId="77777777" w:rsidR="000553DD" w:rsidRPr="00C0424E" w:rsidRDefault="000553DD" w:rsidP="00280134">
            <w:pPr>
              <w:spacing w:after="0" w:line="240" w:lineRule="auto"/>
              <w:jc w:val="both"/>
              <w:rPr>
                <w:rFonts w:ascii="ITC Avant Garde" w:eastAsia="Times New Roman" w:hAnsi="ITC Avant Garde"/>
                <w:color w:val="000000"/>
                <w:sz w:val="16"/>
                <w:szCs w:val="16"/>
                <w:lang w:eastAsia="es-MX"/>
              </w:rPr>
            </w:pPr>
          </w:p>
        </w:tc>
      </w:tr>
    </w:tbl>
    <w:p w14:paraId="11AFC9EF" w14:textId="77777777" w:rsidR="0068054F" w:rsidRPr="00F36A5D" w:rsidRDefault="0068054F" w:rsidP="00DF5B3F">
      <w:pPr>
        <w:spacing w:after="0"/>
        <w:rPr>
          <w:rFonts w:ascii="ITC Avant Garde" w:hAnsi="ITC Avant Garde"/>
          <w:vanish/>
        </w:rPr>
      </w:pPr>
    </w:p>
    <w:p w14:paraId="1FE29D9C" w14:textId="77777777" w:rsidR="00DF154A" w:rsidRDefault="00DF154A" w:rsidP="00170916">
      <w:pPr>
        <w:spacing w:after="0"/>
        <w:jc w:val="both"/>
        <w:rPr>
          <w:rFonts w:ascii="ITC Avant Garde" w:hAnsi="ITC Avant Garde"/>
          <w:sz w:val="16"/>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17"/>
      </w:tblGrid>
      <w:tr w:rsidR="007C6308" w:rsidRPr="00D26916" w14:paraId="1B5AB519" w14:textId="77777777" w:rsidTr="000A2363">
        <w:trPr>
          <w:trHeight w:val="600"/>
          <w:jc w:val="center"/>
        </w:trPr>
        <w:tc>
          <w:tcPr>
            <w:tcW w:w="8617" w:type="dxa"/>
            <w:shd w:val="clear" w:color="auto" w:fill="D9D9D9"/>
            <w:vAlign w:val="center"/>
            <w:hideMark/>
          </w:tcPr>
          <w:p w14:paraId="5874FEAA" w14:textId="77777777" w:rsidR="007C6308" w:rsidRPr="00D26916" w:rsidRDefault="007C6308" w:rsidP="007C6308">
            <w:pPr>
              <w:pStyle w:val="Ttulo2"/>
            </w:pPr>
            <w:r>
              <w:t>Guía para el llenado del formato</w:t>
            </w:r>
          </w:p>
        </w:tc>
      </w:tr>
      <w:tr w:rsidR="007C6308" w:rsidRPr="00DF5B3F" w14:paraId="42F8FF78" w14:textId="77777777" w:rsidTr="000A2363">
        <w:trPr>
          <w:trHeight w:val="720"/>
          <w:jc w:val="center"/>
        </w:trPr>
        <w:tc>
          <w:tcPr>
            <w:tcW w:w="8617" w:type="dxa"/>
            <w:shd w:val="clear" w:color="000000" w:fill="FFFFFF"/>
            <w:noWrap/>
            <w:hideMark/>
          </w:tcPr>
          <w:p w14:paraId="6075E8E0" w14:textId="4A0A7918" w:rsidR="007C6308" w:rsidRPr="001F1F79" w:rsidRDefault="007C6308" w:rsidP="00EA0095">
            <w:pPr>
              <w:spacing w:before="240" w:after="120" w:line="276" w:lineRule="auto"/>
              <w:ind w:right="213"/>
              <w:jc w:val="both"/>
              <w:rPr>
                <w:rFonts w:ascii="ITC Avant Garde" w:eastAsia="Times New Roman" w:hAnsi="ITC Avant Garde"/>
                <w:b/>
                <w:color w:val="000000"/>
                <w:sz w:val="20"/>
                <w:szCs w:val="20"/>
                <w:lang w:eastAsia="es-MX"/>
              </w:rPr>
            </w:pPr>
            <w:r w:rsidRPr="001F1F79">
              <w:rPr>
                <w:rFonts w:ascii="ITC Avant Garde" w:eastAsia="Times New Roman" w:hAnsi="ITC Avant Garde"/>
                <w:color w:val="000000"/>
                <w:sz w:val="20"/>
                <w:szCs w:val="20"/>
                <w:lang w:eastAsia="es-MX"/>
              </w:rPr>
              <w:t>A fin de llevar a cabo el proceso de revisión bienal del impacto de las medidas asimétricas impuestas al AEPT, se solicita a l</w:t>
            </w:r>
            <w:r w:rsidR="00966D07">
              <w:rPr>
                <w:rFonts w:ascii="ITC Avant Garde" w:eastAsia="Times New Roman" w:hAnsi="ITC Avant Garde"/>
                <w:color w:val="000000"/>
                <w:sz w:val="20"/>
                <w:szCs w:val="20"/>
                <w:lang w:eastAsia="es-MX"/>
              </w:rPr>
              <w:t>a</w:t>
            </w:r>
            <w:r w:rsidRPr="001F1F79">
              <w:rPr>
                <w:rFonts w:ascii="ITC Avant Garde" w:eastAsia="Times New Roman" w:hAnsi="ITC Avant Garde"/>
                <w:color w:val="000000"/>
                <w:sz w:val="20"/>
                <w:szCs w:val="20"/>
                <w:lang w:eastAsia="es-MX"/>
              </w:rPr>
              <w:t>s</w:t>
            </w:r>
            <w:r w:rsidR="00966D07">
              <w:rPr>
                <w:rFonts w:ascii="ITC Avant Garde" w:eastAsia="Times New Roman" w:hAnsi="ITC Avant Garde"/>
                <w:color w:val="000000"/>
                <w:sz w:val="20"/>
                <w:szCs w:val="20"/>
                <w:lang w:eastAsia="es-MX"/>
              </w:rPr>
              <w:t xml:space="preserve"> personas</w:t>
            </w:r>
            <w:r w:rsidRPr="001F1F79">
              <w:rPr>
                <w:rFonts w:ascii="ITC Avant Garde" w:eastAsia="Times New Roman" w:hAnsi="ITC Avant Garde"/>
                <w:color w:val="000000"/>
                <w:sz w:val="20"/>
                <w:szCs w:val="20"/>
                <w:lang w:eastAsia="es-MX"/>
              </w:rPr>
              <w:t xml:space="preserve"> participantes que ofrezcan respuestas a las preguntas planteadas en cada grupo de medidas, en función de los efectos que se han observado de las medidas (en lo individual o en su conjunto). Lo anterior, sin perder de vista que las medidas impuestas al AEPT tienen la finalidad de </w:t>
            </w:r>
            <w:r w:rsidRPr="001F1F79">
              <w:rPr>
                <w:rFonts w:ascii="ITC Avant Garde" w:eastAsia="Times New Roman" w:hAnsi="ITC Avant Garde"/>
                <w:b/>
                <w:color w:val="000000"/>
                <w:sz w:val="20"/>
                <w:szCs w:val="20"/>
                <w:lang w:eastAsia="es-MX"/>
              </w:rPr>
              <w:lastRenderedPageBreak/>
              <w:t>evitar que se afecte la competencia y la libre concurrencia y, con ello, a los usuarios finales.</w:t>
            </w:r>
          </w:p>
          <w:p w14:paraId="2673BE02" w14:textId="3683513C" w:rsidR="007C6308" w:rsidRPr="001F1F79" w:rsidRDefault="007C6308" w:rsidP="00EA0095">
            <w:pPr>
              <w:spacing w:before="240" w:after="120" w:line="276" w:lineRule="auto"/>
              <w:ind w:right="213"/>
              <w:jc w:val="both"/>
              <w:rPr>
                <w:rFonts w:ascii="ITC Avant Garde" w:eastAsia="Times New Roman" w:hAnsi="ITC Avant Garde"/>
                <w:color w:val="000000"/>
                <w:sz w:val="20"/>
                <w:szCs w:val="20"/>
                <w:lang w:eastAsia="es-MX"/>
              </w:rPr>
            </w:pPr>
            <w:r w:rsidRPr="001F1F79">
              <w:rPr>
                <w:rFonts w:ascii="ITC Avant Garde" w:eastAsia="Times New Roman" w:hAnsi="ITC Avant Garde"/>
                <w:color w:val="000000"/>
                <w:sz w:val="20"/>
                <w:szCs w:val="20"/>
                <w:lang w:eastAsia="es-MX"/>
              </w:rPr>
              <w:t>En este sentido, se considera relevante precisar que se evaluará el impacto de las medidas en el sector de telecomunicaciones en función de</w:t>
            </w:r>
            <w:r w:rsidR="0045595D">
              <w:rPr>
                <w:rFonts w:ascii="ITC Avant Garde" w:eastAsia="Times New Roman" w:hAnsi="ITC Avant Garde"/>
                <w:color w:val="000000"/>
                <w:sz w:val="20"/>
                <w:szCs w:val="20"/>
                <w:lang w:eastAsia="es-MX"/>
              </w:rPr>
              <w:t>:</w:t>
            </w:r>
            <w:r w:rsidRPr="001F1F79">
              <w:rPr>
                <w:rFonts w:ascii="ITC Avant Garde" w:eastAsia="Times New Roman" w:hAnsi="ITC Avant Garde"/>
                <w:color w:val="000000"/>
                <w:sz w:val="20"/>
                <w:szCs w:val="20"/>
                <w:lang w:eastAsia="es-MX"/>
              </w:rPr>
              <w:t xml:space="preserve"> i) </w:t>
            </w:r>
            <w:r w:rsidR="0092653E">
              <w:rPr>
                <w:rFonts w:ascii="ITC Avant Garde" w:eastAsia="Times New Roman" w:hAnsi="ITC Avant Garde"/>
                <w:color w:val="000000"/>
                <w:sz w:val="20"/>
                <w:szCs w:val="20"/>
                <w:lang w:eastAsia="es-MX"/>
              </w:rPr>
              <w:t>el efecto</w:t>
            </w:r>
            <w:r w:rsidRPr="001F1F79">
              <w:rPr>
                <w:rFonts w:ascii="ITC Avant Garde" w:eastAsia="Times New Roman" w:hAnsi="ITC Avant Garde"/>
                <w:color w:val="000000"/>
                <w:sz w:val="20"/>
                <w:szCs w:val="20"/>
                <w:lang w:eastAsia="es-MX"/>
              </w:rPr>
              <w:t xml:space="preserve"> que ha </w:t>
            </w:r>
            <w:r w:rsidR="0092653E">
              <w:rPr>
                <w:rFonts w:ascii="ITC Avant Garde" w:eastAsia="Times New Roman" w:hAnsi="ITC Avant Garde"/>
                <w:color w:val="000000"/>
                <w:sz w:val="20"/>
                <w:szCs w:val="20"/>
                <w:lang w:eastAsia="es-MX"/>
              </w:rPr>
              <w:t xml:space="preserve">tenido la regulación asimétrica </w:t>
            </w:r>
            <w:r w:rsidR="004B0FD3">
              <w:rPr>
                <w:rFonts w:ascii="ITC Avant Garde" w:eastAsia="Times New Roman" w:hAnsi="ITC Avant Garde"/>
                <w:color w:val="000000"/>
                <w:sz w:val="20"/>
                <w:szCs w:val="20"/>
                <w:lang w:eastAsia="es-MX"/>
              </w:rPr>
              <w:t>de</w:t>
            </w:r>
            <w:r w:rsidR="0092653E">
              <w:rPr>
                <w:rFonts w:ascii="ITC Avant Garde" w:eastAsia="Times New Roman" w:hAnsi="ITC Avant Garde"/>
                <w:color w:val="000000"/>
                <w:sz w:val="20"/>
                <w:szCs w:val="20"/>
                <w:lang w:eastAsia="es-MX"/>
              </w:rPr>
              <w:t xml:space="preserve">l AEPT </w:t>
            </w:r>
            <w:r w:rsidR="00EA0479">
              <w:rPr>
                <w:rFonts w:ascii="ITC Avant Garde" w:eastAsia="Times New Roman" w:hAnsi="ITC Avant Garde"/>
                <w:color w:val="000000"/>
                <w:sz w:val="20"/>
                <w:szCs w:val="20"/>
                <w:lang w:eastAsia="es-MX"/>
              </w:rPr>
              <w:t>por grupo de</w:t>
            </w:r>
            <w:r w:rsidR="009D0819">
              <w:rPr>
                <w:rFonts w:ascii="ITC Avant Garde" w:eastAsia="Times New Roman" w:hAnsi="ITC Avant Garde"/>
                <w:color w:val="000000"/>
                <w:sz w:val="20"/>
                <w:szCs w:val="20"/>
                <w:lang w:eastAsia="es-MX"/>
              </w:rPr>
              <w:t xml:space="preserve"> medidas</w:t>
            </w:r>
            <w:r w:rsidRPr="001F1F79">
              <w:rPr>
                <w:rFonts w:ascii="ITC Avant Garde" w:eastAsia="Times New Roman" w:hAnsi="ITC Avant Garde"/>
                <w:color w:val="000000"/>
                <w:sz w:val="20"/>
                <w:szCs w:val="20"/>
                <w:lang w:eastAsia="es-MX"/>
              </w:rPr>
              <w:t xml:space="preserve">; </w:t>
            </w:r>
            <w:proofErr w:type="spellStart"/>
            <w:r w:rsidRPr="001F1F79">
              <w:rPr>
                <w:rFonts w:ascii="ITC Avant Garde" w:eastAsia="Times New Roman" w:hAnsi="ITC Avant Garde"/>
                <w:color w:val="000000"/>
                <w:sz w:val="20"/>
                <w:szCs w:val="20"/>
                <w:lang w:eastAsia="es-MX"/>
              </w:rPr>
              <w:t>ii</w:t>
            </w:r>
            <w:proofErr w:type="spellEnd"/>
            <w:r w:rsidRPr="001F1F79">
              <w:rPr>
                <w:rFonts w:ascii="ITC Avant Garde" w:eastAsia="Times New Roman" w:hAnsi="ITC Avant Garde"/>
                <w:color w:val="000000"/>
                <w:sz w:val="20"/>
                <w:szCs w:val="20"/>
                <w:lang w:eastAsia="es-MX"/>
              </w:rPr>
              <w:t xml:space="preserve">) </w:t>
            </w:r>
            <w:r w:rsidR="00463E04">
              <w:rPr>
                <w:rFonts w:ascii="ITC Avant Garde" w:eastAsia="Times New Roman" w:hAnsi="ITC Avant Garde"/>
                <w:color w:val="000000"/>
                <w:sz w:val="20"/>
                <w:szCs w:val="20"/>
                <w:lang w:eastAsia="es-MX"/>
              </w:rPr>
              <w:t>el</w:t>
            </w:r>
            <w:r w:rsidRPr="001F1F79">
              <w:rPr>
                <w:rFonts w:ascii="ITC Avant Garde" w:eastAsia="Times New Roman" w:hAnsi="ITC Avant Garde"/>
                <w:color w:val="000000"/>
                <w:sz w:val="20"/>
                <w:szCs w:val="20"/>
                <w:lang w:eastAsia="es-MX"/>
              </w:rPr>
              <w:t xml:space="preserve"> diseño</w:t>
            </w:r>
            <w:r w:rsidR="00463E04">
              <w:rPr>
                <w:rFonts w:ascii="ITC Avant Garde" w:eastAsia="Times New Roman" w:hAnsi="ITC Avant Garde"/>
                <w:color w:val="000000"/>
                <w:sz w:val="20"/>
                <w:szCs w:val="20"/>
                <w:lang w:eastAsia="es-MX"/>
              </w:rPr>
              <w:t xml:space="preserve"> e idoneidad de las medidas para alcanzar los objetivos por los que se plantearon</w:t>
            </w:r>
            <w:r w:rsidRPr="001F1F79">
              <w:rPr>
                <w:rFonts w:ascii="ITC Avant Garde" w:eastAsia="Times New Roman" w:hAnsi="ITC Avant Garde"/>
                <w:color w:val="000000"/>
                <w:sz w:val="20"/>
                <w:szCs w:val="20"/>
                <w:lang w:eastAsia="es-MX"/>
              </w:rPr>
              <w:t xml:space="preserve">; y </w:t>
            </w:r>
            <w:proofErr w:type="spellStart"/>
            <w:r w:rsidRPr="001F1F79">
              <w:rPr>
                <w:rFonts w:ascii="ITC Avant Garde" w:eastAsia="Times New Roman" w:hAnsi="ITC Avant Garde"/>
                <w:color w:val="000000"/>
                <w:sz w:val="20"/>
                <w:szCs w:val="20"/>
                <w:lang w:eastAsia="es-MX"/>
              </w:rPr>
              <w:t>iii</w:t>
            </w:r>
            <w:proofErr w:type="spellEnd"/>
            <w:r w:rsidRPr="001F1F79">
              <w:rPr>
                <w:rFonts w:ascii="ITC Avant Garde" w:eastAsia="Times New Roman" w:hAnsi="ITC Avant Garde"/>
                <w:color w:val="000000"/>
                <w:sz w:val="20"/>
                <w:szCs w:val="20"/>
                <w:lang w:eastAsia="es-MX"/>
              </w:rPr>
              <w:t xml:space="preserve">) las </w:t>
            </w:r>
            <w:r w:rsidR="00463E04">
              <w:rPr>
                <w:rFonts w:ascii="ITC Avant Garde" w:eastAsia="Times New Roman" w:hAnsi="ITC Avant Garde"/>
                <w:color w:val="000000"/>
                <w:sz w:val="20"/>
                <w:szCs w:val="20"/>
                <w:lang w:eastAsia="es-MX"/>
              </w:rPr>
              <w:t>propuestas específicas para la supresión, modificación o adición de las medidas relacionadas con los distintos servicios</w:t>
            </w:r>
            <w:r w:rsidRPr="001F1F79">
              <w:rPr>
                <w:rFonts w:ascii="ITC Avant Garde" w:eastAsia="Times New Roman" w:hAnsi="ITC Avant Garde"/>
                <w:color w:val="000000"/>
                <w:sz w:val="20"/>
                <w:szCs w:val="20"/>
                <w:lang w:eastAsia="es-MX"/>
              </w:rPr>
              <w:t>.</w:t>
            </w:r>
          </w:p>
          <w:p w14:paraId="54D5E72F" w14:textId="5D0E8818" w:rsidR="00536487" w:rsidRPr="001F1F79" w:rsidRDefault="00536487" w:rsidP="00536487">
            <w:pPr>
              <w:spacing w:before="240" w:after="120" w:line="276" w:lineRule="auto"/>
              <w:ind w:right="213"/>
              <w:jc w:val="both"/>
              <w:rPr>
                <w:rFonts w:ascii="ITC Avant Garde" w:eastAsia="Times New Roman" w:hAnsi="ITC Avant Garde"/>
                <w:color w:val="000000"/>
                <w:sz w:val="20"/>
                <w:szCs w:val="20"/>
                <w:lang w:eastAsia="es-MX"/>
              </w:rPr>
            </w:pPr>
            <w:r w:rsidRPr="001F1F79">
              <w:rPr>
                <w:rFonts w:ascii="ITC Avant Garde" w:eastAsia="Times New Roman" w:hAnsi="ITC Avant Garde"/>
                <w:color w:val="000000"/>
                <w:sz w:val="20"/>
                <w:szCs w:val="20"/>
                <w:lang w:eastAsia="es-MX"/>
              </w:rPr>
              <w:t xml:space="preserve">Con la finalidad de organizar los comentarios y la información que </w:t>
            </w:r>
            <w:r w:rsidR="00966D07">
              <w:rPr>
                <w:rFonts w:ascii="ITC Avant Garde" w:eastAsia="Times New Roman" w:hAnsi="ITC Avant Garde"/>
                <w:color w:val="000000"/>
                <w:sz w:val="20"/>
                <w:szCs w:val="20"/>
                <w:lang w:eastAsia="es-MX"/>
              </w:rPr>
              <w:t>la persona</w:t>
            </w:r>
            <w:r w:rsidRPr="001F1F79">
              <w:rPr>
                <w:rFonts w:ascii="ITC Avant Garde" w:eastAsia="Times New Roman" w:hAnsi="ITC Avant Garde"/>
                <w:color w:val="000000"/>
                <w:sz w:val="20"/>
                <w:szCs w:val="20"/>
                <w:lang w:eastAsia="es-MX"/>
              </w:rPr>
              <w:t xml:space="preserve"> participante provea, el presente formato está integrado por secciones de grupos de medidas que están asociadas a un tema en común. Asimismo, para mayor referencia se indican las medidas que se incluyen en cada grupo y, a manera de resumen, se exponen los principales objetivos generales, así como un contexto de estas.</w:t>
            </w:r>
          </w:p>
          <w:p w14:paraId="414D1B08" w14:textId="27538988" w:rsidR="007C6308" w:rsidRPr="001F1F79" w:rsidRDefault="00536487" w:rsidP="00EA0095">
            <w:pPr>
              <w:spacing w:before="240" w:after="120" w:line="276" w:lineRule="auto"/>
              <w:ind w:right="213"/>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Por último, a </w:t>
            </w:r>
            <w:r w:rsidR="007C6308" w:rsidRPr="001F1F79">
              <w:rPr>
                <w:rFonts w:ascii="ITC Avant Garde" w:eastAsia="Times New Roman" w:hAnsi="ITC Avant Garde"/>
                <w:color w:val="000000"/>
                <w:sz w:val="20"/>
                <w:szCs w:val="20"/>
                <w:lang w:eastAsia="es-MX"/>
              </w:rPr>
              <w:t xml:space="preserve">efecto de </w:t>
            </w:r>
            <w:r w:rsidR="00E40688">
              <w:rPr>
                <w:rFonts w:ascii="ITC Avant Garde" w:eastAsia="Times New Roman" w:hAnsi="ITC Avant Garde"/>
                <w:color w:val="000000"/>
                <w:sz w:val="20"/>
                <w:szCs w:val="20"/>
                <w:lang w:eastAsia="es-MX"/>
              </w:rPr>
              <w:t>proporcionar mayor justificación a</w:t>
            </w:r>
            <w:r w:rsidR="007C6308" w:rsidRPr="001F1F79">
              <w:rPr>
                <w:rFonts w:ascii="ITC Avant Garde" w:eastAsia="Times New Roman" w:hAnsi="ITC Avant Garde"/>
                <w:color w:val="000000"/>
                <w:sz w:val="20"/>
                <w:szCs w:val="20"/>
                <w:lang w:eastAsia="es-MX"/>
              </w:rPr>
              <w:t xml:space="preserve"> la información </w:t>
            </w:r>
            <w:r w:rsidR="00E40688">
              <w:rPr>
                <w:rFonts w:ascii="ITC Avant Garde" w:eastAsia="Times New Roman" w:hAnsi="ITC Avant Garde"/>
                <w:color w:val="000000"/>
                <w:sz w:val="20"/>
                <w:szCs w:val="20"/>
                <w:lang w:eastAsia="es-MX"/>
              </w:rPr>
              <w:t>o propuestas</w:t>
            </w:r>
            <w:r w:rsidR="007C6308" w:rsidRPr="001F1F79">
              <w:rPr>
                <w:rFonts w:ascii="ITC Avant Garde" w:eastAsia="Times New Roman" w:hAnsi="ITC Avant Garde"/>
                <w:color w:val="000000"/>
                <w:sz w:val="20"/>
                <w:szCs w:val="20"/>
                <w:lang w:eastAsia="es-MX"/>
              </w:rPr>
              <w:t xml:space="preserve"> que </w:t>
            </w:r>
            <w:r w:rsidR="00966D07">
              <w:rPr>
                <w:rFonts w:ascii="ITC Avant Garde" w:eastAsia="Times New Roman" w:hAnsi="ITC Avant Garde"/>
                <w:color w:val="000000"/>
                <w:sz w:val="20"/>
                <w:szCs w:val="20"/>
                <w:lang w:eastAsia="es-MX"/>
              </w:rPr>
              <w:t>la persona</w:t>
            </w:r>
            <w:r w:rsidR="007C6308" w:rsidRPr="001F1F79">
              <w:rPr>
                <w:rFonts w:ascii="ITC Avant Garde" w:eastAsia="Times New Roman" w:hAnsi="ITC Avant Garde"/>
                <w:color w:val="000000"/>
                <w:sz w:val="20"/>
                <w:szCs w:val="20"/>
                <w:lang w:eastAsia="es-MX"/>
              </w:rPr>
              <w:t xml:space="preserve"> participante provea, cuando est</w:t>
            </w:r>
            <w:r w:rsidR="00EA0479">
              <w:rPr>
                <w:rFonts w:ascii="ITC Avant Garde" w:eastAsia="Times New Roman" w:hAnsi="ITC Avant Garde"/>
                <w:color w:val="000000"/>
                <w:sz w:val="20"/>
                <w:szCs w:val="20"/>
                <w:lang w:eastAsia="es-MX"/>
              </w:rPr>
              <w:t>a</w:t>
            </w:r>
            <w:r w:rsidR="007C6308" w:rsidRPr="001F1F79">
              <w:rPr>
                <w:rFonts w:ascii="ITC Avant Garde" w:eastAsia="Times New Roman" w:hAnsi="ITC Avant Garde"/>
                <w:color w:val="000000"/>
                <w:sz w:val="20"/>
                <w:szCs w:val="20"/>
                <w:lang w:eastAsia="es-MX"/>
              </w:rPr>
              <w:t xml:space="preserve"> </w:t>
            </w:r>
            <w:r w:rsidR="00E40688">
              <w:rPr>
                <w:rFonts w:ascii="ITC Avant Garde" w:eastAsia="Times New Roman" w:hAnsi="ITC Avant Garde"/>
                <w:color w:val="000000"/>
                <w:sz w:val="20"/>
                <w:szCs w:val="20"/>
                <w:lang w:eastAsia="es-MX"/>
              </w:rPr>
              <w:t xml:space="preserve">lo </w:t>
            </w:r>
            <w:r w:rsidR="007C6308" w:rsidRPr="001F1F79">
              <w:rPr>
                <w:rFonts w:ascii="ITC Avant Garde" w:eastAsia="Times New Roman" w:hAnsi="ITC Avant Garde"/>
                <w:color w:val="000000"/>
                <w:sz w:val="20"/>
                <w:szCs w:val="20"/>
                <w:lang w:eastAsia="es-MX"/>
              </w:rPr>
              <w:t xml:space="preserve">considere </w:t>
            </w:r>
            <w:r w:rsidR="00E40688">
              <w:rPr>
                <w:rFonts w:ascii="ITC Avant Garde" w:eastAsia="Times New Roman" w:hAnsi="ITC Avant Garde"/>
                <w:color w:val="000000"/>
                <w:sz w:val="20"/>
                <w:szCs w:val="20"/>
                <w:lang w:eastAsia="es-MX"/>
              </w:rPr>
              <w:t>adecuado, podrá</w:t>
            </w:r>
            <w:r w:rsidR="007C6308" w:rsidRPr="001F1F79">
              <w:rPr>
                <w:rFonts w:ascii="ITC Avant Garde" w:eastAsia="Times New Roman" w:hAnsi="ITC Avant Garde"/>
                <w:color w:val="000000"/>
                <w:sz w:val="20"/>
                <w:szCs w:val="20"/>
                <w:lang w:eastAsia="es-MX"/>
              </w:rPr>
              <w:t xml:space="preserve"> aportar documentos de soporte a sus comentarios</w:t>
            </w:r>
            <w:r w:rsidR="00E40688">
              <w:rPr>
                <w:rFonts w:ascii="ITC Avant Garde" w:eastAsia="Times New Roman" w:hAnsi="ITC Avant Garde"/>
                <w:color w:val="000000"/>
                <w:sz w:val="20"/>
                <w:szCs w:val="20"/>
                <w:lang w:eastAsia="es-MX"/>
              </w:rPr>
              <w:t>.</w:t>
            </w:r>
          </w:p>
          <w:p w14:paraId="68F96733" w14:textId="5D49CC53" w:rsidR="007C6308" w:rsidRPr="001F1F79" w:rsidRDefault="007C6308" w:rsidP="00CB0700">
            <w:pPr>
              <w:spacing w:after="120" w:line="276" w:lineRule="auto"/>
              <w:ind w:right="306"/>
              <w:jc w:val="both"/>
              <w:rPr>
                <w:rFonts w:ascii="ITC Avant Garde" w:eastAsia="Times New Roman" w:hAnsi="ITC Avant Garde"/>
                <w:color w:val="000000"/>
                <w:sz w:val="20"/>
                <w:szCs w:val="20"/>
                <w:lang w:eastAsia="es-MX"/>
              </w:rPr>
            </w:pPr>
          </w:p>
        </w:tc>
      </w:tr>
      <w:tr w:rsidR="007C6308" w:rsidRPr="00DF5B3F" w14:paraId="35D4336D" w14:textId="77777777" w:rsidTr="000A2363">
        <w:trPr>
          <w:trHeight w:val="300"/>
          <w:jc w:val="center"/>
        </w:trPr>
        <w:tc>
          <w:tcPr>
            <w:tcW w:w="8617" w:type="dxa"/>
            <w:shd w:val="clear" w:color="auto" w:fill="C5E0B3"/>
            <w:noWrap/>
            <w:vAlign w:val="center"/>
          </w:tcPr>
          <w:p w14:paraId="656D86AB" w14:textId="77777777" w:rsidR="007C6308" w:rsidRPr="001F1F79" w:rsidRDefault="007C6308" w:rsidP="00DA5391">
            <w:pPr>
              <w:spacing w:after="0" w:line="240" w:lineRule="auto"/>
              <w:rPr>
                <w:rFonts w:ascii="ITC Avant Garde" w:eastAsia="Times New Roman" w:hAnsi="ITC Avant Garde"/>
                <w:color w:val="000000"/>
                <w:sz w:val="20"/>
                <w:szCs w:val="20"/>
                <w:lang w:eastAsia="es-MX"/>
              </w:rPr>
            </w:pPr>
            <w:r w:rsidRPr="001F1F79">
              <w:rPr>
                <w:rFonts w:ascii="ITC Avant Garde" w:eastAsia="Times New Roman" w:hAnsi="ITC Avant Garde"/>
                <w:color w:val="000000"/>
                <w:sz w:val="20"/>
                <w:szCs w:val="20"/>
                <w:lang w:eastAsia="es-MX"/>
              </w:rPr>
              <w:lastRenderedPageBreak/>
              <w:t xml:space="preserve"> </w:t>
            </w:r>
          </w:p>
        </w:tc>
      </w:tr>
    </w:tbl>
    <w:p w14:paraId="7D4B21D3" w14:textId="6C7AF4DA" w:rsidR="0068054F" w:rsidRDefault="0068054F" w:rsidP="00170916">
      <w:pPr>
        <w:spacing w:after="0"/>
        <w:jc w:val="both"/>
        <w:rPr>
          <w:rFonts w:ascii="ITC Avant Garde" w:hAnsi="ITC Avant Garde"/>
          <w:sz w:val="16"/>
        </w:rPr>
      </w:pPr>
    </w:p>
    <w:tbl>
      <w:tblPr>
        <w:tblpPr w:leftFromText="141" w:rightFromText="141" w:vertAnchor="text" w:tblpX="147" w:tblpY="108"/>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4"/>
        <w:gridCol w:w="1293"/>
        <w:gridCol w:w="5594"/>
      </w:tblGrid>
      <w:tr w:rsidR="00885864" w:rsidRPr="002C2D28" w14:paraId="4C65748E" w14:textId="77777777" w:rsidTr="00652FBC">
        <w:trPr>
          <w:trHeight w:val="581"/>
        </w:trPr>
        <w:tc>
          <w:tcPr>
            <w:tcW w:w="8641" w:type="dxa"/>
            <w:gridSpan w:val="3"/>
            <w:shd w:val="clear" w:color="auto" w:fill="D9D9D9"/>
            <w:vAlign w:val="center"/>
            <w:hideMark/>
          </w:tcPr>
          <w:p w14:paraId="528496AC" w14:textId="2DF2E3CC" w:rsidR="00885864" w:rsidRPr="002C2D28" w:rsidRDefault="00885864" w:rsidP="00885864">
            <w:pPr>
              <w:numPr>
                <w:ilvl w:val="0"/>
                <w:numId w:val="2"/>
              </w:numPr>
              <w:spacing w:after="0" w:line="240" w:lineRule="auto"/>
              <w:ind w:left="1800" w:right="1069"/>
              <w:contextualSpacing/>
              <w:jc w:val="center"/>
              <w:rPr>
                <w:rFonts w:ascii="ITC Avant Garde" w:eastAsia="Times New Roman" w:hAnsi="ITC Avant Garde"/>
                <w:b/>
                <w:bCs/>
                <w:color w:val="FFFFFF"/>
                <w:lang w:eastAsia="es-MX"/>
              </w:rPr>
            </w:pPr>
            <w:r w:rsidRPr="002C2D28">
              <w:rPr>
                <w:rFonts w:ascii="ITC Avant Garde" w:eastAsia="Times New Roman" w:hAnsi="ITC Avant Garde"/>
                <w:b/>
                <w:bCs/>
                <w:color w:val="000000"/>
                <w:lang w:eastAsia="es-MX"/>
              </w:rPr>
              <w:t xml:space="preserve">Comentarios, opiniones </w:t>
            </w:r>
            <w:r w:rsidRPr="002C2D28">
              <w:rPr>
                <w:rFonts w:ascii="ITC Avant Garde" w:eastAsia="Times New Roman" w:hAnsi="ITC Avant Garde"/>
                <w:b/>
                <w:bCs/>
                <w:lang w:eastAsia="es-MX"/>
              </w:rPr>
              <w:t>y aportaciones específicos de</w:t>
            </w:r>
            <w:r w:rsidR="00966D07">
              <w:rPr>
                <w:rFonts w:ascii="ITC Avant Garde" w:eastAsia="Times New Roman" w:hAnsi="ITC Avant Garde"/>
                <w:b/>
                <w:bCs/>
                <w:lang w:eastAsia="es-MX"/>
              </w:rPr>
              <w:t xml:space="preserve"> </w:t>
            </w:r>
            <w:r w:rsidRPr="002C2D28">
              <w:rPr>
                <w:rFonts w:ascii="ITC Avant Garde" w:eastAsia="Times New Roman" w:hAnsi="ITC Avant Garde"/>
                <w:b/>
                <w:bCs/>
                <w:lang w:eastAsia="es-MX"/>
              </w:rPr>
              <w:t>l</w:t>
            </w:r>
            <w:r w:rsidR="00966D07">
              <w:rPr>
                <w:rFonts w:ascii="ITC Avant Garde" w:eastAsia="Times New Roman" w:hAnsi="ITC Avant Garde"/>
                <w:b/>
                <w:bCs/>
                <w:lang w:eastAsia="es-MX"/>
              </w:rPr>
              <w:t>a persona</w:t>
            </w:r>
            <w:r w:rsidRPr="002C2D28">
              <w:rPr>
                <w:rFonts w:ascii="ITC Avant Garde" w:eastAsia="Times New Roman" w:hAnsi="ITC Avant Garde"/>
                <w:b/>
                <w:bCs/>
                <w:lang w:eastAsia="es-MX"/>
              </w:rPr>
              <w:t xml:space="preserve"> participante sobre el asunto en consulta pública</w:t>
            </w:r>
          </w:p>
          <w:p w14:paraId="4395297D" w14:textId="77777777" w:rsidR="00885864" w:rsidRPr="002C2D28" w:rsidRDefault="00885864" w:rsidP="00652FBC">
            <w:pPr>
              <w:spacing w:after="0" w:line="240" w:lineRule="auto"/>
              <w:ind w:left="1800" w:right="1069"/>
              <w:contextualSpacing/>
              <w:jc w:val="center"/>
              <w:rPr>
                <w:rFonts w:ascii="ITC Avant Garde" w:eastAsia="Times New Roman" w:hAnsi="ITC Avant Garde"/>
                <w:b/>
                <w:bCs/>
                <w:color w:val="FFFFFF"/>
                <w:sz w:val="20"/>
                <w:szCs w:val="20"/>
                <w:lang w:eastAsia="es-MX"/>
              </w:rPr>
            </w:pPr>
            <w:r w:rsidRPr="002C2D28">
              <w:rPr>
                <w:rFonts w:ascii="ITC Avant Garde" w:eastAsia="Times New Roman" w:hAnsi="ITC Avant Garde"/>
                <w:b/>
                <w:bCs/>
                <w:color w:val="000000"/>
                <w:lang w:eastAsia="es-MX"/>
              </w:rPr>
              <w:t>(SERVICIOS MÓVILES)</w:t>
            </w:r>
          </w:p>
        </w:tc>
      </w:tr>
      <w:tr w:rsidR="00885864" w:rsidRPr="002C2D28" w14:paraId="13580D5C" w14:textId="77777777" w:rsidTr="00652FBC">
        <w:trPr>
          <w:trHeight w:val="414"/>
        </w:trPr>
        <w:tc>
          <w:tcPr>
            <w:tcW w:w="1754" w:type="dxa"/>
            <w:shd w:val="clear" w:color="auto" w:fill="C5E0B3"/>
            <w:vAlign w:val="center"/>
          </w:tcPr>
          <w:p w14:paraId="6B3544C0" w14:textId="77777777"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Medidas referentes a Interconexión</w:t>
            </w:r>
          </w:p>
          <w:p w14:paraId="759B596E" w14:textId="77777777"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p>
          <w:p w14:paraId="63C2CF83" w14:textId="79865E3D"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 xml:space="preserve">Anexo 1: </w:t>
            </w:r>
            <w:r w:rsidRPr="002C2D28">
              <w:rPr>
                <w:rFonts w:ascii="ITC Avant Garde" w:hAnsi="ITC Avant Garde"/>
                <w:sz w:val="20"/>
                <w:szCs w:val="20"/>
              </w:rPr>
              <w:t xml:space="preserve"> </w:t>
            </w:r>
            <w:r w:rsidRPr="002C2D28">
              <w:rPr>
                <w:rFonts w:ascii="ITC Avant Garde" w:eastAsia="Times New Roman" w:hAnsi="ITC Avant Garde"/>
                <w:b/>
                <w:color w:val="000000"/>
                <w:sz w:val="20"/>
                <w:szCs w:val="20"/>
                <w:lang w:eastAsia="es-MX"/>
              </w:rPr>
              <w:t xml:space="preserve">6, 7, 9, </w:t>
            </w:r>
            <w:r w:rsidR="00E40688">
              <w:rPr>
                <w:rFonts w:ascii="ITC Avant Garde" w:eastAsia="Times New Roman" w:hAnsi="ITC Avant Garde"/>
                <w:b/>
                <w:color w:val="000000"/>
                <w:sz w:val="20"/>
                <w:szCs w:val="20"/>
                <w:lang w:eastAsia="es-MX"/>
              </w:rPr>
              <w:t>9 BIS,</w:t>
            </w:r>
            <w:r w:rsidRPr="002C2D28">
              <w:rPr>
                <w:rFonts w:ascii="ITC Avant Garde" w:eastAsia="Times New Roman" w:hAnsi="ITC Avant Garde"/>
                <w:b/>
                <w:color w:val="000000"/>
                <w:sz w:val="20"/>
                <w:szCs w:val="20"/>
                <w:lang w:eastAsia="es-MX"/>
              </w:rPr>
              <w:t xml:space="preserve"> 10, 11, 25, 26 y 59.</w:t>
            </w:r>
          </w:p>
          <w:p w14:paraId="439FCCDA" w14:textId="77777777"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p>
        </w:tc>
        <w:tc>
          <w:tcPr>
            <w:tcW w:w="6887" w:type="dxa"/>
            <w:gridSpan w:val="2"/>
            <w:shd w:val="clear" w:color="auto" w:fill="C5E0B3"/>
            <w:vAlign w:val="center"/>
          </w:tcPr>
          <w:p w14:paraId="64828F20" w14:textId="77777777" w:rsidR="00885864" w:rsidRPr="002C2D28" w:rsidRDefault="00885864" w:rsidP="00652FBC">
            <w:pPr>
              <w:spacing w:after="0" w:line="276" w:lineRule="auto"/>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 xml:space="preserve">Objetivos generales: </w:t>
            </w:r>
          </w:p>
          <w:p w14:paraId="7FB9A6D9" w14:textId="77777777" w:rsidR="00885864" w:rsidRPr="002C2D28" w:rsidRDefault="00885864">
            <w:pPr>
              <w:numPr>
                <w:ilvl w:val="0"/>
                <w:numId w:val="7"/>
              </w:numPr>
              <w:spacing w:after="0" w:line="276" w:lineRule="auto"/>
              <w:jc w:val="both"/>
              <w:rPr>
                <w:rFonts w:ascii="ITC Avant Garde" w:eastAsia="Times New Roman" w:hAnsi="ITC Avant Garde"/>
                <w:bCs/>
                <w:color w:val="000000"/>
                <w:sz w:val="20"/>
                <w:szCs w:val="20"/>
                <w:lang w:eastAsia="es-MX"/>
              </w:rPr>
            </w:pPr>
            <w:r w:rsidRPr="002C2D28">
              <w:rPr>
                <w:rFonts w:ascii="ITC Avant Garde" w:eastAsia="Times New Roman" w:hAnsi="ITC Avant Garde"/>
                <w:bCs/>
                <w:color w:val="000000"/>
                <w:sz w:val="20"/>
                <w:szCs w:val="20"/>
                <w:lang w:eastAsia="es-MX"/>
              </w:rPr>
              <w:t>Reducir o eliminar barreras a la entrada y la expansión de participantes distintos al AEPT.</w:t>
            </w:r>
          </w:p>
          <w:p w14:paraId="1042C613" w14:textId="77777777" w:rsidR="00885864" w:rsidRPr="002C2D28" w:rsidRDefault="00885864">
            <w:pPr>
              <w:numPr>
                <w:ilvl w:val="0"/>
                <w:numId w:val="7"/>
              </w:numPr>
              <w:spacing w:after="0" w:line="276" w:lineRule="auto"/>
              <w:jc w:val="both"/>
              <w:rPr>
                <w:rFonts w:ascii="ITC Avant Garde" w:eastAsia="Times New Roman" w:hAnsi="ITC Avant Garde"/>
                <w:bCs/>
                <w:color w:val="000000"/>
                <w:sz w:val="20"/>
                <w:szCs w:val="20"/>
                <w:lang w:eastAsia="es-MX"/>
              </w:rPr>
            </w:pPr>
            <w:r w:rsidRPr="002C2D28">
              <w:rPr>
                <w:rFonts w:ascii="ITC Avant Garde" w:eastAsia="Times New Roman" w:hAnsi="ITC Avant Garde"/>
                <w:bCs/>
                <w:color w:val="000000"/>
                <w:sz w:val="20"/>
                <w:szCs w:val="20"/>
                <w:lang w:eastAsia="es-MX"/>
              </w:rPr>
              <w:t>Promover el uso eficiente de las redes e infraestructura.</w:t>
            </w:r>
          </w:p>
          <w:p w14:paraId="6CB58876" w14:textId="77777777" w:rsidR="00885864" w:rsidRPr="002C2D28" w:rsidRDefault="00885864">
            <w:pPr>
              <w:numPr>
                <w:ilvl w:val="0"/>
                <w:numId w:val="7"/>
              </w:numPr>
              <w:spacing w:after="0" w:line="276" w:lineRule="auto"/>
              <w:jc w:val="both"/>
              <w:rPr>
                <w:rFonts w:ascii="ITC Avant Garde" w:eastAsia="Times New Roman" w:hAnsi="ITC Avant Garde"/>
                <w:bCs/>
                <w:color w:val="000000"/>
                <w:sz w:val="20"/>
                <w:szCs w:val="20"/>
                <w:lang w:eastAsia="es-MX"/>
              </w:rPr>
            </w:pPr>
            <w:r w:rsidRPr="002C2D28">
              <w:rPr>
                <w:rFonts w:ascii="ITC Avant Garde" w:hAnsi="ITC Avant Garde"/>
                <w:color w:val="000000" w:themeColor="text1"/>
                <w:sz w:val="20"/>
                <w:szCs w:val="20"/>
              </w:rPr>
              <w:t>Remediar y prevenir condiciones y conductas con efectos que no favorezcan la competencia y libre concurrencia</w:t>
            </w:r>
            <w:r w:rsidRPr="002C2D28">
              <w:rPr>
                <w:rFonts w:ascii="ITC Avant Garde" w:eastAsia="Times New Roman" w:hAnsi="ITC Avant Garde"/>
                <w:bCs/>
                <w:color w:val="000000"/>
                <w:sz w:val="20"/>
                <w:szCs w:val="20"/>
                <w:lang w:eastAsia="es-MX"/>
              </w:rPr>
              <w:t>.</w:t>
            </w:r>
          </w:p>
          <w:p w14:paraId="0B41149A" w14:textId="77777777" w:rsidR="00885864" w:rsidRPr="002C2D28" w:rsidRDefault="00885864">
            <w:pPr>
              <w:numPr>
                <w:ilvl w:val="0"/>
                <w:numId w:val="7"/>
              </w:numPr>
              <w:spacing w:after="0" w:line="276" w:lineRule="auto"/>
              <w:jc w:val="both"/>
              <w:rPr>
                <w:rFonts w:ascii="ITC Avant Garde" w:eastAsia="Times New Roman" w:hAnsi="ITC Avant Garde"/>
                <w:color w:val="000000"/>
                <w:sz w:val="20"/>
                <w:szCs w:val="20"/>
                <w:lang w:eastAsia="es-MX"/>
              </w:rPr>
            </w:pPr>
            <w:r w:rsidRPr="002C2D28">
              <w:rPr>
                <w:rFonts w:ascii="ITC Avant Garde" w:hAnsi="ITC Avant Garde"/>
                <w:sz w:val="20"/>
                <w:szCs w:val="20"/>
              </w:rPr>
              <w:t>Disminuir costos de transacción.</w:t>
            </w:r>
          </w:p>
          <w:p w14:paraId="5AC003A1" w14:textId="77777777" w:rsidR="00885864" w:rsidRPr="002C2D28" w:rsidRDefault="00885864">
            <w:pPr>
              <w:numPr>
                <w:ilvl w:val="0"/>
                <w:numId w:val="7"/>
              </w:numPr>
              <w:spacing w:after="0" w:line="276" w:lineRule="auto"/>
              <w:jc w:val="both"/>
              <w:rPr>
                <w:rFonts w:ascii="ITC Avant Garde" w:eastAsia="Times New Roman" w:hAnsi="ITC Avant Garde"/>
                <w:bCs/>
                <w:color w:val="000000"/>
                <w:sz w:val="20"/>
                <w:szCs w:val="20"/>
                <w:lang w:eastAsia="es-MX"/>
              </w:rPr>
            </w:pPr>
            <w:r w:rsidRPr="002C2D28">
              <w:rPr>
                <w:rFonts w:ascii="ITC Avant Garde" w:eastAsia="Times New Roman" w:hAnsi="ITC Avant Garde"/>
                <w:bCs/>
                <w:color w:val="000000"/>
                <w:sz w:val="20"/>
                <w:szCs w:val="20"/>
                <w:lang w:eastAsia="es-MX"/>
              </w:rPr>
              <w:t>Disminuir asimetrías de información.</w:t>
            </w:r>
          </w:p>
        </w:tc>
      </w:tr>
      <w:tr w:rsidR="00885864" w:rsidRPr="002C2D28" w14:paraId="12D93144" w14:textId="77777777" w:rsidTr="00652FBC">
        <w:trPr>
          <w:trHeight w:val="414"/>
        </w:trPr>
        <w:tc>
          <w:tcPr>
            <w:tcW w:w="8641" w:type="dxa"/>
            <w:gridSpan w:val="3"/>
            <w:shd w:val="clear" w:color="auto" w:fill="FFFFFF"/>
            <w:vAlign w:val="center"/>
          </w:tcPr>
          <w:p w14:paraId="34053C0B" w14:textId="77777777" w:rsidR="00885864" w:rsidRPr="002C2D28" w:rsidRDefault="00885864" w:rsidP="00EA0095">
            <w:pPr>
              <w:spacing w:line="276" w:lineRule="auto"/>
              <w:jc w:val="both"/>
              <w:rPr>
                <w:rFonts w:ascii="ITC Avant Garde" w:hAnsi="ITC Avant Garde"/>
                <w:b/>
                <w:sz w:val="20"/>
                <w:szCs w:val="20"/>
                <w:lang w:eastAsia="es-MX"/>
              </w:rPr>
            </w:pPr>
            <w:r w:rsidRPr="002C2D28">
              <w:rPr>
                <w:rFonts w:ascii="ITC Avant Garde" w:hAnsi="ITC Avant Garde"/>
                <w:b/>
                <w:sz w:val="20"/>
                <w:szCs w:val="20"/>
                <w:lang w:eastAsia="es-MX"/>
              </w:rPr>
              <w:t xml:space="preserve">Contexto: </w:t>
            </w:r>
          </w:p>
          <w:p w14:paraId="47DD3F9F" w14:textId="77777777" w:rsidR="00885864" w:rsidRPr="002C2D28" w:rsidRDefault="00885864" w:rsidP="00EA0095">
            <w:pPr>
              <w:spacing w:line="276" w:lineRule="auto"/>
              <w:jc w:val="both"/>
              <w:rPr>
                <w:rFonts w:ascii="ITC Avant Garde" w:hAnsi="ITC Avant Garde"/>
                <w:b/>
                <w:sz w:val="20"/>
                <w:szCs w:val="20"/>
                <w:lang w:eastAsia="es-MX"/>
              </w:rPr>
            </w:pPr>
            <w:r w:rsidRPr="002C2D28">
              <w:rPr>
                <w:rFonts w:ascii="ITC Avant Garde" w:hAnsi="ITC Avant Garde"/>
                <w:sz w:val="20"/>
                <w:szCs w:val="20"/>
                <w:lang w:eastAsia="es-MX"/>
              </w:rPr>
              <w:t>La interconexión es un recurso esencial para permitir la comunicación entre las distintas redes públicas de telecomunicaciones, por lo que al garantizar la interconexión de las redes de los distintos operadores del país se mitigan los efectos de red característicos de los servicios de telecomunicaciones, en beneficio de los usuarios finales.</w:t>
            </w:r>
          </w:p>
          <w:p w14:paraId="0DDE977F" w14:textId="77777777" w:rsidR="00885864" w:rsidRPr="002C2D28" w:rsidRDefault="00885864" w:rsidP="00EA0095">
            <w:pPr>
              <w:spacing w:before="240" w:after="120" w:line="276" w:lineRule="auto"/>
              <w:jc w:val="both"/>
              <w:rPr>
                <w:rFonts w:ascii="ITC Avant Garde" w:eastAsia="Times New Roman" w:hAnsi="ITC Avant Garde"/>
                <w:color w:val="000000"/>
                <w:sz w:val="20"/>
                <w:szCs w:val="20"/>
                <w:lang w:eastAsia="es-MX"/>
              </w:rPr>
            </w:pPr>
            <w:r w:rsidRPr="002C2D28">
              <w:rPr>
                <w:rFonts w:ascii="ITC Avant Garde" w:eastAsia="Times New Roman" w:hAnsi="ITC Avant Garde"/>
                <w:b/>
                <w:color w:val="000000"/>
                <w:sz w:val="20"/>
                <w:szCs w:val="20"/>
                <w:lang w:eastAsia="es-MX"/>
              </w:rPr>
              <w:t>Resumen de medidas impuestas:</w:t>
            </w:r>
          </w:p>
          <w:p w14:paraId="2F66A9B8" w14:textId="28471533" w:rsidR="00885864" w:rsidRPr="002C2D28" w:rsidRDefault="00885864" w:rsidP="00EA0095">
            <w:pPr>
              <w:spacing w:before="240" w:after="120" w:line="276" w:lineRule="auto"/>
              <w:jc w:val="both"/>
              <w:rPr>
                <w:rFonts w:ascii="ITC Avant Garde" w:eastAsia="Times New Roman" w:hAnsi="ITC Avant Garde"/>
                <w:color w:val="000000"/>
                <w:sz w:val="20"/>
                <w:szCs w:val="20"/>
                <w:lang w:eastAsia="es-MX"/>
              </w:rPr>
            </w:pPr>
            <w:r w:rsidRPr="002C2D28">
              <w:rPr>
                <w:rFonts w:ascii="ITC Avant Garde" w:eastAsia="Times New Roman" w:hAnsi="ITC Avant Garde"/>
                <w:color w:val="000000"/>
                <w:sz w:val="20"/>
                <w:szCs w:val="20"/>
                <w:lang w:eastAsia="es-MX"/>
              </w:rPr>
              <w:lastRenderedPageBreak/>
              <w:t>El Instituto impuso medidas al AEPT referentes a prestar los servicios de interconexión a operadores de otras redes, así como proveer enlaces de interconexión, publicar el Convenio Marco de Interconexión</w:t>
            </w:r>
            <w:r w:rsidR="00DC510E">
              <w:rPr>
                <w:rFonts w:ascii="ITC Avant Garde" w:eastAsia="Times New Roman" w:hAnsi="ITC Avant Garde"/>
                <w:color w:val="000000"/>
                <w:sz w:val="20"/>
                <w:szCs w:val="20"/>
                <w:lang w:eastAsia="es-MX"/>
              </w:rPr>
              <w:t xml:space="preserve"> (en lo sucesivo, “CMI”)</w:t>
            </w:r>
            <w:r w:rsidRPr="002C2D28">
              <w:rPr>
                <w:rFonts w:ascii="ITC Avant Garde" w:eastAsia="Times New Roman" w:hAnsi="ITC Avant Garde"/>
                <w:color w:val="000000"/>
                <w:sz w:val="20"/>
                <w:szCs w:val="20"/>
                <w:lang w:eastAsia="es-MX"/>
              </w:rPr>
              <w:t>, suscribir convenios, y poner información a disposición de los Concesionarios Solicitantes (en lo sucesivo, “CS”), entre otras.</w:t>
            </w:r>
          </w:p>
          <w:p w14:paraId="3DCFD6CF" w14:textId="4ACFF442" w:rsidR="00885864" w:rsidRDefault="00885864" w:rsidP="00EA0095">
            <w:pPr>
              <w:spacing w:before="240" w:after="120" w:line="276" w:lineRule="auto"/>
              <w:jc w:val="both"/>
              <w:rPr>
                <w:rFonts w:ascii="ITC Avant Garde" w:eastAsia="Times New Roman" w:hAnsi="ITC Avant Garde"/>
                <w:color w:val="000000"/>
                <w:sz w:val="20"/>
                <w:szCs w:val="20"/>
                <w:lang w:eastAsia="es-MX"/>
              </w:rPr>
            </w:pPr>
            <w:r w:rsidRPr="002C2D28">
              <w:rPr>
                <w:rFonts w:ascii="ITC Avant Garde" w:eastAsia="Times New Roman" w:hAnsi="ITC Avant Garde"/>
                <w:color w:val="000000"/>
                <w:sz w:val="20"/>
                <w:szCs w:val="20"/>
                <w:lang w:eastAsia="es-MX"/>
              </w:rPr>
              <w:t xml:space="preserve">A través de la </w:t>
            </w:r>
            <w:r w:rsidR="00D161DC">
              <w:rPr>
                <w:rFonts w:ascii="ITC Avant Garde" w:eastAsia="Times New Roman" w:hAnsi="ITC Avant Garde"/>
                <w:color w:val="000000"/>
                <w:sz w:val="20"/>
                <w:szCs w:val="20"/>
                <w:lang w:eastAsia="es-MX"/>
              </w:rPr>
              <w:t xml:space="preserve">Primera </w:t>
            </w:r>
            <w:r w:rsidRPr="002C2D28">
              <w:rPr>
                <w:rFonts w:ascii="ITC Avant Garde" w:eastAsia="Times New Roman" w:hAnsi="ITC Avant Garde"/>
                <w:color w:val="000000"/>
                <w:sz w:val="20"/>
                <w:szCs w:val="20"/>
                <w:lang w:eastAsia="es-MX"/>
              </w:rPr>
              <w:t>Resolución Bienal de Telecomunicaciones se hicieron adecuaciones en materia de Puntos de Interconexión, procesos referentes al C</w:t>
            </w:r>
            <w:r w:rsidR="00DC510E">
              <w:rPr>
                <w:rFonts w:ascii="ITC Avant Garde" w:eastAsia="Times New Roman" w:hAnsi="ITC Avant Garde"/>
                <w:color w:val="000000"/>
                <w:sz w:val="20"/>
                <w:szCs w:val="20"/>
                <w:lang w:eastAsia="es-MX"/>
              </w:rPr>
              <w:t>MI</w:t>
            </w:r>
            <w:r w:rsidRPr="002C2D28">
              <w:rPr>
                <w:rFonts w:ascii="ITC Avant Garde" w:eastAsia="Times New Roman" w:hAnsi="ITC Avant Garde"/>
                <w:color w:val="000000"/>
                <w:sz w:val="20"/>
                <w:szCs w:val="20"/>
                <w:lang w:eastAsia="es-MX"/>
              </w:rPr>
              <w:t xml:space="preserve"> y homologación con lo establecido en la</w:t>
            </w:r>
            <w:r w:rsidR="00D80FE0">
              <w:rPr>
                <w:rFonts w:ascii="ITC Avant Garde" w:eastAsia="Times New Roman" w:hAnsi="ITC Avant Garde"/>
                <w:color w:val="000000"/>
                <w:sz w:val="20"/>
                <w:szCs w:val="20"/>
                <w:lang w:eastAsia="es-MX"/>
              </w:rPr>
              <w:t xml:space="preserve"> Ley Federal de Telecomunicaciones y Radiodifusión (en lo sucesivo,</w:t>
            </w:r>
            <w:r w:rsidRPr="002C2D28">
              <w:rPr>
                <w:rFonts w:ascii="ITC Avant Garde" w:eastAsia="Times New Roman" w:hAnsi="ITC Avant Garde"/>
                <w:color w:val="000000"/>
                <w:sz w:val="20"/>
                <w:szCs w:val="20"/>
                <w:lang w:eastAsia="es-MX"/>
              </w:rPr>
              <w:t xml:space="preserve"> </w:t>
            </w:r>
            <w:r w:rsidR="00D80FE0">
              <w:rPr>
                <w:rFonts w:ascii="ITC Avant Garde" w:eastAsia="Times New Roman" w:hAnsi="ITC Avant Garde"/>
                <w:color w:val="000000"/>
                <w:sz w:val="20"/>
                <w:szCs w:val="20"/>
                <w:lang w:eastAsia="es-MX"/>
              </w:rPr>
              <w:t>la “</w:t>
            </w:r>
            <w:r w:rsidRPr="002C2D28">
              <w:rPr>
                <w:rFonts w:ascii="ITC Avant Garde" w:eastAsia="Times New Roman" w:hAnsi="ITC Avant Garde"/>
                <w:color w:val="000000"/>
                <w:sz w:val="20"/>
                <w:szCs w:val="20"/>
                <w:lang w:eastAsia="es-MX"/>
              </w:rPr>
              <w:t>LFTR</w:t>
            </w:r>
            <w:r w:rsidR="00D80FE0">
              <w:rPr>
                <w:rFonts w:ascii="ITC Avant Garde" w:eastAsia="Times New Roman" w:hAnsi="ITC Avant Garde"/>
                <w:color w:val="000000"/>
                <w:sz w:val="20"/>
                <w:szCs w:val="20"/>
                <w:lang w:eastAsia="es-MX"/>
              </w:rPr>
              <w:t>”)</w:t>
            </w:r>
            <w:r w:rsidRPr="002C2D28">
              <w:rPr>
                <w:rFonts w:ascii="ITC Avant Garde" w:eastAsia="Times New Roman" w:hAnsi="ITC Avant Garde"/>
                <w:color w:val="000000"/>
                <w:sz w:val="20"/>
                <w:szCs w:val="20"/>
                <w:lang w:eastAsia="es-MX"/>
              </w:rPr>
              <w:t xml:space="preserve"> y otros ordenamientos jurídicos, entre otras.</w:t>
            </w:r>
          </w:p>
          <w:p w14:paraId="1089D5BB" w14:textId="64A95463" w:rsidR="00D161DC" w:rsidRPr="002C2D28" w:rsidRDefault="00D161DC" w:rsidP="00EA0095">
            <w:pPr>
              <w:spacing w:before="240" w:after="120" w:line="276"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En la Segunda Resolución Bienal de Telecomunicaciones</w:t>
            </w:r>
            <w:r w:rsidRPr="00D161DC">
              <w:rPr>
                <w:rFonts w:ascii="ITC Avant Garde" w:eastAsia="Times New Roman" w:hAnsi="ITC Avant Garde"/>
                <w:color w:val="000000"/>
                <w:sz w:val="20"/>
                <w:szCs w:val="20"/>
                <w:lang w:eastAsia="es-MX"/>
              </w:rPr>
              <w:t> se hicieron modificaciones en cuanto al proceso de revisión anual de</w:t>
            </w:r>
            <w:r>
              <w:rPr>
                <w:rFonts w:ascii="ITC Avant Garde" w:eastAsia="Times New Roman" w:hAnsi="ITC Avant Garde"/>
                <w:color w:val="000000"/>
                <w:sz w:val="20"/>
                <w:szCs w:val="20"/>
                <w:lang w:eastAsia="es-MX"/>
              </w:rPr>
              <w:t>l</w:t>
            </w:r>
            <w:r w:rsidRPr="00D161DC">
              <w:rPr>
                <w:rFonts w:ascii="ITC Avant Garde" w:eastAsia="Times New Roman" w:hAnsi="ITC Avant Garde"/>
                <w:color w:val="000000"/>
                <w:sz w:val="20"/>
                <w:szCs w:val="20"/>
                <w:lang w:eastAsia="es-MX"/>
              </w:rPr>
              <w:t xml:space="preserve"> C</w:t>
            </w:r>
            <w:r>
              <w:rPr>
                <w:rFonts w:ascii="ITC Avant Garde" w:eastAsia="Times New Roman" w:hAnsi="ITC Avant Garde"/>
                <w:color w:val="000000"/>
                <w:sz w:val="20"/>
                <w:szCs w:val="20"/>
                <w:lang w:eastAsia="es-MX"/>
              </w:rPr>
              <w:t xml:space="preserve">MI </w:t>
            </w:r>
            <w:r w:rsidR="009F11B7">
              <w:rPr>
                <w:rFonts w:ascii="ITC Avant Garde" w:eastAsia="Times New Roman" w:hAnsi="ITC Avant Garde"/>
                <w:color w:val="000000"/>
                <w:sz w:val="20"/>
                <w:szCs w:val="20"/>
                <w:lang w:eastAsia="es-MX"/>
              </w:rPr>
              <w:t xml:space="preserve">y </w:t>
            </w:r>
            <w:r w:rsidR="001621F6">
              <w:rPr>
                <w:rFonts w:ascii="ITC Avant Garde" w:eastAsia="Times New Roman" w:hAnsi="ITC Avant Garde"/>
                <w:color w:val="000000"/>
                <w:sz w:val="20"/>
                <w:szCs w:val="20"/>
                <w:lang w:eastAsia="es-MX"/>
              </w:rPr>
              <w:t>se hicieron modificaciones para</w:t>
            </w:r>
            <w:r w:rsidR="001621F6" w:rsidRPr="001621F6">
              <w:rPr>
                <w:rFonts w:ascii="ITC Avant Garde" w:eastAsia="Times New Roman" w:hAnsi="ITC Avant Garde"/>
                <w:color w:val="000000"/>
                <w:sz w:val="20"/>
                <w:szCs w:val="20"/>
                <w:lang w:eastAsia="es-MX"/>
              </w:rPr>
              <w:t xml:space="preserve"> que la definición de los procedimientos, plazos, términos y demás condiciones técnicas y económicas para la prestación de</w:t>
            </w:r>
            <w:r w:rsidR="006160C9">
              <w:rPr>
                <w:rFonts w:ascii="ITC Avant Garde" w:eastAsia="Times New Roman" w:hAnsi="ITC Avant Garde"/>
                <w:color w:val="000000"/>
                <w:sz w:val="20"/>
                <w:szCs w:val="20"/>
                <w:lang w:eastAsia="es-MX"/>
              </w:rPr>
              <w:t xml:space="preserve"> </w:t>
            </w:r>
            <w:r w:rsidR="001621F6" w:rsidRPr="001621F6">
              <w:rPr>
                <w:rFonts w:ascii="ITC Avant Garde" w:eastAsia="Times New Roman" w:hAnsi="ITC Avant Garde"/>
                <w:color w:val="000000"/>
                <w:sz w:val="20"/>
                <w:szCs w:val="20"/>
                <w:lang w:eastAsia="es-MX"/>
              </w:rPr>
              <w:t>l</w:t>
            </w:r>
            <w:r w:rsidR="006160C9">
              <w:rPr>
                <w:rFonts w:ascii="ITC Avant Garde" w:eastAsia="Times New Roman" w:hAnsi="ITC Avant Garde"/>
                <w:color w:val="000000"/>
                <w:sz w:val="20"/>
                <w:szCs w:val="20"/>
                <w:lang w:eastAsia="es-MX"/>
              </w:rPr>
              <w:t>os</w:t>
            </w:r>
            <w:r w:rsidR="001621F6" w:rsidRPr="001621F6">
              <w:rPr>
                <w:rFonts w:ascii="ITC Avant Garde" w:eastAsia="Times New Roman" w:hAnsi="ITC Avant Garde"/>
                <w:color w:val="000000"/>
                <w:sz w:val="20"/>
                <w:szCs w:val="20"/>
                <w:lang w:eastAsia="es-MX"/>
              </w:rPr>
              <w:t xml:space="preserve"> servicio</w:t>
            </w:r>
            <w:r w:rsidR="006160C9">
              <w:rPr>
                <w:rFonts w:ascii="ITC Avant Garde" w:eastAsia="Times New Roman" w:hAnsi="ITC Avant Garde"/>
                <w:color w:val="000000"/>
                <w:sz w:val="20"/>
                <w:szCs w:val="20"/>
                <w:lang w:eastAsia="es-MX"/>
              </w:rPr>
              <w:t>s</w:t>
            </w:r>
            <w:r w:rsidR="001621F6" w:rsidRPr="001621F6">
              <w:rPr>
                <w:rFonts w:ascii="ITC Avant Garde" w:eastAsia="Times New Roman" w:hAnsi="ITC Avant Garde"/>
                <w:color w:val="000000"/>
                <w:sz w:val="20"/>
                <w:szCs w:val="20"/>
                <w:lang w:eastAsia="es-MX"/>
              </w:rPr>
              <w:t xml:space="preserve"> mayorista</w:t>
            </w:r>
            <w:r w:rsidR="006160C9">
              <w:rPr>
                <w:rFonts w:ascii="ITC Avant Garde" w:eastAsia="Times New Roman" w:hAnsi="ITC Avant Garde"/>
                <w:color w:val="000000"/>
                <w:sz w:val="20"/>
                <w:szCs w:val="20"/>
                <w:lang w:eastAsia="es-MX"/>
              </w:rPr>
              <w:t>s de interconexión</w:t>
            </w:r>
            <w:r w:rsidR="001621F6">
              <w:rPr>
                <w:rFonts w:ascii="ITC Avant Garde" w:eastAsia="Times New Roman" w:hAnsi="ITC Avant Garde"/>
                <w:color w:val="000000"/>
                <w:sz w:val="20"/>
                <w:szCs w:val="20"/>
                <w:lang w:eastAsia="es-MX"/>
              </w:rPr>
              <w:t xml:space="preserve"> </w:t>
            </w:r>
            <w:r w:rsidR="006160C9">
              <w:rPr>
                <w:rFonts w:ascii="ITC Avant Garde" w:eastAsia="Times New Roman" w:hAnsi="ITC Avant Garde"/>
                <w:color w:val="000000"/>
                <w:sz w:val="20"/>
                <w:szCs w:val="20"/>
                <w:lang w:eastAsia="es-MX"/>
              </w:rPr>
              <w:t>se lleve a cabo</w:t>
            </w:r>
            <w:r w:rsidR="001621F6" w:rsidRPr="001621F6">
              <w:rPr>
                <w:rFonts w:ascii="ITC Avant Garde" w:eastAsia="Times New Roman" w:hAnsi="ITC Avant Garde"/>
                <w:color w:val="000000"/>
                <w:sz w:val="20"/>
                <w:szCs w:val="20"/>
                <w:lang w:eastAsia="es-MX"/>
              </w:rPr>
              <w:t xml:space="preserve"> en la revisión anual </w:t>
            </w:r>
            <w:r w:rsidR="001621F6">
              <w:rPr>
                <w:rFonts w:ascii="ITC Avant Garde" w:eastAsia="Times New Roman" w:hAnsi="ITC Avant Garde"/>
                <w:color w:val="000000"/>
                <w:sz w:val="20"/>
                <w:szCs w:val="20"/>
                <w:lang w:eastAsia="es-MX"/>
              </w:rPr>
              <w:t>de</w:t>
            </w:r>
            <w:r w:rsidR="006160C9">
              <w:rPr>
                <w:rFonts w:ascii="ITC Avant Garde" w:eastAsia="Times New Roman" w:hAnsi="ITC Avant Garde"/>
                <w:color w:val="000000"/>
                <w:sz w:val="20"/>
                <w:szCs w:val="20"/>
                <w:lang w:eastAsia="es-MX"/>
              </w:rPr>
              <w:t xml:space="preserve"> las ofertas de referencia, a fin de garantizar que la prestación de los servicios sea acorde al dinamismo que caracteriza al sector</w:t>
            </w:r>
            <w:r>
              <w:rPr>
                <w:rFonts w:ascii="ITC Avant Garde" w:eastAsia="Times New Roman" w:hAnsi="ITC Avant Garde"/>
                <w:color w:val="000000"/>
                <w:sz w:val="20"/>
                <w:szCs w:val="20"/>
                <w:lang w:eastAsia="es-MX"/>
              </w:rPr>
              <w:t>.</w:t>
            </w:r>
          </w:p>
        </w:tc>
      </w:tr>
      <w:tr w:rsidR="00885864" w:rsidRPr="002C2D28" w14:paraId="0E04F6F9" w14:textId="77777777" w:rsidTr="00652FBC">
        <w:trPr>
          <w:trHeight w:val="414"/>
        </w:trPr>
        <w:tc>
          <w:tcPr>
            <w:tcW w:w="8641" w:type="dxa"/>
            <w:gridSpan w:val="3"/>
            <w:shd w:val="clear" w:color="auto" w:fill="FFFFFF"/>
            <w:vAlign w:val="center"/>
          </w:tcPr>
          <w:p w14:paraId="3143B860" w14:textId="2D97E827" w:rsidR="00885864" w:rsidRPr="002C2D28" w:rsidRDefault="00885864" w:rsidP="00B107D7">
            <w:pPr>
              <w:spacing w:after="0" w:line="276" w:lineRule="auto"/>
              <w:jc w:val="both"/>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lastRenderedPageBreak/>
              <w:t xml:space="preserve">¿Cuáles </w:t>
            </w:r>
            <w:r w:rsidR="0081738C">
              <w:rPr>
                <w:rFonts w:ascii="ITC Avant Garde" w:eastAsia="Times New Roman" w:hAnsi="ITC Avant Garde"/>
                <w:b/>
                <w:color w:val="000000"/>
                <w:sz w:val="20"/>
                <w:szCs w:val="20"/>
                <w:lang w:eastAsia="es-MX"/>
              </w:rPr>
              <w:t xml:space="preserve">son sus consideraciones respecto al impacto que ha tenido la regulación asimétrica al AEPT </w:t>
            </w:r>
            <w:r w:rsidR="009F11B7">
              <w:rPr>
                <w:rFonts w:ascii="ITC Avant Garde" w:eastAsia="Times New Roman" w:hAnsi="ITC Avant Garde"/>
                <w:b/>
                <w:color w:val="000000"/>
                <w:sz w:val="20"/>
                <w:szCs w:val="20"/>
                <w:lang w:eastAsia="es-MX"/>
              </w:rPr>
              <w:t>para</w:t>
            </w:r>
            <w:r w:rsidR="009F11B7" w:rsidRPr="002C2D28">
              <w:rPr>
                <w:rFonts w:ascii="ITC Avant Garde" w:eastAsia="Times New Roman" w:hAnsi="ITC Avant Garde"/>
                <w:b/>
                <w:color w:val="000000"/>
                <w:sz w:val="20"/>
                <w:szCs w:val="20"/>
                <w:lang w:eastAsia="es-MX"/>
              </w:rPr>
              <w:t xml:space="preserve"> </w:t>
            </w:r>
            <w:r w:rsidR="0081738C">
              <w:rPr>
                <w:rFonts w:ascii="ITC Avant Garde" w:eastAsia="Times New Roman" w:hAnsi="ITC Avant Garde"/>
                <w:b/>
                <w:color w:val="000000"/>
                <w:sz w:val="20"/>
                <w:szCs w:val="20"/>
                <w:lang w:eastAsia="es-MX"/>
              </w:rPr>
              <w:t>los servicios de</w:t>
            </w:r>
            <w:r w:rsidRPr="002C2D28">
              <w:rPr>
                <w:rFonts w:ascii="ITC Avant Garde" w:eastAsia="Times New Roman" w:hAnsi="ITC Avant Garde"/>
                <w:b/>
                <w:color w:val="000000"/>
                <w:sz w:val="20"/>
                <w:szCs w:val="20"/>
                <w:lang w:eastAsia="es-MX"/>
              </w:rPr>
              <w:t xml:space="preserve"> interconexión</w:t>
            </w:r>
            <w:r w:rsidR="0081738C">
              <w:rPr>
                <w:rFonts w:ascii="ITC Avant Garde" w:eastAsia="Times New Roman" w:hAnsi="ITC Avant Garde"/>
                <w:b/>
                <w:color w:val="000000"/>
                <w:sz w:val="20"/>
                <w:szCs w:val="20"/>
                <w:lang w:eastAsia="es-MX"/>
              </w:rPr>
              <w:t>?</w:t>
            </w:r>
          </w:p>
        </w:tc>
      </w:tr>
      <w:tr w:rsidR="00885864" w:rsidRPr="002C2D28" w14:paraId="1C73B4F7" w14:textId="77777777" w:rsidTr="00652FBC">
        <w:trPr>
          <w:trHeight w:val="414"/>
        </w:trPr>
        <w:tc>
          <w:tcPr>
            <w:tcW w:w="8641" w:type="dxa"/>
            <w:gridSpan w:val="3"/>
            <w:shd w:val="clear" w:color="auto" w:fill="FFFFFF"/>
            <w:vAlign w:val="center"/>
          </w:tcPr>
          <w:p w14:paraId="6F83557E" w14:textId="77777777" w:rsidR="00885864" w:rsidRPr="002C2D28" w:rsidRDefault="00885864" w:rsidP="00B107D7">
            <w:pPr>
              <w:spacing w:after="0" w:line="276" w:lineRule="auto"/>
              <w:jc w:val="both"/>
              <w:rPr>
                <w:rFonts w:ascii="ITC Avant Garde" w:eastAsia="Times New Roman" w:hAnsi="ITC Avant Garde"/>
                <w:b/>
                <w:color w:val="000000"/>
                <w:sz w:val="20"/>
                <w:szCs w:val="20"/>
                <w:lang w:eastAsia="es-MX"/>
              </w:rPr>
            </w:pPr>
          </w:p>
        </w:tc>
      </w:tr>
      <w:tr w:rsidR="00885864" w:rsidRPr="002C2D28" w14:paraId="2683B010" w14:textId="77777777" w:rsidTr="00652FBC">
        <w:trPr>
          <w:trHeight w:val="414"/>
        </w:trPr>
        <w:tc>
          <w:tcPr>
            <w:tcW w:w="8641" w:type="dxa"/>
            <w:gridSpan w:val="3"/>
            <w:shd w:val="clear" w:color="auto" w:fill="FFFFFF"/>
            <w:vAlign w:val="center"/>
          </w:tcPr>
          <w:p w14:paraId="1A897614" w14:textId="54BBD577" w:rsidR="00885864" w:rsidRPr="0081738C" w:rsidRDefault="0081738C" w:rsidP="00B107D7">
            <w:pPr>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t xml:space="preserve">¿Cuáles son sus </w:t>
            </w:r>
            <w:r w:rsidRPr="002C2D28">
              <w:rPr>
                <w:rFonts w:ascii="ITC Avant Garde" w:eastAsia="Times New Roman" w:hAnsi="ITC Avant Garde"/>
                <w:b/>
                <w:color w:val="000000"/>
                <w:sz w:val="20"/>
                <w:szCs w:val="20"/>
                <w:lang w:eastAsia="es-MX"/>
              </w:rPr>
              <w:t>considera</w:t>
            </w:r>
            <w:r>
              <w:rPr>
                <w:rFonts w:ascii="ITC Avant Garde" w:eastAsia="Times New Roman" w:hAnsi="ITC Avant Garde"/>
                <w:b/>
                <w:color w:val="000000"/>
                <w:sz w:val="20"/>
                <w:szCs w:val="20"/>
                <w:lang w:eastAsia="es-MX"/>
              </w:rPr>
              <w:t>ciones respecto</w:t>
            </w:r>
            <w:r w:rsidRPr="002C2D28">
              <w:rPr>
                <w:rFonts w:ascii="ITC Avant Garde" w:eastAsia="Times New Roman" w:hAnsi="ITC Avant Garde"/>
                <w:b/>
                <w:color w:val="000000"/>
                <w:sz w:val="20"/>
                <w:szCs w:val="20"/>
                <w:lang w:eastAsia="es-MX"/>
              </w:rPr>
              <w:t xml:space="preserve"> </w:t>
            </w:r>
            <w:r>
              <w:rPr>
                <w:rFonts w:ascii="ITC Avant Garde" w:eastAsia="Times New Roman" w:hAnsi="ITC Avant Garde"/>
                <w:b/>
                <w:color w:val="000000"/>
                <w:sz w:val="20"/>
                <w:szCs w:val="20"/>
                <w:lang w:eastAsia="es-MX"/>
              </w:rPr>
              <w:t>al diseño de las medidas relacionadas con los servicios de interconexión y su idoneidad</w:t>
            </w:r>
            <w:r w:rsidRPr="002C2D28">
              <w:rPr>
                <w:rFonts w:ascii="ITC Avant Garde" w:eastAsia="Times New Roman" w:hAnsi="ITC Avant Garde"/>
                <w:b/>
                <w:color w:val="000000"/>
                <w:sz w:val="20"/>
                <w:szCs w:val="20"/>
                <w:lang w:eastAsia="es-MX"/>
              </w:rPr>
              <w:t xml:space="preserve"> para alcanzar los objetivos por los que se plantearon</w:t>
            </w:r>
            <w:r>
              <w:rPr>
                <w:rFonts w:ascii="ITC Avant Garde" w:eastAsia="Times New Roman" w:hAnsi="ITC Avant Garde"/>
                <w:b/>
                <w:color w:val="000000"/>
                <w:sz w:val="20"/>
                <w:szCs w:val="20"/>
                <w:lang w:eastAsia="es-MX"/>
              </w:rPr>
              <w:t>?</w:t>
            </w:r>
          </w:p>
        </w:tc>
      </w:tr>
      <w:tr w:rsidR="00885864" w:rsidRPr="002C2D28" w14:paraId="77B85E59" w14:textId="77777777" w:rsidTr="00652FBC">
        <w:trPr>
          <w:trHeight w:val="414"/>
        </w:trPr>
        <w:tc>
          <w:tcPr>
            <w:tcW w:w="8641" w:type="dxa"/>
            <w:gridSpan w:val="3"/>
            <w:shd w:val="clear" w:color="auto" w:fill="FFFFFF"/>
            <w:vAlign w:val="center"/>
          </w:tcPr>
          <w:p w14:paraId="250624A4" w14:textId="77777777" w:rsidR="00885864" w:rsidRPr="002C2D28" w:rsidRDefault="00885864" w:rsidP="00B107D7">
            <w:pPr>
              <w:spacing w:after="0" w:line="276" w:lineRule="auto"/>
              <w:jc w:val="both"/>
              <w:rPr>
                <w:rFonts w:ascii="ITC Avant Garde" w:eastAsia="Times New Roman" w:hAnsi="ITC Avant Garde"/>
                <w:b/>
                <w:color w:val="000000"/>
                <w:sz w:val="20"/>
                <w:szCs w:val="20"/>
                <w:lang w:eastAsia="es-MX"/>
              </w:rPr>
            </w:pPr>
          </w:p>
        </w:tc>
      </w:tr>
      <w:tr w:rsidR="00885864" w:rsidRPr="002C2D28" w14:paraId="553A1217" w14:textId="77777777" w:rsidTr="00652FBC">
        <w:trPr>
          <w:trHeight w:val="414"/>
        </w:trPr>
        <w:tc>
          <w:tcPr>
            <w:tcW w:w="8641" w:type="dxa"/>
            <w:gridSpan w:val="3"/>
            <w:shd w:val="clear" w:color="auto" w:fill="FFFFFF"/>
            <w:vAlign w:val="center"/>
          </w:tcPr>
          <w:p w14:paraId="6DDD134B" w14:textId="72E067FA" w:rsidR="00885864" w:rsidRPr="002C2D28" w:rsidRDefault="0081738C" w:rsidP="00B107D7">
            <w:pPr>
              <w:jc w:val="both"/>
              <w:rPr>
                <w:rFonts w:ascii="ITC Avant Garde" w:eastAsia="Times New Roman" w:hAnsi="ITC Avant Garde"/>
                <w:color w:val="000000"/>
                <w:sz w:val="20"/>
                <w:szCs w:val="20"/>
                <w:lang w:eastAsia="es-MX"/>
              </w:rPr>
            </w:pPr>
            <w:r>
              <w:rPr>
                <w:rFonts w:ascii="ITC Avant Garde" w:hAnsi="ITC Avant Garde"/>
                <w:b/>
                <w:sz w:val="20"/>
                <w:szCs w:val="20"/>
              </w:rPr>
              <w:t>Favor de indicar la(s)</w:t>
            </w:r>
            <w:r w:rsidRPr="002C2D28">
              <w:rPr>
                <w:rFonts w:ascii="ITC Avant Garde" w:hAnsi="ITC Avant Garde"/>
                <w:b/>
                <w:sz w:val="20"/>
                <w:szCs w:val="20"/>
              </w:rPr>
              <w:t xml:space="preserve"> propuesta</w:t>
            </w:r>
            <w:r>
              <w:rPr>
                <w:rFonts w:ascii="ITC Avant Garde" w:hAnsi="ITC Avant Garde"/>
                <w:b/>
                <w:sz w:val="20"/>
                <w:szCs w:val="20"/>
              </w:rPr>
              <w:t>(s)</w:t>
            </w:r>
            <w:r w:rsidRPr="002C2D28">
              <w:rPr>
                <w:rFonts w:ascii="ITC Avant Garde" w:hAnsi="ITC Avant Garde"/>
                <w:b/>
                <w:sz w:val="20"/>
                <w:szCs w:val="20"/>
              </w:rPr>
              <w:t xml:space="preserve"> específica</w:t>
            </w:r>
            <w:r>
              <w:rPr>
                <w:rFonts w:ascii="ITC Avant Garde" w:hAnsi="ITC Avant Garde"/>
                <w:b/>
                <w:sz w:val="20"/>
                <w:szCs w:val="20"/>
              </w:rPr>
              <w:t>(s)</w:t>
            </w:r>
            <w:r w:rsidRPr="002C2D28">
              <w:rPr>
                <w:rFonts w:ascii="ITC Avant Garde" w:hAnsi="ITC Avant Garde"/>
                <w:b/>
                <w:sz w:val="20"/>
                <w:szCs w:val="20"/>
              </w:rPr>
              <w:t xml:space="preserve"> </w:t>
            </w:r>
            <w:r>
              <w:rPr>
                <w:rFonts w:ascii="ITC Avant Garde" w:hAnsi="ITC Avant Garde"/>
                <w:b/>
                <w:sz w:val="20"/>
                <w:szCs w:val="20"/>
              </w:rPr>
              <w:t>para la supresión, modificación o adición de</w:t>
            </w:r>
            <w:r w:rsidRPr="002C2D28">
              <w:rPr>
                <w:rFonts w:ascii="ITC Avant Garde" w:hAnsi="ITC Avant Garde"/>
                <w:b/>
                <w:sz w:val="20"/>
                <w:szCs w:val="20"/>
              </w:rPr>
              <w:t xml:space="preserve"> las medidas relacionadas con </w:t>
            </w:r>
            <w:r>
              <w:rPr>
                <w:rFonts w:ascii="ITC Avant Garde" w:hAnsi="ITC Avant Garde"/>
                <w:b/>
                <w:sz w:val="20"/>
                <w:szCs w:val="20"/>
              </w:rPr>
              <w:t>los servicios de interconexión.</w:t>
            </w:r>
          </w:p>
        </w:tc>
      </w:tr>
      <w:tr w:rsidR="00885864" w:rsidRPr="002C2D28" w14:paraId="1016DBF4" w14:textId="77777777" w:rsidTr="00652FBC">
        <w:trPr>
          <w:trHeight w:val="414"/>
        </w:trPr>
        <w:tc>
          <w:tcPr>
            <w:tcW w:w="3047" w:type="dxa"/>
            <w:gridSpan w:val="2"/>
            <w:shd w:val="clear" w:color="auto" w:fill="FFFFFF"/>
          </w:tcPr>
          <w:p w14:paraId="2FD4E149"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shd w:val="clear" w:color="auto" w:fill="FFFFFF"/>
          </w:tcPr>
          <w:p w14:paraId="14D37AB3"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885864" w:rsidRPr="002C2D28" w14:paraId="15CDA773" w14:textId="77777777" w:rsidTr="00652FBC">
        <w:trPr>
          <w:trHeight w:val="414"/>
        </w:trPr>
        <w:tc>
          <w:tcPr>
            <w:tcW w:w="3047" w:type="dxa"/>
            <w:gridSpan w:val="2"/>
            <w:shd w:val="clear" w:color="auto" w:fill="FFFFFF"/>
            <w:vAlign w:val="center"/>
          </w:tcPr>
          <w:p w14:paraId="5800D896"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shd w:val="clear" w:color="auto" w:fill="FFFFFF"/>
            <w:vAlign w:val="center"/>
          </w:tcPr>
          <w:p w14:paraId="3381CE21"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885864" w:rsidRPr="002C2D28" w14:paraId="3D7494F6" w14:textId="77777777" w:rsidTr="00652FBC">
        <w:trPr>
          <w:trHeight w:val="414"/>
        </w:trPr>
        <w:tc>
          <w:tcPr>
            <w:tcW w:w="1754" w:type="dxa"/>
            <w:shd w:val="clear" w:color="auto" w:fill="C5E0B3"/>
            <w:vAlign w:val="center"/>
          </w:tcPr>
          <w:p w14:paraId="0D9DA9FE" w14:textId="18C80681"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 xml:space="preserve">Medidas referentes a Operadores Móviles </w:t>
            </w:r>
            <w:r w:rsidR="00F34942">
              <w:rPr>
                <w:rFonts w:ascii="ITC Avant Garde" w:eastAsia="Times New Roman" w:hAnsi="ITC Avant Garde"/>
                <w:b/>
                <w:color w:val="000000"/>
                <w:sz w:val="20"/>
                <w:szCs w:val="20"/>
                <w:lang w:eastAsia="es-MX"/>
              </w:rPr>
              <w:t>V</w:t>
            </w:r>
            <w:r w:rsidRPr="002C2D28">
              <w:rPr>
                <w:rFonts w:ascii="ITC Avant Garde" w:eastAsia="Times New Roman" w:hAnsi="ITC Avant Garde"/>
                <w:b/>
                <w:color w:val="000000"/>
                <w:sz w:val="20"/>
                <w:szCs w:val="20"/>
                <w:lang w:eastAsia="es-MX"/>
              </w:rPr>
              <w:t>irtuales (</w:t>
            </w:r>
            <w:r w:rsidR="00D80FE0">
              <w:rPr>
                <w:rFonts w:ascii="ITC Avant Garde" w:eastAsia="Times New Roman" w:hAnsi="ITC Avant Garde"/>
                <w:b/>
                <w:color w:val="000000"/>
                <w:sz w:val="20"/>
                <w:szCs w:val="20"/>
                <w:lang w:eastAsia="es-MX"/>
              </w:rPr>
              <w:t>en lo sucesivo, “</w:t>
            </w:r>
            <w:r w:rsidRPr="002C2D28">
              <w:rPr>
                <w:rFonts w:ascii="ITC Avant Garde" w:eastAsia="Times New Roman" w:hAnsi="ITC Avant Garde"/>
                <w:b/>
                <w:color w:val="000000"/>
                <w:sz w:val="20"/>
                <w:szCs w:val="20"/>
                <w:lang w:eastAsia="es-MX"/>
              </w:rPr>
              <w:t>OMV</w:t>
            </w:r>
            <w:r w:rsidR="00D80FE0">
              <w:rPr>
                <w:rFonts w:ascii="ITC Avant Garde" w:eastAsia="Times New Roman" w:hAnsi="ITC Avant Garde"/>
                <w:b/>
                <w:color w:val="000000"/>
                <w:sz w:val="20"/>
                <w:szCs w:val="20"/>
                <w:lang w:eastAsia="es-MX"/>
              </w:rPr>
              <w:t>”</w:t>
            </w:r>
            <w:r w:rsidRPr="002C2D28">
              <w:rPr>
                <w:rFonts w:ascii="ITC Avant Garde" w:eastAsia="Times New Roman" w:hAnsi="ITC Avant Garde"/>
                <w:b/>
                <w:color w:val="000000"/>
                <w:sz w:val="20"/>
                <w:szCs w:val="20"/>
                <w:lang w:eastAsia="es-MX"/>
              </w:rPr>
              <w:t>)</w:t>
            </w:r>
          </w:p>
          <w:p w14:paraId="748F2620" w14:textId="77777777"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p>
          <w:p w14:paraId="32B683F3" w14:textId="4A0A227A"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 xml:space="preserve">Anexo 1: </w:t>
            </w:r>
            <w:r w:rsidRPr="002C2D28">
              <w:rPr>
                <w:rFonts w:ascii="ITC Avant Garde" w:hAnsi="ITC Avant Garde"/>
                <w:sz w:val="20"/>
                <w:szCs w:val="20"/>
              </w:rPr>
              <w:t xml:space="preserve"> </w:t>
            </w:r>
            <w:r w:rsidRPr="002C2D28">
              <w:rPr>
                <w:rFonts w:ascii="ITC Avant Garde" w:eastAsia="Times New Roman" w:hAnsi="ITC Avant Garde"/>
                <w:b/>
                <w:color w:val="000000"/>
                <w:sz w:val="20"/>
                <w:szCs w:val="20"/>
                <w:lang w:eastAsia="es-MX"/>
              </w:rPr>
              <w:t>13, 14, 16, 19, 20, 21, 28, 29, 61, 73 y 75.</w:t>
            </w:r>
          </w:p>
        </w:tc>
        <w:tc>
          <w:tcPr>
            <w:tcW w:w="6887" w:type="dxa"/>
            <w:gridSpan w:val="2"/>
            <w:shd w:val="clear" w:color="auto" w:fill="C5E0B3"/>
            <w:vAlign w:val="center"/>
          </w:tcPr>
          <w:p w14:paraId="1EF0D187" w14:textId="77777777" w:rsidR="00885864" w:rsidRPr="002C2D28" w:rsidRDefault="00885864" w:rsidP="00652FBC">
            <w:pPr>
              <w:spacing w:after="0" w:line="276" w:lineRule="auto"/>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 xml:space="preserve">Objetivos generales: </w:t>
            </w:r>
          </w:p>
          <w:p w14:paraId="17A2F020" w14:textId="77777777" w:rsidR="00885864" w:rsidRPr="002C2D28" w:rsidRDefault="00885864">
            <w:pPr>
              <w:numPr>
                <w:ilvl w:val="0"/>
                <w:numId w:val="7"/>
              </w:numPr>
              <w:spacing w:after="0" w:line="276" w:lineRule="auto"/>
              <w:jc w:val="both"/>
              <w:rPr>
                <w:rFonts w:ascii="ITC Avant Garde" w:eastAsia="Times New Roman" w:hAnsi="ITC Avant Garde"/>
                <w:color w:val="000000"/>
                <w:sz w:val="20"/>
                <w:szCs w:val="20"/>
                <w:lang w:eastAsia="es-MX"/>
              </w:rPr>
            </w:pPr>
            <w:r w:rsidRPr="002C2D28">
              <w:rPr>
                <w:rFonts w:ascii="ITC Avant Garde" w:eastAsia="Times New Roman" w:hAnsi="ITC Avant Garde"/>
                <w:color w:val="000000"/>
                <w:sz w:val="20"/>
                <w:szCs w:val="20"/>
                <w:lang w:eastAsia="es-MX"/>
              </w:rPr>
              <w:t>Reducir o eliminar barreras a la entrada y la expansión de participantes distintos al AEPT.</w:t>
            </w:r>
          </w:p>
          <w:p w14:paraId="60E2CB6C" w14:textId="77777777" w:rsidR="00885864" w:rsidRPr="002C2D28" w:rsidRDefault="00885864">
            <w:pPr>
              <w:numPr>
                <w:ilvl w:val="0"/>
                <w:numId w:val="7"/>
              </w:numPr>
              <w:spacing w:after="0" w:line="276" w:lineRule="auto"/>
              <w:jc w:val="both"/>
              <w:rPr>
                <w:rFonts w:ascii="ITC Avant Garde" w:eastAsia="Times New Roman" w:hAnsi="ITC Avant Garde"/>
                <w:color w:val="000000"/>
                <w:sz w:val="20"/>
                <w:szCs w:val="20"/>
                <w:lang w:eastAsia="es-MX"/>
              </w:rPr>
            </w:pPr>
            <w:r w:rsidRPr="002C2D28">
              <w:rPr>
                <w:rFonts w:ascii="ITC Avant Garde" w:eastAsia="Times New Roman" w:hAnsi="ITC Avant Garde"/>
                <w:color w:val="000000"/>
                <w:sz w:val="20"/>
                <w:szCs w:val="20"/>
                <w:lang w:eastAsia="es-MX"/>
              </w:rPr>
              <w:t xml:space="preserve">Remediar y prevenir condiciones y conductas con efectos que no favorezcan la competencia y libre concurrencia. </w:t>
            </w:r>
          </w:p>
          <w:p w14:paraId="77A2D93B" w14:textId="77777777" w:rsidR="00885864" w:rsidRPr="002C2D28" w:rsidRDefault="00885864">
            <w:pPr>
              <w:numPr>
                <w:ilvl w:val="0"/>
                <w:numId w:val="7"/>
              </w:numPr>
              <w:spacing w:after="0" w:line="276" w:lineRule="auto"/>
              <w:jc w:val="both"/>
              <w:rPr>
                <w:rFonts w:ascii="ITC Avant Garde" w:eastAsia="Times New Roman" w:hAnsi="ITC Avant Garde"/>
                <w:color w:val="000000"/>
                <w:sz w:val="20"/>
                <w:szCs w:val="20"/>
                <w:lang w:eastAsia="es-MX"/>
              </w:rPr>
            </w:pPr>
            <w:r w:rsidRPr="002C2D28">
              <w:rPr>
                <w:rFonts w:ascii="ITC Avant Garde" w:hAnsi="ITC Avant Garde"/>
                <w:sz w:val="20"/>
                <w:szCs w:val="20"/>
              </w:rPr>
              <w:t xml:space="preserve">Disminuir </w:t>
            </w:r>
            <w:r w:rsidRPr="002C2D28">
              <w:rPr>
                <w:rFonts w:ascii="ITC Avant Garde" w:eastAsia="Times New Roman" w:hAnsi="ITC Avant Garde"/>
                <w:color w:val="000000"/>
                <w:sz w:val="20"/>
                <w:szCs w:val="20"/>
                <w:lang w:eastAsia="es-MX"/>
              </w:rPr>
              <w:t xml:space="preserve">los </w:t>
            </w:r>
            <w:r w:rsidRPr="002C2D28">
              <w:rPr>
                <w:rFonts w:ascii="ITC Avant Garde" w:hAnsi="ITC Avant Garde"/>
                <w:sz w:val="20"/>
                <w:szCs w:val="20"/>
              </w:rPr>
              <w:t xml:space="preserve">costos de </w:t>
            </w:r>
            <w:r w:rsidRPr="002C2D28" w:rsidDel="00A31A6A">
              <w:rPr>
                <w:rFonts w:ascii="ITC Avant Garde" w:eastAsia="Times New Roman" w:hAnsi="ITC Avant Garde"/>
                <w:color w:val="000000"/>
                <w:sz w:val="20"/>
                <w:szCs w:val="20"/>
                <w:lang w:eastAsia="es-MX"/>
              </w:rPr>
              <w:t>transacción</w:t>
            </w:r>
            <w:r w:rsidRPr="002C2D28">
              <w:rPr>
                <w:rFonts w:ascii="ITC Avant Garde" w:eastAsia="Times New Roman" w:hAnsi="ITC Avant Garde"/>
                <w:color w:val="000000"/>
                <w:sz w:val="20"/>
                <w:szCs w:val="20"/>
                <w:lang w:eastAsia="es-MX"/>
              </w:rPr>
              <w:t>.</w:t>
            </w:r>
            <w:r w:rsidRPr="002C2D28">
              <w:rPr>
                <w:rFonts w:ascii="ITC Avant Garde" w:eastAsia="Times New Roman" w:hAnsi="ITC Avant Garde" w:cs="Arial"/>
                <w:bCs/>
                <w:color w:val="000000"/>
                <w:sz w:val="20"/>
                <w:szCs w:val="20"/>
              </w:rPr>
              <w:t xml:space="preserve"> </w:t>
            </w:r>
          </w:p>
        </w:tc>
      </w:tr>
      <w:tr w:rsidR="00885864" w:rsidRPr="002C2D28" w14:paraId="67F46642" w14:textId="77777777" w:rsidTr="00652FBC">
        <w:trPr>
          <w:trHeight w:val="414"/>
        </w:trPr>
        <w:tc>
          <w:tcPr>
            <w:tcW w:w="8641" w:type="dxa"/>
            <w:gridSpan w:val="3"/>
            <w:shd w:val="clear" w:color="auto" w:fill="FFFFFF"/>
            <w:vAlign w:val="center"/>
          </w:tcPr>
          <w:p w14:paraId="3C8363D4" w14:textId="77777777" w:rsidR="00885864" w:rsidRPr="002C2D28" w:rsidRDefault="00885864" w:rsidP="00EA0095">
            <w:pPr>
              <w:jc w:val="both"/>
              <w:rPr>
                <w:rFonts w:ascii="ITC Avant Garde" w:hAnsi="ITC Avant Garde"/>
                <w:b/>
                <w:sz w:val="20"/>
                <w:szCs w:val="20"/>
              </w:rPr>
            </w:pPr>
            <w:r w:rsidRPr="002C2D28">
              <w:rPr>
                <w:rFonts w:ascii="ITC Avant Garde" w:hAnsi="ITC Avant Garde"/>
                <w:b/>
                <w:sz w:val="20"/>
                <w:szCs w:val="20"/>
              </w:rPr>
              <w:lastRenderedPageBreak/>
              <w:t>Contexto:</w:t>
            </w:r>
          </w:p>
          <w:p w14:paraId="17999A47" w14:textId="77777777" w:rsidR="00885864" w:rsidRPr="002C2D28" w:rsidRDefault="00885864" w:rsidP="00EA0095">
            <w:pPr>
              <w:jc w:val="both"/>
              <w:rPr>
                <w:rFonts w:ascii="ITC Avant Garde" w:hAnsi="ITC Avant Garde"/>
                <w:sz w:val="20"/>
                <w:szCs w:val="20"/>
              </w:rPr>
            </w:pPr>
            <w:r w:rsidRPr="002C2D28">
              <w:rPr>
                <w:rFonts w:ascii="ITC Avant Garde" w:hAnsi="ITC Avant Garde"/>
                <w:sz w:val="20"/>
                <w:szCs w:val="20"/>
              </w:rPr>
              <w:t>Los OMV constituyen una figura que permite dinamizar el sector acercando los beneficios de la competencia en segmentos que no estaban siendo atendidos por los operadores tradicionales, así como enfocarse en nichos específicos de usuarios, haciendo uso de la infraestructura y/o espectro de los operadores de red.</w:t>
            </w:r>
          </w:p>
          <w:p w14:paraId="7AC05C99" w14:textId="77777777" w:rsidR="00885864" w:rsidRPr="002C2D28" w:rsidRDefault="00885864" w:rsidP="00EA0095">
            <w:pPr>
              <w:jc w:val="both"/>
              <w:rPr>
                <w:rFonts w:ascii="ITC Avant Garde" w:hAnsi="ITC Avant Garde"/>
                <w:b/>
                <w:sz w:val="20"/>
                <w:szCs w:val="20"/>
              </w:rPr>
            </w:pPr>
            <w:r w:rsidRPr="002C2D28">
              <w:rPr>
                <w:rFonts w:ascii="ITC Avant Garde" w:hAnsi="ITC Avant Garde"/>
                <w:b/>
                <w:sz w:val="20"/>
                <w:szCs w:val="20"/>
              </w:rPr>
              <w:t>Resumen de las medidas impuestas:</w:t>
            </w:r>
          </w:p>
          <w:p w14:paraId="40AD4C5F" w14:textId="77777777" w:rsidR="00885864" w:rsidRPr="002C2D28" w:rsidRDefault="00885864" w:rsidP="00EA0095">
            <w:pPr>
              <w:jc w:val="both"/>
              <w:rPr>
                <w:rFonts w:ascii="ITC Avant Garde" w:eastAsia="Times New Roman" w:hAnsi="ITC Avant Garde"/>
                <w:color w:val="000000"/>
                <w:sz w:val="20"/>
                <w:szCs w:val="20"/>
                <w:lang w:eastAsia="es-MX"/>
              </w:rPr>
            </w:pPr>
            <w:r w:rsidRPr="002C2D28">
              <w:rPr>
                <w:rFonts w:ascii="ITC Avant Garde" w:hAnsi="ITC Avant Garde"/>
                <w:sz w:val="20"/>
                <w:szCs w:val="20"/>
              </w:rPr>
              <w:t>El Instituto impuso medidas al AEPT referentes a proveer el servicio mayorista de comercialización o reventa de servicios móviles (incluidos los equipos terminales o las SIM)</w:t>
            </w:r>
            <w:r w:rsidRPr="002C2D28">
              <w:rPr>
                <w:rFonts w:ascii="ITC Avant Garde" w:eastAsia="Times New Roman" w:hAnsi="ITC Avant Garde"/>
                <w:color w:val="000000"/>
                <w:sz w:val="20"/>
                <w:szCs w:val="20"/>
                <w:lang w:eastAsia="es-MX"/>
              </w:rPr>
              <w:t>, publicar una oferta de referencia, suscribir convenios,</w:t>
            </w:r>
            <w:r w:rsidRPr="002C2D28" w:rsidDel="00787054">
              <w:rPr>
                <w:rFonts w:ascii="ITC Avant Garde" w:eastAsia="Times New Roman" w:hAnsi="ITC Avant Garde"/>
                <w:color w:val="000000"/>
                <w:sz w:val="20"/>
                <w:szCs w:val="20"/>
                <w:lang w:eastAsia="es-MX"/>
              </w:rPr>
              <w:t xml:space="preserve"> </w:t>
            </w:r>
            <w:r w:rsidRPr="002C2D28" w:rsidDel="008932C8">
              <w:rPr>
                <w:rFonts w:ascii="ITC Avant Garde" w:eastAsia="Times New Roman" w:hAnsi="ITC Avant Garde"/>
                <w:color w:val="000000"/>
                <w:sz w:val="20"/>
                <w:szCs w:val="20"/>
                <w:lang w:eastAsia="es-MX"/>
              </w:rPr>
              <w:t>y</w:t>
            </w:r>
            <w:r w:rsidRPr="002C2D28">
              <w:rPr>
                <w:rFonts w:ascii="ITC Avant Garde" w:eastAsia="Times New Roman" w:hAnsi="ITC Avant Garde"/>
                <w:color w:val="000000"/>
                <w:sz w:val="20"/>
                <w:szCs w:val="20"/>
                <w:lang w:eastAsia="es-MX"/>
              </w:rPr>
              <w:t xml:space="preserve"> poner información a disposición de los OMV, entre otras. Asimismo, se señaló que, en caso de desacuerdo respecto a las tarifas aplicables al servicio mayorista, el Instituto las determinaría con base en una metodología de costos evitados.</w:t>
            </w:r>
          </w:p>
          <w:p w14:paraId="297FCEE4" w14:textId="77777777" w:rsidR="00885864" w:rsidRDefault="00885864" w:rsidP="00EA0095">
            <w:pPr>
              <w:jc w:val="both"/>
              <w:rPr>
                <w:rFonts w:ascii="ITC Avant Garde" w:eastAsia="Times New Roman" w:hAnsi="ITC Avant Garde"/>
                <w:color w:val="000000"/>
                <w:sz w:val="20"/>
                <w:szCs w:val="20"/>
                <w:lang w:eastAsia="es-MX"/>
              </w:rPr>
            </w:pPr>
            <w:r w:rsidRPr="002C2D28">
              <w:rPr>
                <w:rFonts w:ascii="ITC Avant Garde" w:eastAsia="Times New Roman" w:hAnsi="ITC Avant Garde"/>
                <w:color w:val="000000"/>
                <w:sz w:val="20"/>
                <w:szCs w:val="20"/>
                <w:lang w:eastAsia="es-MX"/>
              </w:rPr>
              <w:t xml:space="preserve">A través de la </w:t>
            </w:r>
            <w:r w:rsidR="009E42CC">
              <w:rPr>
                <w:rFonts w:ascii="ITC Avant Garde" w:eastAsia="Times New Roman" w:hAnsi="ITC Avant Garde"/>
                <w:color w:val="000000"/>
                <w:sz w:val="20"/>
                <w:szCs w:val="20"/>
                <w:lang w:eastAsia="es-MX"/>
              </w:rPr>
              <w:t xml:space="preserve">Primera </w:t>
            </w:r>
            <w:r w:rsidRPr="002C2D28">
              <w:rPr>
                <w:rFonts w:ascii="ITC Avant Garde" w:eastAsia="Times New Roman" w:hAnsi="ITC Avant Garde"/>
                <w:color w:val="000000"/>
                <w:sz w:val="20"/>
                <w:szCs w:val="20"/>
                <w:lang w:eastAsia="es-MX"/>
              </w:rPr>
              <w:t>Resolución Bienal de Telecomunicaciones se hicieron adecuaciones en materia de procesos y elementos mínimos que debe contener la oferta de referencia (incluidas las tarifas mayoristas para un OMV revendedor), así como de homologación con lo establecido en la LFTR y otros ordenamientos jurídicos, entre otras.</w:t>
            </w:r>
          </w:p>
          <w:p w14:paraId="5357BCD7" w14:textId="79C78FE0" w:rsidR="009E42CC" w:rsidRPr="002C2D28" w:rsidRDefault="009E42CC" w:rsidP="00EA0095">
            <w:pPr>
              <w:jc w:val="both"/>
              <w:rPr>
                <w:rFonts w:ascii="ITC Avant Garde" w:hAnsi="ITC Avant Garde"/>
                <w:b/>
                <w:sz w:val="20"/>
                <w:szCs w:val="20"/>
              </w:rPr>
            </w:pPr>
            <w:r>
              <w:rPr>
                <w:rFonts w:ascii="ITC Avant Garde" w:eastAsia="Times New Roman" w:hAnsi="ITC Avant Garde"/>
                <w:color w:val="000000"/>
                <w:sz w:val="20"/>
                <w:szCs w:val="20"/>
                <w:lang w:eastAsia="es-MX"/>
              </w:rPr>
              <w:t>En la Segunda Resolución Bienal de Telecomunicaciones</w:t>
            </w:r>
            <w:r w:rsidR="00C430C1" w:rsidRPr="00C430C1">
              <w:rPr>
                <w:rFonts w:ascii="ITC Avant Garde" w:eastAsia="Times New Roman" w:hAnsi="ITC Avant Garde"/>
                <w:color w:val="000000"/>
                <w:sz w:val="20"/>
                <w:szCs w:val="20"/>
                <w:lang w:eastAsia="es-MX"/>
              </w:rPr>
              <w:t xml:space="preserve"> </w:t>
            </w:r>
            <w:r w:rsidR="00B56FD9" w:rsidRPr="00B56FD9">
              <w:rPr>
                <w:rFonts w:ascii="ITC Avant Garde" w:eastAsia="Times New Roman" w:hAnsi="ITC Avant Garde"/>
                <w:color w:val="000000"/>
                <w:sz w:val="20"/>
                <w:szCs w:val="20"/>
                <w:lang w:eastAsia="es-MX"/>
              </w:rPr>
              <w:t>se hicieron modificaciones en cuanto al proceso de revisión anual de la oferta de referencia para hacerlo más eficiente</w:t>
            </w:r>
            <w:r w:rsidR="00F35001">
              <w:rPr>
                <w:rFonts w:ascii="ITC Avant Garde" w:eastAsia="Times New Roman" w:hAnsi="ITC Avant Garde"/>
                <w:color w:val="000000"/>
                <w:sz w:val="20"/>
                <w:szCs w:val="20"/>
                <w:lang w:eastAsia="es-MX"/>
              </w:rPr>
              <w:t xml:space="preserve"> </w:t>
            </w:r>
            <w:r w:rsidR="001621F6">
              <w:rPr>
                <w:rFonts w:ascii="ITC Avant Garde" w:eastAsia="Times New Roman" w:hAnsi="ITC Avant Garde"/>
                <w:color w:val="000000"/>
                <w:sz w:val="20"/>
                <w:szCs w:val="20"/>
                <w:lang w:eastAsia="es-MX"/>
              </w:rPr>
              <w:t>y se hicieron modificaciones para</w:t>
            </w:r>
            <w:r w:rsidR="001621F6" w:rsidRPr="001621F6">
              <w:rPr>
                <w:rFonts w:ascii="ITC Avant Garde" w:eastAsia="Times New Roman" w:hAnsi="ITC Avant Garde"/>
                <w:color w:val="000000"/>
                <w:sz w:val="20"/>
                <w:szCs w:val="20"/>
                <w:lang w:eastAsia="es-MX"/>
              </w:rPr>
              <w:t xml:space="preserve"> que la definición de los procedimientos, plazos, términos y demás condiciones técnicas y económicas para la</w:t>
            </w:r>
            <w:r w:rsidR="006160C9">
              <w:rPr>
                <w:rFonts w:ascii="ITC Avant Garde" w:eastAsia="Times New Roman" w:hAnsi="ITC Avant Garde"/>
                <w:color w:val="000000"/>
                <w:sz w:val="20"/>
                <w:szCs w:val="20"/>
                <w:lang w:eastAsia="es-MX"/>
              </w:rPr>
              <w:t xml:space="preserve"> prestación</w:t>
            </w:r>
            <w:r w:rsidR="001621F6" w:rsidRPr="001621F6">
              <w:rPr>
                <w:rFonts w:ascii="ITC Avant Garde" w:eastAsia="Times New Roman" w:hAnsi="ITC Avant Garde"/>
                <w:color w:val="000000"/>
                <w:sz w:val="20"/>
                <w:szCs w:val="20"/>
                <w:lang w:eastAsia="es-MX"/>
              </w:rPr>
              <w:t xml:space="preserve"> </w:t>
            </w:r>
            <w:r w:rsidR="006160C9" w:rsidRPr="001621F6">
              <w:rPr>
                <w:rFonts w:ascii="ITC Avant Garde" w:eastAsia="Times New Roman" w:hAnsi="ITC Avant Garde"/>
                <w:color w:val="000000"/>
                <w:sz w:val="20"/>
                <w:szCs w:val="20"/>
                <w:lang w:eastAsia="es-MX"/>
              </w:rPr>
              <w:t>de</w:t>
            </w:r>
            <w:r w:rsidR="006160C9">
              <w:rPr>
                <w:rFonts w:ascii="ITC Avant Garde" w:eastAsia="Times New Roman" w:hAnsi="ITC Avant Garde"/>
                <w:color w:val="000000"/>
                <w:sz w:val="20"/>
                <w:szCs w:val="20"/>
                <w:lang w:eastAsia="es-MX"/>
              </w:rPr>
              <w:t xml:space="preserve"> </w:t>
            </w:r>
            <w:r w:rsidR="006160C9" w:rsidRPr="001621F6">
              <w:rPr>
                <w:rFonts w:ascii="ITC Avant Garde" w:eastAsia="Times New Roman" w:hAnsi="ITC Avant Garde"/>
                <w:color w:val="000000"/>
                <w:sz w:val="20"/>
                <w:szCs w:val="20"/>
                <w:lang w:eastAsia="es-MX"/>
              </w:rPr>
              <w:t>l</w:t>
            </w:r>
            <w:r w:rsidR="006160C9">
              <w:rPr>
                <w:rFonts w:ascii="ITC Avant Garde" w:eastAsia="Times New Roman" w:hAnsi="ITC Avant Garde"/>
                <w:color w:val="000000"/>
                <w:sz w:val="20"/>
                <w:szCs w:val="20"/>
                <w:lang w:eastAsia="es-MX"/>
              </w:rPr>
              <w:t>os</w:t>
            </w:r>
            <w:r w:rsidR="006160C9" w:rsidRPr="001621F6">
              <w:rPr>
                <w:rFonts w:ascii="ITC Avant Garde" w:eastAsia="Times New Roman" w:hAnsi="ITC Avant Garde"/>
                <w:color w:val="000000"/>
                <w:sz w:val="20"/>
                <w:szCs w:val="20"/>
                <w:lang w:eastAsia="es-MX"/>
              </w:rPr>
              <w:t xml:space="preserve"> servicio</w:t>
            </w:r>
            <w:r w:rsidR="006160C9">
              <w:rPr>
                <w:rFonts w:ascii="ITC Avant Garde" w:eastAsia="Times New Roman" w:hAnsi="ITC Avant Garde"/>
                <w:color w:val="000000"/>
                <w:sz w:val="20"/>
                <w:szCs w:val="20"/>
                <w:lang w:eastAsia="es-MX"/>
              </w:rPr>
              <w:t>s</w:t>
            </w:r>
            <w:r w:rsidR="006160C9" w:rsidRPr="001621F6">
              <w:rPr>
                <w:rFonts w:ascii="ITC Avant Garde" w:eastAsia="Times New Roman" w:hAnsi="ITC Avant Garde"/>
                <w:color w:val="000000"/>
                <w:sz w:val="20"/>
                <w:szCs w:val="20"/>
                <w:lang w:eastAsia="es-MX"/>
              </w:rPr>
              <w:t xml:space="preserve"> mayorista</w:t>
            </w:r>
            <w:r w:rsidR="006160C9">
              <w:rPr>
                <w:rFonts w:ascii="ITC Avant Garde" w:eastAsia="Times New Roman" w:hAnsi="ITC Avant Garde"/>
                <w:color w:val="000000"/>
                <w:sz w:val="20"/>
                <w:szCs w:val="20"/>
                <w:lang w:eastAsia="es-MX"/>
              </w:rPr>
              <w:t>s para OMV se lleve a cabo</w:t>
            </w:r>
            <w:r w:rsidR="006160C9" w:rsidRPr="001621F6">
              <w:rPr>
                <w:rFonts w:ascii="ITC Avant Garde" w:eastAsia="Times New Roman" w:hAnsi="ITC Avant Garde"/>
                <w:color w:val="000000"/>
                <w:sz w:val="20"/>
                <w:szCs w:val="20"/>
                <w:lang w:eastAsia="es-MX"/>
              </w:rPr>
              <w:t xml:space="preserve"> en la revisión anual </w:t>
            </w:r>
            <w:r w:rsidR="006160C9">
              <w:rPr>
                <w:rFonts w:ascii="ITC Avant Garde" w:eastAsia="Times New Roman" w:hAnsi="ITC Avant Garde"/>
                <w:color w:val="000000"/>
                <w:sz w:val="20"/>
                <w:szCs w:val="20"/>
                <w:lang w:eastAsia="es-MX"/>
              </w:rPr>
              <w:t>de las ofertas de referencia, a fin de garantizar que la prestación de los servicios sea acorde al dinamismo que caracteriza al sector</w:t>
            </w:r>
            <w:r w:rsidR="001621F6">
              <w:rPr>
                <w:rFonts w:ascii="ITC Avant Garde" w:eastAsia="Times New Roman" w:hAnsi="ITC Avant Garde"/>
                <w:color w:val="000000"/>
                <w:sz w:val="20"/>
                <w:szCs w:val="20"/>
                <w:lang w:eastAsia="es-MX"/>
              </w:rPr>
              <w:t>.</w:t>
            </w:r>
          </w:p>
        </w:tc>
      </w:tr>
      <w:tr w:rsidR="00885864" w:rsidRPr="002C2D28" w14:paraId="25BF802D" w14:textId="77777777" w:rsidTr="00652FBC">
        <w:trPr>
          <w:trHeight w:val="414"/>
        </w:trPr>
        <w:tc>
          <w:tcPr>
            <w:tcW w:w="8641" w:type="dxa"/>
            <w:gridSpan w:val="3"/>
            <w:shd w:val="clear" w:color="auto" w:fill="FFFFFF"/>
            <w:vAlign w:val="center"/>
          </w:tcPr>
          <w:p w14:paraId="2A6CA9EC" w14:textId="52CC132E" w:rsidR="00C216F3" w:rsidRPr="00390B31" w:rsidRDefault="00BE38FF" w:rsidP="00B107D7">
            <w:pPr>
              <w:spacing w:after="0" w:line="276" w:lineRule="auto"/>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t xml:space="preserve">¿Cuáles son sus consideraciones respecto al impacto que ha tenido la regulación asimétrica </w:t>
            </w:r>
            <w:r w:rsidR="00501789">
              <w:rPr>
                <w:rFonts w:ascii="ITC Avant Garde" w:eastAsia="Times New Roman" w:hAnsi="ITC Avant Garde"/>
                <w:b/>
                <w:color w:val="000000"/>
                <w:sz w:val="20"/>
                <w:szCs w:val="20"/>
                <w:lang w:eastAsia="es-MX"/>
              </w:rPr>
              <w:t xml:space="preserve">al AEPT </w:t>
            </w:r>
            <w:r>
              <w:rPr>
                <w:rFonts w:ascii="ITC Avant Garde" w:eastAsia="Times New Roman" w:hAnsi="ITC Avant Garde"/>
                <w:b/>
                <w:color w:val="000000"/>
                <w:sz w:val="20"/>
                <w:szCs w:val="20"/>
                <w:lang w:eastAsia="es-MX"/>
              </w:rPr>
              <w:t xml:space="preserve">de los servicios </w:t>
            </w:r>
            <w:r w:rsidR="00501789">
              <w:rPr>
                <w:rFonts w:ascii="ITC Avant Garde" w:eastAsia="Times New Roman" w:hAnsi="ITC Avant Garde"/>
                <w:b/>
                <w:color w:val="000000"/>
                <w:sz w:val="20"/>
                <w:szCs w:val="20"/>
                <w:lang w:eastAsia="es-MX"/>
              </w:rPr>
              <w:t>p</w:t>
            </w:r>
            <w:r w:rsidR="0081738C">
              <w:rPr>
                <w:rFonts w:ascii="ITC Avant Garde" w:eastAsia="Times New Roman" w:hAnsi="ITC Avant Garde"/>
                <w:b/>
                <w:color w:val="000000"/>
                <w:sz w:val="20"/>
                <w:szCs w:val="20"/>
                <w:lang w:eastAsia="es-MX"/>
              </w:rPr>
              <w:t>a</w:t>
            </w:r>
            <w:r w:rsidR="00501789">
              <w:rPr>
                <w:rFonts w:ascii="ITC Avant Garde" w:eastAsia="Times New Roman" w:hAnsi="ITC Avant Garde"/>
                <w:b/>
                <w:color w:val="000000"/>
                <w:sz w:val="20"/>
                <w:szCs w:val="20"/>
                <w:lang w:eastAsia="es-MX"/>
              </w:rPr>
              <w:t>ra</w:t>
            </w:r>
            <w:r>
              <w:rPr>
                <w:rFonts w:ascii="ITC Avant Garde" w:eastAsia="Times New Roman" w:hAnsi="ITC Avant Garde"/>
                <w:b/>
                <w:color w:val="000000"/>
                <w:sz w:val="20"/>
                <w:szCs w:val="20"/>
                <w:lang w:eastAsia="es-MX"/>
              </w:rPr>
              <w:t xml:space="preserve"> OMV?</w:t>
            </w:r>
          </w:p>
        </w:tc>
      </w:tr>
      <w:tr w:rsidR="00885864" w:rsidRPr="002C2D28" w14:paraId="5E4D3EBB" w14:textId="77777777" w:rsidTr="00652FBC">
        <w:trPr>
          <w:trHeight w:val="414"/>
        </w:trPr>
        <w:tc>
          <w:tcPr>
            <w:tcW w:w="8641" w:type="dxa"/>
            <w:gridSpan w:val="3"/>
            <w:shd w:val="clear" w:color="auto" w:fill="FFFFFF"/>
            <w:vAlign w:val="center"/>
          </w:tcPr>
          <w:p w14:paraId="3EA51617" w14:textId="77777777" w:rsidR="00885864" w:rsidRPr="002C2D28" w:rsidRDefault="00885864" w:rsidP="00B107D7">
            <w:pPr>
              <w:spacing w:after="0" w:line="276" w:lineRule="auto"/>
              <w:jc w:val="both"/>
              <w:rPr>
                <w:rFonts w:ascii="ITC Avant Garde" w:eastAsia="Times New Roman" w:hAnsi="ITC Avant Garde"/>
                <w:b/>
                <w:color w:val="000000"/>
                <w:sz w:val="20"/>
                <w:szCs w:val="20"/>
                <w:lang w:eastAsia="es-MX"/>
              </w:rPr>
            </w:pPr>
          </w:p>
        </w:tc>
      </w:tr>
      <w:tr w:rsidR="0045024C" w:rsidRPr="002C2D28" w14:paraId="2C7605E2" w14:textId="77777777" w:rsidTr="00652FBC">
        <w:trPr>
          <w:trHeight w:val="414"/>
        </w:trPr>
        <w:tc>
          <w:tcPr>
            <w:tcW w:w="8641" w:type="dxa"/>
            <w:gridSpan w:val="3"/>
            <w:shd w:val="clear" w:color="auto" w:fill="FFFFFF"/>
            <w:vAlign w:val="center"/>
          </w:tcPr>
          <w:p w14:paraId="710A1FE2" w14:textId="0688B7B0" w:rsidR="0045024C" w:rsidRPr="002C2D28" w:rsidRDefault="0045024C" w:rsidP="00B107D7">
            <w:pPr>
              <w:spacing w:after="0" w:line="276" w:lineRule="auto"/>
              <w:jc w:val="both"/>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w:t>
            </w:r>
            <w:r>
              <w:rPr>
                <w:rFonts w:ascii="ITC Avant Garde" w:eastAsia="Times New Roman" w:hAnsi="ITC Avant Garde"/>
                <w:b/>
                <w:color w:val="000000"/>
                <w:sz w:val="20"/>
                <w:szCs w:val="20"/>
                <w:lang w:eastAsia="es-MX"/>
              </w:rPr>
              <w:t xml:space="preserve">Cuáles son sus </w:t>
            </w:r>
            <w:r w:rsidRPr="002C2D28">
              <w:rPr>
                <w:rFonts w:ascii="ITC Avant Garde" w:eastAsia="Times New Roman" w:hAnsi="ITC Avant Garde"/>
                <w:b/>
                <w:color w:val="000000"/>
                <w:sz w:val="20"/>
                <w:szCs w:val="20"/>
                <w:lang w:eastAsia="es-MX"/>
              </w:rPr>
              <w:t>considera</w:t>
            </w:r>
            <w:r>
              <w:rPr>
                <w:rFonts w:ascii="ITC Avant Garde" w:eastAsia="Times New Roman" w:hAnsi="ITC Avant Garde"/>
                <w:b/>
                <w:color w:val="000000"/>
                <w:sz w:val="20"/>
                <w:szCs w:val="20"/>
                <w:lang w:eastAsia="es-MX"/>
              </w:rPr>
              <w:t>ciones respecto</w:t>
            </w:r>
            <w:r w:rsidRPr="002C2D28">
              <w:rPr>
                <w:rFonts w:ascii="ITC Avant Garde" w:eastAsia="Times New Roman" w:hAnsi="ITC Avant Garde"/>
                <w:b/>
                <w:color w:val="000000"/>
                <w:sz w:val="20"/>
                <w:szCs w:val="20"/>
                <w:lang w:eastAsia="es-MX"/>
              </w:rPr>
              <w:t xml:space="preserve"> </w:t>
            </w:r>
            <w:r>
              <w:rPr>
                <w:rFonts w:ascii="ITC Avant Garde" w:eastAsia="Times New Roman" w:hAnsi="ITC Avant Garde"/>
                <w:b/>
                <w:color w:val="000000"/>
                <w:sz w:val="20"/>
                <w:szCs w:val="20"/>
                <w:lang w:eastAsia="es-MX"/>
              </w:rPr>
              <w:t>al diseño de las medidas</w:t>
            </w:r>
            <w:r w:rsidR="00501789">
              <w:rPr>
                <w:rFonts w:ascii="ITC Avant Garde" w:eastAsia="Times New Roman" w:hAnsi="ITC Avant Garde"/>
                <w:b/>
                <w:color w:val="000000"/>
                <w:sz w:val="20"/>
                <w:szCs w:val="20"/>
                <w:lang w:eastAsia="es-MX"/>
              </w:rPr>
              <w:t xml:space="preserve"> relacionadas con los servicios para OMV</w:t>
            </w:r>
            <w:r>
              <w:rPr>
                <w:rFonts w:ascii="ITC Avant Garde" w:eastAsia="Times New Roman" w:hAnsi="ITC Avant Garde"/>
                <w:b/>
                <w:color w:val="000000"/>
                <w:sz w:val="20"/>
                <w:szCs w:val="20"/>
                <w:lang w:eastAsia="es-MX"/>
              </w:rPr>
              <w:t xml:space="preserve"> y su idoneidad</w:t>
            </w:r>
            <w:r w:rsidRPr="002C2D28">
              <w:rPr>
                <w:rFonts w:ascii="ITC Avant Garde" w:eastAsia="Times New Roman" w:hAnsi="ITC Avant Garde"/>
                <w:b/>
                <w:color w:val="000000"/>
                <w:sz w:val="20"/>
                <w:szCs w:val="20"/>
                <w:lang w:eastAsia="es-MX"/>
              </w:rPr>
              <w:t xml:space="preserve"> para alcanzar los objetivos por los que se plantearon?</w:t>
            </w:r>
          </w:p>
        </w:tc>
      </w:tr>
      <w:tr w:rsidR="0045024C" w:rsidRPr="002C2D28" w14:paraId="50F691CD" w14:textId="77777777" w:rsidTr="00652FBC">
        <w:trPr>
          <w:trHeight w:val="414"/>
        </w:trPr>
        <w:tc>
          <w:tcPr>
            <w:tcW w:w="8641" w:type="dxa"/>
            <w:gridSpan w:val="3"/>
            <w:shd w:val="clear" w:color="auto" w:fill="FFFFFF"/>
            <w:vAlign w:val="center"/>
          </w:tcPr>
          <w:p w14:paraId="2BB4C501" w14:textId="77777777" w:rsidR="0045024C" w:rsidRPr="002C2D28" w:rsidRDefault="0045024C" w:rsidP="00B107D7">
            <w:pPr>
              <w:spacing w:after="0" w:line="276" w:lineRule="auto"/>
              <w:jc w:val="both"/>
              <w:rPr>
                <w:rFonts w:ascii="ITC Avant Garde" w:eastAsia="Times New Roman" w:hAnsi="ITC Avant Garde"/>
                <w:b/>
                <w:color w:val="000000"/>
                <w:sz w:val="20"/>
                <w:szCs w:val="20"/>
                <w:lang w:eastAsia="es-MX"/>
              </w:rPr>
            </w:pPr>
          </w:p>
        </w:tc>
      </w:tr>
      <w:tr w:rsidR="00885864" w:rsidRPr="002C2D28" w14:paraId="023B0F80" w14:textId="77777777" w:rsidTr="00652FBC">
        <w:trPr>
          <w:trHeight w:val="414"/>
        </w:trPr>
        <w:tc>
          <w:tcPr>
            <w:tcW w:w="8641" w:type="dxa"/>
            <w:gridSpan w:val="3"/>
            <w:shd w:val="clear" w:color="auto" w:fill="FFFFFF"/>
          </w:tcPr>
          <w:p w14:paraId="4844609C" w14:textId="127F10F7" w:rsidR="00885864" w:rsidRPr="00C81F5E" w:rsidRDefault="00C81F5E" w:rsidP="00B107D7">
            <w:pPr>
              <w:jc w:val="both"/>
              <w:rPr>
                <w:rFonts w:ascii="ITC Avant Garde" w:hAnsi="ITC Avant Garde"/>
                <w:b/>
                <w:sz w:val="20"/>
                <w:szCs w:val="20"/>
              </w:rPr>
            </w:pPr>
            <w:r>
              <w:rPr>
                <w:rFonts w:ascii="ITC Avant Garde" w:hAnsi="ITC Avant Garde"/>
                <w:b/>
                <w:sz w:val="20"/>
                <w:szCs w:val="20"/>
              </w:rPr>
              <w:t>Favor de indicar la(s)</w:t>
            </w:r>
            <w:r w:rsidR="00885864" w:rsidRPr="002C2D28">
              <w:rPr>
                <w:rFonts w:ascii="ITC Avant Garde" w:hAnsi="ITC Avant Garde"/>
                <w:b/>
                <w:sz w:val="20"/>
                <w:szCs w:val="20"/>
              </w:rPr>
              <w:t xml:space="preserve"> propuesta</w:t>
            </w:r>
            <w:r>
              <w:rPr>
                <w:rFonts w:ascii="ITC Avant Garde" w:hAnsi="ITC Avant Garde"/>
                <w:b/>
                <w:sz w:val="20"/>
                <w:szCs w:val="20"/>
              </w:rPr>
              <w:t>(s)</w:t>
            </w:r>
            <w:r w:rsidR="00885864" w:rsidRPr="002C2D28">
              <w:rPr>
                <w:rFonts w:ascii="ITC Avant Garde" w:hAnsi="ITC Avant Garde"/>
                <w:b/>
                <w:sz w:val="20"/>
                <w:szCs w:val="20"/>
              </w:rPr>
              <w:t xml:space="preserve"> específica</w:t>
            </w:r>
            <w:r>
              <w:rPr>
                <w:rFonts w:ascii="ITC Avant Garde" w:hAnsi="ITC Avant Garde"/>
                <w:b/>
                <w:sz w:val="20"/>
                <w:szCs w:val="20"/>
              </w:rPr>
              <w:t>(s)</w:t>
            </w:r>
            <w:r w:rsidR="00501789">
              <w:rPr>
                <w:rFonts w:ascii="ITC Avant Garde" w:hAnsi="ITC Avant Garde"/>
                <w:b/>
                <w:sz w:val="20"/>
                <w:szCs w:val="20"/>
              </w:rPr>
              <w:t xml:space="preserve"> para la supresión, modificación o adición de</w:t>
            </w:r>
            <w:r w:rsidR="00501789" w:rsidRPr="002C2D28">
              <w:rPr>
                <w:rFonts w:ascii="ITC Avant Garde" w:hAnsi="ITC Avant Garde"/>
                <w:b/>
                <w:sz w:val="20"/>
                <w:szCs w:val="20"/>
              </w:rPr>
              <w:t xml:space="preserve"> las medidas relacionadas con los</w:t>
            </w:r>
            <w:r w:rsidR="00501789">
              <w:rPr>
                <w:rFonts w:ascii="ITC Avant Garde" w:hAnsi="ITC Avant Garde"/>
                <w:b/>
                <w:sz w:val="20"/>
                <w:szCs w:val="20"/>
              </w:rPr>
              <w:t xml:space="preserve"> servicios para</w:t>
            </w:r>
            <w:r w:rsidR="00501789" w:rsidRPr="002C2D28">
              <w:rPr>
                <w:rFonts w:ascii="ITC Avant Garde" w:hAnsi="ITC Avant Garde"/>
                <w:b/>
                <w:sz w:val="20"/>
                <w:szCs w:val="20"/>
              </w:rPr>
              <w:t xml:space="preserve"> OMV</w:t>
            </w:r>
            <w:r w:rsidR="00885864" w:rsidRPr="002C2D28">
              <w:rPr>
                <w:rFonts w:ascii="ITC Avant Garde" w:hAnsi="ITC Avant Garde"/>
                <w:b/>
                <w:sz w:val="20"/>
                <w:szCs w:val="20"/>
              </w:rPr>
              <w:t>.</w:t>
            </w:r>
          </w:p>
        </w:tc>
      </w:tr>
      <w:tr w:rsidR="00885864" w:rsidRPr="002C2D28" w14:paraId="2732215B" w14:textId="77777777" w:rsidTr="00652FBC">
        <w:trPr>
          <w:trHeight w:val="414"/>
        </w:trPr>
        <w:tc>
          <w:tcPr>
            <w:tcW w:w="3047" w:type="dxa"/>
            <w:gridSpan w:val="2"/>
            <w:shd w:val="clear" w:color="auto" w:fill="FFFFFF"/>
          </w:tcPr>
          <w:p w14:paraId="2ECE5846"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shd w:val="clear" w:color="auto" w:fill="FFFFFF"/>
          </w:tcPr>
          <w:p w14:paraId="3D1D46CE" w14:textId="77777777" w:rsidR="00885864" w:rsidRPr="002C2D28" w:rsidRDefault="00885864" w:rsidP="00652FBC">
            <w:pP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885864" w:rsidRPr="002C2D28" w14:paraId="5ACBE695" w14:textId="77777777" w:rsidTr="00652FBC">
        <w:trPr>
          <w:trHeight w:val="414"/>
        </w:trPr>
        <w:tc>
          <w:tcPr>
            <w:tcW w:w="3047" w:type="dxa"/>
            <w:gridSpan w:val="2"/>
            <w:shd w:val="clear" w:color="auto" w:fill="FFFFFF"/>
          </w:tcPr>
          <w:p w14:paraId="493675B4"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shd w:val="clear" w:color="auto" w:fill="FFFFFF"/>
          </w:tcPr>
          <w:p w14:paraId="494E4578" w14:textId="77777777" w:rsidR="00885864" w:rsidRPr="002C2D28" w:rsidRDefault="00885864" w:rsidP="00652FBC">
            <w:pP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885864" w:rsidRPr="002C2D28" w14:paraId="1F4EDD61" w14:textId="77777777" w:rsidTr="00652FBC">
        <w:trPr>
          <w:trHeight w:val="414"/>
        </w:trPr>
        <w:tc>
          <w:tcPr>
            <w:tcW w:w="1754" w:type="dxa"/>
            <w:shd w:val="clear" w:color="auto" w:fill="C5E0B3"/>
            <w:vAlign w:val="center"/>
          </w:tcPr>
          <w:p w14:paraId="5B59C1BC" w14:textId="77777777"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Medidas referentes a Usuario Visitante</w:t>
            </w:r>
          </w:p>
          <w:p w14:paraId="1D6A40CF" w14:textId="77777777"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p>
          <w:p w14:paraId="1045142D" w14:textId="64C249D1"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 xml:space="preserve">Anexo 1: </w:t>
            </w:r>
            <w:r w:rsidRPr="002C2D28">
              <w:rPr>
                <w:rFonts w:ascii="ITC Avant Garde" w:hAnsi="ITC Avant Garde"/>
                <w:sz w:val="20"/>
                <w:szCs w:val="20"/>
              </w:rPr>
              <w:t xml:space="preserve"> </w:t>
            </w:r>
            <w:r w:rsidRPr="002C2D28">
              <w:rPr>
                <w:rFonts w:ascii="ITC Avant Garde" w:eastAsia="Times New Roman" w:hAnsi="ITC Avant Garde"/>
                <w:b/>
                <w:color w:val="000000"/>
                <w:sz w:val="20"/>
                <w:szCs w:val="20"/>
                <w:lang w:eastAsia="es-MX"/>
              </w:rPr>
              <w:t>12, 16, 21, 22, 23, 23 Bis, 24, 28, 29, 60 ,73 y 75.</w:t>
            </w:r>
          </w:p>
          <w:p w14:paraId="4523C70F" w14:textId="77777777"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p>
        </w:tc>
        <w:tc>
          <w:tcPr>
            <w:tcW w:w="6887" w:type="dxa"/>
            <w:gridSpan w:val="2"/>
            <w:shd w:val="clear" w:color="auto" w:fill="C5E0B3"/>
            <w:vAlign w:val="center"/>
          </w:tcPr>
          <w:p w14:paraId="08985395" w14:textId="77777777" w:rsidR="00885864" w:rsidRPr="002C2D28" w:rsidRDefault="00885864" w:rsidP="00652FBC">
            <w:pPr>
              <w:spacing w:after="0" w:line="276" w:lineRule="auto"/>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lastRenderedPageBreak/>
              <w:t xml:space="preserve">Objetivos generales: </w:t>
            </w:r>
          </w:p>
          <w:p w14:paraId="56CB3965" w14:textId="77777777" w:rsidR="00885864" w:rsidRPr="002C2D28" w:rsidRDefault="00885864">
            <w:pPr>
              <w:pStyle w:val="Prrafodelista"/>
              <w:numPr>
                <w:ilvl w:val="0"/>
                <w:numId w:val="13"/>
              </w:numPr>
              <w:spacing w:after="0" w:line="276" w:lineRule="auto"/>
              <w:contextualSpacing/>
              <w:rPr>
                <w:rFonts w:ascii="ITC Avant Garde" w:hAnsi="ITC Avant Garde"/>
                <w:sz w:val="20"/>
                <w:szCs w:val="20"/>
              </w:rPr>
            </w:pPr>
            <w:r w:rsidRPr="002C2D28">
              <w:rPr>
                <w:rFonts w:ascii="ITC Avant Garde" w:hAnsi="ITC Avant Garde"/>
                <w:sz w:val="20"/>
                <w:szCs w:val="20"/>
              </w:rPr>
              <w:t>Reducir las asimetrías en la cobertura de redes.</w:t>
            </w:r>
          </w:p>
          <w:p w14:paraId="4D65AF5B" w14:textId="77777777" w:rsidR="00885864" w:rsidRPr="002C2D28" w:rsidRDefault="00885864">
            <w:pPr>
              <w:pStyle w:val="Prrafodelista"/>
              <w:numPr>
                <w:ilvl w:val="0"/>
                <w:numId w:val="13"/>
              </w:numPr>
              <w:spacing w:after="0" w:line="276" w:lineRule="auto"/>
              <w:contextualSpacing/>
              <w:jc w:val="both"/>
              <w:rPr>
                <w:rFonts w:ascii="ITC Avant Garde" w:hAnsi="ITC Avant Garde"/>
                <w:sz w:val="20"/>
                <w:szCs w:val="20"/>
              </w:rPr>
            </w:pPr>
            <w:r w:rsidRPr="002C2D28">
              <w:rPr>
                <w:rFonts w:ascii="ITC Avant Garde" w:hAnsi="ITC Avant Garde"/>
                <w:sz w:val="20"/>
                <w:szCs w:val="20"/>
              </w:rPr>
              <w:lastRenderedPageBreak/>
              <w:t>Remediar y prevenir condiciones y conductas con efectos que no favorezcan la competencia y libre concurrencia.</w:t>
            </w:r>
          </w:p>
          <w:p w14:paraId="510523D4" w14:textId="77777777" w:rsidR="00885864" w:rsidRPr="002C2D28" w:rsidRDefault="00885864">
            <w:pPr>
              <w:pStyle w:val="Prrafodelista"/>
              <w:numPr>
                <w:ilvl w:val="0"/>
                <w:numId w:val="13"/>
              </w:numPr>
              <w:spacing w:after="0" w:line="240" w:lineRule="auto"/>
              <w:contextualSpacing/>
              <w:jc w:val="both"/>
              <w:rPr>
                <w:rFonts w:ascii="ITC Avant Garde" w:hAnsi="ITC Avant Garde"/>
                <w:sz w:val="20"/>
                <w:szCs w:val="20"/>
              </w:rPr>
            </w:pPr>
            <w:r w:rsidRPr="002C2D28">
              <w:rPr>
                <w:rFonts w:ascii="ITC Avant Garde" w:hAnsi="ITC Avant Garde"/>
                <w:sz w:val="20"/>
                <w:szCs w:val="20"/>
              </w:rPr>
              <w:t>Disminuir costos de transacción.</w:t>
            </w:r>
          </w:p>
          <w:p w14:paraId="4D3C59D3" w14:textId="77777777" w:rsidR="00885864" w:rsidRPr="002C2D28" w:rsidRDefault="00885864" w:rsidP="00652FBC">
            <w:pPr>
              <w:spacing w:after="0" w:line="276" w:lineRule="auto"/>
              <w:rPr>
                <w:rFonts w:ascii="ITC Avant Garde" w:eastAsia="Times New Roman" w:hAnsi="ITC Avant Garde"/>
                <w:b/>
                <w:color w:val="000000"/>
                <w:sz w:val="20"/>
                <w:szCs w:val="20"/>
                <w:lang w:eastAsia="es-MX"/>
              </w:rPr>
            </w:pPr>
          </w:p>
        </w:tc>
      </w:tr>
      <w:tr w:rsidR="00885864" w:rsidRPr="002C2D28" w14:paraId="59209A4B" w14:textId="77777777" w:rsidTr="00652FBC">
        <w:trPr>
          <w:trHeight w:val="414"/>
        </w:trPr>
        <w:tc>
          <w:tcPr>
            <w:tcW w:w="8641" w:type="dxa"/>
            <w:gridSpan w:val="3"/>
            <w:shd w:val="clear" w:color="auto" w:fill="FFFFFF"/>
            <w:vAlign w:val="center"/>
          </w:tcPr>
          <w:p w14:paraId="2F8F9108" w14:textId="77777777" w:rsidR="00885864" w:rsidRPr="002C2D28" w:rsidRDefault="00885864" w:rsidP="00EA0095">
            <w:pPr>
              <w:jc w:val="both"/>
              <w:rPr>
                <w:rFonts w:ascii="ITC Avant Garde" w:hAnsi="ITC Avant Garde"/>
                <w:b/>
                <w:sz w:val="20"/>
                <w:szCs w:val="20"/>
              </w:rPr>
            </w:pPr>
            <w:r w:rsidRPr="002C2D28">
              <w:rPr>
                <w:rFonts w:ascii="ITC Avant Garde" w:hAnsi="ITC Avant Garde"/>
                <w:b/>
                <w:sz w:val="20"/>
                <w:szCs w:val="20"/>
              </w:rPr>
              <w:lastRenderedPageBreak/>
              <w:t>Contexto:</w:t>
            </w:r>
          </w:p>
          <w:p w14:paraId="31BB9BA0" w14:textId="77777777" w:rsidR="00885864" w:rsidRPr="002C2D28" w:rsidRDefault="00885864" w:rsidP="00EA0095">
            <w:pPr>
              <w:jc w:val="both"/>
              <w:rPr>
                <w:rFonts w:ascii="ITC Avant Garde" w:hAnsi="ITC Avant Garde"/>
                <w:b/>
                <w:sz w:val="20"/>
                <w:szCs w:val="20"/>
              </w:rPr>
            </w:pPr>
            <w:r w:rsidRPr="002C2D28">
              <w:rPr>
                <w:rFonts w:ascii="ITC Avant Garde" w:hAnsi="ITC Avant Garde"/>
                <w:sz w:val="20"/>
                <w:szCs w:val="20"/>
              </w:rPr>
              <w:t>El Servicio de usuario visitante (</w:t>
            </w:r>
            <w:proofErr w:type="spellStart"/>
            <w:r w:rsidRPr="002C2D28">
              <w:rPr>
                <w:rFonts w:ascii="ITC Avant Garde" w:hAnsi="ITC Avant Garde"/>
                <w:i/>
                <w:iCs/>
                <w:sz w:val="20"/>
                <w:szCs w:val="20"/>
              </w:rPr>
              <w:t>roaming</w:t>
            </w:r>
            <w:proofErr w:type="spellEnd"/>
            <w:r w:rsidRPr="002C2D28">
              <w:rPr>
                <w:rFonts w:ascii="ITC Avant Garde" w:hAnsi="ITC Avant Garde"/>
                <w:sz w:val="20"/>
                <w:szCs w:val="20"/>
              </w:rPr>
              <w:t xml:space="preserve"> nacional) constituye un elemento para reducir en un menor tiempo las diferencias en cobertura de los operadores, al evitar los altos costos y tiempos requeridos para el despliegue de infraestructura.</w:t>
            </w:r>
          </w:p>
          <w:p w14:paraId="054E1A0D" w14:textId="77777777" w:rsidR="00885864" w:rsidRPr="002C2D28" w:rsidRDefault="00885864" w:rsidP="00EA0095">
            <w:pPr>
              <w:jc w:val="both"/>
              <w:rPr>
                <w:rFonts w:ascii="ITC Avant Garde" w:hAnsi="ITC Avant Garde"/>
                <w:b/>
                <w:sz w:val="20"/>
                <w:szCs w:val="20"/>
              </w:rPr>
            </w:pPr>
            <w:r w:rsidRPr="002C2D28">
              <w:rPr>
                <w:rFonts w:ascii="ITC Avant Garde" w:hAnsi="ITC Avant Garde"/>
                <w:b/>
                <w:sz w:val="20"/>
                <w:szCs w:val="20"/>
              </w:rPr>
              <w:t>Resumen de las medidas impuestas:</w:t>
            </w:r>
          </w:p>
          <w:p w14:paraId="204A1ECB" w14:textId="77777777" w:rsidR="00885864" w:rsidRPr="002C2D28" w:rsidRDefault="00885864" w:rsidP="00EA0095">
            <w:pPr>
              <w:jc w:val="both"/>
              <w:rPr>
                <w:rFonts w:ascii="ITC Avant Garde" w:eastAsia="Times New Roman" w:hAnsi="ITC Avant Garde"/>
                <w:color w:val="000000"/>
                <w:sz w:val="20"/>
                <w:szCs w:val="20"/>
                <w:lang w:eastAsia="es-MX"/>
              </w:rPr>
            </w:pPr>
            <w:r w:rsidRPr="002C2D28">
              <w:rPr>
                <w:rFonts w:ascii="ITC Avant Garde" w:hAnsi="ITC Avant Garde"/>
                <w:sz w:val="20"/>
                <w:szCs w:val="20"/>
              </w:rPr>
              <w:t>El Instituto impuso medidas al AEPT referentes a proveer el servicio mayorista de usuario visitante</w:t>
            </w:r>
            <w:r w:rsidRPr="002C2D28">
              <w:rPr>
                <w:rFonts w:ascii="ITC Avant Garde" w:eastAsia="Times New Roman" w:hAnsi="ITC Avant Garde"/>
                <w:color w:val="000000"/>
                <w:sz w:val="20"/>
                <w:szCs w:val="20"/>
                <w:lang w:eastAsia="es-MX"/>
              </w:rPr>
              <w:t>, publicar una oferta de referencia, suscribir convenios,</w:t>
            </w:r>
            <w:r w:rsidRPr="002C2D28" w:rsidDel="00787054">
              <w:rPr>
                <w:rFonts w:ascii="ITC Avant Garde" w:eastAsia="Times New Roman" w:hAnsi="ITC Avant Garde"/>
                <w:color w:val="000000"/>
                <w:sz w:val="20"/>
                <w:szCs w:val="20"/>
                <w:lang w:eastAsia="es-MX"/>
              </w:rPr>
              <w:t xml:space="preserve"> </w:t>
            </w:r>
            <w:r w:rsidRPr="002C2D28" w:rsidDel="008932C8">
              <w:rPr>
                <w:rFonts w:ascii="ITC Avant Garde" w:eastAsia="Times New Roman" w:hAnsi="ITC Avant Garde"/>
                <w:color w:val="000000"/>
                <w:sz w:val="20"/>
                <w:szCs w:val="20"/>
                <w:lang w:eastAsia="es-MX"/>
              </w:rPr>
              <w:t>y</w:t>
            </w:r>
            <w:r w:rsidRPr="002C2D28">
              <w:rPr>
                <w:rFonts w:ascii="ITC Avant Garde" w:eastAsia="Times New Roman" w:hAnsi="ITC Avant Garde"/>
                <w:color w:val="000000"/>
                <w:sz w:val="20"/>
                <w:szCs w:val="20"/>
                <w:lang w:eastAsia="es-MX"/>
              </w:rPr>
              <w:t xml:space="preserve"> poner información a disposición de los CS, entre otras. Asimismo, se señaló que, en caso de desacuerdo respecto a las tarifas aplicables al servicio mayorista, el Instituto las determinaría con base en una metodología de costos incrementales promedio de largo plazo.</w:t>
            </w:r>
          </w:p>
          <w:p w14:paraId="09758172" w14:textId="77777777" w:rsidR="00885864" w:rsidRDefault="00885864" w:rsidP="00EA0095">
            <w:pPr>
              <w:jc w:val="both"/>
              <w:rPr>
                <w:rFonts w:ascii="ITC Avant Garde" w:eastAsia="Times New Roman" w:hAnsi="ITC Avant Garde"/>
                <w:color w:val="000000"/>
                <w:sz w:val="20"/>
                <w:szCs w:val="20"/>
                <w:lang w:eastAsia="es-MX"/>
              </w:rPr>
            </w:pPr>
            <w:r w:rsidRPr="002C2D28">
              <w:rPr>
                <w:rFonts w:ascii="ITC Avant Garde" w:eastAsia="Times New Roman" w:hAnsi="ITC Avant Garde"/>
                <w:color w:val="000000"/>
                <w:sz w:val="20"/>
                <w:szCs w:val="20"/>
                <w:lang w:eastAsia="es-MX"/>
              </w:rPr>
              <w:t xml:space="preserve">A través de la </w:t>
            </w:r>
            <w:r w:rsidR="00D5096B">
              <w:rPr>
                <w:rFonts w:ascii="ITC Avant Garde" w:eastAsia="Times New Roman" w:hAnsi="ITC Avant Garde"/>
                <w:color w:val="000000"/>
                <w:sz w:val="20"/>
                <w:szCs w:val="20"/>
                <w:lang w:eastAsia="es-MX"/>
              </w:rPr>
              <w:t xml:space="preserve">Primera </w:t>
            </w:r>
            <w:r w:rsidRPr="002C2D28">
              <w:rPr>
                <w:rFonts w:ascii="ITC Avant Garde" w:eastAsia="Times New Roman" w:hAnsi="ITC Avant Garde"/>
                <w:color w:val="000000"/>
                <w:sz w:val="20"/>
                <w:szCs w:val="20"/>
                <w:lang w:eastAsia="es-MX"/>
              </w:rPr>
              <w:t>Resolución Bienal de Telecomunicaciones se hicieron adecuaciones en materia de procesos y elementos mínimos que debe contener la oferta de referencia (incluidas las tarifas mayoristas); temporalidad y calidad en la prestación del servicio, y homologación con lo establecido en la LFTR y otros ordenamientos jurídicos, entre otras.</w:t>
            </w:r>
          </w:p>
          <w:p w14:paraId="568C22D1" w14:textId="69281074" w:rsidR="00D5096B" w:rsidRPr="002C2D28" w:rsidRDefault="001621F6" w:rsidP="00EA0095">
            <w:pPr>
              <w:jc w:val="both"/>
              <w:rPr>
                <w:rFonts w:ascii="ITC Avant Garde" w:hAnsi="ITC Avant Garde"/>
                <w:b/>
                <w:sz w:val="20"/>
                <w:szCs w:val="20"/>
              </w:rPr>
            </w:pPr>
            <w:r>
              <w:rPr>
                <w:rFonts w:ascii="ITC Avant Garde" w:eastAsia="Times New Roman" w:hAnsi="ITC Avant Garde"/>
                <w:color w:val="000000"/>
                <w:sz w:val="20"/>
                <w:szCs w:val="20"/>
                <w:lang w:eastAsia="es-MX"/>
              </w:rPr>
              <w:t>En la Segunda Resolución Bienal de Telecomunicaciones</w:t>
            </w:r>
            <w:r w:rsidRPr="00C430C1">
              <w:rPr>
                <w:rFonts w:ascii="ITC Avant Garde" w:eastAsia="Times New Roman" w:hAnsi="ITC Avant Garde"/>
                <w:color w:val="000000"/>
                <w:sz w:val="20"/>
                <w:szCs w:val="20"/>
                <w:lang w:eastAsia="es-MX"/>
              </w:rPr>
              <w:t xml:space="preserve"> </w:t>
            </w:r>
            <w:r w:rsidRPr="00B56FD9">
              <w:rPr>
                <w:rFonts w:ascii="ITC Avant Garde" w:eastAsia="Times New Roman" w:hAnsi="ITC Avant Garde"/>
                <w:color w:val="000000"/>
                <w:sz w:val="20"/>
                <w:szCs w:val="20"/>
                <w:lang w:eastAsia="es-MX"/>
              </w:rPr>
              <w:t>se hicieron modificaciones en cuanto al proceso de revisión anual de la oferta de referencia para hacerlo más eficiente</w:t>
            </w:r>
            <w:r>
              <w:rPr>
                <w:rFonts w:ascii="ITC Avant Garde" w:eastAsia="Times New Roman" w:hAnsi="ITC Avant Garde"/>
                <w:color w:val="000000"/>
                <w:sz w:val="20"/>
                <w:szCs w:val="20"/>
                <w:lang w:eastAsia="es-MX"/>
              </w:rPr>
              <w:t xml:space="preserve"> y se hicieron modificaciones para</w:t>
            </w:r>
            <w:r w:rsidRPr="001621F6">
              <w:rPr>
                <w:rFonts w:ascii="ITC Avant Garde" w:eastAsia="Times New Roman" w:hAnsi="ITC Avant Garde"/>
                <w:color w:val="000000"/>
                <w:sz w:val="20"/>
                <w:szCs w:val="20"/>
                <w:lang w:eastAsia="es-MX"/>
              </w:rPr>
              <w:t xml:space="preserve"> que la definición de los procedimientos, plazos, términos y demás condiciones técnicas y económicas</w:t>
            </w:r>
            <w:r w:rsidR="006160C9">
              <w:rPr>
                <w:rFonts w:ascii="ITC Avant Garde" w:eastAsia="Times New Roman" w:hAnsi="ITC Avant Garde"/>
                <w:color w:val="000000"/>
                <w:sz w:val="20"/>
                <w:szCs w:val="20"/>
                <w:lang w:eastAsia="es-MX"/>
              </w:rPr>
              <w:t xml:space="preserve"> para la</w:t>
            </w:r>
            <w:r w:rsidRPr="001621F6">
              <w:rPr>
                <w:rFonts w:ascii="ITC Avant Garde" w:eastAsia="Times New Roman" w:hAnsi="ITC Avant Garde"/>
                <w:color w:val="000000"/>
                <w:sz w:val="20"/>
                <w:szCs w:val="20"/>
                <w:lang w:eastAsia="es-MX"/>
              </w:rPr>
              <w:t xml:space="preserve"> </w:t>
            </w:r>
            <w:r w:rsidR="006160C9">
              <w:rPr>
                <w:rFonts w:ascii="ITC Avant Garde" w:eastAsia="Times New Roman" w:hAnsi="ITC Avant Garde"/>
                <w:color w:val="000000"/>
                <w:sz w:val="20"/>
                <w:szCs w:val="20"/>
                <w:lang w:eastAsia="es-MX"/>
              </w:rPr>
              <w:t>prestación</w:t>
            </w:r>
            <w:r w:rsidR="006160C9" w:rsidRPr="001621F6">
              <w:rPr>
                <w:rFonts w:ascii="ITC Avant Garde" w:eastAsia="Times New Roman" w:hAnsi="ITC Avant Garde"/>
                <w:color w:val="000000"/>
                <w:sz w:val="20"/>
                <w:szCs w:val="20"/>
                <w:lang w:eastAsia="es-MX"/>
              </w:rPr>
              <w:t xml:space="preserve"> de</w:t>
            </w:r>
            <w:r w:rsidR="006160C9">
              <w:rPr>
                <w:rFonts w:ascii="ITC Avant Garde" w:eastAsia="Times New Roman" w:hAnsi="ITC Avant Garde"/>
                <w:color w:val="000000"/>
                <w:sz w:val="20"/>
                <w:szCs w:val="20"/>
                <w:lang w:eastAsia="es-MX"/>
              </w:rPr>
              <w:t xml:space="preserve"> </w:t>
            </w:r>
            <w:r w:rsidR="006160C9" w:rsidRPr="001621F6">
              <w:rPr>
                <w:rFonts w:ascii="ITC Avant Garde" w:eastAsia="Times New Roman" w:hAnsi="ITC Avant Garde"/>
                <w:color w:val="000000"/>
                <w:sz w:val="20"/>
                <w:szCs w:val="20"/>
                <w:lang w:eastAsia="es-MX"/>
              </w:rPr>
              <w:t>l</w:t>
            </w:r>
            <w:r w:rsidR="006160C9">
              <w:rPr>
                <w:rFonts w:ascii="ITC Avant Garde" w:eastAsia="Times New Roman" w:hAnsi="ITC Avant Garde"/>
                <w:color w:val="000000"/>
                <w:sz w:val="20"/>
                <w:szCs w:val="20"/>
                <w:lang w:eastAsia="es-MX"/>
              </w:rPr>
              <w:t>os</w:t>
            </w:r>
            <w:r w:rsidR="006160C9" w:rsidRPr="001621F6">
              <w:rPr>
                <w:rFonts w:ascii="ITC Avant Garde" w:eastAsia="Times New Roman" w:hAnsi="ITC Avant Garde"/>
                <w:color w:val="000000"/>
                <w:sz w:val="20"/>
                <w:szCs w:val="20"/>
                <w:lang w:eastAsia="es-MX"/>
              </w:rPr>
              <w:t xml:space="preserve"> servicio</w:t>
            </w:r>
            <w:r w:rsidR="006160C9">
              <w:rPr>
                <w:rFonts w:ascii="ITC Avant Garde" w:eastAsia="Times New Roman" w:hAnsi="ITC Avant Garde"/>
                <w:color w:val="000000"/>
                <w:sz w:val="20"/>
                <w:szCs w:val="20"/>
                <w:lang w:eastAsia="es-MX"/>
              </w:rPr>
              <w:t>s</w:t>
            </w:r>
            <w:r w:rsidR="006160C9" w:rsidRPr="001621F6">
              <w:rPr>
                <w:rFonts w:ascii="ITC Avant Garde" w:eastAsia="Times New Roman" w:hAnsi="ITC Avant Garde"/>
                <w:color w:val="000000"/>
                <w:sz w:val="20"/>
                <w:szCs w:val="20"/>
                <w:lang w:eastAsia="es-MX"/>
              </w:rPr>
              <w:t xml:space="preserve"> mayorista</w:t>
            </w:r>
            <w:r w:rsidR="006160C9">
              <w:rPr>
                <w:rFonts w:ascii="ITC Avant Garde" w:eastAsia="Times New Roman" w:hAnsi="ITC Avant Garde"/>
                <w:color w:val="000000"/>
                <w:sz w:val="20"/>
                <w:szCs w:val="20"/>
                <w:lang w:eastAsia="es-MX"/>
              </w:rPr>
              <w:t>s de usuario visitante se lleve a cabo</w:t>
            </w:r>
            <w:r w:rsidR="006160C9" w:rsidRPr="001621F6">
              <w:rPr>
                <w:rFonts w:ascii="ITC Avant Garde" w:eastAsia="Times New Roman" w:hAnsi="ITC Avant Garde"/>
                <w:color w:val="000000"/>
                <w:sz w:val="20"/>
                <w:szCs w:val="20"/>
                <w:lang w:eastAsia="es-MX"/>
              </w:rPr>
              <w:t xml:space="preserve"> en la revisión anual </w:t>
            </w:r>
            <w:r w:rsidR="006160C9">
              <w:rPr>
                <w:rFonts w:ascii="ITC Avant Garde" w:eastAsia="Times New Roman" w:hAnsi="ITC Avant Garde"/>
                <w:color w:val="000000"/>
                <w:sz w:val="20"/>
                <w:szCs w:val="20"/>
                <w:lang w:eastAsia="es-MX"/>
              </w:rPr>
              <w:t>de las ofertas de referencia, a fin de garantizar que la prestación de los servicios sea acorde al dinamismo que caracteriza al sector</w:t>
            </w:r>
            <w:r w:rsidR="00D5096B">
              <w:rPr>
                <w:rFonts w:ascii="ITC Avant Garde" w:eastAsia="Times New Roman" w:hAnsi="ITC Avant Garde"/>
                <w:color w:val="000000"/>
                <w:sz w:val="20"/>
                <w:szCs w:val="20"/>
                <w:lang w:eastAsia="es-MX"/>
              </w:rPr>
              <w:t>.</w:t>
            </w:r>
          </w:p>
        </w:tc>
      </w:tr>
      <w:tr w:rsidR="00885864" w:rsidRPr="002C2D28" w14:paraId="7BB89DCE" w14:textId="77777777" w:rsidTr="00652FBC">
        <w:trPr>
          <w:trHeight w:val="414"/>
        </w:trPr>
        <w:tc>
          <w:tcPr>
            <w:tcW w:w="8641" w:type="dxa"/>
            <w:gridSpan w:val="3"/>
            <w:shd w:val="clear" w:color="auto" w:fill="FFFFFF"/>
            <w:vAlign w:val="center"/>
          </w:tcPr>
          <w:p w14:paraId="52CC1E70" w14:textId="0949E6D0" w:rsidR="00885864" w:rsidRPr="002C2D28" w:rsidRDefault="00885864" w:rsidP="00B107D7">
            <w:pPr>
              <w:spacing w:after="0" w:line="276" w:lineRule="auto"/>
              <w:jc w:val="both"/>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 xml:space="preserve">¿Cuáles son </w:t>
            </w:r>
            <w:r w:rsidR="00D95990">
              <w:rPr>
                <w:rFonts w:ascii="ITC Avant Garde" w:eastAsia="Times New Roman" w:hAnsi="ITC Avant Garde"/>
                <w:b/>
                <w:color w:val="000000"/>
                <w:sz w:val="20"/>
                <w:szCs w:val="20"/>
                <w:lang w:eastAsia="es-MX"/>
              </w:rPr>
              <w:t>sus consideraciones respecto al impacto que ha tenido la regulación asimétrica al AEPT</w:t>
            </w:r>
            <w:r w:rsidR="00D95990" w:rsidRPr="002C2D28">
              <w:rPr>
                <w:rFonts w:ascii="ITC Avant Garde" w:eastAsia="Times New Roman" w:hAnsi="ITC Avant Garde"/>
                <w:b/>
                <w:color w:val="000000"/>
                <w:sz w:val="20"/>
                <w:szCs w:val="20"/>
                <w:lang w:eastAsia="es-MX"/>
              </w:rPr>
              <w:t xml:space="preserve"> </w:t>
            </w:r>
            <w:r w:rsidRPr="002C2D28">
              <w:rPr>
                <w:rFonts w:ascii="ITC Avant Garde" w:eastAsia="Times New Roman" w:hAnsi="ITC Avant Garde"/>
                <w:b/>
                <w:color w:val="000000"/>
                <w:sz w:val="20"/>
                <w:szCs w:val="20"/>
                <w:lang w:eastAsia="es-MX"/>
              </w:rPr>
              <w:t>referente a</w:t>
            </w:r>
            <w:r w:rsidR="00D95990">
              <w:rPr>
                <w:rFonts w:ascii="ITC Avant Garde" w:eastAsia="Times New Roman" w:hAnsi="ITC Avant Garde"/>
                <w:b/>
                <w:color w:val="000000"/>
                <w:sz w:val="20"/>
                <w:szCs w:val="20"/>
                <w:lang w:eastAsia="es-MX"/>
              </w:rPr>
              <w:t>l servicio de</w:t>
            </w:r>
            <w:r w:rsidRPr="002C2D28">
              <w:rPr>
                <w:rFonts w:ascii="ITC Avant Garde" w:eastAsia="Times New Roman" w:hAnsi="ITC Avant Garde"/>
                <w:b/>
                <w:color w:val="000000"/>
                <w:sz w:val="20"/>
                <w:szCs w:val="20"/>
                <w:lang w:eastAsia="es-MX"/>
              </w:rPr>
              <w:t xml:space="preserve"> Usuario Visitante?</w:t>
            </w:r>
          </w:p>
        </w:tc>
      </w:tr>
      <w:tr w:rsidR="00885864" w:rsidRPr="002C2D28" w14:paraId="0C59E2F9" w14:textId="77777777" w:rsidTr="00652FBC">
        <w:trPr>
          <w:trHeight w:val="414"/>
        </w:trPr>
        <w:tc>
          <w:tcPr>
            <w:tcW w:w="8641" w:type="dxa"/>
            <w:gridSpan w:val="3"/>
            <w:shd w:val="clear" w:color="auto" w:fill="FFFFFF"/>
            <w:vAlign w:val="center"/>
          </w:tcPr>
          <w:p w14:paraId="748ACFFC" w14:textId="77777777" w:rsidR="00885864" w:rsidRPr="002C2D28" w:rsidRDefault="00885864" w:rsidP="00B107D7">
            <w:pPr>
              <w:spacing w:after="0" w:line="276" w:lineRule="auto"/>
              <w:jc w:val="both"/>
              <w:rPr>
                <w:rFonts w:ascii="ITC Avant Garde" w:eastAsia="Times New Roman" w:hAnsi="ITC Avant Garde"/>
                <w:b/>
                <w:color w:val="000000"/>
                <w:sz w:val="20"/>
                <w:szCs w:val="20"/>
                <w:lang w:eastAsia="es-MX"/>
              </w:rPr>
            </w:pPr>
          </w:p>
        </w:tc>
      </w:tr>
      <w:tr w:rsidR="00885864" w:rsidRPr="002C2D28" w14:paraId="21A3DE32" w14:textId="77777777" w:rsidTr="00652FBC">
        <w:trPr>
          <w:trHeight w:val="414"/>
        </w:trPr>
        <w:tc>
          <w:tcPr>
            <w:tcW w:w="8641" w:type="dxa"/>
            <w:gridSpan w:val="3"/>
            <w:shd w:val="clear" w:color="auto" w:fill="FFFFFF"/>
            <w:vAlign w:val="center"/>
          </w:tcPr>
          <w:p w14:paraId="7B4F05F1" w14:textId="7C87E839" w:rsidR="00885864" w:rsidRPr="00D95990" w:rsidRDefault="00D95990" w:rsidP="00B107D7">
            <w:pPr>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t xml:space="preserve">¿Cuáles son sus </w:t>
            </w:r>
            <w:r w:rsidRPr="002C2D28">
              <w:rPr>
                <w:rFonts w:ascii="ITC Avant Garde" w:eastAsia="Times New Roman" w:hAnsi="ITC Avant Garde"/>
                <w:b/>
                <w:color w:val="000000"/>
                <w:sz w:val="20"/>
                <w:szCs w:val="20"/>
                <w:lang w:eastAsia="es-MX"/>
              </w:rPr>
              <w:t>considera</w:t>
            </w:r>
            <w:r>
              <w:rPr>
                <w:rFonts w:ascii="ITC Avant Garde" w:eastAsia="Times New Roman" w:hAnsi="ITC Avant Garde"/>
                <w:b/>
                <w:color w:val="000000"/>
                <w:sz w:val="20"/>
                <w:szCs w:val="20"/>
                <w:lang w:eastAsia="es-MX"/>
              </w:rPr>
              <w:t>ciones respecto</w:t>
            </w:r>
            <w:r w:rsidRPr="002C2D28">
              <w:rPr>
                <w:rFonts w:ascii="ITC Avant Garde" w:eastAsia="Times New Roman" w:hAnsi="ITC Avant Garde"/>
                <w:b/>
                <w:color w:val="000000"/>
                <w:sz w:val="20"/>
                <w:szCs w:val="20"/>
                <w:lang w:eastAsia="es-MX"/>
              </w:rPr>
              <w:t xml:space="preserve"> </w:t>
            </w:r>
            <w:r>
              <w:rPr>
                <w:rFonts w:ascii="ITC Avant Garde" w:eastAsia="Times New Roman" w:hAnsi="ITC Avant Garde"/>
                <w:b/>
                <w:color w:val="000000"/>
                <w:sz w:val="20"/>
                <w:szCs w:val="20"/>
                <w:lang w:eastAsia="es-MX"/>
              </w:rPr>
              <w:t>al diseño de las medidas relacionadas con los servicios de Usuario Visitante y su idoneidad</w:t>
            </w:r>
            <w:r w:rsidRPr="002C2D28">
              <w:rPr>
                <w:rFonts w:ascii="ITC Avant Garde" w:eastAsia="Times New Roman" w:hAnsi="ITC Avant Garde"/>
                <w:b/>
                <w:color w:val="000000"/>
                <w:sz w:val="20"/>
                <w:szCs w:val="20"/>
                <w:lang w:eastAsia="es-MX"/>
              </w:rPr>
              <w:t xml:space="preserve"> para alcanzar los objetivos por los que se plantearon</w:t>
            </w:r>
            <w:r>
              <w:rPr>
                <w:rFonts w:ascii="ITC Avant Garde" w:eastAsia="Times New Roman" w:hAnsi="ITC Avant Garde"/>
                <w:b/>
                <w:color w:val="000000"/>
                <w:sz w:val="20"/>
                <w:szCs w:val="20"/>
                <w:lang w:eastAsia="es-MX"/>
              </w:rPr>
              <w:t>?</w:t>
            </w:r>
          </w:p>
        </w:tc>
      </w:tr>
      <w:tr w:rsidR="00885864" w:rsidRPr="002C2D28" w14:paraId="7B0AD54F" w14:textId="77777777" w:rsidTr="00652FBC">
        <w:trPr>
          <w:trHeight w:val="414"/>
        </w:trPr>
        <w:tc>
          <w:tcPr>
            <w:tcW w:w="8641" w:type="dxa"/>
            <w:gridSpan w:val="3"/>
            <w:shd w:val="clear" w:color="auto" w:fill="FFFFFF"/>
            <w:vAlign w:val="center"/>
          </w:tcPr>
          <w:p w14:paraId="268FF085" w14:textId="77777777" w:rsidR="00885864" w:rsidRPr="002C2D28" w:rsidRDefault="00885864" w:rsidP="00B107D7">
            <w:pPr>
              <w:spacing w:after="0" w:line="276" w:lineRule="auto"/>
              <w:jc w:val="both"/>
              <w:rPr>
                <w:rFonts w:ascii="ITC Avant Garde" w:eastAsia="Times New Roman" w:hAnsi="ITC Avant Garde"/>
                <w:b/>
                <w:color w:val="000000"/>
                <w:sz w:val="20"/>
                <w:szCs w:val="20"/>
                <w:lang w:eastAsia="es-MX"/>
              </w:rPr>
            </w:pPr>
          </w:p>
        </w:tc>
      </w:tr>
      <w:tr w:rsidR="00885864" w:rsidRPr="002C2D28" w14:paraId="5C3D93B2" w14:textId="77777777" w:rsidTr="00652FBC">
        <w:trPr>
          <w:trHeight w:val="414"/>
        </w:trPr>
        <w:tc>
          <w:tcPr>
            <w:tcW w:w="8641" w:type="dxa"/>
            <w:gridSpan w:val="3"/>
            <w:shd w:val="clear" w:color="auto" w:fill="FFFFFF"/>
          </w:tcPr>
          <w:p w14:paraId="297DDABF" w14:textId="5E0D2A87" w:rsidR="00885864" w:rsidRPr="00D95990" w:rsidRDefault="00D95990" w:rsidP="00B107D7">
            <w:pPr>
              <w:jc w:val="both"/>
            </w:pPr>
            <w:r>
              <w:rPr>
                <w:rFonts w:ascii="ITC Avant Garde" w:hAnsi="ITC Avant Garde"/>
                <w:b/>
                <w:sz w:val="20"/>
                <w:szCs w:val="20"/>
              </w:rPr>
              <w:t>Favor de indicar la(s)</w:t>
            </w:r>
            <w:r w:rsidRPr="002C2D28">
              <w:rPr>
                <w:rFonts w:ascii="ITC Avant Garde" w:hAnsi="ITC Avant Garde"/>
                <w:b/>
                <w:sz w:val="20"/>
                <w:szCs w:val="20"/>
              </w:rPr>
              <w:t xml:space="preserve"> propuesta</w:t>
            </w:r>
            <w:r>
              <w:rPr>
                <w:rFonts w:ascii="ITC Avant Garde" w:hAnsi="ITC Avant Garde"/>
                <w:b/>
                <w:sz w:val="20"/>
                <w:szCs w:val="20"/>
              </w:rPr>
              <w:t>(s)</w:t>
            </w:r>
            <w:r w:rsidRPr="002C2D28">
              <w:rPr>
                <w:rFonts w:ascii="ITC Avant Garde" w:hAnsi="ITC Avant Garde"/>
                <w:b/>
                <w:sz w:val="20"/>
                <w:szCs w:val="20"/>
              </w:rPr>
              <w:t xml:space="preserve"> específica</w:t>
            </w:r>
            <w:r>
              <w:rPr>
                <w:rFonts w:ascii="ITC Avant Garde" w:hAnsi="ITC Avant Garde"/>
                <w:b/>
                <w:sz w:val="20"/>
                <w:szCs w:val="20"/>
              </w:rPr>
              <w:t>(s)</w:t>
            </w:r>
            <w:r w:rsidRPr="002C2D28">
              <w:rPr>
                <w:rFonts w:ascii="ITC Avant Garde" w:hAnsi="ITC Avant Garde"/>
                <w:b/>
                <w:sz w:val="20"/>
                <w:szCs w:val="20"/>
              </w:rPr>
              <w:t xml:space="preserve"> </w:t>
            </w:r>
            <w:r>
              <w:rPr>
                <w:rFonts w:ascii="ITC Avant Garde" w:hAnsi="ITC Avant Garde"/>
                <w:b/>
                <w:sz w:val="20"/>
                <w:szCs w:val="20"/>
              </w:rPr>
              <w:t>para la supresión, modificación o adición de</w:t>
            </w:r>
            <w:r w:rsidRPr="002C2D28">
              <w:rPr>
                <w:rFonts w:ascii="ITC Avant Garde" w:hAnsi="ITC Avant Garde"/>
                <w:b/>
                <w:sz w:val="20"/>
                <w:szCs w:val="20"/>
              </w:rPr>
              <w:t xml:space="preserve"> las medidas relacionadas con </w:t>
            </w:r>
            <w:r>
              <w:rPr>
                <w:rFonts w:ascii="ITC Avant Garde" w:hAnsi="ITC Avant Garde"/>
                <w:b/>
                <w:sz w:val="20"/>
                <w:szCs w:val="20"/>
              </w:rPr>
              <w:t>el servicio de Usuario Visitante.</w:t>
            </w:r>
          </w:p>
        </w:tc>
      </w:tr>
      <w:tr w:rsidR="00885864" w:rsidRPr="002C2D28" w14:paraId="1E5A8411" w14:textId="77777777" w:rsidTr="00652FBC">
        <w:trPr>
          <w:trHeight w:val="414"/>
        </w:trPr>
        <w:tc>
          <w:tcPr>
            <w:tcW w:w="3047" w:type="dxa"/>
            <w:gridSpan w:val="2"/>
            <w:shd w:val="clear" w:color="auto" w:fill="FFFFFF"/>
          </w:tcPr>
          <w:p w14:paraId="41580A5A"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shd w:val="clear" w:color="auto" w:fill="FFFFFF"/>
          </w:tcPr>
          <w:p w14:paraId="6991EDBE" w14:textId="77777777" w:rsidR="00885864" w:rsidRPr="002C2D28" w:rsidRDefault="00885864" w:rsidP="00652FBC">
            <w:pP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885864" w:rsidRPr="002C2D28" w14:paraId="7EA63068" w14:textId="77777777" w:rsidTr="00652FBC">
        <w:trPr>
          <w:trHeight w:val="414"/>
        </w:trPr>
        <w:tc>
          <w:tcPr>
            <w:tcW w:w="3047" w:type="dxa"/>
            <w:gridSpan w:val="2"/>
            <w:shd w:val="clear" w:color="auto" w:fill="FFFFFF"/>
          </w:tcPr>
          <w:p w14:paraId="11894530"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lastRenderedPageBreak/>
              <w:t>[Indique medida]</w:t>
            </w:r>
          </w:p>
        </w:tc>
        <w:tc>
          <w:tcPr>
            <w:tcW w:w="5594" w:type="dxa"/>
            <w:shd w:val="clear" w:color="auto" w:fill="FFFFFF"/>
          </w:tcPr>
          <w:p w14:paraId="5A300114" w14:textId="77777777" w:rsidR="00885864" w:rsidRPr="002C2D28" w:rsidRDefault="00885864" w:rsidP="00652FBC">
            <w:pP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885864" w:rsidRPr="002C2D28" w14:paraId="56D96B17" w14:textId="77777777" w:rsidTr="00652FBC">
        <w:trPr>
          <w:trHeight w:val="414"/>
        </w:trPr>
        <w:tc>
          <w:tcPr>
            <w:tcW w:w="1754" w:type="dxa"/>
            <w:shd w:val="clear" w:color="auto" w:fill="C5E0B3"/>
            <w:vAlign w:val="center"/>
          </w:tcPr>
          <w:p w14:paraId="489C054F" w14:textId="77777777"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Medidas referentes a compartición de infraestructura pasiva</w:t>
            </w:r>
          </w:p>
          <w:p w14:paraId="24848789" w14:textId="77777777"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p>
          <w:p w14:paraId="0B505276" w14:textId="1C0BF139"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 xml:space="preserve">Anexo 1: </w:t>
            </w:r>
            <w:r w:rsidRPr="002C2D28">
              <w:rPr>
                <w:rFonts w:ascii="ITC Avant Garde" w:hAnsi="ITC Avant Garde"/>
                <w:sz w:val="20"/>
                <w:szCs w:val="20"/>
              </w:rPr>
              <w:t xml:space="preserve"> </w:t>
            </w:r>
            <w:r w:rsidRPr="002C2D28">
              <w:rPr>
                <w:rFonts w:ascii="ITC Avant Garde" w:eastAsia="Times New Roman" w:hAnsi="ITC Avant Garde"/>
                <w:b/>
                <w:color w:val="000000"/>
                <w:sz w:val="20"/>
                <w:szCs w:val="20"/>
                <w:lang w:eastAsia="es-MX"/>
              </w:rPr>
              <w:t>15, 16, 30, 31, 35, 36, 37, 38, 39, 62, 73, 74 y 75.</w:t>
            </w:r>
          </w:p>
          <w:p w14:paraId="23783B7B" w14:textId="77777777"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p>
        </w:tc>
        <w:tc>
          <w:tcPr>
            <w:tcW w:w="6887" w:type="dxa"/>
            <w:gridSpan w:val="2"/>
            <w:shd w:val="clear" w:color="auto" w:fill="C5E0B3"/>
            <w:vAlign w:val="center"/>
          </w:tcPr>
          <w:p w14:paraId="568EA384" w14:textId="77777777" w:rsidR="00885864" w:rsidRPr="002C2D28" w:rsidRDefault="00885864" w:rsidP="00652FBC">
            <w:pPr>
              <w:spacing w:after="0"/>
              <w:rPr>
                <w:rFonts w:ascii="ITC Avant Garde" w:hAnsi="ITC Avant Garde"/>
                <w:b/>
                <w:sz w:val="20"/>
                <w:szCs w:val="20"/>
                <w:lang w:eastAsia="es-MX"/>
              </w:rPr>
            </w:pPr>
            <w:r w:rsidRPr="002C2D28">
              <w:rPr>
                <w:rFonts w:ascii="ITC Avant Garde" w:hAnsi="ITC Avant Garde"/>
                <w:b/>
                <w:sz w:val="20"/>
                <w:szCs w:val="20"/>
                <w:lang w:eastAsia="es-MX"/>
              </w:rPr>
              <w:t>Objetivos generales:</w:t>
            </w:r>
          </w:p>
          <w:p w14:paraId="3923E3E2" w14:textId="77777777" w:rsidR="00885864" w:rsidRPr="002C2D28" w:rsidRDefault="00885864">
            <w:pPr>
              <w:numPr>
                <w:ilvl w:val="0"/>
                <w:numId w:val="9"/>
              </w:numPr>
              <w:spacing w:after="0"/>
              <w:jc w:val="both"/>
              <w:rPr>
                <w:rFonts w:ascii="ITC Avant Garde" w:hAnsi="ITC Avant Garde"/>
                <w:sz w:val="20"/>
                <w:szCs w:val="20"/>
                <w:lang w:eastAsia="es-MX"/>
              </w:rPr>
            </w:pPr>
            <w:r w:rsidRPr="002C2D28">
              <w:rPr>
                <w:rFonts w:ascii="ITC Avant Garde" w:hAnsi="ITC Avant Garde"/>
                <w:sz w:val="20"/>
                <w:szCs w:val="20"/>
                <w:lang w:eastAsia="es-MX"/>
              </w:rPr>
              <w:t>Reducir o eliminar barreras a la entrada y la expansión de participantes distintos al AEPT.</w:t>
            </w:r>
          </w:p>
          <w:p w14:paraId="30EA2247" w14:textId="77777777" w:rsidR="00885864" w:rsidRPr="002C2D28" w:rsidRDefault="00885864">
            <w:pPr>
              <w:numPr>
                <w:ilvl w:val="0"/>
                <w:numId w:val="9"/>
              </w:numPr>
              <w:spacing w:after="0"/>
              <w:jc w:val="both"/>
              <w:rPr>
                <w:rFonts w:ascii="ITC Avant Garde" w:hAnsi="ITC Avant Garde"/>
                <w:sz w:val="20"/>
                <w:szCs w:val="20"/>
                <w:lang w:eastAsia="es-MX"/>
              </w:rPr>
            </w:pPr>
            <w:r w:rsidRPr="002C2D28">
              <w:rPr>
                <w:rFonts w:ascii="ITC Avant Garde" w:hAnsi="ITC Avant Garde"/>
                <w:sz w:val="20"/>
                <w:szCs w:val="20"/>
                <w:lang w:eastAsia="es-MX"/>
              </w:rPr>
              <w:t>Promover el uso eficiente de las redes y la infraestructura.</w:t>
            </w:r>
          </w:p>
          <w:p w14:paraId="2131DB15" w14:textId="77777777" w:rsidR="00885864" w:rsidRPr="002C2D28" w:rsidRDefault="00885864">
            <w:pPr>
              <w:numPr>
                <w:ilvl w:val="0"/>
                <w:numId w:val="9"/>
              </w:numPr>
              <w:spacing w:after="0"/>
              <w:jc w:val="both"/>
              <w:rPr>
                <w:rFonts w:ascii="ITC Avant Garde" w:hAnsi="ITC Avant Garde"/>
                <w:sz w:val="20"/>
                <w:szCs w:val="20"/>
                <w:lang w:eastAsia="es-MX"/>
              </w:rPr>
            </w:pPr>
            <w:r w:rsidRPr="002C2D28">
              <w:rPr>
                <w:rFonts w:ascii="ITC Avant Garde" w:hAnsi="ITC Avant Garde"/>
                <w:sz w:val="20"/>
                <w:szCs w:val="20"/>
                <w:lang w:eastAsia="es-MX"/>
              </w:rPr>
              <w:t>Disminuir costos de transacción.</w:t>
            </w:r>
          </w:p>
          <w:p w14:paraId="10AE6D94" w14:textId="77777777" w:rsidR="00885864" w:rsidRPr="002C2D28" w:rsidRDefault="00885864">
            <w:pPr>
              <w:numPr>
                <w:ilvl w:val="0"/>
                <w:numId w:val="9"/>
              </w:numPr>
              <w:spacing w:after="0"/>
              <w:jc w:val="both"/>
              <w:rPr>
                <w:rFonts w:ascii="ITC Avant Garde" w:hAnsi="ITC Avant Garde"/>
                <w:sz w:val="20"/>
                <w:szCs w:val="20"/>
                <w:lang w:eastAsia="es-MX"/>
              </w:rPr>
            </w:pPr>
            <w:r w:rsidRPr="002C2D28">
              <w:rPr>
                <w:rFonts w:ascii="ITC Avant Garde" w:hAnsi="ITC Avant Garde"/>
                <w:sz w:val="20"/>
                <w:szCs w:val="20"/>
                <w:lang w:eastAsia="es-MX"/>
              </w:rPr>
              <w:t>Remediar y prevenir condiciones y conductas con efectos que no favorezcan la competencia y libre concurrencia.</w:t>
            </w:r>
          </w:p>
          <w:p w14:paraId="0EAE7C0B" w14:textId="77777777" w:rsidR="00885864" w:rsidRPr="002C2D28" w:rsidRDefault="00885864" w:rsidP="00652FBC">
            <w:pPr>
              <w:spacing w:after="0"/>
              <w:rPr>
                <w:rFonts w:ascii="ITC Avant Garde" w:hAnsi="ITC Avant Garde"/>
                <w:sz w:val="20"/>
                <w:szCs w:val="20"/>
                <w:lang w:eastAsia="es-MX"/>
              </w:rPr>
            </w:pPr>
          </w:p>
        </w:tc>
      </w:tr>
      <w:tr w:rsidR="00885864" w:rsidRPr="002C2D28" w14:paraId="2B2D8091" w14:textId="77777777" w:rsidTr="00652FBC">
        <w:trPr>
          <w:trHeight w:val="414"/>
        </w:trPr>
        <w:tc>
          <w:tcPr>
            <w:tcW w:w="8641" w:type="dxa"/>
            <w:gridSpan w:val="3"/>
            <w:shd w:val="clear" w:color="auto" w:fill="FFFFFF"/>
            <w:vAlign w:val="center"/>
          </w:tcPr>
          <w:p w14:paraId="6DEE3AED" w14:textId="77777777" w:rsidR="00885864" w:rsidRPr="002C2D28" w:rsidRDefault="00885864" w:rsidP="00652FBC">
            <w:pPr>
              <w:rPr>
                <w:rFonts w:ascii="ITC Avant Garde" w:hAnsi="ITC Avant Garde"/>
                <w:b/>
                <w:sz w:val="20"/>
                <w:szCs w:val="20"/>
              </w:rPr>
            </w:pPr>
            <w:r w:rsidRPr="002C2D28">
              <w:rPr>
                <w:rFonts w:ascii="ITC Avant Garde" w:hAnsi="ITC Avant Garde"/>
                <w:b/>
                <w:sz w:val="20"/>
                <w:szCs w:val="20"/>
              </w:rPr>
              <w:t>Contexto:</w:t>
            </w:r>
          </w:p>
          <w:p w14:paraId="25C93E2C" w14:textId="067D66F9" w:rsidR="00885864" w:rsidRPr="002C2D28" w:rsidRDefault="00885864" w:rsidP="00EA0095">
            <w:pPr>
              <w:jc w:val="both"/>
              <w:rPr>
                <w:rFonts w:ascii="ITC Avant Garde" w:hAnsi="ITC Avant Garde"/>
                <w:sz w:val="20"/>
                <w:szCs w:val="20"/>
              </w:rPr>
            </w:pPr>
            <w:r w:rsidRPr="002C2D28">
              <w:rPr>
                <w:rFonts w:ascii="ITC Avant Garde" w:hAnsi="ITC Avant Garde"/>
                <w:sz w:val="20"/>
                <w:szCs w:val="20"/>
              </w:rPr>
              <w:t>El sector de telecomunicaciones está caracterizado por la presencia de elevados costos hundidos, que son inherentes al despliegue de la infraestructura, entre los que destacan los costos de la obra civil como es el excavar los accesos, instalar y enterrar los ductos, y los equipos de transmisión. El uso compartido de la infraestructura pasiva conlleva a una utilización más eficiente de los recursos escasos, al permitir que varias empresas compartan los costos de cierta parte de la infraestructura, evitando duplicidades en su construcción, beneficiándose así de las economías de escala, alcance y densidad.</w:t>
            </w:r>
          </w:p>
          <w:p w14:paraId="3462EE29" w14:textId="77777777" w:rsidR="00885864" w:rsidRPr="002C2D28" w:rsidRDefault="00885864" w:rsidP="00652FBC">
            <w:pPr>
              <w:rPr>
                <w:rFonts w:ascii="ITC Avant Garde" w:hAnsi="ITC Avant Garde"/>
                <w:b/>
                <w:sz w:val="20"/>
                <w:szCs w:val="20"/>
              </w:rPr>
            </w:pPr>
            <w:r w:rsidRPr="002C2D28">
              <w:rPr>
                <w:rFonts w:ascii="ITC Avant Garde" w:hAnsi="ITC Avant Garde"/>
                <w:b/>
                <w:sz w:val="20"/>
                <w:szCs w:val="20"/>
              </w:rPr>
              <w:t>Resumen de las medidas impuestas:</w:t>
            </w:r>
          </w:p>
          <w:p w14:paraId="52575C02" w14:textId="77777777" w:rsidR="00885864" w:rsidRPr="002C2D28" w:rsidRDefault="00885864" w:rsidP="00EA0095">
            <w:pPr>
              <w:jc w:val="both"/>
              <w:rPr>
                <w:rFonts w:ascii="ITC Avant Garde" w:eastAsia="Times New Roman" w:hAnsi="ITC Avant Garde"/>
                <w:color w:val="000000"/>
                <w:sz w:val="20"/>
                <w:szCs w:val="20"/>
                <w:lang w:eastAsia="es-MX"/>
              </w:rPr>
            </w:pPr>
            <w:r w:rsidRPr="002C2D28">
              <w:rPr>
                <w:rFonts w:ascii="ITC Avant Garde" w:hAnsi="ITC Avant Garde"/>
                <w:sz w:val="20"/>
                <w:szCs w:val="20"/>
              </w:rPr>
              <w:t>El Instituto impuso medidas al AEPT referentes a proveer el servicio de compartición de infraestructura pasiva</w:t>
            </w:r>
            <w:r w:rsidRPr="002C2D28">
              <w:rPr>
                <w:rFonts w:ascii="ITC Avant Garde" w:eastAsia="Times New Roman" w:hAnsi="ITC Avant Garde"/>
                <w:color w:val="000000"/>
                <w:sz w:val="20"/>
                <w:szCs w:val="20"/>
                <w:lang w:eastAsia="es-MX"/>
              </w:rPr>
              <w:t>, publicar una oferta de referencia, suscribir convenios, y poner información a disposición de los CS, entre otras. Asimismo, se señaló que, en caso de desacuerdo respecto a las tarifas aplicables al servicio mayorista, el Instituto las determinaría con base en una metodología de costos incrementales promedio de largo plazo.</w:t>
            </w:r>
          </w:p>
          <w:p w14:paraId="63DF9E8D" w14:textId="77777777" w:rsidR="00885864" w:rsidRDefault="00885864" w:rsidP="00EA0095">
            <w:pPr>
              <w:jc w:val="both"/>
              <w:rPr>
                <w:rFonts w:ascii="ITC Avant Garde" w:eastAsia="Times New Roman" w:hAnsi="ITC Avant Garde"/>
                <w:color w:val="000000"/>
                <w:sz w:val="20"/>
                <w:szCs w:val="20"/>
                <w:lang w:eastAsia="es-MX"/>
              </w:rPr>
            </w:pPr>
            <w:r w:rsidRPr="002C2D28">
              <w:rPr>
                <w:rFonts w:ascii="ITC Avant Garde" w:eastAsia="Times New Roman" w:hAnsi="ITC Avant Garde"/>
                <w:color w:val="000000"/>
                <w:sz w:val="20"/>
                <w:szCs w:val="20"/>
                <w:lang w:eastAsia="es-MX"/>
              </w:rPr>
              <w:t xml:space="preserve">A través de la </w:t>
            </w:r>
            <w:r w:rsidR="00A2374C">
              <w:rPr>
                <w:rFonts w:ascii="ITC Avant Garde" w:eastAsia="Times New Roman" w:hAnsi="ITC Avant Garde"/>
                <w:color w:val="000000"/>
                <w:sz w:val="20"/>
                <w:szCs w:val="20"/>
                <w:lang w:eastAsia="es-MX"/>
              </w:rPr>
              <w:t xml:space="preserve">Primera </w:t>
            </w:r>
            <w:r w:rsidRPr="002C2D28">
              <w:rPr>
                <w:rFonts w:ascii="ITC Avant Garde" w:eastAsia="Times New Roman" w:hAnsi="ITC Avant Garde"/>
                <w:color w:val="000000"/>
                <w:sz w:val="20"/>
                <w:szCs w:val="20"/>
                <w:lang w:eastAsia="es-MX"/>
              </w:rPr>
              <w:t>Resolución Bienal de Telecomunicaciones se hicieron adecuaciones en materia de procesos y elementos mínimos que debe contener la oferta de referencia (incluidas las tarifas mayoristas), así como de homologación con lo establecido en la LFTR y otros ordenamientos jurídicos, entre otras.</w:t>
            </w:r>
          </w:p>
          <w:p w14:paraId="7C718CA5" w14:textId="410C19EB" w:rsidR="00A2374C" w:rsidRPr="002C2D28" w:rsidRDefault="001621F6" w:rsidP="00EA0095">
            <w:pPr>
              <w:jc w:val="both"/>
              <w:rPr>
                <w:rFonts w:ascii="ITC Avant Garde" w:hAnsi="ITC Avant Garde"/>
                <w:b/>
                <w:sz w:val="20"/>
                <w:szCs w:val="20"/>
              </w:rPr>
            </w:pPr>
            <w:r>
              <w:rPr>
                <w:rFonts w:ascii="ITC Avant Garde" w:eastAsia="Times New Roman" w:hAnsi="ITC Avant Garde"/>
                <w:color w:val="000000"/>
                <w:sz w:val="20"/>
                <w:szCs w:val="20"/>
                <w:lang w:eastAsia="es-MX"/>
              </w:rPr>
              <w:t>En la Segunda Resolución Bienal de Telecomunicaciones</w:t>
            </w:r>
            <w:r w:rsidRPr="00C430C1">
              <w:rPr>
                <w:rFonts w:ascii="ITC Avant Garde" w:eastAsia="Times New Roman" w:hAnsi="ITC Avant Garde"/>
                <w:color w:val="000000"/>
                <w:sz w:val="20"/>
                <w:szCs w:val="20"/>
                <w:lang w:eastAsia="es-MX"/>
              </w:rPr>
              <w:t xml:space="preserve"> </w:t>
            </w:r>
            <w:r w:rsidRPr="00B56FD9">
              <w:rPr>
                <w:rFonts w:ascii="ITC Avant Garde" w:eastAsia="Times New Roman" w:hAnsi="ITC Avant Garde"/>
                <w:color w:val="000000"/>
                <w:sz w:val="20"/>
                <w:szCs w:val="20"/>
                <w:lang w:eastAsia="es-MX"/>
              </w:rPr>
              <w:t>se hicieron modificaciones en cuanto al proceso de revisión anual de la oferta de referencia para hacerlo más eficiente</w:t>
            </w:r>
            <w:r>
              <w:rPr>
                <w:rFonts w:ascii="ITC Avant Garde" w:eastAsia="Times New Roman" w:hAnsi="ITC Avant Garde"/>
                <w:color w:val="000000"/>
                <w:sz w:val="20"/>
                <w:szCs w:val="20"/>
                <w:lang w:eastAsia="es-MX"/>
              </w:rPr>
              <w:t xml:space="preserve"> y se hicieron modificaciones para</w:t>
            </w:r>
            <w:r w:rsidRPr="001621F6">
              <w:rPr>
                <w:rFonts w:ascii="ITC Avant Garde" w:eastAsia="Times New Roman" w:hAnsi="ITC Avant Garde"/>
                <w:color w:val="000000"/>
                <w:sz w:val="20"/>
                <w:szCs w:val="20"/>
                <w:lang w:eastAsia="es-MX"/>
              </w:rPr>
              <w:t xml:space="preserve"> que la definición de los procedimientos, plazos, términos y demás condiciones técnicas y económicas para la prestación de</w:t>
            </w:r>
            <w:r w:rsidR="005D3565">
              <w:rPr>
                <w:rFonts w:ascii="ITC Avant Garde" w:eastAsia="Times New Roman" w:hAnsi="ITC Avant Garde"/>
                <w:color w:val="000000"/>
                <w:sz w:val="20"/>
                <w:szCs w:val="20"/>
                <w:lang w:eastAsia="es-MX"/>
              </w:rPr>
              <w:t xml:space="preserve"> </w:t>
            </w:r>
            <w:r w:rsidRPr="001621F6">
              <w:rPr>
                <w:rFonts w:ascii="ITC Avant Garde" w:eastAsia="Times New Roman" w:hAnsi="ITC Avant Garde"/>
                <w:color w:val="000000"/>
                <w:sz w:val="20"/>
                <w:szCs w:val="20"/>
                <w:lang w:eastAsia="es-MX"/>
              </w:rPr>
              <w:t>l</w:t>
            </w:r>
            <w:r w:rsidR="005D3565">
              <w:rPr>
                <w:rFonts w:ascii="ITC Avant Garde" w:eastAsia="Times New Roman" w:hAnsi="ITC Avant Garde"/>
                <w:color w:val="000000"/>
                <w:sz w:val="20"/>
                <w:szCs w:val="20"/>
                <w:lang w:eastAsia="es-MX"/>
              </w:rPr>
              <w:t>os</w:t>
            </w:r>
            <w:r w:rsidRPr="001621F6">
              <w:rPr>
                <w:rFonts w:ascii="ITC Avant Garde" w:eastAsia="Times New Roman" w:hAnsi="ITC Avant Garde"/>
                <w:color w:val="000000"/>
                <w:sz w:val="20"/>
                <w:szCs w:val="20"/>
                <w:lang w:eastAsia="es-MX"/>
              </w:rPr>
              <w:t xml:space="preserve"> servicio</w:t>
            </w:r>
            <w:r w:rsidR="005D3565">
              <w:rPr>
                <w:rFonts w:ascii="ITC Avant Garde" w:eastAsia="Times New Roman" w:hAnsi="ITC Avant Garde"/>
                <w:color w:val="000000"/>
                <w:sz w:val="20"/>
                <w:szCs w:val="20"/>
                <w:lang w:eastAsia="es-MX"/>
              </w:rPr>
              <w:t>s</w:t>
            </w:r>
            <w:r w:rsidRPr="001621F6">
              <w:rPr>
                <w:rFonts w:ascii="ITC Avant Garde" w:eastAsia="Times New Roman" w:hAnsi="ITC Avant Garde"/>
                <w:color w:val="000000"/>
                <w:sz w:val="20"/>
                <w:szCs w:val="20"/>
                <w:lang w:eastAsia="es-MX"/>
              </w:rPr>
              <w:t xml:space="preserve"> mayorista</w:t>
            </w:r>
            <w:r w:rsidR="005D3565">
              <w:rPr>
                <w:rFonts w:ascii="ITC Avant Garde" w:eastAsia="Times New Roman" w:hAnsi="ITC Avant Garde"/>
                <w:color w:val="000000"/>
                <w:sz w:val="20"/>
                <w:szCs w:val="20"/>
                <w:lang w:eastAsia="es-MX"/>
              </w:rPr>
              <w:t>s</w:t>
            </w:r>
            <w:r>
              <w:rPr>
                <w:rFonts w:ascii="ITC Avant Garde" w:eastAsia="Times New Roman" w:hAnsi="ITC Avant Garde"/>
                <w:color w:val="000000"/>
                <w:sz w:val="20"/>
                <w:szCs w:val="20"/>
                <w:lang w:eastAsia="es-MX"/>
              </w:rPr>
              <w:t xml:space="preserve"> de compartición de infraestructura</w:t>
            </w:r>
            <w:r w:rsidRPr="001621F6">
              <w:rPr>
                <w:rFonts w:ascii="ITC Avant Garde" w:eastAsia="Times New Roman" w:hAnsi="ITC Avant Garde"/>
                <w:color w:val="000000"/>
                <w:sz w:val="20"/>
                <w:szCs w:val="20"/>
                <w:lang w:eastAsia="es-MX"/>
              </w:rPr>
              <w:t xml:space="preserve"> </w:t>
            </w:r>
            <w:r w:rsidR="00211E7C">
              <w:rPr>
                <w:rFonts w:ascii="ITC Avant Garde" w:eastAsia="Times New Roman" w:hAnsi="ITC Avant Garde"/>
                <w:color w:val="000000"/>
                <w:sz w:val="20"/>
                <w:szCs w:val="20"/>
                <w:lang w:eastAsia="es-MX"/>
              </w:rPr>
              <w:t>se lleve a cabo</w:t>
            </w:r>
            <w:r w:rsidR="00211E7C" w:rsidRPr="001621F6">
              <w:rPr>
                <w:rFonts w:ascii="ITC Avant Garde" w:eastAsia="Times New Roman" w:hAnsi="ITC Avant Garde"/>
                <w:color w:val="000000"/>
                <w:sz w:val="20"/>
                <w:szCs w:val="20"/>
                <w:lang w:eastAsia="es-MX"/>
              </w:rPr>
              <w:t xml:space="preserve"> en la revisión anual </w:t>
            </w:r>
            <w:r w:rsidR="00211E7C">
              <w:rPr>
                <w:rFonts w:ascii="ITC Avant Garde" w:eastAsia="Times New Roman" w:hAnsi="ITC Avant Garde"/>
                <w:color w:val="000000"/>
                <w:sz w:val="20"/>
                <w:szCs w:val="20"/>
                <w:lang w:eastAsia="es-MX"/>
              </w:rPr>
              <w:t>de las ofertas de referencia, a fin de garantizar que la prestación de los servicios sea acorde al dinamismo que caracteriza al sector</w:t>
            </w:r>
            <w:r w:rsidR="00A2374C">
              <w:rPr>
                <w:rFonts w:ascii="ITC Avant Garde" w:eastAsia="Times New Roman" w:hAnsi="ITC Avant Garde"/>
                <w:color w:val="000000"/>
                <w:sz w:val="20"/>
                <w:szCs w:val="20"/>
                <w:lang w:eastAsia="es-MX"/>
              </w:rPr>
              <w:t>.</w:t>
            </w:r>
            <w:r w:rsidR="008C0CCA">
              <w:rPr>
                <w:rFonts w:ascii="ITC Avant Garde" w:eastAsia="Times New Roman" w:hAnsi="ITC Avant Garde"/>
                <w:color w:val="000000"/>
                <w:sz w:val="20"/>
                <w:szCs w:val="20"/>
                <w:lang w:eastAsia="es-MX"/>
              </w:rPr>
              <w:t xml:space="preserve"> Asimismo, se estableció que </w:t>
            </w:r>
            <w:r w:rsidR="008C0CCA" w:rsidRPr="008C0CCA">
              <w:rPr>
                <w:rFonts w:ascii="ITC Avant Garde" w:eastAsia="Times New Roman" w:hAnsi="ITC Avant Garde"/>
                <w:color w:val="000000"/>
                <w:sz w:val="20"/>
                <w:szCs w:val="20"/>
                <w:lang w:eastAsia="es-MX"/>
              </w:rPr>
              <w:t>la intervención del Instituto en la resolución de desacuerdos</w:t>
            </w:r>
            <w:r w:rsidR="00CB4E48">
              <w:rPr>
                <w:rFonts w:ascii="ITC Avant Garde" w:eastAsia="Times New Roman" w:hAnsi="ITC Avant Garde"/>
                <w:color w:val="000000"/>
                <w:sz w:val="20"/>
                <w:szCs w:val="20"/>
                <w:lang w:eastAsia="es-MX"/>
              </w:rPr>
              <w:t xml:space="preserve"> en materia de tarifas</w:t>
            </w:r>
            <w:r w:rsidR="008C0CCA" w:rsidRPr="008C0CCA">
              <w:rPr>
                <w:rFonts w:ascii="ITC Avant Garde" w:eastAsia="Times New Roman" w:hAnsi="ITC Avant Garde"/>
                <w:color w:val="000000"/>
                <w:sz w:val="20"/>
                <w:szCs w:val="20"/>
                <w:lang w:eastAsia="es-MX"/>
              </w:rPr>
              <w:t xml:space="preserve">, en aquellos municipios en los que además del AEPT existen otros proveedores de servicios </w:t>
            </w:r>
            <w:r w:rsidR="008C0CCA" w:rsidRPr="008C0CCA">
              <w:rPr>
                <w:rFonts w:ascii="ITC Avant Garde" w:eastAsia="Times New Roman" w:hAnsi="ITC Avant Garde"/>
                <w:color w:val="000000"/>
                <w:sz w:val="20"/>
                <w:szCs w:val="20"/>
                <w:lang w:eastAsia="es-MX"/>
              </w:rPr>
              <w:lastRenderedPageBreak/>
              <w:t>de acceso y uso compartido de infraestructura móvil, sea a través de la determinación de tarifas mediante referencias de mercado y costos del AEPT</w:t>
            </w:r>
            <w:r w:rsidR="008C0CCA">
              <w:rPr>
                <w:rFonts w:ascii="ITC Avant Garde" w:eastAsia="Times New Roman" w:hAnsi="ITC Avant Garde"/>
                <w:color w:val="000000"/>
                <w:sz w:val="20"/>
                <w:szCs w:val="20"/>
                <w:lang w:eastAsia="es-MX"/>
              </w:rPr>
              <w:t>.</w:t>
            </w:r>
          </w:p>
        </w:tc>
      </w:tr>
      <w:tr w:rsidR="00885864" w:rsidRPr="002C2D28" w14:paraId="13DF804A" w14:textId="77777777" w:rsidTr="00652FBC">
        <w:trPr>
          <w:trHeight w:val="414"/>
        </w:trPr>
        <w:tc>
          <w:tcPr>
            <w:tcW w:w="8641" w:type="dxa"/>
            <w:gridSpan w:val="3"/>
            <w:shd w:val="clear" w:color="auto" w:fill="FFFFFF"/>
            <w:vAlign w:val="center"/>
          </w:tcPr>
          <w:p w14:paraId="0BAA0070" w14:textId="3E5CE4F8" w:rsidR="00885864" w:rsidRPr="002C2D28" w:rsidRDefault="00F215BA" w:rsidP="00B107D7">
            <w:pPr>
              <w:jc w:val="both"/>
              <w:rPr>
                <w:rFonts w:ascii="ITC Avant Garde" w:eastAsia="Times New Roman" w:hAnsi="ITC Avant Garde"/>
                <w:b/>
                <w:color w:val="000000"/>
                <w:sz w:val="20"/>
                <w:szCs w:val="20"/>
                <w:lang w:eastAsia="es-MX"/>
              </w:rPr>
            </w:pPr>
            <w:r w:rsidRPr="009B1606">
              <w:rPr>
                <w:rFonts w:ascii="ITC Avant Garde" w:eastAsia="Times New Roman" w:hAnsi="ITC Avant Garde"/>
                <w:b/>
                <w:color w:val="000000"/>
                <w:sz w:val="20"/>
                <w:szCs w:val="20"/>
                <w:lang w:eastAsia="es-MX"/>
              </w:rPr>
              <w:lastRenderedPageBreak/>
              <w:t>¿</w:t>
            </w:r>
            <w:r>
              <w:rPr>
                <w:rFonts w:ascii="ITC Avant Garde" w:eastAsia="Times New Roman" w:hAnsi="ITC Avant Garde"/>
                <w:b/>
                <w:color w:val="000000"/>
                <w:sz w:val="20"/>
                <w:szCs w:val="20"/>
                <w:lang w:eastAsia="es-MX"/>
              </w:rPr>
              <w:t>Cuáles son sus consideraciones respecto al impacto que ha tenido la regulación asimétrica al AEPT referente a la compartición de infraestructura pasiva?</w:t>
            </w:r>
          </w:p>
        </w:tc>
      </w:tr>
      <w:tr w:rsidR="00885864" w:rsidRPr="002C2D28" w14:paraId="156ECBD7" w14:textId="77777777" w:rsidTr="00652FBC">
        <w:trPr>
          <w:trHeight w:val="414"/>
        </w:trPr>
        <w:tc>
          <w:tcPr>
            <w:tcW w:w="8641" w:type="dxa"/>
            <w:gridSpan w:val="3"/>
            <w:shd w:val="clear" w:color="auto" w:fill="FFFFFF"/>
            <w:vAlign w:val="center"/>
          </w:tcPr>
          <w:p w14:paraId="004941D2" w14:textId="77777777" w:rsidR="00885864" w:rsidRPr="002C2D28" w:rsidRDefault="00885864" w:rsidP="00B107D7">
            <w:pPr>
              <w:spacing w:after="0" w:line="276" w:lineRule="auto"/>
              <w:jc w:val="both"/>
              <w:rPr>
                <w:rFonts w:ascii="ITC Avant Garde" w:eastAsia="Times New Roman" w:hAnsi="ITC Avant Garde"/>
                <w:b/>
                <w:color w:val="000000"/>
                <w:sz w:val="20"/>
                <w:szCs w:val="20"/>
                <w:lang w:eastAsia="es-MX"/>
              </w:rPr>
            </w:pPr>
          </w:p>
        </w:tc>
      </w:tr>
      <w:tr w:rsidR="00885864" w:rsidRPr="002C2D28" w14:paraId="77716E60" w14:textId="77777777" w:rsidTr="00652FBC">
        <w:trPr>
          <w:trHeight w:val="414"/>
        </w:trPr>
        <w:tc>
          <w:tcPr>
            <w:tcW w:w="8641" w:type="dxa"/>
            <w:gridSpan w:val="3"/>
            <w:shd w:val="clear" w:color="auto" w:fill="FFFFFF"/>
            <w:vAlign w:val="center"/>
          </w:tcPr>
          <w:p w14:paraId="3E4EFDF5" w14:textId="796D89E2" w:rsidR="00885864" w:rsidRPr="00F215BA" w:rsidRDefault="00F215BA" w:rsidP="00B107D7">
            <w:pPr>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t xml:space="preserve">¿Cuáles son sus </w:t>
            </w:r>
            <w:r w:rsidRPr="002C2D28">
              <w:rPr>
                <w:rFonts w:ascii="ITC Avant Garde" w:eastAsia="Times New Roman" w:hAnsi="ITC Avant Garde"/>
                <w:b/>
                <w:color w:val="000000"/>
                <w:sz w:val="20"/>
                <w:szCs w:val="20"/>
                <w:lang w:eastAsia="es-MX"/>
              </w:rPr>
              <w:t>considera</w:t>
            </w:r>
            <w:r>
              <w:rPr>
                <w:rFonts w:ascii="ITC Avant Garde" w:eastAsia="Times New Roman" w:hAnsi="ITC Avant Garde"/>
                <w:b/>
                <w:color w:val="000000"/>
                <w:sz w:val="20"/>
                <w:szCs w:val="20"/>
                <w:lang w:eastAsia="es-MX"/>
              </w:rPr>
              <w:t>ciones respecto</w:t>
            </w:r>
            <w:r w:rsidRPr="002C2D28">
              <w:rPr>
                <w:rFonts w:ascii="ITC Avant Garde" w:eastAsia="Times New Roman" w:hAnsi="ITC Avant Garde"/>
                <w:b/>
                <w:color w:val="000000"/>
                <w:sz w:val="20"/>
                <w:szCs w:val="20"/>
                <w:lang w:eastAsia="es-MX"/>
              </w:rPr>
              <w:t xml:space="preserve"> </w:t>
            </w:r>
            <w:r>
              <w:rPr>
                <w:rFonts w:ascii="ITC Avant Garde" w:eastAsia="Times New Roman" w:hAnsi="ITC Avant Garde"/>
                <w:b/>
                <w:color w:val="000000"/>
                <w:sz w:val="20"/>
                <w:szCs w:val="20"/>
                <w:lang w:eastAsia="es-MX"/>
              </w:rPr>
              <w:t>al diseño de las medidas relacionadas con la compartición de infraestructura pasiva y su idoneidad</w:t>
            </w:r>
            <w:r w:rsidRPr="002C2D28">
              <w:rPr>
                <w:rFonts w:ascii="ITC Avant Garde" w:eastAsia="Times New Roman" w:hAnsi="ITC Avant Garde"/>
                <w:b/>
                <w:color w:val="000000"/>
                <w:sz w:val="20"/>
                <w:szCs w:val="20"/>
                <w:lang w:eastAsia="es-MX"/>
              </w:rPr>
              <w:t xml:space="preserve"> para alcanzar los objetivos por los que se plantearon</w:t>
            </w:r>
            <w:r>
              <w:rPr>
                <w:rFonts w:ascii="ITC Avant Garde" w:eastAsia="Times New Roman" w:hAnsi="ITC Avant Garde"/>
                <w:b/>
                <w:color w:val="000000"/>
                <w:sz w:val="20"/>
                <w:szCs w:val="20"/>
                <w:lang w:eastAsia="es-MX"/>
              </w:rPr>
              <w:t>?</w:t>
            </w:r>
          </w:p>
        </w:tc>
      </w:tr>
      <w:tr w:rsidR="00885864" w:rsidRPr="002C2D28" w14:paraId="1CF46646" w14:textId="77777777" w:rsidTr="00652FBC">
        <w:trPr>
          <w:trHeight w:val="414"/>
        </w:trPr>
        <w:tc>
          <w:tcPr>
            <w:tcW w:w="8641" w:type="dxa"/>
            <w:gridSpan w:val="3"/>
            <w:shd w:val="clear" w:color="auto" w:fill="FFFFFF"/>
            <w:vAlign w:val="center"/>
          </w:tcPr>
          <w:p w14:paraId="55A458ED" w14:textId="77777777" w:rsidR="00885864" w:rsidRPr="002C2D28" w:rsidRDefault="00885864" w:rsidP="00B107D7">
            <w:pPr>
              <w:spacing w:after="0" w:line="276" w:lineRule="auto"/>
              <w:jc w:val="both"/>
              <w:rPr>
                <w:rFonts w:ascii="ITC Avant Garde" w:eastAsia="Times New Roman" w:hAnsi="ITC Avant Garde"/>
                <w:b/>
                <w:color w:val="000000"/>
                <w:sz w:val="20"/>
                <w:szCs w:val="20"/>
                <w:lang w:eastAsia="es-MX"/>
              </w:rPr>
            </w:pPr>
          </w:p>
        </w:tc>
      </w:tr>
      <w:tr w:rsidR="00885864" w:rsidRPr="002C2D28" w14:paraId="3ADE0E5B" w14:textId="77777777" w:rsidTr="00652FBC">
        <w:trPr>
          <w:trHeight w:val="414"/>
        </w:trPr>
        <w:tc>
          <w:tcPr>
            <w:tcW w:w="8641" w:type="dxa"/>
            <w:gridSpan w:val="3"/>
            <w:shd w:val="clear" w:color="auto" w:fill="FFFFFF"/>
          </w:tcPr>
          <w:p w14:paraId="1AE0BDCC" w14:textId="4F75388E" w:rsidR="00885864" w:rsidRPr="00F215BA" w:rsidRDefault="00F215BA" w:rsidP="00B107D7">
            <w:pPr>
              <w:jc w:val="both"/>
            </w:pPr>
            <w:r>
              <w:rPr>
                <w:rFonts w:ascii="ITC Avant Garde" w:hAnsi="ITC Avant Garde"/>
                <w:b/>
                <w:sz w:val="20"/>
                <w:szCs w:val="20"/>
              </w:rPr>
              <w:t>Favor de indicar la(s)</w:t>
            </w:r>
            <w:r w:rsidRPr="002C2D28">
              <w:rPr>
                <w:rFonts w:ascii="ITC Avant Garde" w:hAnsi="ITC Avant Garde"/>
                <w:b/>
                <w:sz w:val="20"/>
                <w:szCs w:val="20"/>
              </w:rPr>
              <w:t xml:space="preserve"> propuesta</w:t>
            </w:r>
            <w:r>
              <w:rPr>
                <w:rFonts w:ascii="ITC Avant Garde" w:hAnsi="ITC Avant Garde"/>
                <w:b/>
                <w:sz w:val="20"/>
                <w:szCs w:val="20"/>
              </w:rPr>
              <w:t>(s)</w:t>
            </w:r>
            <w:r w:rsidRPr="002C2D28">
              <w:rPr>
                <w:rFonts w:ascii="ITC Avant Garde" w:hAnsi="ITC Avant Garde"/>
                <w:b/>
                <w:sz w:val="20"/>
                <w:szCs w:val="20"/>
              </w:rPr>
              <w:t xml:space="preserve"> específica</w:t>
            </w:r>
            <w:r>
              <w:rPr>
                <w:rFonts w:ascii="ITC Avant Garde" w:hAnsi="ITC Avant Garde"/>
                <w:b/>
                <w:sz w:val="20"/>
                <w:szCs w:val="20"/>
              </w:rPr>
              <w:t>(s)</w:t>
            </w:r>
            <w:r w:rsidRPr="002C2D28">
              <w:rPr>
                <w:rFonts w:ascii="ITC Avant Garde" w:hAnsi="ITC Avant Garde"/>
                <w:b/>
                <w:sz w:val="20"/>
                <w:szCs w:val="20"/>
              </w:rPr>
              <w:t xml:space="preserve"> </w:t>
            </w:r>
            <w:r>
              <w:rPr>
                <w:rFonts w:ascii="ITC Avant Garde" w:hAnsi="ITC Avant Garde"/>
                <w:b/>
                <w:sz w:val="20"/>
                <w:szCs w:val="20"/>
              </w:rPr>
              <w:t>para la supresión, modificación o adición de</w:t>
            </w:r>
            <w:r w:rsidRPr="002C2D28">
              <w:rPr>
                <w:rFonts w:ascii="ITC Avant Garde" w:hAnsi="ITC Avant Garde"/>
                <w:b/>
                <w:sz w:val="20"/>
                <w:szCs w:val="20"/>
              </w:rPr>
              <w:t xml:space="preserve"> las medidas relacionadas con l</w:t>
            </w:r>
            <w:r>
              <w:rPr>
                <w:rFonts w:ascii="ITC Avant Garde" w:hAnsi="ITC Avant Garde"/>
                <w:b/>
                <w:sz w:val="20"/>
                <w:szCs w:val="20"/>
              </w:rPr>
              <w:t>a compartición de infraestructura pasiva.</w:t>
            </w:r>
          </w:p>
        </w:tc>
      </w:tr>
      <w:tr w:rsidR="00885864" w:rsidRPr="002C2D28" w14:paraId="02EEEA95" w14:textId="77777777" w:rsidTr="00652FBC">
        <w:trPr>
          <w:trHeight w:val="414"/>
        </w:trPr>
        <w:tc>
          <w:tcPr>
            <w:tcW w:w="3047" w:type="dxa"/>
            <w:gridSpan w:val="2"/>
            <w:shd w:val="clear" w:color="auto" w:fill="FFFFFF"/>
          </w:tcPr>
          <w:p w14:paraId="73D98B54"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shd w:val="clear" w:color="auto" w:fill="FFFFFF"/>
          </w:tcPr>
          <w:p w14:paraId="7BC30049"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885864" w:rsidRPr="002C2D28" w14:paraId="0538477C" w14:textId="77777777" w:rsidTr="00652FBC">
        <w:trPr>
          <w:trHeight w:val="414"/>
        </w:trPr>
        <w:tc>
          <w:tcPr>
            <w:tcW w:w="3047" w:type="dxa"/>
            <w:gridSpan w:val="2"/>
            <w:shd w:val="clear" w:color="auto" w:fill="FFFFFF"/>
          </w:tcPr>
          <w:p w14:paraId="22AA0590"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shd w:val="clear" w:color="auto" w:fill="FFFFFF"/>
          </w:tcPr>
          <w:p w14:paraId="6FA417F7"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885864" w:rsidRPr="002C2D28" w14:paraId="0A84622C" w14:textId="77777777" w:rsidTr="00652FBC">
        <w:trPr>
          <w:trHeight w:val="414"/>
        </w:trPr>
        <w:tc>
          <w:tcPr>
            <w:tcW w:w="1754" w:type="dxa"/>
            <w:shd w:val="clear" w:color="auto" w:fill="C5E0B3"/>
            <w:vAlign w:val="center"/>
          </w:tcPr>
          <w:p w14:paraId="5B1B1120" w14:textId="77777777"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Medidas referentes a</w:t>
            </w:r>
          </w:p>
          <w:p w14:paraId="386CD17E" w14:textId="77777777"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Usuarios finales</w:t>
            </w:r>
          </w:p>
          <w:p w14:paraId="41AD9295" w14:textId="77777777"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p>
          <w:p w14:paraId="3ADD46BB" w14:textId="14FB4D55"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 xml:space="preserve">Anexo 1: </w:t>
            </w:r>
            <w:r w:rsidRPr="002C2D28">
              <w:rPr>
                <w:rFonts w:ascii="ITC Avant Garde" w:hAnsi="ITC Avant Garde"/>
                <w:sz w:val="20"/>
                <w:szCs w:val="20"/>
              </w:rPr>
              <w:t xml:space="preserve"> </w:t>
            </w:r>
            <w:r w:rsidRPr="002C2D28">
              <w:rPr>
                <w:rFonts w:ascii="ITC Avant Garde" w:eastAsia="Times New Roman" w:hAnsi="ITC Avant Garde"/>
                <w:b/>
                <w:color w:val="000000"/>
                <w:sz w:val="20"/>
                <w:szCs w:val="20"/>
                <w:lang w:eastAsia="es-MX"/>
              </w:rPr>
              <w:t>43, 44, 49</w:t>
            </w:r>
            <w:r w:rsidR="00E40688">
              <w:rPr>
                <w:rFonts w:ascii="ITC Avant Garde" w:eastAsia="Times New Roman" w:hAnsi="ITC Avant Garde"/>
                <w:b/>
                <w:color w:val="000000"/>
                <w:sz w:val="20"/>
                <w:szCs w:val="20"/>
                <w:lang w:eastAsia="es-MX"/>
              </w:rPr>
              <w:t>, 51 BIS, 51 TER</w:t>
            </w:r>
            <w:r w:rsidR="00D63A59">
              <w:rPr>
                <w:rFonts w:ascii="ITC Avant Garde" w:eastAsia="Times New Roman" w:hAnsi="ITC Avant Garde"/>
                <w:b/>
                <w:color w:val="000000"/>
                <w:sz w:val="20"/>
                <w:szCs w:val="20"/>
                <w:lang w:eastAsia="es-MX"/>
              </w:rPr>
              <w:t xml:space="preserve">, </w:t>
            </w:r>
            <w:r w:rsidRPr="002C2D28">
              <w:rPr>
                <w:rFonts w:ascii="ITC Avant Garde" w:eastAsia="Times New Roman" w:hAnsi="ITC Avant Garde"/>
                <w:b/>
                <w:color w:val="000000"/>
                <w:sz w:val="20"/>
                <w:szCs w:val="20"/>
                <w:lang w:eastAsia="es-MX"/>
              </w:rPr>
              <w:t>53</w:t>
            </w:r>
            <w:r w:rsidR="00D63A59">
              <w:rPr>
                <w:rFonts w:ascii="ITC Avant Garde" w:eastAsia="Times New Roman" w:hAnsi="ITC Avant Garde"/>
                <w:b/>
                <w:color w:val="000000"/>
                <w:sz w:val="20"/>
                <w:szCs w:val="20"/>
                <w:lang w:eastAsia="es-MX"/>
              </w:rPr>
              <w:t xml:space="preserve"> y 80</w:t>
            </w:r>
            <w:r w:rsidRPr="002C2D28">
              <w:rPr>
                <w:rFonts w:ascii="ITC Avant Garde" w:eastAsia="Times New Roman" w:hAnsi="ITC Avant Garde"/>
                <w:b/>
                <w:color w:val="000000"/>
                <w:sz w:val="20"/>
                <w:szCs w:val="20"/>
                <w:lang w:eastAsia="es-MX"/>
              </w:rPr>
              <w:t>.</w:t>
            </w:r>
          </w:p>
        </w:tc>
        <w:tc>
          <w:tcPr>
            <w:tcW w:w="6887" w:type="dxa"/>
            <w:gridSpan w:val="2"/>
            <w:shd w:val="clear" w:color="auto" w:fill="C5E0B3"/>
            <w:vAlign w:val="center"/>
          </w:tcPr>
          <w:p w14:paraId="55EF3D4A" w14:textId="77777777" w:rsidR="00885864" w:rsidRPr="002C2D28" w:rsidRDefault="00885864" w:rsidP="00652FBC">
            <w:pPr>
              <w:spacing w:after="0"/>
              <w:rPr>
                <w:rFonts w:ascii="ITC Avant Garde" w:hAnsi="ITC Avant Garde"/>
                <w:b/>
                <w:sz w:val="20"/>
                <w:szCs w:val="20"/>
                <w:lang w:eastAsia="es-MX"/>
              </w:rPr>
            </w:pPr>
            <w:r w:rsidRPr="002C2D28">
              <w:rPr>
                <w:rFonts w:ascii="ITC Avant Garde" w:hAnsi="ITC Avant Garde"/>
                <w:b/>
                <w:sz w:val="20"/>
                <w:szCs w:val="20"/>
                <w:lang w:eastAsia="es-MX"/>
              </w:rPr>
              <w:t>Objetivos generales:</w:t>
            </w:r>
          </w:p>
          <w:p w14:paraId="560F130D" w14:textId="77777777" w:rsidR="00885864" w:rsidRPr="002C2D28" w:rsidRDefault="00885864">
            <w:pPr>
              <w:numPr>
                <w:ilvl w:val="0"/>
                <w:numId w:val="10"/>
              </w:numPr>
              <w:spacing w:after="0"/>
              <w:jc w:val="both"/>
              <w:rPr>
                <w:rFonts w:ascii="ITC Avant Garde" w:hAnsi="ITC Avant Garde"/>
                <w:sz w:val="20"/>
                <w:szCs w:val="20"/>
                <w:lang w:eastAsia="es-MX"/>
              </w:rPr>
            </w:pPr>
            <w:r w:rsidRPr="002C2D28">
              <w:rPr>
                <w:rFonts w:ascii="ITC Avant Garde" w:hAnsi="ITC Avant Garde"/>
                <w:sz w:val="20"/>
                <w:szCs w:val="20"/>
                <w:lang w:eastAsia="es-MX"/>
              </w:rPr>
              <w:t xml:space="preserve">Reducir las asimetrías de información. </w:t>
            </w:r>
          </w:p>
          <w:p w14:paraId="1B5ACB64" w14:textId="77777777" w:rsidR="00885864" w:rsidRPr="002C2D28" w:rsidRDefault="00885864">
            <w:pPr>
              <w:numPr>
                <w:ilvl w:val="0"/>
                <w:numId w:val="10"/>
              </w:numPr>
              <w:spacing w:after="0"/>
              <w:jc w:val="both"/>
              <w:rPr>
                <w:rFonts w:ascii="ITC Avant Garde" w:hAnsi="ITC Avant Garde"/>
                <w:sz w:val="20"/>
                <w:szCs w:val="20"/>
                <w:lang w:eastAsia="es-MX"/>
              </w:rPr>
            </w:pPr>
            <w:r w:rsidRPr="002C2D28">
              <w:rPr>
                <w:rFonts w:ascii="ITC Avant Garde" w:hAnsi="ITC Avant Garde"/>
                <w:sz w:val="20"/>
                <w:szCs w:val="20"/>
              </w:rPr>
              <w:t>Remediar y prevenir condiciones y conductas con efectos que no favorezcan la competencia y libre concurrencia</w:t>
            </w:r>
            <w:r w:rsidRPr="002C2D28">
              <w:rPr>
                <w:rFonts w:ascii="ITC Avant Garde" w:hAnsi="ITC Avant Garde"/>
                <w:sz w:val="20"/>
                <w:szCs w:val="20"/>
                <w:lang w:eastAsia="es-MX"/>
              </w:rPr>
              <w:t>.</w:t>
            </w:r>
          </w:p>
          <w:p w14:paraId="053983DD" w14:textId="18DA24F9" w:rsidR="00885864" w:rsidRPr="002C2D28" w:rsidRDefault="00885864">
            <w:pPr>
              <w:numPr>
                <w:ilvl w:val="0"/>
                <w:numId w:val="10"/>
              </w:numPr>
              <w:spacing w:after="0"/>
              <w:jc w:val="both"/>
              <w:rPr>
                <w:rFonts w:ascii="ITC Avant Garde" w:hAnsi="ITC Avant Garde"/>
                <w:sz w:val="20"/>
                <w:szCs w:val="20"/>
                <w:lang w:eastAsia="es-MX"/>
              </w:rPr>
            </w:pPr>
            <w:r w:rsidRPr="002C2D28">
              <w:rPr>
                <w:rFonts w:ascii="ITC Avant Garde" w:hAnsi="ITC Avant Garde"/>
                <w:sz w:val="20"/>
                <w:szCs w:val="20"/>
                <w:lang w:eastAsia="es-MX"/>
              </w:rPr>
              <w:t xml:space="preserve">Disminuir costos de </w:t>
            </w:r>
            <w:r w:rsidR="008C0CCA">
              <w:rPr>
                <w:rFonts w:ascii="ITC Avant Garde" w:hAnsi="ITC Avant Garde"/>
                <w:sz w:val="20"/>
                <w:szCs w:val="20"/>
                <w:lang w:eastAsia="es-MX"/>
              </w:rPr>
              <w:t>cambio entre operadores</w:t>
            </w:r>
            <w:r w:rsidRPr="002C2D28">
              <w:rPr>
                <w:rFonts w:ascii="ITC Avant Garde" w:hAnsi="ITC Avant Garde"/>
                <w:sz w:val="20"/>
                <w:szCs w:val="20"/>
                <w:lang w:eastAsia="es-MX"/>
              </w:rPr>
              <w:t>.</w:t>
            </w:r>
          </w:p>
        </w:tc>
      </w:tr>
      <w:tr w:rsidR="00885864" w:rsidRPr="002C2D28" w14:paraId="4A0CA5D9" w14:textId="77777777" w:rsidTr="00652FBC">
        <w:trPr>
          <w:trHeight w:val="414"/>
        </w:trPr>
        <w:tc>
          <w:tcPr>
            <w:tcW w:w="8641" w:type="dxa"/>
            <w:gridSpan w:val="3"/>
            <w:shd w:val="clear" w:color="auto" w:fill="FFFFFF"/>
            <w:vAlign w:val="center"/>
          </w:tcPr>
          <w:p w14:paraId="13B6DDE5" w14:textId="77777777" w:rsidR="00885864" w:rsidRPr="002C2D28" w:rsidRDefault="00885864" w:rsidP="00EA0095">
            <w:pPr>
              <w:jc w:val="both"/>
              <w:rPr>
                <w:rFonts w:ascii="ITC Avant Garde" w:hAnsi="ITC Avant Garde"/>
                <w:b/>
                <w:sz w:val="20"/>
                <w:szCs w:val="20"/>
              </w:rPr>
            </w:pPr>
            <w:r w:rsidRPr="002C2D28">
              <w:rPr>
                <w:rFonts w:ascii="ITC Avant Garde" w:hAnsi="ITC Avant Garde"/>
                <w:b/>
                <w:sz w:val="20"/>
                <w:szCs w:val="20"/>
              </w:rPr>
              <w:t>Contexto:</w:t>
            </w:r>
          </w:p>
          <w:p w14:paraId="696B5E99" w14:textId="77777777" w:rsidR="00885864" w:rsidRPr="002C2D28" w:rsidRDefault="00885864" w:rsidP="00EA0095">
            <w:pPr>
              <w:jc w:val="both"/>
              <w:rPr>
                <w:rFonts w:ascii="ITC Avant Garde" w:hAnsi="ITC Avant Garde"/>
                <w:sz w:val="20"/>
                <w:szCs w:val="20"/>
              </w:rPr>
            </w:pPr>
            <w:r w:rsidRPr="002C2D28">
              <w:rPr>
                <w:rFonts w:ascii="ITC Avant Garde" w:hAnsi="ITC Avant Garde"/>
                <w:sz w:val="20"/>
                <w:szCs w:val="20"/>
              </w:rPr>
              <w:t>Los costos de cambio que enfrentan los usuarios para migrar de operador de telecomunicaciones pueden llegar a formar una barrera a la entrada y/o expansión de operadores eficientes alternos. Asimismo, parte del desarrollo del sector involucra la protección de los usuarios finales en los procesos de contratación de los servicios.</w:t>
            </w:r>
          </w:p>
          <w:p w14:paraId="57190D90" w14:textId="77777777" w:rsidR="00885864" w:rsidRPr="002C2D28" w:rsidRDefault="00885864" w:rsidP="00EA0095">
            <w:pPr>
              <w:jc w:val="both"/>
              <w:rPr>
                <w:rFonts w:ascii="ITC Avant Garde" w:hAnsi="ITC Avant Garde"/>
                <w:b/>
                <w:sz w:val="20"/>
                <w:szCs w:val="20"/>
              </w:rPr>
            </w:pPr>
            <w:r w:rsidRPr="002C2D28">
              <w:rPr>
                <w:rFonts w:ascii="ITC Avant Garde" w:hAnsi="ITC Avant Garde"/>
                <w:b/>
                <w:sz w:val="20"/>
                <w:szCs w:val="20"/>
              </w:rPr>
              <w:t>Resumen de las medidas impuestas:</w:t>
            </w:r>
          </w:p>
          <w:p w14:paraId="772A426C" w14:textId="77777777" w:rsidR="00885864" w:rsidRPr="002C2D28" w:rsidRDefault="00885864" w:rsidP="00EA0095">
            <w:pPr>
              <w:jc w:val="both"/>
              <w:rPr>
                <w:rFonts w:ascii="ITC Avant Garde" w:hAnsi="ITC Avant Garde"/>
                <w:sz w:val="20"/>
                <w:szCs w:val="20"/>
              </w:rPr>
            </w:pPr>
            <w:r w:rsidRPr="002C2D28">
              <w:rPr>
                <w:rFonts w:ascii="ITC Avant Garde" w:hAnsi="ITC Avant Garde"/>
                <w:sz w:val="20"/>
                <w:szCs w:val="20"/>
              </w:rPr>
              <w:t xml:space="preserve">El Instituto impuso medidas al AEPT referentes a información mínima que el AEPT debe proveer a los usuarios finales, condiciones de contratación y cancelación, facturación de los servicios y canales de atención, entre otras. </w:t>
            </w:r>
          </w:p>
          <w:p w14:paraId="689B750B" w14:textId="2A82EB35" w:rsidR="00885864" w:rsidRDefault="00885864" w:rsidP="00EA0095">
            <w:pPr>
              <w:jc w:val="both"/>
              <w:rPr>
                <w:rFonts w:ascii="ITC Avant Garde" w:eastAsia="Times New Roman" w:hAnsi="ITC Avant Garde"/>
                <w:color w:val="000000"/>
                <w:sz w:val="20"/>
                <w:szCs w:val="20"/>
                <w:lang w:eastAsia="es-MX"/>
              </w:rPr>
            </w:pPr>
            <w:r w:rsidRPr="002C2D28">
              <w:rPr>
                <w:rFonts w:ascii="ITC Avant Garde" w:eastAsia="Times New Roman" w:hAnsi="ITC Avant Garde"/>
                <w:color w:val="000000"/>
                <w:sz w:val="20"/>
                <w:szCs w:val="20"/>
                <w:lang w:eastAsia="es-MX"/>
              </w:rPr>
              <w:t xml:space="preserve">A través de la </w:t>
            </w:r>
            <w:r w:rsidR="009C0C84">
              <w:rPr>
                <w:rFonts w:ascii="ITC Avant Garde" w:eastAsia="Times New Roman" w:hAnsi="ITC Avant Garde"/>
                <w:color w:val="000000"/>
                <w:sz w:val="20"/>
                <w:szCs w:val="20"/>
                <w:lang w:eastAsia="es-MX"/>
              </w:rPr>
              <w:t xml:space="preserve">Primera </w:t>
            </w:r>
            <w:r w:rsidRPr="002C2D28">
              <w:rPr>
                <w:rFonts w:ascii="ITC Avant Garde" w:eastAsia="Times New Roman" w:hAnsi="ITC Avant Garde"/>
                <w:color w:val="000000"/>
                <w:sz w:val="20"/>
                <w:szCs w:val="20"/>
                <w:lang w:eastAsia="es-MX"/>
              </w:rPr>
              <w:t>Resolución Bienal de Telecomunicaciones se hicieron adecuaciones en materia de información sobre la velocidad del servicio y homologación con lo establecido en la LFTR y otros ordenamientos jurídicos.</w:t>
            </w:r>
          </w:p>
          <w:p w14:paraId="2B4325C4" w14:textId="4390339D" w:rsidR="009C0C84" w:rsidRPr="002C2D28" w:rsidRDefault="0033496A" w:rsidP="0033496A">
            <w:pPr>
              <w:jc w:val="both"/>
              <w:rPr>
                <w:rFonts w:ascii="ITC Avant Garde" w:hAnsi="ITC Avant Garde"/>
                <w:sz w:val="20"/>
                <w:szCs w:val="20"/>
              </w:rPr>
            </w:pPr>
            <w:r w:rsidRPr="009C0C84">
              <w:rPr>
                <w:rFonts w:ascii="ITC Avant Garde" w:eastAsia="Times New Roman" w:hAnsi="ITC Avant Garde"/>
                <w:color w:val="000000"/>
                <w:sz w:val="20"/>
                <w:szCs w:val="20"/>
                <w:lang w:eastAsia="es-MX"/>
              </w:rPr>
              <w:t xml:space="preserve">En la Segunda </w:t>
            </w:r>
            <w:r w:rsidRPr="002C2D28">
              <w:rPr>
                <w:rFonts w:ascii="ITC Avant Garde" w:eastAsia="Times New Roman" w:hAnsi="ITC Avant Garde"/>
                <w:color w:val="000000"/>
                <w:sz w:val="20"/>
                <w:szCs w:val="20"/>
                <w:lang w:eastAsia="es-MX"/>
              </w:rPr>
              <w:t>Resolución Bienal de Telecomunicaciones</w:t>
            </w:r>
            <w:r>
              <w:rPr>
                <w:rFonts w:ascii="ITC Avant Garde" w:eastAsia="Times New Roman" w:hAnsi="ITC Avant Garde"/>
                <w:color w:val="000000"/>
                <w:sz w:val="20"/>
                <w:szCs w:val="20"/>
                <w:lang w:eastAsia="es-MX"/>
              </w:rPr>
              <w:t xml:space="preserve"> s</w:t>
            </w:r>
            <w:r w:rsidRPr="009C0C84">
              <w:rPr>
                <w:rFonts w:ascii="ITC Avant Garde" w:eastAsia="Times New Roman" w:hAnsi="ITC Avant Garde"/>
                <w:color w:val="000000"/>
                <w:sz w:val="20"/>
                <w:szCs w:val="20"/>
                <w:lang w:eastAsia="es-MX"/>
              </w:rPr>
              <w:t xml:space="preserve">e </w:t>
            </w:r>
            <w:r>
              <w:rPr>
                <w:rFonts w:ascii="ITC Avant Garde" w:eastAsia="Times New Roman" w:hAnsi="ITC Avant Garde"/>
                <w:color w:val="000000"/>
                <w:sz w:val="20"/>
                <w:szCs w:val="20"/>
                <w:lang w:eastAsia="es-MX"/>
              </w:rPr>
              <w:t xml:space="preserve">modificaron diversas obligaciones a fin de mantener aquellas que revisten el carácter asimétrico y evitar redundancias regulatorias </w:t>
            </w:r>
            <w:r w:rsidRPr="00764C60">
              <w:rPr>
                <w:rFonts w:ascii="ITC Avant Garde" w:eastAsia="Times New Roman" w:hAnsi="ITC Avant Garde"/>
                <w:color w:val="000000"/>
                <w:sz w:val="20"/>
                <w:szCs w:val="20"/>
                <w:lang w:eastAsia="es-MX"/>
              </w:rPr>
              <w:t>cuando diversas medidas y/o marcos normativos abordan las mismas obligaciones</w:t>
            </w:r>
            <w:r>
              <w:rPr>
                <w:rFonts w:ascii="ITC Avant Garde" w:eastAsia="Times New Roman" w:hAnsi="ITC Avant Garde"/>
                <w:color w:val="000000"/>
                <w:sz w:val="20"/>
                <w:szCs w:val="20"/>
                <w:lang w:eastAsia="es-MX"/>
              </w:rPr>
              <w:t xml:space="preserve">. </w:t>
            </w:r>
            <w:r w:rsidRPr="00764C60">
              <w:rPr>
                <w:rFonts w:ascii="ITC Avant Garde" w:eastAsia="Times New Roman" w:hAnsi="ITC Avant Garde"/>
                <w:color w:val="000000"/>
                <w:sz w:val="20"/>
                <w:szCs w:val="20"/>
                <w:lang w:eastAsia="es-MX"/>
              </w:rPr>
              <w:t xml:space="preserve"> </w:t>
            </w:r>
            <w:r>
              <w:rPr>
                <w:rFonts w:ascii="ITC Avant Garde" w:eastAsia="Times New Roman" w:hAnsi="ITC Avant Garde"/>
                <w:color w:val="000000"/>
                <w:sz w:val="20"/>
                <w:szCs w:val="20"/>
                <w:lang w:eastAsia="es-MX"/>
              </w:rPr>
              <w:t>Asimismo, se establecieron medidas para</w:t>
            </w:r>
            <w:r w:rsidR="009C0C84">
              <w:rPr>
                <w:rFonts w:ascii="ITC Avant Garde" w:eastAsia="Times New Roman" w:hAnsi="ITC Avant Garde"/>
                <w:color w:val="000000"/>
                <w:sz w:val="20"/>
                <w:szCs w:val="20"/>
                <w:lang w:eastAsia="es-MX"/>
              </w:rPr>
              <w:t xml:space="preserve"> facilita</w:t>
            </w:r>
            <w:r>
              <w:rPr>
                <w:rFonts w:ascii="ITC Avant Garde" w:eastAsia="Times New Roman" w:hAnsi="ITC Avant Garde"/>
                <w:color w:val="000000"/>
                <w:sz w:val="20"/>
                <w:szCs w:val="20"/>
                <w:lang w:eastAsia="es-MX"/>
              </w:rPr>
              <w:t>r</w:t>
            </w:r>
            <w:r w:rsidR="009C0C84">
              <w:rPr>
                <w:rFonts w:ascii="ITC Avant Garde" w:eastAsia="Times New Roman" w:hAnsi="ITC Avant Garde"/>
                <w:color w:val="000000"/>
                <w:sz w:val="20"/>
                <w:szCs w:val="20"/>
                <w:lang w:eastAsia="es-MX"/>
              </w:rPr>
              <w:t xml:space="preserve"> el proceso de desbloqueo de terminales</w:t>
            </w:r>
            <w:r>
              <w:rPr>
                <w:rFonts w:ascii="ITC Avant Garde" w:eastAsia="Times New Roman" w:hAnsi="ITC Avant Garde"/>
                <w:color w:val="000000"/>
                <w:sz w:val="20"/>
                <w:szCs w:val="20"/>
                <w:lang w:eastAsia="es-MX"/>
              </w:rPr>
              <w:t xml:space="preserve"> y se estableció la prohibición de </w:t>
            </w:r>
            <w:r w:rsidR="000B5A31" w:rsidRPr="00D161DC">
              <w:rPr>
                <w:rFonts w:ascii="ITC Avant Garde" w:eastAsia="Times New Roman" w:hAnsi="ITC Avant Garde"/>
                <w:color w:val="000000"/>
                <w:sz w:val="20"/>
                <w:szCs w:val="20"/>
                <w:lang w:eastAsia="es-MX"/>
              </w:rPr>
              <w:t>aplicar tarifas</w:t>
            </w:r>
            <w:r>
              <w:rPr>
                <w:rFonts w:ascii="ITC Avant Garde" w:eastAsia="Times New Roman" w:hAnsi="ITC Avant Garde"/>
                <w:color w:val="000000"/>
                <w:sz w:val="20"/>
                <w:szCs w:val="20"/>
                <w:lang w:eastAsia="es-MX"/>
              </w:rPr>
              <w:t xml:space="preserve"> o </w:t>
            </w:r>
            <w:r w:rsidR="000B5A31" w:rsidRPr="00D161DC">
              <w:rPr>
                <w:rFonts w:ascii="ITC Avant Garde" w:eastAsia="Times New Roman" w:hAnsi="ITC Avant Garde"/>
                <w:color w:val="000000"/>
                <w:sz w:val="20"/>
                <w:szCs w:val="20"/>
                <w:lang w:eastAsia="es-MX"/>
              </w:rPr>
              <w:t xml:space="preserve">condiciones </w:t>
            </w:r>
            <w:r w:rsidR="000B5A31" w:rsidRPr="00D161DC">
              <w:rPr>
                <w:rFonts w:ascii="ITC Avant Garde" w:eastAsia="Times New Roman" w:hAnsi="ITC Avant Garde"/>
                <w:color w:val="000000"/>
                <w:sz w:val="20"/>
                <w:szCs w:val="20"/>
                <w:lang w:eastAsia="es-MX"/>
              </w:rPr>
              <w:lastRenderedPageBreak/>
              <w:t xml:space="preserve">de calidad de servicio diferentes en las llamadas de </w:t>
            </w:r>
            <w:r w:rsidR="0072358F">
              <w:rPr>
                <w:rFonts w:ascii="ITC Avant Garde" w:eastAsia="Times New Roman" w:hAnsi="ITC Avant Garde"/>
                <w:color w:val="000000"/>
                <w:sz w:val="20"/>
                <w:szCs w:val="20"/>
                <w:lang w:eastAsia="es-MX"/>
              </w:rPr>
              <w:t>los</w:t>
            </w:r>
            <w:r w:rsidR="0072358F" w:rsidRPr="00D161DC">
              <w:rPr>
                <w:rFonts w:ascii="ITC Avant Garde" w:eastAsia="Times New Roman" w:hAnsi="ITC Avant Garde"/>
                <w:color w:val="000000"/>
                <w:sz w:val="20"/>
                <w:szCs w:val="20"/>
                <w:lang w:eastAsia="es-MX"/>
              </w:rPr>
              <w:t xml:space="preserve"> </w:t>
            </w:r>
            <w:r w:rsidR="000B5A31" w:rsidRPr="00D161DC">
              <w:rPr>
                <w:rFonts w:ascii="ITC Avant Garde" w:eastAsia="Times New Roman" w:hAnsi="ITC Avant Garde"/>
                <w:color w:val="000000"/>
                <w:sz w:val="20"/>
                <w:szCs w:val="20"/>
                <w:lang w:eastAsia="es-MX"/>
              </w:rPr>
              <w:t xml:space="preserve">usuarios </w:t>
            </w:r>
            <w:r w:rsidR="0072358F">
              <w:rPr>
                <w:rFonts w:ascii="ITC Avant Garde" w:eastAsia="Times New Roman" w:hAnsi="ITC Avant Garde"/>
                <w:color w:val="000000"/>
                <w:sz w:val="20"/>
                <w:szCs w:val="20"/>
                <w:lang w:eastAsia="es-MX"/>
              </w:rPr>
              <w:t xml:space="preserve">del AEPT </w:t>
            </w:r>
            <w:r w:rsidR="000B5A31" w:rsidRPr="00D161DC">
              <w:rPr>
                <w:rFonts w:ascii="ITC Avant Garde" w:eastAsia="Times New Roman" w:hAnsi="ITC Avant Garde"/>
                <w:color w:val="000000"/>
                <w:sz w:val="20"/>
                <w:szCs w:val="20"/>
                <w:lang w:eastAsia="es-MX"/>
              </w:rPr>
              <w:t>en función de si terminan dentro</w:t>
            </w:r>
            <w:r w:rsidR="000B5A31">
              <w:rPr>
                <w:rFonts w:ascii="ITC Avant Garde" w:eastAsia="Times New Roman" w:hAnsi="ITC Avant Garde"/>
                <w:color w:val="000000"/>
                <w:sz w:val="20"/>
                <w:szCs w:val="20"/>
                <w:lang w:eastAsia="es-MX"/>
              </w:rPr>
              <w:t xml:space="preserve"> (</w:t>
            </w:r>
            <w:proofErr w:type="spellStart"/>
            <w:r w:rsidR="000B5A31" w:rsidRPr="00D161DC">
              <w:rPr>
                <w:rFonts w:ascii="ITC Avant Garde" w:eastAsia="Times New Roman" w:hAnsi="ITC Avant Garde"/>
                <w:i/>
                <w:iCs/>
                <w:color w:val="000000"/>
                <w:sz w:val="20"/>
                <w:szCs w:val="20"/>
                <w:lang w:eastAsia="es-MX"/>
              </w:rPr>
              <w:t>on</w:t>
            </w:r>
            <w:proofErr w:type="spellEnd"/>
            <w:r w:rsidR="000B5A31">
              <w:rPr>
                <w:rFonts w:ascii="ITC Avant Garde" w:eastAsia="Times New Roman" w:hAnsi="ITC Avant Garde"/>
                <w:i/>
                <w:iCs/>
                <w:color w:val="000000"/>
                <w:sz w:val="20"/>
                <w:szCs w:val="20"/>
                <w:lang w:eastAsia="es-MX"/>
              </w:rPr>
              <w:t>-</w:t>
            </w:r>
            <w:r w:rsidR="000B5A31" w:rsidRPr="00D161DC">
              <w:rPr>
                <w:rFonts w:ascii="ITC Avant Garde" w:eastAsia="Times New Roman" w:hAnsi="ITC Avant Garde"/>
                <w:i/>
                <w:iCs/>
                <w:color w:val="000000"/>
                <w:sz w:val="20"/>
                <w:szCs w:val="20"/>
                <w:lang w:eastAsia="es-MX"/>
              </w:rPr>
              <w:t>net</w:t>
            </w:r>
            <w:r w:rsidR="000B5A31">
              <w:rPr>
                <w:rFonts w:ascii="ITC Avant Garde" w:eastAsia="Times New Roman" w:hAnsi="ITC Avant Garde"/>
                <w:color w:val="000000"/>
                <w:sz w:val="20"/>
                <w:szCs w:val="20"/>
                <w:lang w:eastAsia="es-MX"/>
              </w:rPr>
              <w:t>)</w:t>
            </w:r>
            <w:r w:rsidR="000B5A31" w:rsidRPr="00D161DC">
              <w:rPr>
                <w:rFonts w:ascii="ITC Avant Garde" w:eastAsia="Times New Roman" w:hAnsi="ITC Avant Garde"/>
                <w:color w:val="000000"/>
                <w:sz w:val="20"/>
                <w:szCs w:val="20"/>
                <w:lang w:eastAsia="es-MX"/>
              </w:rPr>
              <w:t xml:space="preserve"> de su red o fuera</w:t>
            </w:r>
            <w:r w:rsidR="000B5A31">
              <w:rPr>
                <w:rFonts w:ascii="ITC Avant Garde" w:eastAsia="Times New Roman" w:hAnsi="ITC Avant Garde"/>
                <w:color w:val="000000"/>
                <w:sz w:val="20"/>
                <w:szCs w:val="20"/>
                <w:lang w:eastAsia="es-MX"/>
              </w:rPr>
              <w:t xml:space="preserve"> (</w:t>
            </w:r>
            <w:r w:rsidR="000B5A31" w:rsidRPr="00D161DC">
              <w:rPr>
                <w:rFonts w:ascii="ITC Avant Garde" w:eastAsia="Times New Roman" w:hAnsi="ITC Avant Garde"/>
                <w:i/>
                <w:iCs/>
                <w:color w:val="000000"/>
                <w:sz w:val="20"/>
                <w:szCs w:val="20"/>
                <w:lang w:eastAsia="es-MX"/>
              </w:rPr>
              <w:t>off</w:t>
            </w:r>
            <w:r w:rsidR="000B5A31">
              <w:rPr>
                <w:rFonts w:ascii="ITC Avant Garde" w:eastAsia="Times New Roman" w:hAnsi="ITC Avant Garde"/>
                <w:i/>
                <w:iCs/>
                <w:color w:val="000000"/>
                <w:sz w:val="20"/>
                <w:szCs w:val="20"/>
                <w:lang w:eastAsia="es-MX"/>
              </w:rPr>
              <w:t>-</w:t>
            </w:r>
            <w:r w:rsidR="000B5A31" w:rsidRPr="00D161DC">
              <w:rPr>
                <w:rFonts w:ascii="ITC Avant Garde" w:eastAsia="Times New Roman" w:hAnsi="ITC Avant Garde"/>
                <w:i/>
                <w:iCs/>
                <w:color w:val="000000"/>
                <w:sz w:val="20"/>
                <w:szCs w:val="20"/>
                <w:lang w:eastAsia="es-MX"/>
              </w:rPr>
              <w:t>net</w:t>
            </w:r>
            <w:r w:rsidR="000B5A31">
              <w:rPr>
                <w:rFonts w:ascii="ITC Avant Garde" w:eastAsia="Times New Roman" w:hAnsi="ITC Avant Garde"/>
                <w:color w:val="000000"/>
                <w:sz w:val="20"/>
                <w:szCs w:val="20"/>
                <w:lang w:eastAsia="es-MX"/>
              </w:rPr>
              <w:t>)</w:t>
            </w:r>
            <w:r w:rsidR="000B5A31" w:rsidRPr="00D161DC">
              <w:rPr>
                <w:rFonts w:ascii="ITC Avant Garde" w:eastAsia="Times New Roman" w:hAnsi="ITC Avant Garde"/>
                <w:color w:val="000000"/>
                <w:sz w:val="20"/>
                <w:szCs w:val="20"/>
                <w:lang w:eastAsia="es-MX"/>
              </w:rPr>
              <w:t xml:space="preserve"> de ella</w:t>
            </w:r>
            <w:r w:rsidR="000B5A31">
              <w:rPr>
                <w:rFonts w:ascii="ITC Avant Garde" w:eastAsia="Times New Roman" w:hAnsi="ITC Avant Garde"/>
                <w:color w:val="000000"/>
                <w:sz w:val="20"/>
                <w:szCs w:val="20"/>
                <w:lang w:eastAsia="es-MX"/>
              </w:rPr>
              <w:t>.</w:t>
            </w:r>
          </w:p>
        </w:tc>
      </w:tr>
      <w:tr w:rsidR="00885864" w:rsidRPr="002C2D28" w14:paraId="491E04A2" w14:textId="77777777" w:rsidTr="00652FBC">
        <w:trPr>
          <w:trHeight w:val="414"/>
        </w:trPr>
        <w:tc>
          <w:tcPr>
            <w:tcW w:w="8641" w:type="dxa"/>
            <w:gridSpan w:val="3"/>
            <w:shd w:val="clear" w:color="auto" w:fill="FFFFFF"/>
            <w:vAlign w:val="center"/>
          </w:tcPr>
          <w:p w14:paraId="624340E9" w14:textId="3FF1DFED" w:rsidR="00885864" w:rsidRPr="002C2D28" w:rsidRDefault="00F215BA" w:rsidP="00B107D7">
            <w:pPr>
              <w:jc w:val="both"/>
              <w:rPr>
                <w:rFonts w:ascii="ITC Avant Garde" w:eastAsia="Times New Roman" w:hAnsi="ITC Avant Garde"/>
                <w:b/>
                <w:color w:val="000000"/>
                <w:sz w:val="20"/>
                <w:szCs w:val="20"/>
                <w:lang w:eastAsia="es-MX"/>
              </w:rPr>
            </w:pPr>
            <w:r w:rsidRPr="009B1606">
              <w:rPr>
                <w:rFonts w:ascii="ITC Avant Garde" w:eastAsia="Times New Roman" w:hAnsi="ITC Avant Garde"/>
                <w:b/>
                <w:color w:val="000000"/>
                <w:sz w:val="20"/>
                <w:szCs w:val="20"/>
                <w:lang w:eastAsia="es-MX"/>
              </w:rPr>
              <w:lastRenderedPageBreak/>
              <w:t>¿</w:t>
            </w:r>
            <w:r>
              <w:rPr>
                <w:rFonts w:ascii="ITC Avant Garde" w:eastAsia="Times New Roman" w:hAnsi="ITC Avant Garde"/>
                <w:b/>
                <w:color w:val="000000"/>
                <w:sz w:val="20"/>
                <w:szCs w:val="20"/>
                <w:lang w:eastAsia="es-MX"/>
              </w:rPr>
              <w:t>Cuáles son sus consideraciones respecto al impacto que ha tenido la regulación asimétrica al AEPT de los servicios a usuarios finales?</w:t>
            </w:r>
          </w:p>
        </w:tc>
      </w:tr>
      <w:tr w:rsidR="00885864" w:rsidRPr="002C2D28" w14:paraId="08C67205" w14:textId="77777777" w:rsidTr="00652FBC">
        <w:trPr>
          <w:trHeight w:val="414"/>
        </w:trPr>
        <w:tc>
          <w:tcPr>
            <w:tcW w:w="8641" w:type="dxa"/>
            <w:gridSpan w:val="3"/>
            <w:shd w:val="clear" w:color="auto" w:fill="FFFFFF"/>
            <w:vAlign w:val="center"/>
          </w:tcPr>
          <w:p w14:paraId="1FA49A76" w14:textId="77777777" w:rsidR="00885864" w:rsidRPr="002C2D28" w:rsidRDefault="00885864" w:rsidP="00B107D7">
            <w:pPr>
              <w:spacing w:after="0" w:line="276" w:lineRule="auto"/>
              <w:jc w:val="both"/>
              <w:rPr>
                <w:rFonts w:ascii="ITC Avant Garde" w:eastAsia="Times New Roman" w:hAnsi="ITC Avant Garde"/>
                <w:b/>
                <w:color w:val="000000"/>
                <w:sz w:val="20"/>
                <w:szCs w:val="20"/>
                <w:lang w:eastAsia="es-MX"/>
              </w:rPr>
            </w:pPr>
          </w:p>
        </w:tc>
      </w:tr>
      <w:tr w:rsidR="00885864" w:rsidRPr="002C2D28" w14:paraId="156CD66C" w14:textId="77777777" w:rsidTr="00652FBC">
        <w:trPr>
          <w:trHeight w:val="414"/>
        </w:trPr>
        <w:tc>
          <w:tcPr>
            <w:tcW w:w="8641" w:type="dxa"/>
            <w:gridSpan w:val="3"/>
            <w:shd w:val="clear" w:color="auto" w:fill="FFFFFF"/>
            <w:vAlign w:val="center"/>
          </w:tcPr>
          <w:p w14:paraId="58998AC0" w14:textId="7C221E27" w:rsidR="00885864" w:rsidRPr="00F215BA" w:rsidRDefault="00F215BA" w:rsidP="00B107D7">
            <w:pPr>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t xml:space="preserve">¿Cuáles son sus </w:t>
            </w:r>
            <w:r w:rsidRPr="002C2D28">
              <w:rPr>
                <w:rFonts w:ascii="ITC Avant Garde" w:eastAsia="Times New Roman" w:hAnsi="ITC Avant Garde"/>
                <w:b/>
                <w:color w:val="000000"/>
                <w:sz w:val="20"/>
                <w:szCs w:val="20"/>
                <w:lang w:eastAsia="es-MX"/>
              </w:rPr>
              <w:t>considera</w:t>
            </w:r>
            <w:r>
              <w:rPr>
                <w:rFonts w:ascii="ITC Avant Garde" w:eastAsia="Times New Roman" w:hAnsi="ITC Avant Garde"/>
                <w:b/>
                <w:color w:val="000000"/>
                <w:sz w:val="20"/>
                <w:szCs w:val="20"/>
                <w:lang w:eastAsia="es-MX"/>
              </w:rPr>
              <w:t>ciones respecto</w:t>
            </w:r>
            <w:r w:rsidRPr="002C2D28">
              <w:rPr>
                <w:rFonts w:ascii="ITC Avant Garde" w:eastAsia="Times New Roman" w:hAnsi="ITC Avant Garde"/>
                <w:b/>
                <w:color w:val="000000"/>
                <w:sz w:val="20"/>
                <w:szCs w:val="20"/>
                <w:lang w:eastAsia="es-MX"/>
              </w:rPr>
              <w:t xml:space="preserve"> </w:t>
            </w:r>
            <w:r>
              <w:rPr>
                <w:rFonts w:ascii="ITC Avant Garde" w:eastAsia="Times New Roman" w:hAnsi="ITC Avant Garde"/>
                <w:b/>
                <w:color w:val="000000"/>
                <w:sz w:val="20"/>
                <w:szCs w:val="20"/>
                <w:lang w:eastAsia="es-MX"/>
              </w:rPr>
              <w:t>al diseño de las medidas relacionadas con los servicios a usuarios finales y su idoneidad</w:t>
            </w:r>
            <w:r w:rsidRPr="002C2D28">
              <w:rPr>
                <w:rFonts w:ascii="ITC Avant Garde" w:eastAsia="Times New Roman" w:hAnsi="ITC Avant Garde"/>
                <w:b/>
                <w:color w:val="000000"/>
                <w:sz w:val="20"/>
                <w:szCs w:val="20"/>
                <w:lang w:eastAsia="es-MX"/>
              </w:rPr>
              <w:t xml:space="preserve"> para alcanzar los objetivos por los que se plantearon</w:t>
            </w:r>
            <w:r>
              <w:rPr>
                <w:rFonts w:ascii="ITC Avant Garde" w:eastAsia="Times New Roman" w:hAnsi="ITC Avant Garde"/>
                <w:b/>
                <w:color w:val="000000"/>
                <w:sz w:val="20"/>
                <w:szCs w:val="20"/>
                <w:lang w:eastAsia="es-MX"/>
              </w:rPr>
              <w:t>?</w:t>
            </w:r>
          </w:p>
        </w:tc>
      </w:tr>
      <w:tr w:rsidR="00885864" w:rsidRPr="002C2D28" w14:paraId="1645050A" w14:textId="77777777" w:rsidTr="00652FBC">
        <w:trPr>
          <w:trHeight w:val="414"/>
        </w:trPr>
        <w:tc>
          <w:tcPr>
            <w:tcW w:w="8641" w:type="dxa"/>
            <w:gridSpan w:val="3"/>
            <w:shd w:val="clear" w:color="auto" w:fill="FFFFFF"/>
            <w:vAlign w:val="center"/>
          </w:tcPr>
          <w:p w14:paraId="0B6AAB94" w14:textId="77777777" w:rsidR="00885864" w:rsidRPr="002C2D28" w:rsidRDefault="00885864" w:rsidP="00B107D7">
            <w:pPr>
              <w:spacing w:after="0" w:line="276" w:lineRule="auto"/>
              <w:jc w:val="both"/>
              <w:rPr>
                <w:rFonts w:ascii="ITC Avant Garde" w:eastAsia="Times New Roman" w:hAnsi="ITC Avant Garde"/>
                <w:b/>
                <w:color w:val="000000"/>
                <w:sz w:val="20"/>
                <w:szCs w:val="20"/>
                <w:lang w:eastAsia="es-MX"/>
              </w:rPr>
            </w:pPr>
          </w:p>
        </w:tc>
      </w:tr>
      <w:tr w:rsidR="00885864" w:rsidRPr="002C2D28" w14:paraId="3974C864" w14:textId="77777777" w:rsidTr="00652FBC">
        <w:trPr>
          <w:trHeight w:val="414"/>
        </w:trPr>
        <w:tc>
          <w:tcPr>
            <w:tcW w:w="8641" w:type="dxa"/>
            <w:gridSpan w:val="3"/>
            <w:shd w:val="clear" w:color="auto" w:fill="FFFFFF"/>
          </w:tcPr>
          <w:p w14:paraId="1765DA4F" w14:textId="2E798851" w:rsidR="00885864" w:rsidRPr="00F215BA" w:rsidRDefault="00F215BA" w:rsidP="00B107D7">
            <w:pPr>
              <w:jc w:val="both"/>
            </w:pPr>
            <w:r>
              <w:rPr>
                <w:rFonts w:ascii="ITC Avant Garde" w:hAnsi="ITC Avant Garde"/>
                <w:b/>
                <w:sz w:val="20"/>
                <w:szCs w:val="20"/>
              </w:rPr>
              <w:t>Favor de indicar la(s)</w:t>
            </w:r>
            <w:r w:rsidRPr="002C2D28">
              <w:rPr>
                <w:rFonts w:ascii="ITC Avant Garde" w:hAnsi="ITC Avant Garde"/>
                <w:b/>
                <w:sz w:val="20"/>
                <w:szCs w:val="20"/>
              </w:rPr>
              <w:t xml:space="preserve"> propuesta</w:t>
            </w:r>
            <w:r>
              <w:rPr>
                <w:rFonts w:ascii="ITC Avant Garde" w:hAnsi="ITC Avant Garde"/>
                <w:b/>
                <w:sz w:val="20"/>
                <w:szCs w:val="20"/>
              </w:rPr>
              <w:t>(s)</w:t>
            </w:r>
            <w:r w:rsidRPr="002C2D28">
              <w:rPr>
                <w:rFonts w:ascii="ITC Avant Garde" w:hAnsi="ITC Avant Garde"/>
                <w:b/>
                <w:sz w:val="20"/>
                <w:szCs w:val="20"/>
              </w:rPr>
              <w:t xml:space="preserve"> específica</w:t>
            </w:r>
            <w:r>
              <w:rPr>
                <w:rFonts w:ascii="ITC Avant Garde" w:hAnsi="ITC Avant Garde"/>
                <w:b/>
                <w:sz w:val="20"/>
                <w:szCs w:val="20"/>
              </w:rPr>
              <w:t>(s)</w:t>
            </w:r>
            <w:r w:rsidRPr="002C2D28">
              <w:rPr>
                <w:rFonts w:ascii="ITC Avant Garde" w:hAnsi="ITC Avant Garde"/>
                <w:b/>
                <w:sz w:val="20"/>
                <w:szCs w:val="20"/>
              </w:rPr>
              <w:t xml:space="preserve"> </w:t>
            </w:r>
            <w:r>
              <w:rPr>
                <w:rFonts w:ascii="ITC Avant Garde" w:hAnsi="ITC Avant Garde"/>
                <w:b/>
                <w:sz w:val="20"/>
                <w:szCs w:val="20"/>
              </w:rPr>
              <w:t>para la supresión, modificación o adición de</w:t>
            </w:r>
            <w:r w:rsidRPr="002C2D28">
              <w:rPr>
                <w:rFonts w:ascii="ITC Avant Garde" w:hAnsi="ITC Avant Garde"/>
                <w:b/>
                <w:sz w:val="20"/>
                <w:szCs w:val="20"/>
              </w:rPr>
              <w:t xml:space="preserve"> las medidas relacionadas con los</w:t>
            </w:r>
            <w:r>
              <w:rPr>
                <w:rFonts w:ascii="ITC Avant Garde" w:hAnsi="ITC Avant Garde"/>
                <w:b/>
                <w:sz w:val="20"/>
                <w:szCs w:val="20"/>
              </w:rPr>
              <w:t xml:space="preserve"> servicios a usuarios finales.</w:t>
            </w:r>
          </w:p>
        </w:tc>
      </w:tr>
      <w:tr w:rsidR="00885864" w:rsidRPr="002C2D28" w14:paraId="77262187" w14:textId="77777777" w:rsidTr="00652FBC">
        <w:trPr>
          <w:trHeight w:val="414"/>
        </w:trPr>
        <w:tc>
          <w:tcPr>
            <w:tcW w:w="3047" w:type="dxa"/>
            <w:gridSpan w:val="2"/>
            <w:shd w:val="clear" w:color="auto" w:fill="FFFFFF"/>
          </w:tcPr>
          <w:p w14:paraId="503866F0"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shd w:val="clear" w:color="auto" w:fill="FFFFFF"/>
          </w:tcPr>
          <w:p w14:paraId="1ED1F163"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885864" w:rsidRPr="002C2D28" w14:paraId="1EBB118F" w14:textId="77777777" w:rsidTr="00652FBC">
        <w:trPr>
          <w:trHeight w:val="414"/>
        </w:trPr>
        <w:tc>
          <w:tcPr>
            <w:tcW w:w="3047" w:type="dxa"/>
            <w:gridSpan w:val="2"/>
            <w:shd w:val="clear" w:color="auto" w:fill="FFFFFF"/>
          </w:tcPr>
          <w:p w14:paraId="0CE12B96"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shd w:val="clear" w:color="auto" w:fill="FFFFFF"/>
          </w:tcPr>
          <w:p w14:paraId="3551D091"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885864" w:rsidRPr="002C2D28" w14:paraId="4941D7F5" w14:textId="77777777" w:rsidTr="00652FBC">
        <w:trPr>
          <w:trHeight w:val="414"/>
        </w:trPr>
        <w:tc>
          <w:tcPr>
            <w:tcW w:w="1754" w:type="dxa"/>
            <w:shd w:val="clear" w:color="auto" w:fill="C5E0B3"/>
            <w:vAlign w:val="center"/>
          </w:tcPr>
          <w:p w14:paraId="099D6E59" w14:textId="77777777"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Medidas referentes a Información</w:t>
            </w:r>
          </w:p>
          <w:p w14:paraId="779F062C" w14:textId="77777777"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p>
          <w:p w14:paraId="2ABCCEE1" w14:textId="5B4F3195"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Anexo 1:</w:t>
            </w:r>
            <w:r w:rsidR="00E40688">
              <w:rPr>
                <w:rFonts w:ascii="ITC Avant Garde" w:eastAsia="Times New Roman" w:hAnsi="ITC Avant Garde"/>
                <w:b/>
                <w:color w:val="000000"/>
                <w:sz w:val="20"/>
                <w:szCs w:val="20"/>
                <w:lang w:eastAsia="es-MX"/>
              </w:rPr>
              <w:t xml:space="preserve"> 16 BIS,</w:t>
            </w:r>
            <w:r w:rsidRPr="002C2D28">
              <w:rPr>
                <w:rFonts w:ascii="ITC Avant Garde" w:eastAsia="Times New Roman" w:hAnsi="ITC Avant Garde"/>
                <w:b/>
                <w:color w:val="000000"/>
                <w:sz w:val="20"/>
                <w:szCs w:val="20"/>
                <w:lang w:eastAsia="es-MX"/>
              </w:rPr>
              <w:t xml:space="preserve"> 27, 32, 41, 65,</w:t>
            </w:r>
            <w:r w:rsidR="00E40688">
              <w:rPr>
                <w:rFonts w:ascii="ITC Avant Garde" w:eastAsia="Times New Roman" w:hAnsi="ITC Avant Garde"/>
                <w:b/>
                <w:color w:val="000000"/>
                <w:sz w:val="20"/>
                <w:szCs w:val="20"/>
                <w:lang w:eastAsia="es-MX"/>
              </w:rPr>
              <w:t xml:space="preserve"> 65 BIS, 65 TER, 65 QUÁTER, 65 QUINQUIES, 65 SEXIES,</w:t>
            </w:r>
            <w:r w:rsidRPr="002C2D28">
              <w:rPr>
                <w:rFonts w:ascii="ITC Avant Garde" w:eastAsia="Times New Roman" w:hAnsi="ITC Avant Garde"/>
                <w:b/>
                <w:color w:val="000000"/>
                <w:sz w:val="20"/>
                <w:szCs w:val="20"/>
                <w:lang w:eastAsia="es-MX"/>
              </w:rPr>
              <w:t xml:space="preserve"> 66 y 67.</w:t>
            </w:r>
          </w:p>
        </w:tc>
        <w:tc>
          <w:tcPr>
            <w:tcW w:w="6887" w:type="dxa"/>
            <w:gridSpan w:val="2"/>
            <w:shd w:val="clear" w:color="auto" w:fill="C5E0B3"/>
            <w:vAlign w:val="center"/>
          </w:tcPr>
          <w:p w14:paraId="2859622F" w14:textId="77777777" w:rsidR="00885864" w:rsidRPr="002C2D28" w:rsidRDefault="00885864" w:rsidP="00652FBC">
            <w:pP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Objetivos generales:</w:t>
            </w:r>
          </w:p>
          <w:p w14:paraId="081873C1" w14:textId="77777777" w:rsidR="00885864" w:rsidRPr="002C2D28" w:rsidRDefault="00885864">
            <w:pPr>
              <w:numPr>
                <w:ilvl w:val="0"/>
                <w:numId w:val="11"/>
              </w:numPr>
              <w:spacing w:after="0"/>
              <w:jc w:val="both"/>
              <w:rPr>
                <w:rFonts w:ascii="ITC Avant Garde" w:eastAsia="Times New Roman" w:hAnsi="ITC Avant Garde"/>
                <w:color w:val="000000"/>
                <w:sz w:val="20"/>
                <w:szCs w:val="20"/>
                <w:lang w:eastAsia="es-MX"/>
              </w:rPr>
            </w:pPr>
            <w:r w:rsidRPr="002C2D28">
              <w:rPr>
                <w:rFonts w:ascii="ITC Avant Garde" w:eastAsia="Times New Roman" w:hAnsi="ITC Avant Garde"/>
                <w:color w:val="000000"/>
                <w:sz w:val="20"/>
                <w:szCs w:val="20"/>
                <w:lang w:eastAsia="es-MX"/>
              </w:rPr>
              <w:t>Reducir asimetrías de información.</w:t>
            </w:r>
          </w:p>
          <w:p w14:paraId="2D1D5BF3" w14:textId="77777777" w:rsidR="00885864" w:rsidRPr="002C2D28" w:rsidRDefault="00885864">
            <w:pPr>
              <w:numPr>
                <w:ilvl w:val="0"/>
                <w:numId w:val="11"/>
              </w:numPr>
              <w:spacing w:after="0"/>
              <w:jc w:val="both"/>
              <w:rPr>
                <w:rFonts w:ascii="ITC Avant Garde" w:eastAsia="Times New Roman" w:hAnsi="ITC Avant Garde"/>
                <w:color w:val="000000"/>
                <w:sz w:val="20"/>
                <w:szCs w:val="20"/>
                <w:lang w:eastAsia="es-MX"/>
              </w:rPr>
            </w:pPr>
            <w:r w:rsidRPr="002C2D28">
              <w:rPr>
                <w:rFonts w:ascii="ITC Avant Garde" w:eastAsia="Times New Roman" w:hAnsi="ITC Avant Garde"/>
                <w:color w:val="000000"/>
                <w:sz w:val="20"/>
                <w:szCs w:val="20"/>
                <w:lang w:eastAsia="es-MX"/>
              </w:rPr>
              <w:t>Reducir costos de transacción.</w:t>
            </w:r>
          </w:p>
          <w:p w14:paraId="5A5D52E4" w14:textId="77777777" w:rsidR="00885864" w:rsidRPr="002C2D28" w:rsidRDefault="00885864">
            <w:pPr>
              <w:numPr>
                <w:ilvl w:val="0"/>
                <w:numId w:val="11"/>
              </w:numPr>
              <w:spacing w:after="0"/>
              <w:jc w:val="both"/>
              <w:rPr>
                <w:rFonts w:ascii="ITC Avant Garde" w:eastAsia="Times New Roman" w:hAnsi="ITC Avant Garde"/>
                <w:color w:val="000000"/>
                <w:sz w:val="20"/>
                <w:szCs w:val="20"/>
                <w:lang w:eastAsia="es-MX"/>
              </w:rPr>
            </w:pPr>
            <w:r w:rsidRPr="002C2D28">
              <w:rPr>
                <w:rFonts w:ascii="ITC Avant Garde" w:hAnsi="ITC Avant Garde"/>
                <w:sz w:val="20"/>
                <w:szCs w:val="20"/>
              </w:rPr>
              <w:t>Reducir los costos de planeación para la compartición de infraestructura.</w:t>
            </w:r>
          </w:p>
        </w:tc>
      </w:tr>
      <w:tr w:rsidR="00885864" w:rsidRPr="002C2D28" w14:paraId="0F5B8A4E" w14:textId="77777777" w:rsidTr="00652FBC">
        <w:trPr>
          <w:trHeight w:val="414"/>
        </w:trPr>
        <w:tc>
          <w:tcPr>
            <w:tcW w:w="8641" w:type="dxa"/>
            <w:gridSpan w:val="3"/>
            <w:shd w:val="clear" w:color="auto" w:fill="FFFFFF"/>
            <w:vAlign w:val="center"/>
          </w:tcPr>
          <w:p w14:paraId="7E06B7C1" w14:textId="77777777" w:rsidR="00885864" w:rsidRPr="002C2D28" w:rsidRDefault="00885864" w:rsidP="00EA0095">
            <w:pPr>
              <w:jc w:val="both"/>
              <w:rPr>
                <w:rFonts w:ascii="ITC Avant Garde" w:hAnsi="ITC Avant Garde"/>
                <w:b/>
                <w:sz w:val="20"/>
                <w:szCs w:val="20"/>
              </w:rPr>
            </w:pPr>
            <w:r w:rsidRPr="002C2D28">
              <w:rPr>
                <w:rFonts w:ascii="ITC Avant Garde" w:hAnsi="ITC Avant Garde"/>
                <w:b/>
                <w:sz w:val="20"/>
                <w:szCs w:val="20"/>
              </w:rPr>
              <w:t>Contexto:</w:t>
            </w:r>
          </w:p>
          <w:p w14:paraId="62C45A93" w14:textId="4EF63E49" w:rsidR="00885864" w:rsidRPr="002C2D28" w:rsidRDefault="00885864" w:rsidP="00EA0095">
            <w:pPr>
              <w:jc w:val="both"/>
              <w:rPr>
                <w:rFonts w:ascii="ITC Avant Garde" w:hAnsi="ITC Avant Garde"/>
                <w:sz w:val="20"/>
                <w:szCs w:val="20"/>
              </w:rPr>
            </w:pPr>
            <w:r w:rsidRPr="002C2D28">
              <w:rPr>
                <w:rFonts w:ascii="ITC Avant Garde" w:hAnsi="ITC Avant Garde"/>
                <w:sz w:val="20"/>
                <w:szCs w:val="20"/>
              </w:rPr>
              <w:t xml:space="preserve">La información es un elemento indispensable para el buen funcionamiento de un mercado; entre </w:t>
            </w:r>
            <w:r w:rsidR="00EA0095" w:rsidRPr="002C2D28">
              <w:rPr>
                <w:rFonts w:ascii="ITC Avant Garde" w:hAnsi="ITC Avant Garde"/>
                <w:sz w:val="20"/>
                <w:szCs w:val="20"/>
              </w:rPr>
              <w:t>más información</w:t>
            </w:r>
            <w:r w:rsidRPr="002C2D28">
              <w:rPr>
                <w:rFonts w:ascii="ITC Avant Garde" w:hAnsi="ITC Avant Garde"/>
                <w:sz w:val="20"/>
                <w:szCs w:val="20"/>
              </w:rPr>
              <w:t xml:space="preserve"> esté disponible entre oferentes y demandantes, mejores decisiones de intercambio resultarán entre los agentes económicos. En el caso de los concesionarios de redes públicas de telecomunicaciones que deseen ofertar servicios al usuario final, es necesario conocer con la mayor certeza posible los insumos disponibles y tener un medio eficiente para realizar solicitudes y dar seguimiento a la prestación de los servicios, entre otros elementos. En el caso del regulador, este también requiere acceso a información relativa a la prestación tanto de servicios minoristas como mayoristas para la mejor toma de decisiones.</w:t>
            </w:r>
          </w:p>
          <w:p w14:paraId="21D3B629" w14:textId="77777777" w:rsidR="00885864" w:rsidRPr="002C2D28" w:rsidRDefault="00885864" w:rsidP="00EA0095">
            <w:pPr>
              <w:jc w:val="both"/>
              <w:rPr>
                <w:rFonts w:ascii="ITC Avant Garde" w:hAnsi="ITC Avant Garde"/>
                <w:b/>
                <w:sz w:val="20"/>
                <w:szCs w:val="20"/>
              </w:rPr>
            </w:pPr>
            <w:r w:rsidRPr="002C2D28">
              <w:rPr>
                <w:rFonts w:ascii="ITC Avant Garde" w:hAnsi="ITC Avant Garde"/>
                <w:b/>
                <w:sz w:val="20"/>
                <w:szCs w:val="20"/>
              </w:rPr>
              <w:t>Resumen de las medidas impuestas:</w:t>
            </w:r>
          </w:p>
          <w:p w14:paraId="520006EE" w14:textId="77777777" w:rsidR="00885864" w:rsidRPr="002C2D28" w:rsidRDefault="00885864" w:rsidP="00EA0095">
            <w:pPr>
              <w:jc w:val="both"/>
              <w:rPr>
                <w:rFonts w:ascii="ITC Avant Garde" w:hAnsi="ITC Avant Garde"/>
                <w:sz w:val="20"/>
                <w:szCs w:val="20"/>
              </w:rPr>
            </w:pPr>
            <w:r w:rsidRPr="002C2D28">
              <w:rPr>
                <w:rFonts w:ascii="ITC Avant Garde" w:hAnsi="ITC Avant Garde"/>
                <w:sz w:val="20"/>
                <w:szCs w:val="20"/>
              </w:rPr>
              <w:t xml:space="preserve">El Instituto impuso medidas al AEPT referentes a poner a disposición del Instituto y de los CS un Sistema Electrónico de Gestión (en lo sucesivo, “SEG”), con información relativa a su red y como medio para solicitar los servicios mayoristas y dar seguimiento a su provisión, normativas y criterios técnicos, así como asociadas con información de planes </w:t>
            </w:r>
            <w:r w:rsidRPr="002C2D28">
              <w:rPr>
                <w:rFonts w:ascii="ITC Avant Garde" w:hAnsi="ITC Avant Garde"/>
                <w:sz w:val="20"/>
                <w:szCs w:val="20"/>
              </w:rPr>
              <w:lastRenderedPageBreak/>
              <w:t>comerciales, tráficos y líneas, la información relativa a sus instalaciones y criterios técnicos para el acceso a la infraestructura, entre otras.</w:t>
            </w:r>
          </w:p>
          <w:p w14:paraId="00B57A9C" w14:textId="77777777" w:rsidR="00885864" w:rsidRDefault="00885864" w:rsidP="00EA0095">
            <w:pPr>
              <w:jc w:val="both"/>
              <w:rPr>
                <w:rFonts w:ascii="ITC Avant Garde" w:eastAsia="Times New Roman" w:hAnsi="ITC Avant Garde"/>
                <w:color w:val="000000"/>
                <w:sz w:val="20"/>
                <w:szCs w:val="20"/>
                <w:lang w:eastAsia="es-MX"/>
              </w:rPr>
            </w:pPr>
            <w:r w:rsidRPr="002C2D28">
              <w:rPr>
                <w:rFonts w:ascii="ITC Avant Garde" w:hAnsi="ITC Avant Garde"/>
                <w:sz w:val="20"/>
                <w:szCs w:val="20"/>
              </w:rPr>
              <w:t xml:space="preserve">A través de la </w:t>
            </w:r>
            <w:r w:rsidR="00FB2D4B">
              <w:rPr>
                <w:rFonts w:ascii="ITC Avant Garde" w:hAnsi="ITC Avant Garde"/>
                <w:sz w:val="20"/>
                <w:szCs w:val="20"/>
              </w:rPr>
              <w:t xml:space="preserve">Primera </w:t>
            </w:r>
            <w:r w:rsidRPr="002C2D28">
              <w:rPr>
                <w:rFonts w:ascii="ITC Avant Garde" w:hAnsi="ITC Avant Garde"/>
                <w:sz w:val="20"/>
                <w:szCs w:val="20"/>
              </w:rPr>
              <w:t xml:space="preserve">Resolución Bienal de Telecomunicaciones </w:t>
            </w:r>
            <w:r w:rsidRPr="002C2D28">
              <w:rPr>
                <w:rFonts w:ascii="ITC Avant Garde" w:eastAsia="Times New Roman" w:hAnsi="ITC Avant Garde"/>
                <w:color w:val="000000"/>
                <w:sz w:val="20"/>
                <w:szCs w:val="20"/>
                <w:lang w:eastAsia="es-MX"/>
              </w:rPr>
              <w:t>se hicieron adecuaciones relacionadas con información y características de operación del SEG (por ej., mapas de cobertura, tipo y calidad de la información, notificaciones y alta de inventarios), entre otras.</w:t>
            </w:r>
          </w:p>
          <w:p w14:paraId="6616AF9A" w14:textId="218341B2" w:rsidR="00BC3321" w:rsidRPr="002C2D28" w:rsidRDefault="00BC3321" w:rsidP="00EA0095">
            <w:pPr>
              <w:jc w:val="both"/>
              <w:rPr>
                <w:rFonts w:ascii="ITC Avant Garde" w:hAnsi="ITC Avant Garde"/>
                <w:sz w:val="20"/>
                <w:szCs w:val="20"/>
              </w:rPr>
            </w:pPr>
            <w:r w:rsidRPr="00BC3321">
              <w:rPr>
                <w:rFonts w:ascii="ITC Avant Garde" w:hAnsi="ITC Avant Garde"/>
                <w:sz w:val="20"/>
                <w:szCs w:val="20"/>
              </w:rPr>
              <w:t>En</w:t>
            </w:r>
            <w:r w:rsidRPr="002C2D28">
              <w:rPr>
                <w:rFonts w:ascii="ITC Avant Garde" w:hAnsi="ITC Avant Garde"/>
                <w:sz w:val="20"/>
                <w:szCs w:val="20"/>
              </w:rPr>
              <w:t xml:space="preserve"> la </w:t>
            </w:r>
            <w:r>
              <w:rPr>
                <w:rFonts w:ascii="ITC Avant Garde" w:hAnsi="ITC Avant Garde"/>
                <w:sz w:val="20"/>
                <w:szCs w:val="20"/>
              </w:rPr>
              <w:t xml:space="preserve">Segunda </w:t>
            </w:r>
            <w:r w:rsidRPr="002C2D28">
              <w:rPr>
                <w:rFonts w:ascii="ITC Avant Garde" w:hAnsi="ITC Avant Garde"/>
                <w:sz w:val="20"/>
                <w:szCs w:val="20"/>
              </w:rPr>
              <w:t>Resolución Bienal de Telecomunicaciones</w:t>
            </w:r>
            <w:r>
              <w:rPr>
                <w:rFonts w:ascii="ITC Avant Garde" w:hAnsi="ITC Avant Garde"/>
                <w:sz w:val="20"/>
                <w:szCs w:val="20"/>
              </w:rPr>
              <w:t xml:space="preserve"> </w:t>
            </w:r>
            <w:r w:rsidRPr="00BC3321">
              <w:rPr>
                <w:rFonts w:ascii="ITC Avant Garde" w:hAnsi="ITC Avant Garde"/>
                <w:sz w:val="20"/>
                <w:szCs w:val="20"/>
              </w:rPr>
              <w:t xml:space="preserve">se </w:t>
            </w:r>
            <w:r w:rsidR="008C0CCA">
              <w:rPr>
                <w:rFonts w:ascii="ITC Avant Garde" w:hAnsi="ITC Avant Garde"/>
                <w:sz w:val="20"/>
                <w:szCs w:val="20"/>
              </w:rPr>
              <w:t xml:space="preserve">realizaron diversas modificaciones a </w:t>
            </w:r>
            <w:r w:rsidR="008C0CCA" w:rsidRPr="008C0CCA">
              <w:rPr>
                <w:rFonts w:ascii="ITC Avant Garde" w:hAnsi="ITC Avant Garde"/>
                <w:sz w:val="20"/>
                <w:szCs w:val="20"/>
              </w:rPr>
              <w:t xml:space="preserve">fin de fortalecer </w:t>
            </w:r>
            <w:r w:rsidR="00211E7C">
              <w:rPr>
                <w:rFonts w:ascii="ITC Avant Garde" w:hAnsi="ITC Avant Garde"/>
                <w:sz w:val="20"/>
                <w:szCs w:val="20"/>
              </w:rPr>
              <w:t>las</w:t>
            </w:r>
            <w:r w:rsidR="008C0CCA" w:rsidRPr="008C0CCA">
              <w:rPr>
                <w:rFonts w:ascii="ITC Avant Garde" w:hAnsi="ITC Avant Garde"/>
                <w:sz w:val="20"/>
                <w:szCs w:val="20"/>
              </w:rPr>
              <w:t xml:space="preserve"> funciones </w:t>
            </w:r>
            <w:r w:rsidR="00211E7C">
              <w:rPr>
                <w:rFonts w:ascii="ITC Avant Garde" w:hAnsi="ITC Avant Garde"/>
                <w:sz w:val="20"/>
                <w:szCs w:val="20"/>
              </w:rPr>
              <w:t xml:space="preserve">del SEG </w:t>
            </w:r>
            <w:r w:rsidR="008C0CCA" w:rsidRPr="008C0CCA">
              <w:rPr>
                <w:rFonts w:ascii="ITC Avant Garde" w:hAnsi="ITC Avant Garde"/>
                <w:sz w:val="20"/>
                <w:szCs w:val="20"/>
              </w:rPr>
              <w:t xml:space="preserve">como </w:t>
            </w:r>
            <w:r w:rsidR="00211E7C">
              <w:rPr>
                <w:rFonts w:ascii="ITC Avant Garde" w:hAnsi="ITC Avant Garde"/>
                <w:sz w:val="20"/>
                <w:szCs w:val="20"/>
              </w:rPr>
              <w:t>instrumento de comunicación</w:t>
            </w:r>
            <w:r w:rsidR="008C0CCA" w:rsidRPr="008C0CCA">
              <w:rPr>
                <w:rFonts w:ascii="ITC Avant Garde" w:hAnsi="ITC Avant Garde"/>
                <w:sz w:val="20"/>
                <w:szCs w:val="20"/>
              </w:rPr>
              <w:t xml:space="preserve"> para la provisión de servicios mayoristas y consulta de información y con ello</w:t>
            </w:r>
            <w:r w:rsidR="00211E7C">
              <w:rPr>
                <w:rFonts w:ascii="ITC Avant Garde" w:hAnsi="ITC Avant Garde"/>
                <w:sz w:val="20"/>
                <w:szCs w:val="20"/>
              </w:rPr>
              <w:t>, por un lado,</w:t>
            </w:r>
            <w:r w:rsidR="008C0CCA" w:rsidRPr="008C0CCA">
              <w:rPr>
                <w:rFonts w:ascii="ITC Avant Garde" w:hAnsi="ITC Avant Garde"/>
                <w:sz w:val="20"/>
                <w:szCs w:val="20"/>
              </w:rPr>
              <w:t xml:space="preserve"> dotar </w:t>
            </w:r>
            <w:r w:rsidR="00211E7C">
              <w:rPr>
                <w:rFonts w:ascii="ITC Avant Garde" w:hAnsi="ITC Avant Garde"/>
                <w:sz w:val="20"/>
                <w:szCs w:val="20"/>
              </w:rPr>
              <w:t>de información oportuna a los operadores y, por otro, proporcionar</w:t>
            </w:r>
            <w:r w:rsidR="008C0CCA" w:rsidRPr="008C0CCA">
              <w:rPr>
                <w:rFonts w:ascii="ITC Avant Garde" w:hAnsi="ITC Avant Garde"/>
                <w:sz w:val="20"/>
                <w:szCs w:val="20"/>
              </w:rPr>
              <w:t xml:space="preserve"> más herramientas </w:t>
            </w:r>
            <w:r w:rsidR="00211E7C">
              <w:rPr>
                <w:rFonts w:ascii="ITC Avant Garde" w:hAnsi="ITC Avant Garde"/>
                <w:sz w:val="20"/>
                <w:szCs w:val="20"/>
              </w:rPr>
              <w:t>a</w:t>
            </w:r>
            <w:r w:rsidR="008C0CCA" w:rsidRPr="008C0CCA">
              <w:rPr>
                <w:rFonts w:ascii="ITC Avant Garde" w:hAnsi="ITC Avant Garde"/>
                <w:sz w:val="20"/>
                <w:szCs w:val="20"/>
              </w:rPr>
              <w:t xml:space="preserve"> las unidades del Instituto para el desarrollo de sus funciones regulatorias</w:t>
            </w:r>
            <w:r w:rsidR="00211E7C">
              <w:rPr>
                <w:rFonts w:ascii="ITC Avant Garde" w:hAnsi="ITC Avant Garde"/>
                <w:sz w:val="20"/>
                <w:szCs w:val="20"/>
              </w:rPr>
              <w:t>,</w:t>
            </w:r>
            <w:r w:rsidR="008C0CCA" w:rsidRPr="008C0CCA">
              <w:rPr>
                <w:rFonts w:ascii="ITC Avant Garde" w:hAnsi="ITC Avant Garde"/>
                <w:sz w:val="20"/>
                <w:szCs w:val="20"/>
              </w:rPr>
              <w:t xml:space="preserve"> de supervisión y verificación</w:t>
            </w:r>
            <w:r>
              <w:rPr>
                <w:rFonts w:ascii="ITC Avant Garde" w:hAnsi="ITC Avant Garde"/>
                <w:sz w:val="20"/>
                <w:szCs w:val="20"/>
              </w:rPr>
              <w:t xml:space="preserve">. </w:t>
            </w:r>
          </w:p>
        </w:tc>
      </w:tr>
      <w:tr w:rsidR="00885864" w:rsidRPr="002C2D28" w14:paraId="2AA697CE" w14:textId="77777777" w:rsidTr="00652FBC">
        <w:trPr>
          <w:trHeight w:val="414"/>
        </w:trPr>
        <w:tc>
          <w:tcPr>
            <w:tcW w:w="8641" w:type="dxa"/>
            <w:gridSpan w:val="3"/>
            <w:shd w:val="clear" w:color="auto" w:fill="FFFFFF"/>
            <w:vAlign w:val="center"/>
          </w:tcPr>
          <w:p w14:paraId="45D58044" w14:textId="0A944B18" w:rsidR="00885864" w:rsidRPr="002C2D28" w:rsidRDefault="00D777DC" w:rsidP="001E4303">
            <w:pPr>
              <w:jc w:val="both"/>
              <w:rPr>
                <w:rFonts w:ascii="ITC Avant Garde" w:eastAsia="Times New Roman" w:hAnsi="ITC Avant Garde"/>
                <w:b/>
                <w:color w:val="000000"/>
                <w:sz w:val="20"/>
                <w:szCs w:val="20"/>
                <w:lang w:eastAsia="es-MX"/>
              </w:rPr>
            </w:pPr>
            <w:r w:rsidRPr="009B1606">
              <w:rPr>
                <w:rFonts w:ascii="ITC Avant Garde" w:eastAsia="Times New Roman" w:hAnsi="ITC Avant Garde"/>
                <w:b/>
                <w:color w:val="000000"/>
                <w:sz w:val="20"/>
                <w:szCs w:val="20"/>
                <w:lang w:eastAsia="es-MX"/>
              </w:rPr>
              <w:lastRenderedPageBreak/>
              <w:t>¿</w:t>
            </w:r>
            <w:r>
              <w:rPr>
                <w:rFonts w:ascii="ITC Avant Garde" w:eastAsia="Times New Roman" w:hAnsi="ITC Avant Garde"/>
                <w:b/>
                <w:color w:val="000000"/>
                <w:sz w:val="20"/>
                <w:szCs w:val="20"/>
                <w:lang w:eastAsia="es-MX"/>
              </w:rPr>
              <w:t>Cuáles son sus consideraciones respecto al impacto que ha tenido la regulación asimétrica al AEPT re</w:t>
            </w:r>
            <w:r w:rsidR="0024358F">
              <w:rPr>
                <w:rFonts w:ascii="ITC Avant Garde" w:eastAsia="Times New Roman" w:hAnsi="ITC Avant Garde"/>
                <w:b/>
                <w:color w:val="000000"/>
                <w:sz w:val="20"/>
                <w:szCs w:val="20"/>
                <w:lang w:eastAsia="es-MX"/>
              </w:rPr>
              <w:t>lacionada con</w:t>
            </w:r>
            <w:r>
              <w:rPr>
                <w:rFonts w:ascii="ITC Avant Garde" w:eastAsia="Times New Roman" w:hAnsi="ITC Avant Garde"/>
                <w:b/>
                <w:color w:val="000000"/>
                <w:sz w:val="20"/>
                <w:szCs w:val="20"/>
                <w:lang w:eastAsia="es-MX"/>
              </w:rPr>
              <w:t xml:space="preserve"> </w:t>
            </w:r>
            <w:r w:rsidR="0024358F">
              <w:rPr>
                <w:rFonts w:ascii="ITC Avant Garde" w:eastAsia="Times New Roman" w:hAnsi="ITC Avant Garde"/>
                <w:b/>
                <w:color w:val="000000"/>
                <w:sz w:val="20"/>
                <w:szCs w:val="20"/>
                <w:lang w:eastAsia="es-MX"/>
              </w:rPr>
              <w:t>e</w:t>
            </w:r>
            <w:r>
              <w:rPr>
                <w:rFonts w:ascii="ITC Avant Garde" w:eastAsia="Times New Roman" w:hAnsi="ITC Avant Garde"/>
                <w:b/>
                <w:color w:val="000000"/>
                <w:sz w:val="20"/>
                <w:szCs w:val="20"/>
                <w:lang w:eastAsia="es-MX"/>
              </w:rPr>
              <w:t xml:space="preserve">l acceso </w:t>
            </w:r>
            <w:r w:rsidR="0024358F">
              <w:rPr>
                <w:rFonts w:ascii="ITC Avant Garde" w:eastAsia="Times New Roman" w:hAnsi="ITC Avant Garde"/>
                <w:b/>
                <w:color w:val="000000"/>
                <w:sz w:val="20"/>
                <w:szCs w:val="20"/>
                <w:lang w:eastAsia="es-MX"/>
              </w:rPr>
              <w:t>a</w:t>
            </w:r>
            <w:r>
              <w:rPr>
                <w:rFonts w:ascii="ITC Avant Garde" w:eastAsia="Times New Roman" w:hAnsi="ITC Avant Garde"/>
                <w:b/>
                <w:color w:val="000000"/>
                <w:sz w:val="20"/>
                <w:szCs w:val="20"/>
                <w:lang w:eastAsia="es-MX"/>
              </w:rPr>
              <w:t xml:space="preserve"> información?</w:t>
            </w:r>
          </w:p>
        </w:tc>
      </w:tr>
      <w:tr w:rsidR="00885864" w:rsidRPr="002C2D28" w14:paraId="1A4429A9" w14:textId="77777777" w:rsidTr="00652FBC">
        <w:trPr>
          <w:trHeight w:val="414"/>
        </w:trPr>
        <w:tc>
          <w:tcPr>
            <w:tcW w:w="8641" w:type="dxa"/>
            <w:gridSpan w:val="3"/>
            <w:shd w:val="clear" w:color="auto" w:fill="FFFFFF"/>
            <w:vAlign w:val="center"/>
          </w:tcPr>
          <w:p w14:paraId="541A9147" w14:textId="77777777" w:rsidR="00885864" w:rsidRPr="002C2D28" w:rsidRDefault="00885864" w:rsidP="001E4303">
            <w:pPr>
              <w:spacing w:after="0" w:line="276" w:lineRule="auto"/>
              <w:jc w:val="both"/>
              <w:rPr>
                <w:rFonts w:ascii="ITC Avant Garde" w:eastAsia="Times New Roman" w:hAnsi="ITC Avant Garde"/>
                <w:b/>
                <w:color w:val="000000"/>
                <w:sz w:val="20"/>
                <w:szCs w:val="20"/>
                <w:lang w:eastAsia="es-MX"/>
              </w:rPr>
            </w:pPr>
          </w:p>
        </w:tc>
      </w:tr>
      <w:tr w:rsidR="00885864" w:rsidRPr="002C2D28" w14:paraId="034647D8" w14:textId="77777777" w:rsidTr="00652FBC">
        <w:trPr>
          <w:trHeight w:val="414"/>
        </w:trPr>
        <w:tc>
          <w:tcPr>
            <w:tcW w:w="8641" w:type="dxa"/>
            <w:gridSpan w:val="3"/>
            <w:shd w:val="clear" w:color="auto" w:fill="FFFFFF"/>
            <w:vAlign w:val="center"/>
          </w:tcPr>
          <w:p w14:paraId="52A4470B" w14:textId="615A8232" w:rsidR="00885864" w:rsidRPr="00D777DC" w:rsidRDefault="00D777DC" w:rsidP="001E4303">
            <w:pPr>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t xml:space="preserve">¿Cuáles son sus </w:t>
            </w:r>
            <w:r w:rsidRPr="002C2D28">
              <w:rPr>
                <w:rFonts w:ascii="ITC Avant Garde" w:eastAsia="Times New Roman" w:hAnsi="ITC Avant Garde"/>
                <w:b/>
                <w:color w:val="000000"/>
                <w:sz w:val="20"/>
                <w:szCs w:val="20"/>
                <w:lang w:eastAsia="es-MX"/>
              </w:rPr>
              <w:t>considera</w:t>
            </w:r>
            <w:r>
              <w:rPr>
                <w:rFonts w:ascii="ITC Avant Garde" w:eastAsia="Times New Roman" w:hAnsi="ITC Avant Garde"/>
                <w:b/>
                <w:color w:val="000000"/>
                <w:sz w:val="20"/>
                <w:szCs w:val="20"/>
                <w:lang w:eastAsia="es-MX"/>
              </w:rPr>
              <w:t>ciones respecto</w:t>
            </w:r>
            <w:r w:rsidRPr="002C2D28">
              <w:rPr>
                <w:rFonts w:ascii="ITC Avant Garde" w:eastAsia="Times New Roman" w:hAnsi="ITC Avant Garde"/>
                <w:b/>
                <w:color w:val="000000"/>
                <w:sz w:val="20"/>
                <w:szCs w:val="20"/>
                <w:lang w:eastAsia="es-MX"/>
              </w:rPr>
              <w:t xml:space="preserve"> </w:t>
            </w:r>
            <w:r>
              <w:rPr>
                <w:rFonts w:ascii="ITC Avant Garde" w:eastAsia="Times New Roman" w:hAnsi="ITC Avant Garde"/>
                <w:b/>
                <w:color w:val="000000"/>
                <w:sz w:val="20"/>
                <w:szCs w:val="20"/>
                <w:lang w:eastAsia="es-MX"/>
              </w:rPr>
              <w:t>al diseño de las medidas relacionadas con</w:t>
            </w:r>
            <w:r w:rsidR="0024358F">
              <w:rPr>
                <w:rFonts w:ascii="ITC Avant Garde" w:eastAsia="Times New Roman" w:hAnsi="ITC Avant Garde"/>
                <w:b/>
                <w:color w:val="000000"/>
                <w:sz w:val="20"/>
                <w:szCs w:val="20"/>
                <w:lang w:eastAsia="es-MX"/>
              </w:rPr>
              <w:t xml:space="preserve"> el acceso a información</w:t>
            </w:r>
            <w:r>
              <w:rPr>
                <w:rFonts w:ascii="ITC Avant Garde" w:eastAsia="Times New Roman" w:hAnsi="ITC Avant Garde"/>
                <w:b/>
                <w:color w:val="000000"/>
                <w:sz w:val="20"/>
                <w:szCs w:val="20"/>
                <w:lang w:eastAsia="es-MX"/>
              </w:rPr>
              <w:t xml:space="preserve"> y su idoneidad</w:t>
            </w:r>
            <w:r w:rsidRPr="002C2D28">
              <w:rPr>
                <w:rFonts w:ascii="ITC Avant Garde" w:eastAsia="Times New Roman" w:hAnsi="ITC Avant Garde"/>
                <w:b/>
                <w:color w:val="000000"/>
                <w:sz w:val="20"/>
                <w:szCs w:val="20"/>
                <w:lang w:eastAsia="es-MX"/>
              </w:rPr>
              <w:t xml:space="preserve"> para alcanzar los objetivos por los que se plantearon</w:t>
            </w:r>
            <w:r>
              <w:rPr>
                <w:rFonts w:ascii="ITC Avant Garde" w:eastAsia="Times New Roman" w:hAnsi="ITC Avant Garde"/>
                <w:b/>
                <w:color w:val="000000"/>
                <w:sz w:val="20"/>
                <w:szCs w:val="20"/>
                <w:lang w:eastAsia="es-MX"/>
              </w:rPr>
              <w:t>?</w:t>
            </w:r>
          </w:p>
        </w:tc>
      </w:tr>
      <w:tr w:rsidR="00885864" w:rsidRPr="002C2D28" w14:paraId="15EEC147" w14:textId="77777777" w:rsidTr="00652FBC">
        <w:trPr>
          <w:trHeight w:val="414"/>
        </w:trPr>
        <w:tc>
          <w:tcPr>
            <w:tcW w:w="8641" w:type="dxa"/>
            <w:gridSpan w:val="3"/>
            <w:shd w:val="clear" w:color="auto" w:fill="FFFFFF"/>
            <w:vAlign w:val="center"/>
          </w:tcPr>
          <w:p w14:paraId="3A3ECA96" w14:textId="77777777" w:rsidR="00885864" w:rsidRPr="002C2D28" w:rsidRDefault="00885864" w:rsidP="001E4303">
            <w:pPr>
              <w:spacing w:after="0" w:line="276" w:lineRule="auto"/>
              <w:jc w:val="both"/>
              <w:rPr>
                <w:rFonts w:ascii="ITC Avant Garde" w:eastAsia="Times New Roman" w:hAnsi="ITC Avant Garde"/>
                <w:b/>
                <w:color w:val="000000"/>
                <w:sz w:val="20"/>
                <w:szCs w:val="20"/>
                <w:lang w:eastAsia="es-MX"/>
              </w:rPr>
            </w:pPr>
          </w:p>
        </w:tc>
      </w:tr>
      <w:tr w:rsidR="00885864" w:rsidRPr="002C2D28" w14:paraId="3EE8B960" w14:textId="77777777" w:rsidTr="00652FBC">
        <w:trPr>
          <w:trHeight w:val="414"/>
        </w:trPr>
        <w:tc>
          <w:tcPr>
            <w:tcW w:w="8641" w:type="dxa"/>
            <w:gridSpan w:val="3"/>
            <w:shd w:val="clear" w:color="auto" w:fill="FFFFFF"/>
          </w:tcPr>
          <w:p w14:paraId="393B9C52" w14:textId="4AF6C1C2" w:rsidR="00885864" w:rsidRPr="0024358F" w:rsidRDefault="0024358F" w:rsidP="001E4303">
            <w:pPr>
              <w:jc w:val="both"/>
            </w:pPr>
            <w:r>
              <w:rPr>
                <w:rFonts w:ascii="ITC Avant Garde" w:hAnsi="ITC Avant Garde"/>
                <w:b/>
                <w:sz w:val="20"/>
                <w:szCs w:val="20"/>
              </w:rPr>
              <w:t>Favor de indicar la(s)</w:t>
            </w:r>
            <w:r w:rsidRPr="002C2D28">
              <w:rPr>
                <w:rFonts w:ascii="ITC Avant Garde" w:hAnsi="ITC Avant Garde"/>
                <w:b/>
                <w:sz w:val="20"/>
                <w:szCs w:val="20"/>
              </w:rPr>
              <w:t xml:space="preserve"> propuesta</w:t>
            </w:r>
            <w:r>
              <w:rPr>
                <w:rFonts w:ascii="ITC Avant Garde" w:hAnsi="ITC Avant Garde"/>
                <w:b/>
                <w:sz w:val="20"/>
                <w:szCs w:val="20"/>
              </w:rPr>
              <w:t>(s)</w:t>
            </w:r>
            <w:r w:rsidRPr="002C2D28">
              <w:rPr>
                <w:rFonts w:ascii="ITC Avant Garde" w:hAnsi="ITC Avant Garde"/>
                <w:b/>
                <w:sz w:val="20"/>
                <w:szCs w:val="20"/>
              </w:rPr>
              <w:t xml:space="preserve"> específica</w:t>
            </w:r>
            <w:r>
              <w:rPr>
                <w:rFonts w:ascii="ITC Avant Garde" w:hAnsi="ITC Avant Garde"/>
                <w:b/>
                <w:sz w:val="20"/>
                <w:szCs w:val="20"/>
              </w:rPr>
              <w:t>(s)</w:t>
            </w:r>
            <w:r w:rsidRPr="002C2D28">
              <w:rPr>
                <w:rFonts w:ascii="ITC Avant Garde" w:hAnsi="ITC Avant Garde"/>
                <w:b/>
                <w:sz w:val="20"/>
                <w:szCs w:val="20"/>
              </w:rPr>
              <w:t xml:space="preserve"> </w:t>
            </w:r>
            <w:r>
              <w:rPr>
                <w:rFonts w:ascii="ITC Avant Garde" w:hAnsi="ITC Avant Garde"/>
                <w:b/>
                <w:sz w:val="20"/>
                <w:szCs w:val="20"/>
              </w:rPr>
              <w:t>para la supresión, modificación o adición de</w:t>
            </w:r>
            <w:r w:rsidRPr="002C2D28">
              <w:rPr>
                <w:rFonts w:ascii="ITC Avant Garde" w:hAnsi="ITC Avant Garde"/>
                <w:b/>
                <w:sz w:val="20"/>
                <w:szCs w:val="20"/>
              </w:rPr>
              <w:t xml:space="preserve"> las medidas relacionadas con </w:t>
            </w:r>
            <w:r>
              <w:rPr>
                <w:rFonts w:ascii="ITC Avant Garde" w:hAnsi="ITC Avant Garde"/>
                <w:b/>
                <w:sz w:val="20"/>
                <w:szCs w:val="20"/>
              </w:rPr>
              <w:t>el acceso a información.</w:t>
            </w:r>
          </w:p>
        </w:tc>
      </w:tr>
      <w:tr w:rsidR="00885864" w:rsidRPr="002C2D28" w14:paraId="4D190586" w14:textId="77777777" w:rsidTr="00652FBC">
        <w:trPr>
          <w:trHeight w:val="414"/>
        </w:trPr>
        <w:tc>
          <w:tcPr>
            <w:tcW w:w="3047" w:type="dxa"/>
            <w:gridSpan w:val="2"/>
            <w:shd w:val="clear" w:color="auto" w:fill="FFFFFF"/>
          </w:tcPr>
          <w:p w14:paraId="011C6B93"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shd w:val="clear" w:color="auto" w:fill="FFFFFF"/>
          </w:tcPr>
          <w:p w14:paraId="3A5795C2"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885864" w:rsidRPr="002C2D28" w14:paraId="40E97A5E" w14:textId="77777777" w:rsidTr="00652FBC">
        <w:trPr>
          <w:trHeight w:val="414"/>
        </w:trPr>
        <w:tc>
          <w:tcPr>
            <w:tcW w:w="3047" w:type="dxa"/>
            <w:gridSpan w:val="2"/>
            <w:shd w:val="clear" w:color="auto" w:fill="FFFFFF"/>
          </w:tcPr>
          <w:p w14:paraId="53F5C703"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shd w:val="clear" w:color="auto" w:fill="FFFFFF"/>
          </w:tcPr>
          <w:p w14:paraId="16E0960F"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885864" w:rsidRPr="002C2D28" w14:paraId="2B43BBE0" w14:textId="77777777" w:rsidTr="00652FBC">
        <w:trPr>
          <w:trHeight w:val="290"/>
        </w:trPr>
        <w:tc>
          <w:tcPr>
            <w:tcW w:w="1754" w:type="dxa"/>
            <w:shd w:val="clear" w:color="auto" w:fill="C5E0B3"/>
            <w:vAlign w:val="center"/>
          </w:tcPr>
          <w:p w14:paraId="58083579" w14:textId="77777777"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Medidas referentes a Conductas y No Discriminación</w:t>
            </w:r>
          </w:p>
          <w:p w14:paraId="4DF84E2E" w14:textId="77777777"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p>
          <w:p w14:paraId="49DC11C7" w14:textId="65703D87" w:rsidR="00885864" w:rsidRPr="002C2D28" w:rsidRDefault="00885864"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 xml:space="preserve">Anexo 1: </w:t>
            </w:r>
            <w:r w:rsidRPr="002C2D28">
              <w:rPr>
                <w:rFonts w:ascii="ITC Avant Garde" w:hAnsi="ITC Avant Garde"/>
                <w:sz w:val="20"/>
                <w:szCs w:val="20"/>
              </w:rPr>
              <w:t xml:space="preserve"> </w:t>
            </w:r>
            <w:r w:rsidRPr="002C2D28">
              <w:rPr>
                <w:rFonts w:ascii="ITC Avant Garde" w:eastAsia="Times New Roman" w:hAnsi="ITC Avant Garde"/>
                <w:b/>
                <w:color w:val="000000"/>
                <w:sz w:val="20"/>
                <w:szCs w:val="20"/>
                <w:lang w:eastAsia="es-MX"/>
              </w:rPr>
              <w:t>64, 77 y 78.</w:t>
            </w:r>
          </w:p>
        </w:tc>
        <w:tc>
          <w:tcPr>
            <w:tcW w:w="6887" w:type="dxa"/>
            <w:gridSpan w:val="2"/>
            <w:shd w:val="clear" w:color="auto" w:fill="C5E0B3"/>
            <w:vAlign w:val="center"/>
          </w:tcPr>
          <w:p w14:paraId="1AA2DBAF" w14:textId="77777777" w:rsidR="00885864" w:rsidRPr="002C2D28" w:rsidRDefault="00885864" w:rsidP="00652FBC">
            <w:pPr>
              <w:spacing w:after="0" w:line="276" w:lineRule="auto"/>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Objetivos generales:</w:t>
            </w:r>
          </w:p>
          <w:p w14:paraId="74D27AA0" w14:textId="77777777" w:rsidR="00885864" w:rsidRPr="002C2D28" w:rsidRDefault="00885864">
            <w:pPr>
              <w:numPr>
                <w:ilvl w:val="0"/>
                <w:numId w:val="12"/>
              </w:numPr>
              <w:spacing w:after="0" w:line="276" w:lineRule="auto"/>
              <w:jc w:val="both"/>
              <w:rPr>
                <w:rFonts w:ascii="ITC Avant Garde" w:eastAsia="Times New Roman" w:hAnsi="ITC Avant Garde"/>
                <w:b/>
                <w:color w:val="000000"/>
                <w:sz w:val="20"/>
                <w:szCs w:val="20"/>
                <w:lang w:eastAsia="es-MX"/>
              </w:rPr>
            </w:pPr>
            <w:r w:rsidRPr="002C2D28">
              <w:rPr>
                <w:rFonts w:ascii="ITC Avant Garde" w:hAnsi="ITC Avant Garde"/>
                <w:sz w:val="20"/>
                <w:szCs w:val="20"/>
              </w:rPr>
              <w:t>Remediar y prevenir condiciones y conductas con efectos que no favorezcan la competencia y libre concurrencia.</w:t>
            </w:r>
          </w:p>
          <w:p w14:paraId="49B732DA" w14:textId="77777777" w:rsidR="00885864" w:rsidRPr="002C2D28" w:rsidRDefault="00885864">
            <w:pPr>
              <w:numPr>
                <w:ilvl w:val="0"/>
                <w:numId w:val="12"/>
              </w:numPr>
              <w:spacing w:after="0" w:line="276" w:lineRule="auto"/>
              <w:jc w:val="both"/>
              <w:rPr>
                <w:rFonts w:ascii="ITC Avant Garde" w:eastAsia="Times New Roman" w:hAnsi="ITC Avant Garde"/>
                <w:b/>
                <w:color w:val="000000"/>
                <w:sz w:val="20"/>
                <w:szCs w:val="20"/>
                <w:lang w:eastAsia="es-MX"/>
              </w:rPr>
            </w:pPr>
            <w:r w:rsidRPr="002C2D28">
              <w:rPr>
                <w:rFonts w:ascii="ITC Avant Garde" w:hAnsi="ITC Avant Garde"/>
                <w:sz w:val="20"/>
                <w:szCs w:val="20"/>
              </w:rPr>
              <w:t>Promover el acceso eficiente a servicios mayoristas.</w:t>
            </w:r>
          </w:p>
          <w:p w14:paraId="1426B03C" w14:textId="77777777" w:rsidR="00885864" w:rsidRPr="002C2D28" w:rsidRDefault="00885864" w:rsidP="00652FBC">
            <w:pPr>
              <w:spacing w:after="0" w:line="276" w:lineRule="auto"/>
              <w:ind w:left="720"/>
              <w:rPr>
                <w:rFonts w:ascii="ITC Avant Garde" w:eastAsia="Times New Roman" w:hAnsi="ITC Avant Garde"/>
                <w:b/>
                <w:color w:val="000000"/>
                <w:sz w:val="20"/>
                <w:szCs w:val="20"/>
                <w:lang w:eastAsia="es-MX"/>
              </w:rPr>
            </w:pPr>
          </w:p>
        </w:tc>
      </w:tr>
      <w:tr w:rsidR="00885864" w:rsidRPr="002C2D28" w14:paraId="179B1EEB" w14:textId="77777777" w:rsidTr="00652FBC">
        <w:trPr>
          <w:trHeight w:val="290"/>
        </w:trPr>
        <w:tc>
          <w:tcPr>
            <w:tcW w:w="8641" w:type="dxa"/>
            <w:gridSpan w:val="3"/>
            <w:shd w:val="clear" w:color="auto" w:fill="FFFFFF"/>
          </w:tcPr>
          <w:p w14:paraId="608B3E30" w14:textId="77777777" w:rsidR="00885864" w:rsidRPr="002C2D28" w:rsidRDefault="00885864" w:rsidP="00EA0095">
            <w:pPr>
              <w:jc w:val="both"/>
              <w:rPr>
                <w:rFonts w:ascii="ITC Avant Garde" w:hAnsi="ITC Avant Garde"/>
                <w:b/>
                <w:sz w:val="20"/>
                <w:szCs w:val="20"/>
                <w:lang w:eastAsia="es-MX"/>
              </w:rPr>
            </w:pPr>
            <w:r w:rsidRPr="002C2D28">
              <w:rPr>
                <w:rFonts w:ascii="ITC Avant Garde" w:hAnsi="ITC Avant Garde"/>
                <w:b/>
                <w:sz w:val="20"/>
                <w:szCs w:val="20"/>
                <w:lang w:eastAsia="es-MX"/>
              </w:rPr>
              <w:t>Contexto</w:t>
            </w:r>
            <w:r w:rsidRPr="002C2D28">
              <w:rPr>
                <w:rFonts w:ascii="ITC Avant Garde" w:hAnsi="ITC Avant Garde"/>
                <w:sz w:val="20"/>
                <w:szCs w:val="20"/>
                <w:lang w:eastAsia="es-MX"/>
              </w:rPr>
              <w:t>:</w:t>
            </w:r>
          </w:p>
          <w:p w14:paraId="58DDB205" w14:textId="77777777" w:rsidR="00885864" w:rsidRPr="002C2D28" w:rsidRDefault="00885864" w:rsidP="00EA0095">
            <w:pPr>
              <w:jc w:val="both"/>
              <w:rPr>
                <w:rFonts w:ascii="ITC Avant Garde" w:hAnsi="ITC Avant Garde"/>
                <w:sz w:val="20"/>
                <w:szCs w:val="20"/>
                <w:lang w:eastAsia="es-MX"/>
              </w:rPr>
            </w:pPr>
            <w:r w:rsidRPr="002C2D28">
              <w:rPr>
                <w:rFonts w:ascii="ITC Avant Garde" w:hAnsi="ITC Avant Garde"/>
                <w:sz w:val="20"/>
                <w:szCs w:val="20"/>
                <w:lang w:eastAsia="es-MX"/>
              </w:rPr>
              <w:t>Con la finalidad de prevenir el desplazamiento indebido de los competidores, resulta conveniente establecer medidas que mitiguen que un operador incurra en prácticas anticompetitivas. Asimismo, cuando un operador verticalmente integrado está obligado a poner a disposición de terceros insumos no replicables con los que cuenta, resulta primordial velar porque estos se provean en términos no discriminatorios, es decir, bajo los mismos términos, procesos, sistemas y condiciones económicas, entre otros.</w:t>
            </w:r>
          </w:p>
          <w:p w14:paraId="4C0349F3" w14:textId="77777777" w:rsidR="00885864" w:rsidRPr="002C2D28" w:rsidRDefault="00885864" w:rsidP="00652FBC">
            <w:pPr>
              <w:rPr>
                <w:rFonts w:ascii="ITC Avant Garde" w:hAnsi="ITC Avant Garde"/>
                <w:b/>
                <w:sz w:val="20"/>
                <w:szCs w:val="20"/>
                <w:lang w:eastAsia="es-MX"/>
              </w:rPr>
            </w:pPr>
            <w:r w:rsidRPr="002C2D28">
              <w:rPr>
                <w:rFonts w:ascii="ITC Avant Garde" w:hAnsi="ITC Avant Garde"/>
                <w:b/>
                <w:sz w:val="20"/>
                <w:szCs w:val="20"/>
                <w:lang w:eastAsia="es-MX"/>
              </w:rPr>
              <w:lastRenderedPageBreak/>
              <w:t>Resumen de medidas impuestas:</w:t>
            </w:r>
          </w:p>
          <w:p w14:paraId="3538CAD7" w14:textId="77777777" w:rsidR="00885864" w:rsidRPr="002C2D28" w:rsidRDefault="00885864" w:rsidP="00EA0095">
            <w:pPr>
              <w:jc w:val="both"/>
              <w:rPr>
                <w:rFonts w:ascii="ITC Avant Garde" w:hAnsi="ITC Avant Garde"/>
                <w:sz w:val="20"/>
                <w:szCs w:val="20"/>
              </w:rPr>
            </w:pPr>
            <w:r w:rsidRPr="002C2D28">
              <w:rPr>
                <w:rFonts w:ascii="ITC Avant Garde" w:hAnsi="ITC Avant Garde"/>
                <w:sz w:val="20"/>
                <w:szCs w:val="20"/>
              </w:rPr>
              <w:t>El Instituto impuso medidas al AEPT referentes a la provisión de servicios al usuario final en términos que no desplacen indebidamente a la competencia, así como en lo referente a la atención de solicitudes de prestación de servicios mayoristas, haciendo énfasis en el trato no discriminatorio.</w:t>
            </w:r>
            <w:r w:rsidRPr="002C2D28" w:rsidDel="005833EC">
              <w:rPr>
                <w:rFonts w:ascii="ITC Avant Garde" w:hAnsi="ITC Avant Garde"/>
                <w:sz w:val="20"/>
                <w:szCs w:val="20"/>
              </w:rPr>
              <w:t xml:space="preserve"> </w:t>
            </w:r>
          </w:p>
          <w:p w14:paraId="259E88BC" w14:textId="77777777" w:rsidR="00885864" w:rsidRDefault="00885864" w:rsidP="00EA0095">
            <w:pPr>
              <w:jc w:val="both"/>
              <w:rPr>
                <w:rFonts w:ascii="ITC Avant Garde" w:eastAsia="Times New Roman" w:hAnsi="ITC Avant Garde"/>
                <w:color w:val="000000"/>
                <w:sz w:val="20"/>
                <w:szCs w:val="20"/>
                <w:lang w:eastAsia="es-MX"/>
              </w:rPr>
            </w:pPr>
            <w:r w:rsidRPr="002C2D28">
              <w:rPr>
                <w:rFonts w:ascii="ITC Avant Garde" w:hAnsi="ITC Avant Garde"/>
                <w:sz w:val="20"/>
                <w:szCs w:val="20"/>
              </w:rPr>
              <w:t xml:space="preserve">A través de la </w:t>
            </w:r>
            <w:r w:rsidR="00BC3321">
              <w:rPr>
                <w:rFonts w:ascii="ITC Avant Garde" w:hAnsi="ITC Avant Garde"/>
                <w:sz w:val="20"/>
                <w:szCs w:val="20"/>
              </w:rPr>
              <w:t xml:space="preserve">Primera </w:t>
            </w:r>
            <w:r w:rsidRPr="002C2D28">
              <w:rPr>
                <w:rFonts w:ascii="ITC Avant Garde" w:hAnsi="ITC Avant Garde"/>
                <w:sz w:val="20"/>
                <w:szCs w:val="20"/>
              </w:rPr>
              <w:t xml:space="preserve">Resolución Bienal de Telecomunicaciones </w:t>
            </w:r>
            <w:r w:rsidRPr="002C2D28">
              <w:rPr>
                <w:rFonts w:ascii="ITC Avant Garde" w:eastAsia="Times New Roman" w:hAnsi="ITC Avant Garde"/>
                <w:color w:val="000000"/>
                <w:sz w:val="20"/>
                <w:szCs w:val="20"/>
                <w:lang w:eastAsia="es-MX"/>
              </w:rPr>
              <w:t>se hicieron adecuaciones a efecto de prevenir prácticas anticompetitivas asociadas con el estrechamiento de márgenes y la discriminación, tanto por la vía de precios como por una vía distinta (por ej., técnica), mediante la incorporación de obligaciones de equivalencia de insumos y replicabilidad económica y técnica de las ofertas minoristas.</w:t>
            </w:r>
          </w:p>
          <w:p w14:paraId="5ECA7298" w14:textId="437C20BC" w:rsidR="00BC3321" w:rsidRPr="002C2D28" w:rsidRDefault="00BC3321" w:rsidP="00EA0095">
            <w:pPr>
              <w:jc w:val="both"/>
              <w:rPr>
                <w:rFonts w:ascii="ITC Avant Garde" w:hAnsi="ITC Avant Garde"/>
                <w:sz w:val="20"/>
                <w:szCs w:val="20"/>
              </w:rPr>
            </w:pPr>
            <w:r>
              <w:rPr>
                <w:rFonts w:ascii="ITC Avant Garde" w:hAnsi="ITC Avant Garde"/>
                <w:sz w:val="20"/>
                <w:szCs w:val="20"/>
              </w:rPr>
              <w:t xml:space="preserve">En la Segunda </w:t>
            </w:r>
            <w:r w:rsidRPr="002C2D28">
              <w:rPr>
                <w:rFonts w:ascii="ITC Avant Garde" w:hAnsi="ITC Avant Garde"/>
                <w:sz w:val="20"/>
                <w:szCs w:val="20"/>
              </w:rPr>
              <w:t>Resolución Bienal de Telecomunicaciones</w:t>
            </w:r>
            <w:r>
              <w:rPr>
                <w:rFonts w:ascii="ITC Avant Garde" w:hAnsi="ITC Avant Garde"/>
                <w:sz w:val="20"/>
                <w:szCs w:val="20"/>
              </w:rPr>
              <w:t xml:space="preserve"> se estableció que</w:t>
            </w:r>
            <w:r w:rsidR="00340110">
              <w:rPr>
                <w:rFonts w:ascii="ITC Avant Garde" w:hAnsi="ITC Avant Garde"/>
                <w:sz w:val="20"/>
                <w:szCs w:val="20"/>
              </w:rPr>
              <w:t>, e</w:t>
            </w:r>
            <w:r w:rsidRPr="00BC3321">
              <w:rPr>
                <w:rFonts w:ascii="ITC Avant Garde" w:hAnsi="ITC Avant Garde"/>
                <w:sz w:val="20"/>
                <w:szCs w:val="20"/>
              </w:rPr>
              <w:t>n la provisión de servicios mayoristas, el AEPT deberá entregar al Instituto los contratos que haya firmado con empresas de su grupo para la provisión de servicios mayoristas regulados con el fin de revisar si hay mejores términos y condiciones que deban incorporarse a las ofertas de referencia, o bien, que puedan solicitarse bajo el principio de no discriminación</w:t>
            </w:r>
            <w:r w:rsidR="00340110">
              <w:rPr>
                <w:rFonts w:ascii="ITC Avant Garde" w:hAnsi="ITC Avant Garde"/>
                <w:sz w:val="20"/>
                <w:szCs w:val="20"/>
              </w:rPr>
              <w:t xml:space="preserve">. Además, </w:t>
            </w:r>
            <w:r w:rsidR="00340110" w:rsidRPr="00340110">
              <w:rPr>
                <w:rFonts w:ascii="ITC Avant Garde" w:hAnsi="ITC Avant Garde"/>
                <w:sz w:val="20"/>
                <w:szCs w:val="20"/>
              </w:rPr>
              <w:t>se establec</w:t>
            </w:r>
            <w:r w:rsidR="00340110">
              <w:rPr>
                <w:rFonts w:ascii="ITC Avant Garde" w:hAnsi="ITC Avant Garde"/>
                <w:sz w:val="20"/>
                <w:szCs w:val="20"/>
              </w:rPr>
              <w:t>ió</w:t>
            </w:r>
            <w:r w:rsidR="00340110" w:rsidRPr="00340110">
              <w:rPr>
                <w:rFonts w:ascii="ITC Avant Garde" w:hAnsi="ITC Avant Garde"/>
                <w:sz w:val="20"/>
                <w:szCs w:val="20"/>
              </w:rPr>
              <w:t xml:space="preserve"> que el AEPT deberá notificar a los operadores, vía el SEG, cuando haya firmado nuevos convenios para la prestación de los servicios.</w:t>
            </w:r>
          </w:p>
        </w:tc>
      </w:tr>
      <w:tr w:rsidR="00885864" w:rsidRPr="002C2D28" w14:paraId="07CEEBAE" w14:textId="77777777" w:rsidTr="00652FBC">
        <w:trPr>
          <w:trHeight w:val="290"/>
        </w:trPr>
        <w:tc>
          <w:tcPr>
            <w:tcW w:w="8641" w:type="dxa"/>
            <w:gridSpan w:val="3"/>
            <w:shd w:val="clear" w:color="auto" w:fill="FFFFFF"/>
            <w:vAlign w:val="center"/>
          </w:tcPr>
          <w:p w14:paraId="34FDCDDA" w14:textId="5ADF3CF2" w:rsidR="00885864" w:rsidRPr="002C2D28" w:rsidRDefault="004D48A9" w:rsidP="00B107D7">
            <w:pPr>
              <w:jc w:val="both"/>
              <w:rPr>
                <w:rFonts w:ascii="ITC Avant Garde" w:eastAsia="Times New Roman" w:hAnsi="ITC Avant Garde"/>
                <w:b/>
                <w:color w:val="000000"/>
                <w:sz w:val="20"/>
                <w:szCs w:val="20"/>
                <w:lang w:eastAsia="es-MX"/>
              </w:rPr>
            </w:pPr>
            <w:r w:rsidRPr="009B1606">
              <w:rPr>
                <w:rFonts w:ascii="ITC Avant Garde" w:eastAsia="Times New Roman" w:hAnsi="ITC Avant Garde"/>
                <w:b/>
                <w:color w:val="000000"/>
                <w:sz w:val="20"/>
                <w:szCs w:val="20"/>
                <w:lang w:eastAsia="es-MX"/>
              </w:rPr>
              <w:lastRenderedPageBreak/>
              <w:t>¿</w:t>
            </w:r>
            <w:r>
              <w:rPr>
                <w:rFonts w:ascii="ITC Avant Garde" w:eastAsia="Times New Roman" w:hAnsi="ITC Avant Garde"/>
                <w:b/>
                <w:color w:val="000000"/>
                <w:sz w:val="20"/>
                <w:szCs w:val="20"/>
                <w:lang w:eastAsia="es-MX"/>
              </w:rPr>
              <w:t>Cuáles son sus consideraciones respecto al impacto que ha tenido la regulación asimétrica al AEPT referente a Conductas y No Discriminación?</w:t>
            </w:r>
          </w:p>
        </w:tc>
      </w:tr>
      <w:tr w:rsidR="00885864" w:rsidRPr="002C2D28" w14:paraId="753A4FBA" w14:textId="77777777" w:rsidTr="00652FBC">
        <w:trPr>
          <w:trHeight w:val="290"/>
        </w:trPr>
        <w:tc>
          <w:tcPr>
            <w:tcW w:w="8641" w:type="dxa"/>
            <w:gridSpan w:val="3"/>
            <w:shd w:val="clear" w:color="auto" w:fill="FFFFFF"/>
            <w:vAlign w:val="center"/>
          </w:tcPr>
          <w:p w14:paraId="283430A1" w14:textId="77777777" w:rsidR="00885864" w:rsidRPr="002C2D28" w:rsidRDefault="00885864" w:rsidP="00B107D7">
            <w:pPr>
              <w:spacing w:after="0" w:line="276" w:lineRule="auto"/>
              <w:jc w:val="both"/>
              <w:rPr>
                <w:rFonts w:ascii="ITC Avant Garde" w:eastAsia="Times New Roman" w:hAnsi="ITC Avant Garde"/>
                <w:b/>
                <w:color w:val="000000"/>
                <w:sz w:val="20"/>
                <w:szCs w:val="20"/>
                <w:lang w:eastAsia="es-MX"/>
              </w:rPr>
            </w:pPr>
          </w:p>
        </w:tc>
      </w:tr>
      <w:tr w:rsidR="00885864" w:rsidRPr="002C2D28" w14:paraId="533E4B17" w14:textId="77777777" w:rsidTr="00652FBC">
        <w:trPr>
          <w:trHeight w:val="290"/>
        </w:trPr>
        <w:tc>
          <w:tcPr>
            <w:tcW w:w="8641" w:type="dxa"/>
            <w:gridSpan w:val="3"/>
            <w:shd w:val="clear" w:color="auto" w:fill="FFFFFF"/>
            <w:vAlign w:val="center"/>
          </w:tcPr>
          <w:p w14:paraId="69754754" w14:textId="1512A0A0" w:rsidR="00885864" w:rsidRPr="004D48A9" w:rsidRDefault="004D48A9" w:rsidP="00B107D7">
            <w:pPr>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t xml:space="preserve">¿Cuáles son sus </w:t>
            </w:r>
            <w:r w:rsidRPr="002C2D28">
              <w:rPr>
                <w:rFonts w:ascii="ITC Avant Garde" w:eastAsia="Times New Roman" w:hAnsi="ITC Avant Garde"/>
                <w:b/>
                <w:color w:val="000000"/>
                <w:sz w:val="20"/>
                <w:szCs w:val="20"/>
                <w:lang w:eastAsia="es-MX"/>
              </w:rPr>
              <w:t>considera</w:t>
            </w:r>
            <w:r>
              <w:rPr>
                <w:rFonts w:ascii="ITC Avant Garde" w:eastAsia="Times New Roman" w:hAnsi="ITC Avant Garde"/>
                <w:b/>
                <w:color w:val="000000"/>
                <w:sz w:val="20"/>
                <w:szCs w:val="20"/>
                <w:lang w:eastAsia="es-MX"/>
              </w:rPr>
              <w:t>ciones respecto</w:t>
            </w:r>
            <w:r w:rsidRPr="002C2D28">
              <w:rPr>
                <w:rFonts w:ascii="ITC Avant Garde" w:eastAsia="Times New Roman" w:hAnsi="ITC Avant Garde"/>
                <w:b/>
                <w:color w:val="000000"/>
                <w:sz w:val="20"/>
                <w:szCs w:val="20"/>
                <w:lang w:eastAsia="es-MX"/>
              </w:rPr>
              <w:t xml:space="preserve"> </w:t>
            </w:r>
            <w:r>
              <w:rPr>
                <w:rFonts w:ascii="ITC Avant Garde" w:eastAsia="Times New Roman" w:hAnsi="ITC Avant Garde"/>
                <w:b/>
                <w:color w:val="000000"/>
                <w:sz w:val="20"/>
                <w:szCs w:val="20"/>
                <w:lang w:eastAsia="es-MX"/>
              </w:rPr>
              <w:t>al diseño de las medidas referente</w:t>
            </w:r>
            <w:r w:rsidR="00930E29">
              <w:rPr>
                <w:rFonts w:ascii="ITC Avant Garde" w:eastAsia="Times New Roman" w:hAnsi="ITC Avant Garde"/>
                <w:b/>
                <w:color w:val="000000"/>
                <w:sz w:val="20"/>
                <w:szCs w:val="20"/>
                <w:lang w:eastAsia="es-MX"/>
              </w:rPr>
              <w:t>s</w:t>
            </w:r>
            <w:r>
              <w:rPr>
                <w:rFonts w:ascii="ITC Avant Garde" w:eastAsia="Times New Roman" w:hAnsi="ITC Avant Garde"/>
                <w:b/>
                <w:color w:val="000000"/>
                <w:sz w:val="20"/>
                <w:szCs w:val="20"/>
                <w:lang w:eastAsia="es-MX"/>
              </w:rPr>
              <w:t xml:space="preserve"> a Conductas y No Discriminación y su idoneidad</w:t>
            </w:r>
            <w:r w:rsidRPr="002C2D28">
              <w:rPr>
                <w:rFonts w:ascii="ITC Avant Garde" w:eastAsia="Times New Roman" w:hAnsi="ITC Avant Garde"/>
                <w:b/>
                <w:color w:val="000000"/>
                <w:sz w:val="20"/>
                <w:szCs w:val="20"/>
                <w:lang w:eastAsia="es-MX"/>
              </w:rPr>
              <w:t xml:space="preserve"> para alcanzar los objetivos por los que se plantearon</w:t>
            </w:r>
            <w:r>
              <w:rPr>
                <w:rFonts w:ascii="ITC Avant Garde" w:eastAsia="Times New Roman" w:hAnsi="ITC Avant Garde"/>
                <w:b/>
                <w:color w:val="000000"/>
                <w:sz w:val="20"/>
                <w:szCs w:val="20"/>
                <w:lang w:eastAsia="es-MX"/>
              </w:rPr>
              <w:t>?</w:t>
            </w:r>
          </w:p>
        </w:tc>
      </w:tr>
      <w:tr w:rsidR="00885864" w:rsidRPr="002C2D28" w14:paraId="292B335D" w14:textId="77777777" w:rsidTr="00652FBC">
        <w:trPr>
          <w:trHeight w:val="290"/>
        </w:trPr>
        <w:tc>
          <w:tcPr>
            <w:tcW w:w="8641" w:type="dxa"/>
            <w:gridSpan w:val="3"/>
            <w:shd w:val="clear" w:color="auto" w:fill="FFFFFF"/>
            <w:vAlign w:val="center"/>
          </w:tcPr>
          <w:p w14:paraId="17D38893" w14:textId="77777777" w:rsidR="00885864" w:rsidRPr="002C2D28" w:rsidRDefault="00885864" w:rsidP="00B107D7">
            <w:pPr>
              <w:spacing w:after="0" w:line="276" w:lineRule="auto"/>
              <w:jc w:val="both"/>
              <w:rPr>
                <w:rFonts w:ascii="ITC Avant Garde" w:eastAsia="Times New Roman" w:hAnsi="ITC Avant Garde"/>
                <w:b/>
                <w:color w:val="000000"/>
                <w:sz w:val="20"/>
                <w:szCs w:val="20"/>
                <w:lang w:eastAsia="es-MX"/>
              </w:rPr>
            </w:pPr>
          </w:p>
        </w:tc>
      </w:tr>
      <w:tr w:rsidR="00885864" w:rsidRPr="002C2D28" w14:paraId="7166B266" w14:textId="77777777" w:rsidTr="00652FBC">
        <w:trPr>
          <w:trHeight w:val="414"/>
        </w:trPr>
        <w:tc>
          <w:tcPr>
            <w:tcW w:w="8641" w:type="dxa"/>
            <w:gridSpan w:val="3"/>
            <w:shd w:val="clear" w:color="auto" w:fill="FFFFFF"/>
          </w:tcPr>
          <w:p w14:paraId="23FE649D" w14:textId="3BE71D2A" w:rsidR="00885864" w:rsidRPr="004D48A9" w:rsidRDefault="004D48A9" w:rsidP="00B107D7">
            <w:pPr>
              <w:jc w:val="both"/>
            </w:pPr>
            <w:r>
              <w:rPr>
                <w:rFonts w:ascii="ITC Avant Garde" w:hAnsi="ITC Avant Garde"/>
                <w:b/>
                <w:sz w:val="20"/>
                <w:szCs w:val="20"/>
              </w:rPr>
              <w:t>Favor de indicar la(s)</w:t>
            </w:r>
            <w:r w:rsidRPr="002C2D28">
              <w:rPr>
                <w:rFonts w:ascii="ITC Avant Garde" w:hAnsi="ITC Avant Garde"/>
                <w:b/>
                <w:sz w:val="20"/>
                <w:szCs w:val="20"/>
              </w:rPr>
              <w:t xml:space="preserve"> propuesta</w:t>
            </w:r>
            <w:r>
              <w:rPr>
                <w:rFonts w:ascii="ITC Avant Garde" w:hAnsi="ITC Avant Garde"/>
                <w:b/>
                <w:sz w:val="20"/>
                <w:szCs w:val="20"/>
              </w:rPr>
              <w:t>(s)</w:t>
            </w:r>
            <w:r w:rsidRPr="002C2D28">
              <w:rPr>
                <w:rFonts w:ascii="ITC Avant Garde" w:hAnsi="ITC Avant Garde"/>
                <w:b/>
                <w:sz w:val="20"/>
                <w:szCs w:val="20"/>
              </w:rPr>
              <w:t xml:space="preserve"> específica</w:t>
            </w:r>
            <w:r>
              <w:rPr>
                <w:rFonts w:ascii="ITC Avant Garde" w:hAnsi="ITC Avant Garde"/>
                <w:b/>
                <w:sz w:val="20"/>
                <w:szCs w:val="20"/>
              </w:rPr>
              <w:t>(s)</w:t>
            </w:r>
            <w:r w:rsidRPr="002C2D28">
              <w:rPr>
                <w:rFonts w:ascii="ITC Avant Garde" w:hAnsi="ITC Avant Garde"/>
                <w:b/>
                <w:sz w:val="20"/>
                <w:szCs w:val="20"/>
              </w:rPr>
              <w:t xml:space="preserve"> </w:t>
            </w:r>
            <w:r>
              <w:rPr>
                <w:rFonts w:ascii="ITC Avant Garde" w:hAnsi="ITC Avant Garde"/>
                <w:b/>
                <w:sz w:val="20"/>
                <w:szCs w:val="20"/>
              </w:rPr>
              <w:t>para la supresión, modificación o adición de</w:t>
            </w:r>
            <w:r w:rsidRPr="002C2D28">
              <w:rPr>
                <w:rFonts w:ascii="ITC Avant Garde" w:hAnsi="ITC Avant Garde"/>
                <w:b/>
                <w:sz w:val="20"/>
                <w:szCs w:val="20"/>
              </w:rPr>
              <w:t xml:space="preserve"> las medidas re</w:t>
            </w:r>
            <w:r>
              <w:rPr>
                <w:rFonts w:ascii="ITC Avant Garde" w:hAnsi="ITC Avant Garde"/>
                <w:b/>
                <w:sz w:val="20"/>
                <w:szCs w:val="20"/>
              </w:rPr>
              <w:t>ferentes a Conductas y No Discriminación.</w:t>
            </w:r>
          </w:p>
        </w:tc>
      </w:tr>
      <w:tr w:rsidR="00885864" w:rsidRPr="002C2D28" w14:paraId="724A4D27" w14:textId="77777777" w:rsidTr="00652FBC">
        <w:trPr>
          <w:trHeight w:val="414"/>
        </w:trPr>
        <w:tc>
          <w:tcPr>
            <w:tcW w:w="3047" w:type="dxa"/>
            <w:gridSpan w:val="2"/>
            <w:shd w:val="clear" w:color="auto" w:fill="FFFFFF"/>
          </w:tcPr>
          <w:p w14:paraId="0BD6EB51"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shd w:val="clear" w:color="auto" w:fill="FFFFFF"/>
          </w:tcPr>
          <w:p w14:paraId="4F0E4A6E"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885864" w:rsidRPr="002C2D28" w14:paraId="5327A443" w14:textId="77777777" w:rsidTr="00652FBC">
        <w:trPr>
          <w:trHeight w:val="414"/>
        </w:trPr>
        <w:tc>
          <w:tcPr>
            <w:tcW w:w="3047" w:type="dxa"/>
            <w:gridSpan w:val="2"/>
            <w:shd w:val="clear" w:color="auto" w:fill="FFFFFF"/>
          </w:tcPr>
          <w:p w14:paraId="277EC04A"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shd w:val="clear" w:color="auto" w:fill="FFFFFF"/>
          </w:tcPr>
          <w:p w14:paraId="44A398BF" w14:textId="77777777" w:rsidR="00885864" w:rsidRPr="002C2D28" w:rsidRDefault="00885864"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bl>
    <w:p w14:paraId="0A4EF6F9" w14:textId="126575CB" w:rsidR="00474104" w:rsidRDefault="00474104" w:rsidP="00AB2D19">
      <w:pPr>
        <w:spacing w:after="0"/>
        <w:jc w:val="both"/>
        <w:rPr>
          <w:rFonts w:ascii="ITC Avant Garde" w:hAnsi="ITC Avant Garde"/>
          <w:sz w:val="16"/>
        </w:rPr>
      </w:pPr>
    </w:p>
    <w:p w14:paraId="59649D39" w14:textId="5281C3B3" w:rsidR="00474104" w:rsidRDefault="00474104" w:rsidP="00AB2D19">
      <w:pPr>
        <w:spacing w:after="0"/>
        <w:jc w:val="both"/>
        <w:rPr>
          <w:rFonts w:ascii="ITC Avant Garde" w:hAnsi="ITC Avant Garde"/>
          <w:sz w:val="16"/>
        </w:rPr>
      </w:pPr>
    </w:p>
    <w:tbl>
      <w:tblPr>
        <w:tblpPr w:leftFromText="141" w:rightFromText="141" w:vertAnchor="text" w:tblpX="147" w:tblpY="108"/>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4"/>
        <w:gridCol w:w="1293"/>
        <w:gridCol w:w="1273"/>
        <w:gridCol w:w="4321"/>
      </w:tblGrid>
      <w:tr w:rsidR="002C2D28" w:rsidRPr="002C2D28" w14:paraId="1F020647" w14:textId="77777777" w:rsidTr="00652FBC">
        <w:trPr>
          <w:trHeight w:val="581"/>
        </w:trPr>
        <w:tc>
          <w:tcPr>
            <w:tcW w:w="8641" w:type="dxa"/>
            <w:gridSpan w:val="4"/>
            <w:shd w:val="clear" w:color="auto" w:fill="D9D9D9"/>
            <w:vAlign w:val="center"/>
            <w:hideMark/>
          </w:tcPr>
          <w:p w14:paraId="6C99FD18" w14:textId="2B0AC114" w:rsidR="002C2D28" w:rsidRPr="002C2D28" w:rsidRDefault="002C2D28" w:rsidP="002C2D28">
            <w:pPr>
              <w:numPr>
                <w:ilvl w:val="0"/>
                <w:numId w:val="2"/>
              </w:numPr>
              <w:spacing w:after="0" w:line="240" w:lineRule="auto"/>
              <w:ind w:left="1800" w:right="1069"/>
              <w:contextualSpacing/>
              <w:jc w:val="center"/>
              <w:rPr>
                <w:rFonts w:ascii="ITC Avant Garde" w:eastAsia="Times New Roman" w:hAnsi="ITC Avant Garde"/>
                <w:b/>
                <w:bCs/>
                <w:color w:val="FFFFFF"/>
                <w:lang w:eastAsia="es-MX"/>
              </w:rPr>
            </w:pPr>
            <w:r w:rsidRPr="002C2D28">
              <w:rPr>
                <w:rFonts w:ascii="ITC Avant Garde" w:eastAsia="Times New Roman" w:hAnsi="ITC Avant Garde"/>
                <w:b/>
                <w:bCs/>
                <w:color w:val="000000"/>
                <w:lang w:eastAsia="es-MX"/>
              </w:rPr>
              <w:t xml:space="preserve">Comentarios, opiniones </w:t>
            </w:r>
            <w:r w:rsidRPr="002C2D28">
              <w:rPr>
                <w:rFonts w:ascii="ITC Avant Garde" w:eastAsia="Times New Roman" w:hAnsi="ITC Avant Garde"/>
                <w:b/>
                <w:bCs/>
                <w:lang w:eastAsia="es-MX"/>
              </w:rPr>
              <w:t>y aportaciones específicos de</w:t>
            </w:r>
            <w:r w:rsidR="00966D07">
              <w:rPr>
                <w:rFonts w:ascii="ITC Avant Garde" w:eastAsia="Times New Roman" w:hAnsi="ITC Avant Garde"/>
                <w:b/>
                <w:bCs/>
                <w:lang w:eastAsia="es-MX"/>
              </w:rPr>
              <w:t xml:space="preserve"> </w:t>
            </w:r>
            <w:r w:rsidRPr="002C2D28">
              <w:rPr>
                <w:rFonts w:ascii="ITC Avant Garde" w:eastAsia="Times New Roman" w:hAnsi="ITC Avant Garde"/>
                <w:b/>
                <w:bCs/>
                <w:lang w:eastAsia="es-MX"/>
              </w:rPr>
              <w:t>l</w:t>
            </w:r>
            <w:r w:rsidR="00966D07">
              <w:rPr>
                <w:rFonts w:ascii="ITC Avant Garde" w:eastAsia="Times New Roman" w:hAnsi="ITC Avant Garde"/>
                <w:b/>
                <w:bCs/>
                <w:lang w:eastAsia="es-MX"/>
              </w:rPr>
              <w:t>a</w:t>
            </w:r>
            <w:r w:rsidRPr="002C2D28">
              <w:rPr>
                <w:rFonts w:ascii="ITC Avant Garde" w:eastAsia="Times New Roman" w:hAnsi="ITC Avant Garde"/>
                <w:b/>
                <w:bCs/>
                <w:lang w:eastAsia="es-MX"/>
              </w:rPr>
              <w:t xml:space="preserve"> </w:t>
            </w:r>
            <w:r w:rsidR="00966D07">
              <w:rPr>
                <w:rFonts w:ascii="ITC Avant Garde" w:eastAsia="Times New Roman" w:hAnsi="ITC Avant Garde"/>
                <w:b/>
                <w:bCs/>
                <w:lang w:eastAsia="es-MX"/>
              </w:rPr>
              <w:t xml:space="preserve">persona </w:t>
            </w:r>
            <w:r w:rsidRPr="002C2D28">
              <w:rPr>
                <w:rFonts w:ascii="ITC Avant Garde" w:eastAsia="Times New Roman" w:hAnsi="ITC Avant Garde"/>
                <w:b/>
                <w:bCs/>
                <w:lang w:eastAsia="es-MX"/>
              </w:rPr>
              <w:t>participante sobre el asunto en consulta pública</w:t>
            </w:r>
          </w:p>
          <w:p w14:paraId="6A8F8584" w14:textId="77777777" w:rsidR="002C2D28" w:rsidRPr="002C2D28" w:rsidRDefault="002C2D28" w:rsidP="00652FBC">
            <w:pPr>
              <w:spacing w:after="0" w:line="240" w:lineRule="auto"/>
              <w:ind w:left="1800" w:right="1069"/>
              <w:contextualSpacing/>
              <w:jc w:val="center"/>
              <w:rPr>
                <w:rFonts w:ascii="ITC Avant Garde" w:eastAsia="Times New Roman" w:hAnsi="ITC Avant Garde"/>
                <w:b/>
                <w:bCs/>
                <w:color w:val="FFFFFF"/>
                <w:sz w:val="20"/>
                <w:szCs w:val="20"/>
                <w:lang w:eastAsia="es-MX"/>
              </w:rPr>
            </w:pPr>
            <w:r w:rsidRPr="002C2D28">
              <w:rPr>
                <w:rFonts w:ascii="ITC Avant Garde" w:eastAsia="Times New Roman" w:hAnsi="ITC Avant Garde"/>
                <w:b/>
                <w:bCs/>
                <w:color w:val="000000"/>
                <w:lang w:eastAsia="es-MX"/>
              </w:rPr>
              <w:t>(SERVICIOS FIJOS)</w:t>
            </w:r>
          </w:p>
        </w:tc>
      </w:tr>
      <w:tr w:rsidR="002C2D28" w:rsidRPr="002C2D28" w14:paraId="74A98B77" w14:textId="77777777" w:rsidTr="00652FBC">
        <w:trPr>
          <w:trHeight w:val="414"/>
        </w:trPr>
        <w:tc>
          <w:tcPr>
            <w:tcW w:w="1754" w:type="dxa"/>
            <w:shd w:val="clear" w:color="auto" w:fill="C5E0B3"/>
            <w:vAlign w:val="center"/>
          </w:tcPr>
          <w:p w14:paraId="2BB785CB" w14:textId="77777777"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Medidas referentes a Interconexión</w:t>
            </w:r>
          </w:p>
          <w:p w14:paraId="3A9498D5" w14:textId="77777777"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p>
          <w:p w14:paraId="71B80648" w14:textId="6ED16539"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lastRenderedPageBreak/>
              <w:t>Anexo 2: 5, 6, 7, 9, 11, 12, 20, 36, 60, 62, 69 y 71.</w:t>
            </w:r>
          </w:p>
          <w:p w14:paraId="3BD5EF5E" w14:textId="77777777"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Anexo 3: 11.</w:t>
            </w:r>
          </w:p>
          <w:p w14:paraId="194CC2B1" w14:textId="77777777"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p>
        </w:tc>
        <w:tc>
          <w:tcPr>
            <w:tcW w:w="6887" w:type="dxa"/>
            <w:gridSpan w:val="3"/>
            <w:shd w:val="clear" w:color="auto" w:fill="C5E0B3"/>
            <w:vAlign w:val="center"/>
          </w:tcPr>
          <w:p w14:paraId="30D5B61A" w14:textId="77777777" w:rsidR="002C2D28" w:rsidRPr="002C2D28" w:rsidRDefault="002C2D28" w:rsidP="00652FBC">
            <w:pPr>
              <w:spacing w:after="0" w:line="276" w:lineRule="auto"/>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lastRenderedPageBreak/>
              <w:t>Objetivos generales:</w:t>
            </w:r>
          </w:p>
          <w:p w14:paraId="11B7C6F5" w14:textId="77777777" w:rsidR="002C2D28" w:rsidRPr="002C2D28" w:rsidRDefault="002C2D28">
            <w:pPr>
              <w:numPr>
                <w:ilvl w:val="0"/>
                <w:numId w:val="7"/>
              </w:numPr>
              <w:spacing w:after="0" w:line="276" w:lineRule="auto"/>
              <w:jc w:val="both"/>
              <w:rPr>
                <w:rFonts w:ascii="ITC Avant Garde" w:eastAsia="Times New Roman" w:hAnsi="ITC Avant Garde"/>
                <w:bCs/>
                <w:color w:val="000000"/>
                <w:sz w:val="20"/>
                <w:szCs w:val="20"/>
                <w:lang w:eastAsia="es-MX"/>
              </w:rPr>
            </w:pPr>
            <w:r w:rsidRPr="002C2D28">
              <w:rPr>
                <w:rFonts w:ascii="ITC Avant Garde" w:eastAsia="Times New Roman" w:hAnsi="ITC Avant Garde"/>
                <w:bCs/>
                <w:color w:val="000000"/>
                <w:sz w:val="20"/>
                <w:szCs w:val="20"/>
                <w:lang w:eastAsia="es-MX"/>
              </w:rPr>
              <w:t>Reducir o eliminar barreras a la entrada y la expansión de participantes distintos al AEPT.</w:t>
            </w:r>
          </w:p>
          <w:p w14:paraId="525871BB" w14:textId="77777777" w:rsidR="002C2D28" w:rsidRPr="002C2D28" w:rsidRDefault="002C2D28">
            <w:pPr>
              <w:numPr>
                <w:ilvl w:val="0"/>
                <w:numId w:val="7"/>
              </w:numPr>
              <w:spacing w:after="0" w:line="276" w:lineRule="auto"/>
              <w:jc w:val="both"/>
              <w:rPr>
                <w:rFonts w:ascii="ITC Avant Garde" w:eastAsia="Times New Roman" w:hAnsi="ITC Avant Garde"/>
                <w:bCs/>
                <w:color w:val="000000"/>
                <w:sz w:val="20"/>
                <w:szCs w:val="20"/>
                <w:lang w:eastAsia="es-MX"/>
              </w:rPr>
            </w:pPr>
            <w:r w:rsidRPr="002C2D28">
              <w:rPr>
                <w:rFonts w:ascii="ITC Avant Garde" w:eastAsia="Times New Roman" w:hAnsi="ITC Avant Garde"/>
                <w:bCs/>
                <w:color w:val="000000"/>
                <w:sz w:val="20"/>
                <w:szCs w:val="20"/>
                <w:lang w:eastAsia="es-MX"/>
              </w:rPr>
              <w:t>Promover el uso eficiente de las redes e infraestructura.</w:t>
            </w:r>
          </w:p>
          <w:p w14:paraId="260FECC6" w14:textId="77777777" w:rsidR="002C2D28" w:rsidRPr="002C2D28" w:rsidRDefault="002C2D28">
            <w:pPr>
              <w:numPr>
                <w:ilvl w:val="0"/>
                <w:numId w:val="7"/>
              </w:numPr>
              <w:spacing w:after="0" w:line="276" w:lineRule="auto"/>
              <w:jc w:val="both"/>
              <w:rPr>
                <w:rFonts w:ascii="ITC Avant Garde" w:eastAsia="Times New Roman" w:hAnsi="ITC Avant Garde"/>
                <w:bCs/>
                <w:color w:val="000000"/>
                <w:sz w:val="20"/>
                <w:szCs w:val="20"/>
                <w:lang w:eastAsia="es-MX"/>
              </w:rPr>
            </w:pPr>
            <w:r w:rsidRPr="002C2D28">
              <w:rPr>
                <w:rFonts w:ascii="ITC Avant Garde" w:hAnsi="ITC Avant Garde"/>
                <w:color w:val="000000" w:themeColor="text1"/>
                <w:sz w:val="20"/>
                <w:szCs w:val="20"/>
              </w:rPr>
              <w:lastRenderedPageBreak/>
              <w:t>Remediar y prevenir condiciones y conductas con efectos que no favorezcan la competencia y libre concurrencia</w:t>
            </w:r>
            <w:r w:rsidRPr="002C2D28">
              <w:rPr>
                <w:rFonts w:ascii="ITC Avant Garde" w:eastAsia="Times New Roman" w:hAnsi="ITC Avant Garde"/>
                <w:bCs/>
                <w:color w:val="000000"/>
                <w:sz w:val="20"/>
                <w:szCs w:val="20"/>
                <w:lang w:eastAsia="es-MX"/>
              </w:rPr>
              <w:t>.</w:t>
            </w:r>
          </w:p>
          <w:p w14:paraId="4BFB399A" w14:textId="77777777" w:rsidR="002C2D28" w:rsidRPr="002C2D28" w:rsidRDefault="002C2D28">
            <w:pPr>
              <w:numPr>
                <w:ilvl w:val="0"/>
                <w:numId w:val="7"/>
              </w:numPr>
              <w:spacing w:after="0" w:line="276" w:lineRule="auto"/>
              <w:jc w:val="both"/>
              <w:rPr>
                <w:rFonts w:ascii="ITC Avant Garde" w:eastAsia="Times New Roman" w:hAnsi="ITC Avant Garde"/>
                <w:color w:val="000000"/>
                <w:sz w:val="20"/>
                <w:szCs w:val="20"/>
                <w:lang w:eastAsia="es-MX"/>
              </w:rPr>
            </w:pPr>
            <w:r w:rsidRPr="002C2D28">
              <w:rPr>
                <w:rFonts w:ascii="ITC Avant Garde" w:hAnsi="ITC Avant Garde"/>
                <w:sz w:val="20"/>
                <w:szCs w:val="20"/>
              </w:rPr>
              <w:t>Disminuir costos de transacción.</w:t>
            </w:r>
          </w:p>
          <w:p w14:paraId="7FDDA255" w14:textId="77777777" w:rsidR="002C2D28" w:rsidRPr="002C2D28" w:rsidRDefault="002C2D28">
            <w:pPr>
              <w:numPr>
                <w:ilvl w:val="0"/>
                <w:numId w:val="7"/>
              </w:numPr>
              <w:spacing w:after="0" w:line="276" w:lineRule="auto"/>
              <w:jc w:val="both"/>
              <w:rPr>
                <w:rFonts w:ascii="ITC Avant Garde" w:eastAsia="Times New Roman" w:hAnsi="ITC Avant Garde"/>
                <w:bCs/>
                <w:color w:val="000000"/>
                <w:sz w:val="20"/>
                <w:szCs w:val="20"/>
                <w:lang w:eastAsia="es-MX"/>
              </w:rPr>
            </w:pPr>
            <w:r w:rsidRPr="002C2D28">
              <w:rPr>
                <w:rFonts w:ascii="ITC Avant Garde" w:eastAsia="Times New Roman" w:hAnsi="ITC Avant Garde"/>
                <w:bCs/>
                <w:color w:val="000000"/>
                <w:sz w:val="20"/>
                <w:szCs w:val="20"/>
                <w:lang w:eastAsia="es-MX"/>
              </w:rPr>
              <w:t>Disminuir asimetrías de información.</w:t>
            </w:r>
          </w:p>
        </w:tc>
      </w:tr>
      <w:tr w:rsidR="002C2D28" w:rsidRPr="002C2D28" w14:paraId="17D694D7" w14:textId="77777777" w:rsidTr="00652FBC">
        <w:trPr>
          <w:trHeight w:val="414"/>
        </w:trPr>
        <w:tc>
          <w:tcPr>
            <w:tcW w:w="8641" w:type="dxa"/>
            <w:gridSpan w:val="4"/>
            <w:shd w:val="clear" w:color="auto" w:fill="FFFFFF"/>
            <w:vAlign w:val="center"/>
          </w:tcPr>
          <w:p w14:paraId="27584659" w14:textId="77777777" w:rsidR="002C2D28" w:rsidRPr="002C2D28" w:rsidRDefault="002C2D28" w:rsidP="00EA0095">
            <w:pPr>
              <w:spacing w:line="276" w:lineRule="auto"/>
              <w:jc w:val="both"/>
              <w:rPr>
                <w:rFonts w:ascii="ITC Avant Garde" w:hAnsi="ITC Avant Garde"/>
                <w:b/>
                <w:sz w:val="20"/>
                <w:szCs w:val="20"/>
                <w:lang w:eastAsia="es-MX"/>
              </w:rPr>
            </w:pPr>
            <w:r w:rsidRPr="002C2D28">
              <w:rPr>
                <w:rFonts w:ascii="ITC Avant Garde" w:hAnsi="ITC Avant Garde"/>
                <w:b/>
                <w:sz w:val="20"/>
                <w:szCs w:val="20"/>
                <w:lang w:eastAsia="es-MX"/>
              </w:rPr>
              <w:lastRenderedPageBreak/>
              <w:t>Contexto:</w:t>
            </w:r>
          </w:p>
          <w:p w14:paraId="008F9063" w14:textId="77777777" w:rsidR="002C2D28" w:rsidRPr="002C2D28" w:rsidRDefault="002C2D28" w:rsidP="00EA0095">
            <w:pPr>
              <w:spacing w:line="276" w:lineRule="auto"/>
              <w:jc w:val="both"/>
              <w:rPr>
                <w:rFonts w:ascii="ITC Avant Garde" w:hAnsi="ITC Avant Garde"/>
                <w:sz w:val="20"/>
                <w:szCs w:val="20"/>
                <w:lang w:eastAsia="es-MX"/>
              </w:rPr>
            </w:pPr>
            <w:r w:rsidRPr="002C2D28">
              <w:rPr>
                <w:rFonts w:ascii="ITC Avant Garde" w:hAnsi="ITC Avant Garde"/>
                <w:sz w:val="20"/>
                <w:szCs w:val="20"/>
                <w:lang w:eastAsia="es-MX"/>
              </w:rPr>
              <w:t>La interconexión es un recurso esencial para permitir la comunicación entre las distintas redes públicas de telecomunicaciones, por lo que al garantizar la interconexión de las redes de los distintos operadores del país se mitigan los efectos de red característicos de los servicios de telecomunicaciones evitando con ello prácticas que obstaculicen el desarrollo de una competencia efectiva, lo anterior en beneficio de los usuarios finales.</w:t>
            </w:r>
          </w:p>
          <w:p w14:paraId="1EA2E774" w14:textId="77777777" w:rsidR="002C2D28" w:rsidRPr="002C2D28" w:rsidRDefault="002C2D28" w:rsidP="00EA0095">
            <w:pPr>
              <w:spacing w:line="276" w:lineRule="auto"/>
              <w:jc w:val="both"/>
              <w:rPr>
                <w:rFonts w:ascii="ITC Avant Garde" w:hAnsi="ITC Avant Garde"/>
                <w:b/>
                <w:sz w:val="20"/>
                <w:szCs w:val="20"/>
              </w:rPr>
            </w:pPr>
            <w:r w:rsidRPr="002C2D28">
              <w:rPr>
                <w:rFonts w:ascii="ITC Avant Garde" w:hAnsi="ITC Avant Garde"/>
                <w:b/>
                <w:sz w:val="20"/>
                <w:szCs w:val="20"/>
              </w:rPr>
              <w:t>Resumen de las medidas impuestas:</w:t>
            </w:r>
          </w:p>
          <w:p w14:paraId="6A961D8A" w14:textId="437C0BD3" w:rsidR="002C2D28" w:rsidRPr="002C2D28" w:rsidRDefault="002C2D28" w:rsidP="00EA0095">
            <w:pPr>
              <w:spacing w:before="240" w:after="120" w:line="276" w:lineRule="auto"/>
              <w:jc w:val="both"/>
              <w:rPr>
                <w:rFonts w:ascii="ITC Avant Garde" w:eastAsia="Times New Roman" w:hAnsi="ITC Avant Garde"/>
                <w:color w:val="000000"/>
                <w:sz w:val="20"/>
                <w:szCs w:val="20"/>
                <w:lang w:eastAsia="es-MX"/>
              </w:rPr>
            </w:pPr>
            <w:r w:rsidRPr="002C2D28">
              <w:rPr>
                <w:rFonts w:ascii="ITC Avant Garde" w:eastAsia="Times New Roman" w:hAnsi="ITC Avant Garde"/>
                <w:color w:val="000000"/>
                <w:sz w:val="20"/>
                <w:szCs w:val="20"/>
                <w:lang w:eastAsia="es-MX"/>
              </w:rPr>
              <w:t>El Instituto impuso medidas al AEPT referentes a prestar los servicios de interconexión a operadores de otras redes, así como proveer enlaces de interconexión, publicar el C</w:t>
            </w:r>
            <w:r w:rsidR="00DC510E">
              <w:rPr>
                <w:rFonts w:ascii="ITC Avant Garde" w:eastAsia="Times New Roman" w:hAnsi="ITC Avant Garde"/>
                <w:color w:val="000000"/>
                <w:sz w:val="20"/>
                <w:szCs w:val="20"/>
                <w:lang w:eastAsia="es-MX"/>
              </w:rPr>
              <w:t>MI</w:t>
            </w:r>
            <w:r w:rsidRPr="002C2D28">
              <w:rPr>
                <w:rFonts w:ascii="ITC Avant Garde" w:eastAsia="Times New Roman" w:hAnsi="ITC Avant Garde"/>
                <w:color w:val="000000"/>
                <w:sz w:val="20"/>
                <w:szCs w:val="20"/>
                <w:lang w:eastAsia="es-MX"/>
              </w:rPr>
              <w:t>, suscribir convenios, y poner información a disposición de los CS, entre otras.</w:t>
            </w:r>
          </w:p>
          <w:p w14:paraId="407B98A3" w14:textId="2920C979" w:rsidR="00C80D31" w:rsidRDefault="002C2D28" w:rsidP="00EA0095">
            <w:pPr>
              <w:spacing w:before="240" w:after="120" w:line="276" w:lineRule="auto"/>
              <w:jc w:val="both"/>
              <w:rPr>
                <w:rFonts w:ascii="ITC Avant Garde" w:eastAsia="Times New Roman" w:hAnsi="ITC Avant Garde"/>
                <w:color w:val="000000"/>
                <w:sz w:val="20"/>
                <w:szCs w:val="20"/>
                <w:lang w:eastAsia="es-MX"/>
              </w:rPr>
            </w:pPr>
            <w:r w:rsidRPr="002C2D28">
              <w:rPr>
                <w:rFonts w:ascii="ITC Avant Garde" w:eastAsia="Times New Roman" w:hAnsi="ITC Avant Garde"/>
                <w:color w:val="000000"/>
                <w:sz w:val="20"/>
                <w:szCs w:val="20"/>
                <w:lang w:eastAsia="es-MX"/>
              </w:rPr>
              <w:t xml:space="preserve">A través de la </w:t>
            </w:r>
            <w:r w:rsidR="00C80D31">
              <w:rPr>
                <w:rFonts w:ascii="ITC Avant Garde" w:eastAsia="Times New Roman" w:hAnsi="ITC Avant Garde"/>
                <w:color w:val="000000"/>
                <w:sz w:val="20"/>
                <w:szCs w:val="20"/>
                <w:lang w:eastAsia="es-MX"/>
              </w:rPr>
              <w:t xml:space="preserve">Primera </w:t>
            </w:r>
            <w:r w:rsidRPr="002C2D28">
              <w:rPr>
                <w:rFonts w:ascii="ITC Avant Garde" w:eastAsia="Times New Roman" w:hAnsi="ITC Avant Garde"/>
                <w:color w:val="000000"/>
                <w:sz w:val="20"/>
                <w:szCs w:val="20"/>
                <w:lang w:eastAsia="es-MX"/>
              </w:rPr>
              <w:t>Resolución Bienal se hicieron adecuaciones en materia de Interconexión para el Tránsito, Puntos de Interconexión, conducción de tráfico, procesos referentes al C</w:t>
            </w:r>
            <w:r w:rsidR="00C80D31">
              <w:rPr>
                <w:rFonts w:ascii="ITC Avant Garde" w:eastAsia="Times New Roman" w:hAnsi="ITC Avant Garde"/>
                <w:color w:val="000000"/>
                <w:sz w:val="20"/>
                <w:szCs w:val="20"/>
                <w:lang w:eastAsia="es-MX"/>
              </w:rPr>
              <w:t>MI</w:t>
            </w:r>
            <w:r w:rsidRPr="002C2D28">
              <w:rPr>
                <w:rFonts w:ascii="ITC Avant Garde" w:eastAsia="Times New Roman" w:hAnsi="ITC Avant Garde"/>
                <w:color w:val="000000"/>
                <w:sz w:val="20"/>
                <w:szCs w:val="20"/>
                <w:lang w:eastAsia="es-MX"/>
              </w:rPr>
              <w:t>, facturación, interconexión entre coubicaciones, inclusión de nuevas figuras legales y homologación con lo establecido en la LFTR y otros ordenamientos jurídicos, entre otras.</w:t>
            </w:r>
          </w:p>
          <w:p w14:paraId="1BF818A8" w14:textId="5BD6F4B5" w:rsidR="002C2D28" w:rsidRPr="002C2D28" w:rsidRDefault="00324DBD" w:rsidP="00EA0095">
            <w:pPr>
              <w:spacing w:before="240" w:after="120" w:line="276" w:lineRule="auto"/>
              <w:jc w:val="both"/>
              <w:rPr>
                <w:rFonts w:ascii="ITC Avant Garde" w:hAnsi="ITC Avant Garde"/>
                <w:b/>
                <w:sz w:val="20"/>
                <w:szCs w:val="20"/>
                <w:lang w:eastAsia="es-MX"/>
              </w:rPr>
            </w:pPr>
            <w:r>
              <w:rPr>
                <w:rFonts w:ascii="ITC Avant Garde" w:eastAsia="Times New Roman" w:hAnsi="ITC Avant Garde"/>
                <w:color w:val="000000"/>
                <w:sz w:val="20"/>
                <w:szCs w:val="20"/>
                <w:lang w:eastAsia="es-MX"/>
              </w:rPr>
              <w:t>En la Segunda Resolución Bienal de Telecomunicaciones</w:t>
            </w:r>
            <w:r w:rsidRPr="00D161DC">
              <w:rPr>
                <w:rFonts w:ascii="ITC Avant Garde" w:eastAsia="Times New Roman" w:hAnsi="ITC Avant Garde"/>
                <w:color w:val="000000"/>
                <w:sz w:val="20"/>
                <w:szCs w:val="20"/>
                <w:lang w:eastAsia="es-MX"/>
              </w:rPr>
              <w:t> se hicieron modificaciones en cuanto al proceso de revisión anual de</w:t>
            </w:r>
            <w:r>
              <w:rPr>
                <w:rFonts w:ascii="ITC Avant Garde" w:eastAsia="Times New Roman" w:hAnsi="ITC Avant Garde"/>
                <w:color w:val="000000"/>
                <w:sz w:val="20"/>
                <w:szCs w:val="20"/>
                <w:lang w:eastAsia="es-MX"/>
              </w:rPr>
              <w:t>l</w:t>
            </w:r>
            <w:r w:rsidRPr="00D161DC">
              <w:rPr>
                <w:rFonts w:ascii="ITC Avant Garde" w:eastAsia="Times New Roman" w:hAnsi="ITC Avant Garde"/>
                <w:color w:val="000000"/>
                <w:sz w:val="20"/>
                <w:szCs w:val="20"/>
                <w:lang w:eastAsia="es-MX"/>
              </w:rPr>
              <w:t xml:space="preserve"> C</w:t>
            </w:r>
            <w:r>
              <w:rPr>
                <w:rFonts w:ascii="ITC Avant Garde" w:eastAsia="Times New Roman" w:hAnsi="ITC Avant Garde"/>
                <w:color w:val="000000"/>
                <w:sz w:val="20"/>
                <w:szCs w:val="20"/>
                <w:lang w:eastAsia="es-MX"/>
              </w:rPr>
              <w:t>MI y se hicieron modificaciones para</w:t>
            </w:r>
            <w:r w:rsidRPr="001621F6">
              <w:rPr>
                <w:rFonts w:ascii="ITC Avant Garde" w:eastAsia="Times New Roman" w:hAnsi="ITC Avant Garde"/>
                <w:color w:val="000000"/>
                <w:sz w:val="20"/>
                <w:szCs w:val="20"/>
                <w:lang w:eastAsia="es-MX"/>
              </w:rPr>
              <w:t xml:space="preserve"> que la definición de los procedimientos, plazos, términos y demás condiciones técnicas y económicas para la prestación de</w:t>
            </w:r>
            <w:r w:rsidR="008C3BB3">
              <w:rPr>
                <w:rFonts w:ascii="ITC Avant Garde" w:eastAsia="Times New Roman" w:hAnsi="ITC Avant Garde"/>
                <w:color w:val="000000"/>
                <w:sz w:val="20"/>
                <w:szCs w:val="20"/>
                <w:lang w:eastAsia="es-MX"/>
              </w:rPr>
              <w:t xml:space="preserve"> </w:t>
            </w:r>
            <w:r w:rsidRPr="001621F6">
              <w:rPr>
                <w:rFonts w:ascii="ITC Avant Garde" w:eastAsia="Times New Roman" w:hAnsi="ITC Avant Garde"/>
                <w:color w:val="000000"/>
                <w:sz w:val="20"/>
                <w:szCs w:val="20"/>
                <w:lang w:eastAsia="es-MX"/>
              </w:rPr>
              <w:t>l</w:t>
            </w:r>
            <w:r w:rsidR="008C3BB3">
              <w:rPr>
                <w:rFonts w:ascii="ITC Avant Garde" w:eastAsia="Times New Roman" w:hAnsi="ITC Avant Garde"/>
                <w:color w:val="000000"/>
                <w:sz w:val="20"/>
                <w:szCs w:val="20"/>
                <w:lang w:eastAsia="es-MX"/>
              </w:rPr>
              <w:t>os</w:t>
            </w:r>
            <w:r w:rsidRPr="001621F6">
              <w:rPr>
                <w:rFonts w:ascii="ITC Avant Garde" w:eastAsia="Times New Roman" w:hAnsi="ITC Avant Garde"/>
                <w:color w:val="000000"/>
                <w:sz w:val="20"/>
                <w:szCs w:val="20"/>
                <w:lang w:eastAsia="es-MX"/>
              </w:rPr>
              <w:t xml:space="preserve"> servicio</w:t>
            </w:r>
            <w:r w:rsidR="008C3BB3">
              <w:rPr>
                <w:rFonts w:ascii="ITC Avant Garde" w:eastAsia="Times New Roman" w:hAnsi="ITC Avant Garde"/>
                <w:color w:val="000000"/>
                <w:sz w:val="20"/>
                <w:szCs w:val="20"/>
                <w:lang w:eastAsia="es-MX"/>
              </w:rPr>
              <w:t>s</w:t>
            </w:r>
            <w:r w:rsidRPr="001621F6">
              <w:rPr>
                <w:rFonts w:ascii="ITC Avant Garde" w:eastAsia="Times New Roman" w:hAnsi="ITC Avant Garde"/>
                <w:color w:val="000000"/>
                <w:sz w:val="20"/>
                <w:szCs w:val="20"/>
                <w:lang w:eastAsia="es-MX"/>
              </w:rPr>
              <w:t xml:space="preserve"> mayorista</w:t>
            </w:r>
            <w:r w:rsidR="008C3BB3">
              <w:rPr>
                <w:rFonts w:ascii="ITC Avant Garde" w:eastAsia="Times New Roman" w:hAnsi="ITC Avant Garde"/>
                <w:color w:val="000000"/>
                <w:sz w:val="20"/>
                <w:szCs w:val="20"/>
                <w:lang w:eastAsia="es-MX"/>
              </w:rPr>
              <w:t>s</w:t>
            </w:r>
            <w:r>
              <w:rPr>
                <w:rFonts w:ascii="ITC Avant Garde" w:eastAsia="Times New Roman" w:hAnsi="ITC Avant Garde"/>
                <w:color w:val="000000"/>
                <w:sz w:val="20"/>
                <w:szCs w:val="20"/>
                <w:lang w:eastAsia="es-MX"/>
              </w:rPr>
              <w:t xml:space="preserve"> de interconexión</w:t>
            </w:r>
            <w:r w:rsidRPr="001621F6">
              <w:rPr>
                <w:rFonts w:ascii="ITC Avant Garde" w:eastAsia="Times New Roman" w:hAnsi="ITC Avant Garde"/>
                <w:color w:val="000000"/>
                <w:sz w:val="20"/>
                <w:szCs w:val="20"/>
                <w:lang w:eastAsia="es-MX"/>
              </w:rPr>
              <w:t xml:space="preserve"> </w:t>
            </w:r>
            <w:r w:rsidR="00BD3DDA">
              <w:rPr>
                <w:rFonts w:ascii="ITC Avant Garde" w:eastAsia="Times New Roman" w:hAnsi="ITC Avant Garde"/>
                <w:color w:val="000000"/>
                <w:sz w:val="20"/>
                <w:szCs w:val="20"/>
                <w:lang w:eastAsia="es-MX"/>
              </w:rPr>
              <w:t>se lleve a cabo</w:t>
            </w:r>
            <w:r w:rsidR="00BD3DDA" w:rsidRPr="001621F6">
              <w:rPr>
                <w:rFonts w:ascii="ITC Avant Garde" w:eastAsia="Times New Roman" w:hAnsi="ITC Avant Garde"/>
                <w:color w:val="000000"/>
                <w:sz w:val="20"/>
                <w:szCs w:val="20"/>
                <w:lang w:eastAsia="es-MX"/>
              </w:rPr>
              <w:t xml:space="preserve"> en la revisión anual </w:t>
            </w:r>
            <w:r w:rsidR="00BD3DDA">
              <w:rPr>
                <w:rFonts w:ascii="ITC Avant Garde" w:eastAsia="Times New Roman" w:hAnsi="ITC Avant Garde"/>
                <w:color w:val="000000"/>
                <w:sz w:val="20"/>
                <w:szCs w:val="20"/>
                <w:lang w:eastAsia="es-MX"/>
              </w:rPr>
              <w:t>de las ofertas de referencia, a fin de garantizar que la prestación de los servicios sea acorde al dinamismo que caracteriza al sector</w:t>
            </w:r>
            <w:r w:rsidR="00C80D31">
              <w:rPr>
                <w:rFonts w:ascii="ITC Avant Garde" w:eastAsia="Times New Roman" w:hAnsi="ITC Avant Garde"/>
                <w:color w:val="000000"/>
                <w:sz w:val="20"/>
                <w:szCs w:val="20"/>
                <w:lang w:eastAsia="es-MX"/>
              </w:rPr>
              <w:t>.</w:t>
            </w:r>
            <w:r w:rsidR="002C2D28" w:rsidRPr="002C2D28">
              <w:rPr>
                <w:rFonts w:ascii="ITC Avant Garde" w:eastAsia="Times New Roman" w:hAnsi="ITC Avant Garde"/>
                <w:color w:val="000000"/>
                <w:sz w:val="20"/>
                <w:szCs w:val="20"/>
                <w:lang w:eastAsia="es-MX"/>
              </w:rPr>
              <w:t xml:space="preserve"> </w:t>
            </w:r>
          </w:p>
        </w:tc>
      </w:tr>
      <w:tr w:rsidR="00B107D7" w:rsidRPr="002C2D28" w14:paraId="336E004E" w14:textId="77777777" w:rsidTr="00652FBC">
        <w:trPr>
          <w:trHeight w:val="414"/>
        </w:trPr>
        <w:tc>
          <w:tcPr>
            <w:tcW w:w="8641" w:type="dxa"/>
            <w:gridSpan w:val="4"/>
            <w:shd w:val="clear" w:color="auto" w:fill="FFFFFF"/>
            <w:vAlign w:val="center"/>
          </w:tcPr>
          <w:p w14:paraId="1E18AB3D" w14:textId="32D711C1" w:rsidR="00B107D7" w:rsidRPr="002C2D28" w:rsidRDefault="00B107D7" w:rsidP="00B107D7">
            <w:pPr>
              <w:spacing w:after="0" w:line="276" w:lineRule="auto"/>
              <w:jc w:val="both"/>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 xml:space="preserve">¿Cuáles </w:t>
            </w:r>
            <w:r>
              <w:rPr>
                <w:rFonts w:ascii="ITC Avant Garde" w:eastAsia="Times New Roman" w:hAnsi="ITC Avant Garde"/>
                <w:b/>
                <w:color w:val="000000"/>
                <w:sz w:val="20"/>
                <w:szCs w:val="20"/>
                <w:lang w:eastAsia="es-MX"/>
              </w:rPr>
              <w:t>son sus consideraciones respecto al impacto que ha tenido la regulación asimétrica al AEPT de</w:t>
            </w:r>
            <w:r w:rsidRPr="002C2D28">
              <w:rPr>
                <w:rFonts w:ascii="ITC Avant Garde" w:eastAsia="Times New Roman" w:hAnsi="ITC Avant Garde"/>
                <w:b/>
                <w:color w:val="000000"/>
                <w:sz w:val="20"/>
                <w:szCs w:val="20"/>
                <w:lang w:eastAsia="es-MX"/>
              </w:rPr>
              <w:t xml:space="preserve"> </w:t>
            </w:r>
            <w:r>
              <w:rPr>
                <w:rFonts w:ascii="ITC Avant Garde" w:eastAsia="Times New Roman" w:hAnsi="ITC Avant Garde"/>
                <w:b/>
                <w:color w:val="000000"/>
                <w:sz w:val="20"/>
                <w:szCs w:val="20"/>
                <w:lang w:eastAsia="es-MX"/>
              </w:rPr>
              <w:t>los servicios de</w:t>
            </w:r>
            <w:r w:rsidRPr="002C2D28">
              <w:rPr>
                <w:rFonts w:ascii="ITC Avant Garde" w:eastAsia="Times New Roman" w:hAnsi="ITC Avant Garde"/>
                <w:b/>
                <w:color w:val="000000"/>
                <w:sz w:val="20"/>
                <w:szCs w:val="20"/>
                <w:lang w:eastAsia="es-MX"/>
              </w:rPr>
              <w:t xml:space="preserve"> interconexión</w:t>
            </w:r>
            <w:r>
              <w:rPr>
                <w:rFonts w:ascii="ITC Avant Garde" w:eastAsia="Times New Roman" w:hAnsi="ITC Avant Garde"/>
                <w:b/>
                <w:color w:val="000000"/>
                <w:sz w:val="20"/>
                <w:szCs w:val="20"/>
                <w:lang w:eastAsia="es-MX"/>
              </w:rPr>
              <w:t>?</w:t>
            </w:r>
          </w:p>
        </w:tc>
      </w:tr>
      <w:tr w:rsidR="00B107D7" w:rsidRPr="002C2D28" w14:paraId="2A59E5C0" w14:textId="77777777" w:rsidTr="00652FBC">
        <w:trPr>
          <w:trHeight w:val="414"/>
        </w:trPr>
        <w:tc>
          <w:tcPr>
            <w:tcW w:w="8641" w:type="dxa"/>
            <w:gridSpan w:val="4"/>
            <w:shd w:val="clear" w:color="auto" w:fill="FFFFFF"/>
            <w:vAlign w:val="center"/>
          </w:tcPr>
          <w:p w14:paraId="1E0E6C35" w14:textId="77777777" w:rsidR="00B107D7" w:rsidRPr="002C2D28" w:rsidRDefault="00B107D7" w:rsidP="00B107D7">
            <w:pPr>
              <w:spacing w:after="0" w:line="276" w:lineRule="auto"/>
              <w:rPr>
                <w:rFonts w:ascii="ITC Avant Garde" w:eastAsia="Times New Roman" w:hAnsi="ITC Avant Garde"/>
                <w:b/>
                <w:color w:val="000000"/>
                <w:sz w:val="20"/>
                <w:szCs w:val="20"/>
                <w:lang w:eastAsia="es-MX"/>
              </w:rPr>
            </w:pPr>
          </w:p>
        </w:tc>
      </w:tr>
      <w:tr w:rsidR="00B107D7" w:rsidRPr="002C2D28" w14:paraId="0DE94133" w14:textId="77777777" w:rsidTr="00652FBC">
        <w:trPr>
          <w:trHeight w:val="414"/>
        </w:trPr>
        <w:tc>
          <w:tcPr>
            <w:tcW w:w="8641" w:type="dxa"/>
            <w:gridSpan w:val="4"/>
            <w:shd w:val="clear" w:color="auto" w:fill="FFFFFF"/>
            <w:vAlign w:val="center"/>
          </w:tcPr>
          <w:p w14:paraId="3E1D87A3" w14:textId="0AE91024" w:rsidR="00B107D7" w:rsidRPr="002C2D28" w:rsidRDefault="00B107D7" w:rsidP="00B107D7">
            <w:pPr>
              <w:spacing w:after="0" w:line="276" w:lineRule="auto"/>
              <w:jc w:val="both"/>
              <w:rPr>
                <w:rFonts w:ascii="ITC Avant Garde" w:eastAsia="Times New Roman" w:hAnsi="ITC Avant Garde"/>
                <w:color w:val="000000"/>
                <w:sz w:val="20"/>
                <w:szCs w:val="20"/>
                <w:lang w:eastAsia="es-MX"/>
              </w:rPr>
            </w:pPr>
            <w:r>
              <w:rPr>
                <w:rFonts w:ascii="ITC Avant Garde" w:eastAsia="Times New Roman" w:hAnsi="ITC Avant Garde"/>
                <w:b/>
                <w:color w:val="000000"/>
                <w:sz w:val="20"/>
                <w:szCs w:val="20"/>
                <w:lang w:eastAsia="es-MX"/>
              </w:rPr>
              <w:t xml:space="preserve">¿Cuáles son sus </w:t>
            </w:r>
            <w:r w:rsidRPr="002C2D28">
              <w:rPr>
                <w:rFonts w:ascii="ITC Avant Garde" w:eastAsia="Times New Roman" w:hAnsi="ITC Avant Garde"/>
                <w:b/>
                <w:color w:val="000000"/>
                <w:sz w:val="20"/>
                <w:szCs w:val="20"/>
                <w:lang w:eastAsia="es-MX"/>
              </w:rPr>
              <w:t>considera</w:t>
            </w:r>
            <w:r>
              <w:rPr>
                <w:rFonts w:ascii="ITC Avant Garde" w:eastAsia="Times New Roman" w:hAnsi="ITC Avant Garde"/>
                <w:b/>
                <w:color w:val="000000"/>
                <w:sz w:val="20"/>
                <w:szCs w:val="20"/>
                <w:lang w:eastAsia="es-MX"/>
              </w:rPr>
              <w:t>ciones respecto</w:t>
            </w:r>
            <w:r w:rsidRPr="002C2D28">
              <w:rPr>
                <w:rFonts w:ascii="ITC Avant Garde" w:eastAsia="Times New Roman" w:hAnsi="ITC Avant Garde"/>
                <w:b/>
                <w:color w:val="000000"/>
                <w:sz w:val="20"/>
                <w:szCs w:val="20"/>
                <w:lang w:eastAsia="es-MX"/>
              </w:rPr>
              <w:t xml:space="preserve"> </w:t>
            </w:r>
            <w:r>
              <w:rPr>
                <w:rFonts w:ascii="ITC Avant Garde" w:eastAsia="Times New Roman" w:hAnsi="ITC Avant Garde"/>
                <w:b/>
                <w:color w:val="000000"/>
                <w:sz w:val="20"/>
                <w:szCs w:val="20"/>
                <w:lang w:eastAsia="es-MX"/>
              </w:rPr>
              <w:t>al diseño de las medidas relacionadas con los servicios de interconexión y su idoneidad</w:t>
            </w:r>
            <w:r w:rsidRPr="002C2D28">
              <w:rPr>
                <w:rFonts w:ascii="ITC Avant Garde" w:eastAsia="Times New Roman" w:hAnsi="ITC Avant Garde"/>
                <w:b/>
                <w:color w:val="000000"/>
                <w:sz w:val="20"/>
                <w:szCs w:val="20"/>
                <w:lang w:eastAsia="es-MX"/>
              </w:rPr>
              <w:t xml:space="preserve"> para alcanzar los objetivos por los que se plantearon</w:t>
            </w:r>
            <w:r>
              <w:rPr>
                <w:rFonts w:ascii="ITC Avant Garde" w:eastAsia="Times New Roman" w:hAnsi="ITC Avant Garde"/>
                <w:b/>
                <w:color w:val="000000"/>
                <w:sz w:val="20"/>
                <w:szCs w:val="20"/>
                <w:lang w:eastAsia="es-MX"/>
              </w:rPr>
              <w:t>?</w:t>
            </w:r>
          </w:p>
        </w:tc>
      </w:tr>
      <w:tr w:rsidR="00B107D7" w:rsidRPr="002C2D28" w14:paraId="16293E78" w14:textId="77777777" w:rsidTr="00652FBC">
        <w:trPr>
          <w:trHeight w:val="414"/>
        </w:trPr>
        <w:tc>
          <w:tcPr>
            <w:tcW w:w="8641" w:type="dxa"/>
            <w:gridSpan w:val="4"/>
            <w:shd w:val="clear" w:color="auto" w:fill="FFFFFF"/>
            <w:vAlign w:val="center"/>
          </w:tcPr>
          <w:p w14:paraId="4876F1DB" w14:textId="77777777" w:rsidR="00B107D7" w:rsidRPr="002C2D28" w:rsidRDefault="00B107D7" w:rsidP="00B107D7">
            <w:pPr>
              <w:spacing w:after="0" w:line="276" w:lineRule="auto"/>
              <w:rPr>
                <w:rFonts w:ascii="ITC Avant Garde" w:eastAsia="Times New Roman" w:hAnsi="ITC Avant Garde"/>
                <w:b/>
                <w:color w:val="000000"/>
                <w:sz w:val="20"/>
                <w:szCs w:val="20"/>
                <w:lang w:eastAsia="es-MX"/>
              </w:rPr>
            </w:pPr>
          </w:p>
        </w:tc>
      </w:tr>
      <w:tr w:rsidR="00B107D7" w:rsidRPr="002C2D28" w14:paraId="5A3B36B7" w14:textId="77777777" w:rsidTr="00AF6BEE">
        <w:trPr>
          <w:trHeight w:val="414"/>
        </w:trPr>
        <w:tc>
          <w:tcPr>
            <w:tcW w:w="8641" w:type="dxa"/>
            <w:gridSpan w:val="4"/>
            <w:shd w:val="clear" w:color="auto" w:fill="FFFFFF"/>
            <w:vAlign w:val="center"/>
          </w:tcPr>
          <w:p w14:paraId="4A9F3EDB" w14:textId="309CB212" w:rsidR="00B107D7" w:rsidRPr="002C2D28" w:rsidRDefault="00B107D7" w:rsidP="00B107D7">
            <w:pPr>
              <w:jc w:val="both"/>
              <w:rPr>
                <w:rFonts w:ascii="ITC Avant Garde" w:eastAsia="Times New Roman" w:hAnsi="ITC Avant Garde"/>
                <w:color w:val="7F7F7F" w:themeColor="text1" w:themeTint="80"/>
                <w:sz w:val="20"/>
                <w:szCs w:val="20"/>
                <w:lang w:eastAsia="es-MX"/>
              </w:rPr>
            </w:pPr>
            <w:r>
              <w:rPr>
                <w:rFonts w:ascii="ITC Avant Garde" w:hAnsi="ITC Avant Garde"/>
                <w:b/>
                <w:sz w:val="20"/>
                <w:szCs w:val="20"/>
              </w:rPr>
              <w:t>Favor de indicar la(s)</w:t>
            </w:r>
            <w:r w:rsidRPr="002C2D28">
              <w:rPr>
                <w:rFonts w:ascii="ITC Avant Garde" w:hAnsi="ITC Avant Garde"/>
                <w:b/>
                <w:sz w:val="20"/>
                <w:szCs w:val="20"/>
              </w:rPr>
              <w:t xml:space="preserve"> propuesta</w:t>
            </w:r>
            <w:r>
              <w:rPr>
                <w:rFonts w:ascii="ITC Avant Garde" w:hAnsi="ITC Avant Garde"/>
                <w:b/>
                <w:sz w:val="20"/>
                <w:szCs w:val="20"/>
              </w:rPr>
              <w:t>(s)</w:t>
            </w:r>
            <w:r w:rsidRPr="002C2D28">
              <w:rPr>
                <w:rFonts w:ascii="ITC Avant Garde" w:hAnsi="ITC Avant Garde"/>
                <w:b/>
                <w:sz w:val="20"/>
                <w:szCs w:val="20"/>
              </w:rPr>
              <w:t xml:space="preserve"> específica</w:t>
            </w:r>
            <w:r>
              <w:rPr>
                <w:rFonts w:ascii="ITC Avant Garde" w:hAnsi="ITC Avant Garde"/>
                <w:b/>
                <w:sz w:val="20"/>
                <w:szCs w:val="20"/>
              </w:rPr>
              <w:t>(s)</w:t>
            </w:r>
            <w:r w:rsidRPr="002C2D28">
              <w:rPr>
                <w:rFonts w:ascii="ITC Avant Garde" w:hAnsi="ITC Avant Garde"/>
                <w:b/>
                <w:sz w:val="20"/>
                <w:szCs w:val="20"/>
              </w:rPr>
              <w:t xml:space="preserve"> </w:t>
            </w:r>
            <w:r>
              <w:rPr>
                <w:rFonts w:ascii="ITC Avant Garde" w:hAnsi="ITC Avant Garde"/>
                <w:b/>
                <w:sz w:val="20"/>
                <w:szCs w:val="20"/>
              </w:rPr>
              <w:t>para la supresión, modificación o adición de</w:t>
            </w:r>
            <w:r w:rsidRPr="002C2D28">
              <w:rPr>
                <w:rFonts w:ascii="ITC Avant Garde" w:hAnsi="ITC Avant Garde"/>
                <w:b/>
                <w:sz w:val="20"/>
                <w:szCs w:val="20"/>
              </w:rPr>
              <w:t xml:space="preserve"> las medidas relacionadas con </w:t>
            </w:r>
            <w:r>
              <w:rPr>
                <w:rFonts w:ascii="ITC Avant Garde" w:hAnsi="ITC Avant Garde"/>
                <w:b/>
                <w:sz w:val="20"/>
                <w:szCs w:val="20"/>
              </w:rPr>
              <w:t>los servicios de interconexión.</w:t>
            </w:r>
          </w:p>
        </w:tc>
      </w:tr>
      <w:tr w:rsidR="002C2D28" w:rsidRPr="002C2D28" w14:paraId="412920FD" w14:textId="77777777" w:rsidTr="00652FBC">
        <w:trPr>
          <w:trHeight w:val="414"/>
        </w:trPr>
        <w:tc>
          <w:tcPr>
            <w:tcW w:w="3047" w:type="dxa"/>
            <w:gridSpan w:val="2"/>
            <w:shd w:val="clear" w:color="auto" w:fill="FFFFFF"/>
          </w:tcPr>
          <w:p w14:paraId="2CAEFE8C"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gridSpan w:val="2"/>
            <w:shd w:val="clear" w:color="auto" w:fill="FFFFFF"/>
          </w:tcPr>
          <w:p w14:paraId="50680232"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2C2D28" w:rsidRPr="002C2D28" w14:paraId="287D062D" w14:textId="77777777" w:rsidTr="00652FBC">
        <w:trPr>
          <w:trHeight w:val="414"/>
        </w:trPr>
        <w:tc>
          <w:tcPr>
            <w:tcW w:w="3047" w:type="dxa"/>
            <w:gridSpan w:val="2"/>
            <w:shd w:val="clear" w:color="auto" w:fill="FFFFFF"/>
          </w:tcPr>
          <w:p w14:paraId="61E3682B"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lastRenderedPageBreak/>
              <w:t>[Indique medida]</w:t>
            </w:r>
          </w:p>
        </w:tc>
        <w:tc>
          <w:tcPr>
            <w:tcW w:w="5594" w:type="dxa"/>
            <w:gridSpan w:val="2"/>
            <w:shd w:val="clear" w:color="auto" w:fill="FFFFFF"/>
          </w:tcPr>
          <w:p w14:paraId="6C2026CA"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2C2D28" w:rsidRPr="002C2D28" w14:paraId="6EA0CF99" w14:textId="77777777" w:rsidTr="00652FBC">
        <w:trPr>
          <w:trHeight w:val="414"/>
        </w:trPr>
        <w:tc>
          <w:tcPr>
            <w:tcW w:w="1754" w:type="dxa"/>
            <w:shd w:val="clear" w:color="auto" w:fill="C5E0B3"/>
            <w:vAlign w:val="center"/>
          </w:tcPr>
          <w:p w14:paraId="5F62AA50" w14:textId="0496DD03"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Medidas referentes</w:t>
            </w:r>
            <w:r w:rsidR="00F34942">
              <w:rPr>
                <w:rFonts w:ascii="ITC Avant Garde" w:eastAsia="Times New Roman" w:hAnsi="ITC Avant Garde"/>
                <w:b/>
                <w:color w:val="000000"/>
                <w:sz w:val="20"/>
                <w:szCs w:val="20"/>
                <w:lang w:eastAsia="es-MX"/>
              </w:rPr>
              <w:t xml:space="preserve"> a</w:t>
            </w:r>
            <w:r w:rsidRPr="002C2D28">
              <w:rPr>
                <w:rFonts w:ascii="ITC Avant Garde" w:eastAsia="Times New Roman" w:hAnsi="ITC Avant Garde"/>
                <w:b/>
                <w:color w:val="000000"/>
                <w:sz w:val="20"/>
                <w:szCs w:val="20"/>
                <w:lang w:eastAsia="es-MX"/>
              </w:rPr>
              <w:t xml:space="preserve"> Enlaces Dedicados</w:t>
            </w:r>
          </w:p>
          <w:p w14:paraId="672CA137" w14:textId="77777777"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p>
          <w:p w14:paraId="3631B93C" w14:textId="432A3033"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Anexo 2:</w:t>
            </w:r>
            <w:r>
              <w:rPr>
                <w:rFonts w:ascii="ITC Avant Garde" w:hAnsi="ITC Avant Garde"/>
                <w:sz w:val="20"/>
                <w:szCs w:val="20"/>
              </w:rPr>
              <w:t xml:space="preserve"> </w:t>
            </w:r>
            <w:r w:rsidRPr="002C2D28">
              <w:rPr>
                <w:rFonts w:ascii="ITC Avant Garde" w:eastAsia="Times New Roman" w:hAnsi="ITC Avant Garde"/>
                <w:b/>
                <w:color w:val="000000"/>
                <w:sz w:val="20"/>
                <w:szCs w:val="20"/>
                <w:lang w:eastAsia="es-MX"/>
              </w:rPr>
              <w:t>14, 15, 16, 17, 20, 21, 22, 37, 41, 43, 60, 62 y 69.</w:t>
            </w:r>
          </w:p>
        </w:tc>
        <w:tc>
          <w:tcPr>
            <w:tcW w:w="6887" w:type="dxa"/>
            <w:gridSpan w:val="3"/>
            <w:shd w:val="clear" w:color="auto" w:fill="C5E0B3"/>
            <w:vAlign w:val="center"/>
          </w:tcPr>
          <w:p w14:paraId="2C9C0F1C" w14:textId="77777777" w:rsidR="002C2D28" w:rsidRPr="002C2D28" w:rsidRDefault="002C2D28" w:rsidP="00652FBC">
            <w:pPr>
              <w:spacing w:after="0" w:line="276" w:lineRule="auto"/>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 xml:space="preserve">Objetivos generales: </w:t>
            </w:r>
          </w:p>
          <w:p w14:paraId="79FC769E" w14:textId="77777777" w:rsidR="002C2D28" w:rsidRPr="002C2D28" w:rsidRDefault="002C2D28">
            <w:pPr>
              <w:numPr>
                <w:ilvl w:val="0"/>
                <w:numId w:val="7"/>
              </w:numPr>
              <w:spacing w:after="0" w:line="276" w:lineRule="auto"/>
              <w:jc w:val="both"/>
              <w:rPr>
                <w:rFonts w:ascii="ITC Avant Garde" w:eastAsia="Times New Roman" w:hAnsi="ITC Avant Garde"/>
                <w:color w:val="000000"/>
                <w:sz w:val="20"/>
                <w:szCs w:val="20"/>
                <w:lang w:eastAsia="es-MX"/>
              </w:rPr>
            </w:pPr>
            <w:r w:rsidRPr="002C2D28">
              <w:rPr>
                <w:rFonts w:ascii="ITC Avant Garde" w:eastAsia="Times New Roman" w:hAnsi="ITC Avant Garde"/>
                <w:color w:val="000000"/>
                <w:sz w:val="20"/>
                <w:szCs w:val="20"/>
                <w:lang w:eastAsia="es-MX"/>
              </w:rPr>
              <w:t>Reducir o eliminar barreras a la entrada y la expansión de participantes distintos al AEPT.</w:t>
            </w:r>
          </w:p>
          <w:p w14:paraId="655F763F" w14:textId="77777777" w:rsidR="002C2D28" w:rsidRPr="002C2D28" w:rsidRDefault="002C2D28">
            <w:pPr>
              <w:numPr>
                <w:ilvl w:val="0"/>
                <w:numId w:val="7"/>
              </w:numPr>
              <w:spacing w:after="0" w:line="276" w:lineRule="auto"/>
              <w:jc w:val="both"/>
              <w:rPr>
                <w:rFonts w:ascii="ITC Avant Garde" w:eastAsia="Times New Roman" w:hAnsi="ITC Avant Garde"/>
                <w:color w:val="000000"/>
                <w:sz w:val="20"/>
                <w:szCs w:val="20"/>
                <w:lang w:eastAsia="es-MX"/>
              </w:rPr>
            </w:pPr>
            <w:r w:rsidRPr="002C2D28">
              <w:rPr>
                <w:rFonts w:ascii="ITC Avant Garde" w:eastAsia="Times New Roman" w:hAnsi="ITC Avant Garde"/>
                <w:color w:val="000000"/>
                <w:sz w:val="20"/>
                <w:szCs w:val="20"/>
                <w:lang w:eastAsia="es-MX"/>
              </w:rPr>
              <w:t>Promover el uso eficiente de las redes y la infraestructura.</w:t>
            </w:r>
          </w:p>
          <w:p w14:paraId="1A4829A1" w14:textId="77777777" w:rsidR="002C2D28" w:rsidRPr="002C2D28" w:rsidRDefault="002C2D28">
            <w:pPr>
              <w:numPr>
                <w:ilvl w:val="0"/>
                <w:numId w:val="7"/>
              </w:numPr>
              <w:spacing w:after="0" w:line="276" w:lineRule="auto"/>
              <w:jc w:val="both"/>
              <w:rPr>
                <w:rFonts w:ascii="ITC Avant Garde" w:eastAsia="Times New Roman" w:hAnsi="ITC Avant Garde"/>
                <w:color w:val="000000"/>
                <w:sz w:val="20"/>
                <w:szCs w:val="20"/>
                <w:lang w:eastAsia="es-MX"/>
              </w:rPr>
            </w:pPr>
            <w:r w:rsidRPr="002C2D28">
              <w:rPr>
                <w:rFonts w:ascii="ITC Avant Garde" w:hAnsi="ITC Avant Garde"/>
                <w:sz w:val="20"/>
                <w:szCs w:val="20"/>
              </w:rPr>
              <w:t>Remediar y prevenir condiciones y conductas con efectos que no favorezcan la competencia y libre concurrencia</w:t>
            </w:r>
          </w:p>
          <w:p w14:paraId="5D71B7B0" w14:textId="77777777" w:rsidR="002C2D28" w:rsidRPr="002C2D28" w:rsidRDefault="002C2D28">
            <w:pPr>
              <w:numPr>
                <w:ilvl w:val="0"/>
                <w:numId w:val="7"/>
              </w:numPr>
              <w:spacing w:after="0" w:line="276" w:lineRule="auto"/>
              <w:jc w:val="both"/>
              <w:rPr>
                <w:rFonts w:ascii="ITC Avant Garde" w:eastAsia="Times New Roman" w:hAnsi="ITC Avant Garde"/>
                <w:color w:val="000000"/>
                <w:sz w:val="20"/>
                <w:szCs w:val="20"/>
                <w:lang w:eastAsia="es-MX"/>
              </w:rPr>
            </w:pPr>
            <w:r w:rsidRPr="002C2D28">
              <w:rPr>
                <w:rFonts w:ascii="ITC Avant Garde" w:hAnsi="ITC Avant Garde"/>
                <w:sz w:val="20"/>
                <w:szCs w:val="20"/>
              </w:rPr>
              <w:t>Disminuir costos de transacción.</w:t>
            </w:r>
          </w:p>
        </w:tc>
      </w:tr>
      <w:tr w:rsidR="002C2D28" w:rsidRPr="002C2D28" w14:paraId="2AD0F6D9" w14:textId="77777777" w:rsidTr="00652FBC">
        <w:trPr>
          <w:trHeight w:val="414"/>
        </w:trPr>
        <w:tc>
          <w:tcPr>
            <w:tcW w:w="8641" w:type="dxa"/>
            <w:gridSpan w:val="4"/>
            <w:shd w:val="clear" w:color="auto" w:fill="FFFFFF"/>
            <w:vAlign w:val="center"/>
          </w:tcPr>
          <w:p w14:paraId="2A4919AB" w14:textId="77777777" w:rsidR="002C2D28" w:rsidRPr="002C2D28" w:rsidRDefault="002C2D28" w:rsidP="00652FBC">
            <w:pPr>
              <w:rPr>
                <w:rFonts w:ascii="ITC Avant Garde" w:hAnsi="ITC Avant Garde"/>
                <w:b/>
                <w:sz w:val="20"/>
                <w:szCs w:val="20"/>
              </w:rPr>
            </w:pPr>
            <w:r w:rsidRPr="002C2D28">
              <w:rPr>
                <w:rFonts w:ascii="ITC Avant Garde" w:hAnsi="ITC Avant Garde"/>
                <w:b/>
                <w:sz w:val="20"/>
                <w:szCs w:val="20"/>
              </w:rPr>
              <w:t>Contexto:</w:t>
            </w:r>
          </w:p>
          <w:p w14:paraId="516A7CFA" w14:textId="77777777" w:rsidR="002C2D28" w:rsidRPr="002C2D28" w:rsidRDefault="002C2D28" w:rsidP="00EA0095">
            <w:pPr>
              <w:jc w:val="both"/>
              <w:rPr>
                <w:rFonts w:ascii="ITC Avant Garde" w:hAnsi="ITC Avant Garde"/>
                <w:sz w:val="20"/>
                <w:szCs w:val="20"/>
              </w:rPr>
            </w:pPr>
            <w:r w:rsidRPr="002C2D28">
              <w:rPr>
                <w:rFonts w:ascii="ITC Avant Garde" w:hAnsi="ITC Avant Garde"/>
                <w:sz w:val="20"/>
                <w:szCs w:val="20"/>
              </w:rPr>
              <w:t xml:space="preserve">El servicio mayorista de arrendamiento de enlaces dedicados es un insumo utilizado por el resto de los competidores para complementar su infraestructura de transporte o para llegar a clientes ubicados en lugares donde no cuentan con infraestructura propia. Asimismo, los concesionarios de redes públicas de telecomunicaciones utilizan los enlaces dedicados para transportar todo tipo de tráfico entre distintos puntos de su red, conectarse con otros operadores, intercambiar tráfico conmutado y no conmutado, y dar acceso a su red a usuarios finales. </w:t>
            </w:r>
          </w:p>
          <w:p w14:paraId="7D496413" w14:textId="77777777" w:rsidR="002C2D28" w:rsidRPr="002C2D28" w:rsidRDefault="002C2D28" w:rsidP="00EA0095">
            <w:pPr>
              <w:jc w:val="both"/>
              <w:rPr>
                <w:rFonts w:ascii="ITC Avant Garde" w:hAnsi="ITC Avant Garde"/>
                <w:b/>
                <w:sz w:val="20"/>
                <w:szCs w:val="20"/>
              </w:rPr>
            </w:pPr>
            <w:r w:rsidRPr="002C2D28">
              <w:rPr>
                <w:rFonts w:ascii="ITC Avant Garde" w:hAnsi="ITC Avant Garde"/>
                <w:b/>
                <w:sz w:val="20"/>
                <w:szCs w:val="20"/>
              </w:rPr>
              <w:t>Resumen de las medidas impuestas:</w:t>
            </w:r>
          </w:p>
          <w:p w14:paraId="03912444" w14:textId="77777777" w:rsidR="002C2D28" w:rsidRPr="002C2D28" w:rsidRDefault="002C2D28" w:rsidP="00EA0095">
            <w:pPr>
              <w:jc w:val="both"/>
              <w:rPr>
                <w:rFonts w:ascii="ITC Avant Garde" w:hAnsi="ITC Avant Garde"/>
                <w:sz w:val="20"/>
                <w:szCs w:val="20"/>
              </w:rPr>
            </w:pPr>
            <w:r w:rsidRPr="002C2D28">
              <w:rPr>
                <w:rFonts w:ascii="ITC Avant Garde" w:hAnsi="ITC Avant Garde"/>
                <w:sz w:val="20"/>
                <w:szCs w:val="20"/>
              </w:rPr>
              <w:t>El Instituto impuso medidas al AEPT referentes a prestar el servicio mayorista de arrendamiento de enlaces dedicados, publicar una oferta de referencia previamente aprobada por el Instituto, suscribir convenios, poner información a disposición de los CS, entre otras. Además, se establecieron las velocidades mínimas de transmisión que debían ser ofertadas, los plazos de entrega máximos, así como los parámetros de calidad que deberán ser cumplidos en la prestación del servicio mayorista, entre otras.</w:t>
            </w:r>
          </w:p>
          <w:p w14:paraId="19779C66" w14:textId="77777777" w:rsidR="002C2D28" w:rsidRDefault="002C2D28" w:rsidP="00EA0095">
            <w:pPr>
              <w:jc w:val="both"/>
              <w:rPr>
                <w:rFonts w:ascii="ITC Avant Garde" w:eastAsia="Times New Roman" w:hAnsi="ITC Avant Garde"/>
                <w:color w:val="000000"/>
                <w:sz w:val="20"/>
                <w:szCs w:val="20"/>
                <w:lang w:eastAsia="es-MX"/>
              </w:rPr>
            </w:pPr>
            <w:r w:rsidRPr="002C2D28">
              <w:rPr>
                <w:rFonts w:ascii="ITC Avant Garde" w:hAnsi="ITC Avant Garde"/>
                <w:sz w:val="20"/>
                <w:szCs w:val="20"/>
              </w:rPr>
              <w:t xml:space="preserve">A través de la </w:t>
            </w:r>
            <w:r w:rsidR="00C80D31">
              <w:rPr>
                <w:rFonts w:ascii="ITC Avant Garde" w:hAnsi="ITC Avant Garde"/>
                <w:sz w:val="20"/>
                <w:szCs w:val="20"/>
              </w:rPr>
              <w:t xml:space="preserve">Primera </w:t>
            </w:r>
            <w:r w:rsidRPr="002C2D28">
              <w:rPr>
                <w:rFonts w:ascii="ITC Avant Garde" w:hAnsi="ITC Avant Garde"/>
                <w:sz w:val="20"/>
                <w:szCs w:val="20"/>
              </w:rPr>
              <w:t>Resolución Bienal de Telecomunicaciones</w:t>
            </w:r>
            <w:r w:rsidRPr="002C2D28">
              <w:rPr>
                <w:rFonts w:ascii="ITC Avant Garde" w:eastAsia="Times New Roman" w:hAnsi="ITC Avant Garde"/>
                <w:color w:val="000000"/>
                <w:sz w:val="20"/>
                <w:szCs w:val="20"/>
                <w:lang w:eastAsia="es-MX"/>
              </w:rPr>
              <w:t xml:space="preserve"> se hicieron adecuaciones </w:t>
            </w:r>
            <w:r w:rsidRPr="002C2D28">
              <w:rPr>
                <w:rFonts w:ascii="ITC Avant Garde" w:hAnsi="ITC Avant Garde"/>
                <w:sz w:val="20"/>
                <w:szCs w:val="20"/>
              </w:rPr>
              <w:t xml:space="preserve">en materia de periodicidad de medición y parámetros de calidad, determinación de tarifas con base en una metodología de costos incrementales, </w:t>
            </w:r>
            <w:r w:rsidRPr="002C2D28">
              <w:rPr>
                <w:rFonts w:ascii="ITC Avant Garde" w:eastAsia="Times New Roman" w:hAnsi="ITC Avant Garde"/>
                <w:color w:val="000000"/>
                <w:sz w:val="20"/>
                <w:szCs w:val="20"/>
                <w:lang w:eastAsia="es-MX"/>
              </w:rPr>
              <w:t xml:space="preserve">facturación, procesos y elementos mínimos que debe contener la oferta de referencia (incluidas las tarifas mayoristas), </w:t>
            </w:r>
            <w:r w:rsidRPr="002C2D28">
              <w:rPr>
                <w:rFonts w:ascii="ITC Avant Garde" w:hAnsi="ITC Avant Garde"/>
                <w:sz w:val="20"/>
                <w:szCs w:val="20"/>
              </w:rPr>
              <w:t xml:space="preserve">flexibilidad en la provisión de los enlaces, </w:t>
            </w:r>
            <w:r w:rsidRPr="002C2D28">
              <w:rPr>
                <w:rFonts w:ascii="ITC Avant Garde" w:eastAsia="Times New Roman" w:hAnsi="ITC Avant Garde"/>
                <w:color w:val="000000"/>
                <w:sz w:val="20"/>
                <w:szCs w:val="20"/>
                <w:lang w:eastAsia="es-MX"/>
              </w:rPr>
              <w:t>inclusión de nuevas figuras legales y homologación con lo establecido en la LFTR y otros ordenamientos jurídicos</w:t>
            </w:r>
            <w:r w:rsidRPr="002C2D28">
              <w:rPr>
                <w:rFonts w:ascii="ITC Avant Garde" w:hAnsi="ITC Avant Garde"/>
                <w:sz w:val="20"/>
                <w:szCs w:val="20"/>
              </w:rPr>
              <w:t xml:space="preserve">, </w:t>
            </w:r>
            <w:r w:rsidRPr="002C2D28">
              <w:rPr>
                <w:rFonts w:ascii="ITC Avant Garde" w:eastAsia="Times New Roman" w:hAnsi="ITC Avant Garde"/>
                <w:color w:val="000000"/>
                <w:sz w:val="20"/>
                <w:szCs w:val="20"/>
                <w:lang w:eastAsia="es-MX"/>
              </w:rPr>
              <w:t>entre otras.</w:t>
            </w:r>
          </w:p>
          <w:p w14:paraId="722905D0" w14:textId="6076B50B" w:rsidR="00C80D31" w:rsidRPr="002C2D28" w:rsidRDefault="00324DBD" w:rsidP="00EA0095">
            <w:pPr>
              <w:jc w:val="both"/>
              <w:rPr>
                <w:rFonts w:ascii="ITC Avant Garde" w:hAnsi="ITC Avant Garde"/>
                <w:sz w:val="20"/>
                <w:szCs w:val="20"/>
              </w:rPr>
            </w:pPr>
            <w:r>
              <w:rPr>
                <w:rFonts w:ascii="ITC Avant Garde" w:eastAsia="Times New Roman" w:hAnsi="ITC Avant Garde"/>
                <w:color w:val="000000"/>
                <w:sz w:val="20"/>
                <w:szCs w:val="20"/>
                <w:lang w:eastAsia="es-MX"/>
              </w:rPr>
              <w:t>En la Segunda Resolución Bienal de Telecomunicaciones</w:t>
            </w:r>
            <w:r w:rsidRPr="00C430C1">
              <w:rPr>
                <w:rFonts w:ascii="ITC Avant Garde" w:eastAsia="Times New Roman" w:hAnsi="ITC Avant Garde"/>
                <w:color w:val="000000"/>
                <w:sz w:val="20"/>
                <w:szCs w:val="20"/>
                <w:lang w:eastAsia="es-MX"/>
              </w:rPr>
              <w:t xml:space="preserve"> </w:t>
            </w:r>
            <w:r w:rsidRPr="00B56FD9">
              <w:rPr>
                <w:rFonts w:ascii="ITC Avant Garde" w:eastAsia="Times New Roman" w:hAnsi="ITC Avant Garde"/>
                <w:color w:val="000000"/>
                <w:sz w:val="20"/>
                <w:szCs w:val="20"/>
                <w:lang w:eastAsia="es-MX"/>
              </w:rPr>
              <w:t>se hicieron modificaciones en cuanto al proceso de revisión anual de la oferta de referencia para hacerlo más eficiente</w:t>
            </w:r>
            <w:r>
              <w:rPr>
                <w:rFonts w:ascii="ITC Avant Garde" w:eastAsia="Times New Roman" w:hAnsi="ITC Avant Garde"/>
                <w:color w:val="000000"/>
                <w:sz w:val="20"/>
                <w:szCs w:val="20"/>
                <w:lang w:eastAsia="es-MX"/>
              </w:rPr>
              <w:t xml:space="preserve"> y se hicieron modificaciones para</w:t>
            </w:r>
            <w:r w:rsidRPr="001621F6">
              <w:rPr>
                <w:rFonts w:ascii="ITC Avant Garde" w:eastAsia="Times New Roman" w:hAnsi="ITC Avant Garde"/>
                <w:color w:val="000000"/>
                <w:sz w:val="20"/>
                <w:szCs w:val="20"/>
                <w:lang w:eastAsia="es-MX"/>
              </w:rPr>
              <w:t xml:space="preserve"> que la definición de los procedimientos, plazos, términos y demás condiciones técnicas y económicas para la prestación de</w:t>
            </w:r>
            <w:r w:rsidR="008C3BB3">
              <w:rPr>
                <w:rFonts w:ascii="ITC Avant Garde" w:eastAsia="Times New Roman" w:hAnsi="ITC Avant Garde"/>
                <w:color w:val="000000"/>
                <w:sz w:val="20"/>
                <w:szCs w:val="20"/>
                <w:lang w:eastAsia="es-MX"/>
              </w:rPr>
              <w:t xml:space="preserve"> </w:t>
            </w:r>
            <w:r w:rsidRPr="001621F6">
              <w:rPr>
                <w:rFonts w:ascii="ITC Avant Garde" w:eastAsia="Times New Roman" w:hAnsi="ITC Avant Garde"/>
                <w:color w:val="000000"/>
                <w:sz w:val="20"/>
                <w:szCs w:val="20"/>
                <w:lang w:eastAsia="es-MX"/>
              </w:rPr>
              <w:t>l</w:t>
            </w:r>
            <w:r w:rsidR="008C3BB3">
              <w:rPr>
                <w:rFonts w:ascii="ITC Avant Garde" w:eastAsia="Times New Roman" w:hAnsi="ITC Avant Garde"/>
                <w:color w:val="000000"/>
                <w:sz w:val="20"/>
                <w:szCs w:val="20"/>
                <w:lang w:eastAsia="es-MX"/>
              </w:rPr>
              <w:t>os</w:t>
            </w:r>
            <w:r w:rsidRPr="001621F6">
              <w:rPr>
                <w:rFonts w:ascii="ITC Avant Garde" w:eastAsia="Times New Roman" w:hAnsi="ITC Avant Garde"/>
                <w:color w:val="000000"/>
                <w:sz w:val="20"/>
                <w:szCs w:val="20"/>
                <w:lang w:eastAsia="es-MX"/>
              </w:rPr>
              <w:t xml:space="preserve"> servicio</w:t>
            </w:r>
            <w:r w:rsidR="008C3BB3">
              <w:rPr>
                <w:rFonts w:ascii="ITC Avant Garde" w:eastAsia="Times New Roman" w:hAnsi="ITC Avant Garde"/>
                <w:color w:val="000000"/>
                <w:sz w:val="20"/>
                <w:szCs w:val="20"/>
                <w:lang w:eastAsia="es-MX"/>
              </w:rPr>
              <w:t>s</w:t>
            </w:r>
            <w:r w:rsidRPr="001621F6">
              <w:rPr>
                <w:rFonts w:ascii="ITC Avant Garde" w:eastAsia="Times New Roman" w:hAnsi="ITC Avant Garde"/>
                <w:color w:val="000000"/>
                <w:sz w:val="20"/>
                <w:szCs w:val="20"/>
                <w:lang w:eastAsia="es-MX"/>
              </w:rPr>
              <w:t xml:space="preserve"> mayorista</w:t>
            </w:r>
            <w:r w:rsidR="008C3BB3">
              <w:rPr>
                <w:rFonts w:ascii="ITC Avant Garde" w:eastAsia="Times New Roman" w:hAnsi="ITC Avant Garde"/>
                <w:color w:val="000000"/>
                <w:sz w:val="20"/>
                <w:szCs w:val="20"/>
                <w:lang w:eastAsia="es-MX"/>
              </w:rPr>
              <w:t>s</w:t>
            </w:r>
            <w:r>
              <w:rPr>
                <w:rFonts w:ascii="ITC Avant Garde" w:eastAsia="Times New Roman" w:hAnsi="ITC Avant Garde"/>
                <w:color w:val="000000"/>
                <w:sz w:val="20"/>
                <w:szCs w:val="20"/>
                <w:lang w:eastAsia="es-MX"/>
              </w:rPr>
              <w:t xml:space="preserve"> de enlaces dedicados</w:t>
            </w:r>
            <w:r w:rsidRPr="001621F6">
              <w:rPr>
                <w:rFonts w:ascii="ITC Avant Garde" w:eastAsia="Times New Roman" w:hAnsi="ITC Avant Garde"/>
                <w:color w:val="000000"/>
                <w:sz w:val="20"/>
                <w:szCs w:val="20"/>
                <w:lang w:eastAsia="es-MX"/>
              </w:rPr>
              <w:t xml:space="preserve"> </w:t>
            </w:r>
            <w:r w:rsidR="008C3BB3">
              <w:rPr>
                <w:rFonts w:ascii="ITC Avant Garde" w:eastAsia="Times New Roman" w:hAnsi="ITC Avant Garde"/>
                <w:color w:val="000000"/>
                <w:sz w:val="20"/>
                <w:szCs w:val="20"/>
                <w:lang w:eastAsia="es-MX"/>
              </w:rPr>
              <w:t>se lleve a cabo</w:t>
            </w:r>
            <w:r w:rsidR="008C3BB3" w:rsidRPr="001621F6">
              <w:rPr>
                <w:rFonts w:ascii="ITC Avant Garde" w:eastAsia="Times New Roman" w:hAnsi="ITC Avant Garde"/>
                <w:color w:val="000000"/>
                <w:sz w:val="20"/>
                <w:szCs w:val="20"/>
                <w:lang w:eastAsia="es-MX"/>
              </w:rPr>
              <w:t xml:space="preserve"> en la revisión anual </w:t>
            </w:r>
            <w:r w:rsidR="008C3BB3">
              <w:rPr>
                <w:rFonts w:ascii="ITC Avant Garde" w:eastAsia="Times New Roman" w:hAnsi="ITC Avant Garde"/>
                <w:color w:val="000000"/>
                <w:sz w:val="20"/>
                <w:szCs w:val="20"/>
                <w:lang w:eastAsia="es-MX"/>
              </w:rPr>
              <w:t>de las ofertas de referencia, a fin de garantizar que la prestación de los servicios sea acorde al dinamismo que caracteriza al sector</w:t>
            </w:r>
            <w:r w:rsidR="00390B31">
              <w:rPr>
                <w:rFonts w:ascii="ITC Avant Garde" w:hAnsi="ITC Avant Garde"/>
                <w:sz w:val="20"/>
                <w:szCs w:val="20"/>
              </w:rPr>
              <w:t>.</w:t>
            </w:r>
            <w:r>
              <w:rPr>
                <w:rFonts w:ascii="ITC Avant Garde" w:hAnsi="ITC Avant Garde"/>
                <w:sz w:val="20"/>
                <w:szCs w:val="20"/>
              </w:rPr>
              <w:t xml:space="preserve"> Asimismo, se estableció que como parte de la </w:t>
            </w:r>
            <w:r>
              <w:rPr>
                <w:rFonts w:ascii="ITC Avant Garde" w:hAnsi="ITC Avant Garde"/>
                <w:sz w:val="20"/>
                <w:szCs w:val="20"/>
              </w:rPr>
              <w:lastRenderedPageBreak/>
              <w:t xml:space="preserve">oferta de referencia se deberían incluir </w:t>
            </w:r>
            <w:r w:rsidRPr="00324DBD">
              <w:rPr>
                <w:rFonts w:ascii="ITC Avant Garde" w:hAnsi="ITC Avant Garde"/>
                <w:sz w:val="20"/>
                <w:szCs w:val="20"/>
              </w:rPr>
              <w:t>los criterios y metodologías para determinar los trabajos especiales</w:t>
            </w:r>
            <w:r>
              <w:rPr>
                <w:rFonts w:ascii="ITC Avant Garde" w:hAnsi="ITC Avant Garde"/>
                <w:sz w:val="20"/>
                <w:szCs w:val="20"/>
              </w:rPr>
              <w:t>.</w:t>
            </w:r>
          </w:p>
        </w:tc>
      </w:tr>
      <w:tr w:rsidR="002C2D28" w:rsidRPr="002C2D28" w14:paraId="21090967" w14:textId="77777777" w:rsidTr="00652FBC">
        <w:trPr>
          <w:trHeight w:val="414"/>
        </w:trPr>
        <w:tc>
          <w:tcPr>
            <w:tcW w:w="8641" w:type="dxa"/>
            <w:gridSpan w:val="4"/>
            <w:shd w:val="clear" w:color="auto" w:fill="FFFFFF"/>
            <w:vAlign w:val="center"/>
          </w:tcPr>
          <w:p w14:paraId="2D9AA718" w14:textId="10171072" w:rsidR="002C2D28" w:rsidRPr="002C2D28" w:rsidRDefault="00B107D7" w:rsidP="00CA36B0">
            <w:pPr>
              <w:jc w:val="both"/>
              <w:rPr>
                <w:rFonts w:ascii="ITC Avant Garde" w:eastAsia="Times New Roman" w:hAnsi="ITC Avant Garde"/>
                <w:b/>
                <w:color w:val="000000"/>
                <w:sz w:val="20"/>
                <w:szCs w:val="20"/>
                <w:lang w:eastAsia="es-MX"/>
              </w:rPr>
            </w:pPr>
            <w:r w:rsidRPr="009B1606">
              <w:rPr>
                <w:rFonts w:ascii="ITC Avant Garde" w:eastAsia="Times New Roman" w:hAnsi="ITC Avant Garde"/>
                <w:b/>
                <w:color w:val="000000"/>
                <w:sz w:val="20"/>
                <w:szCs w:val="20"/>
                <w:lang w:eastAsia="es-MX"/>
              </w:rPr>
              <w:lastRenderedPageBreak/>
              <w:t>¿</w:t>
            </w:r>
            <w:r>
              <w:rPr>
                <w:rFonts w:ascii="ITC Avant Garde" w:eastAsia="Times New Roman" w:hAnsi="ITC Avant Garde"/>
                <w:b/>
                <w:color w:val="000000"/>
                <w:sz w:val="20"/>
                <w:szCs w:val="20"/>
                <w:lang w:eastAsia="es-MX"/>
              </w:rPr>
              <w:t>Cuáles son sus consideraciones respecto al impacto que ha tenido la regulación asimétrica al AEPT del servicio mayorista de enlaces dedicados?</w:t>
            </w:r>
          </w:p>
        </w:tc>
      </w:tr>
      <w:tr w:rsidR="002C2D28" w:rsidRPr="002C2D28" w14:paraId="7983108F" w14:textId="77777777" w:rsidTr="00652FBC">
        <w:trPr>
          <w:trHeight w:val="414"/>
        </w:trPr>
        <w:tc>
          <w:tcPr>
            <w:tcW w:w="8641" w:type="dxa"/>
            <w:gridSpan w:val="4"/>
            <w:shd w:val="clear" w:color="auto" w:fill="FFFFFF"/>
            <w:vAlign w:val="center"/>
          </w:tcPr>
          <w:p w14:paraId="72BA8B68" w14:textId="77777777" w:rsidR="002C2D28" w:rsidRPr="002C2D28" w:rsidRDefault="002C2D28" w:rsidP="00CA36B0">
            <w:pPr>
              <w:spacing w:after="0" w:line="276" w:lineRule="auto"/>
              <w:jc w:val="both"/>
              <w:rPr>
                <w:rFonts w:ascii="ITC Avant Garde" w:eastAsia="Times New Roman" w:hAnsi="ITC Avant Garde"/>
                <w:b/>
                <w:color w:val="000000"/>
                <w:sz w:val="20"/>
                <w:szCs w:val="20"/>
                <w:lang w:eastAsia="es-MX"/>
              </w:rPr>
            </w:pPr>
          </w:p>
        </w:tc>
      </w:tr>
      <w:tr w:rsidR="002C2D28" w:rsidRPr="002C2D28" w14:paraId="2842B957" w14:textId="77777777" w:rsidTr="00652FBC">
        <w:trPr>
          <w:trHeight w:val="414"/>
        </w:trPr>
        <w:tc>
          <w:tcPr>
            <w:tcW w:w="8641" w:type="dxa"/>
            <w:gridSpan w:val="4"/>
            <w:shd w:val="clear" w:color="auto" w:fill="FFFFFF"/>
            <w:vAlign w:val="center"/>
          </w:tcPr>
          <w:p w14:paraId="4FC3DEAF" w14:textId="786F058F" w:rsidR="002C2D28" w:rsidRPr="00B107D7" w:rsidRDefault="00B107D7" w:rsidP="00CA36B0">
            <w:pPr>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t xml:space="preserve">¿Cuáles son sus </w:t>
            </w:r>
            <w:r w:rsidRPr="002C2D28">
              <w:rPr>
                <w:rFonts w:ascii="ITC Avant Garde" w:eastAsia="Times New Roman" w:hAnsi="ITC Avant Garde"/>
                <w:b/>
                <w:color w:val="000000"/>
                <w:sz w:val="20"/>
                <w:szCs w:val="20"/>
                <w:lang w:eastAsia="es-MX"/>
              </w:rPr>
              <w:t>considera</w:t>
            </w:r>
            <w:r>
              <w:rPr>
                <w:rFonts w:ascii="ITC Avant Garde" w:eastAsia="Times New Roman" w:hAnsi="ITC Avant Garde"/>
                <w:b/>
                <w:color w:val="000000"/>
                <w:sz w:val="20"/>
                <w:szCs w:val="20"/>
                <w:lang w:eastAsia="es-MX"/>
              </w:rPr>
              <w:t>ciones respecto</w:t>
            </w:r>
            <w:r w:rsidRPr="002C2D28">
              <w:rPr>
                <w:rFonts w:ascii="ITC Avant Garde" w:eastAsia="Times New Roman" w:hAnsi="ITC Avant Garde"/>
                <w:b/>
                <w:color w:val="000000"/>
                <w:sz w:val="20"/>
                <w:szCs w:val="20"/>
                <w:lang w:eastAsia="es-MX"/>
              </w:rPr>
              <w:t xml:space="preserve"> </w:t>
            </w:r>
            <w:r>
              <w:rPr>
                <w:rFonts w:ascii="ITC Avant Garde" w:eastAsia="Times New Roman" w:hAnsi="ITC Avant Garde"/>
                <w:b/>
                <w:color w:val="000000"/>
                <w:sz w:val="20"/>
                <w:szCs w:val="20"/>
                <w:lang w:eastAsia="es-MX"/>
              </w:rPr>
              <w:t>al diseño de las medidas relacionadas con el servicio mayorista de enlaces dedicados y su idoneidad</w:t>
            </w:r>
            <w:r w:rsidRPr="002C2D28">
              <w:rPr>
                <w:rFonts w:ascii="ITC Avant Garde" w:eastAsia="Times New Roman" w:hAnsi="ITC Avant Garde"/>
                <w:b/>
                <w:color w:val="000000"/>
                <w:sz w:val="20"/>
                <w:szCs w:val="20"/>
                <w:lang w:eastAsia="es-MX"/>
              </w:rPr>
              <w:t xml:space="preserve"> para alcanzar los objetivos por los que se plantearon</w:t>
            </w:r>
            <w:r>
              <w:rPr>
                <w:rFonts w:ascii="ITC Avant Garde" w:eastAsia="Times New Roman" w:hAnsi="ITC Avant Garde"/>
                <w:b/>
                <w:color w:val="000000"/>
                <w:sz w:val="20"/>
                <w:szCs w:val="20"/>
                <w:lang w:eastAsia="es-MX"/>
              </w:rPr>
              <w:t>?</w:t>
            </w:r>
          </w:p>
        </w:tc>
      </w:tr>
      <w:tr w:rsidR="002C2D28" w:rsidRPr="002C2D28" w14:paraId="2EEAF936" w14:textId="77777777" w:rsidTr="00652FBC">
        <w:trPr>
          <w:trHeight w:val="414"/>
        </w:trPr>
        <w:tc>
          <w:tcPr>
            <w:tcW w:w="8641" w:type="dxa"/>
            <w:gridSpan w:val="4"/>
            <w:shd w:val="clear" w:color="auto" w:fill="FFFFFF"/>
            <w:vAlign w:val="center"/>
          </w:tcPr>
          <w:p w14:paraId="22CD0950" w14:textId="77777777" w:rsidR="002C2D28" w:rsidRPr="002C2D28" w:rsidRDefault="002C2D28" w:rsidP="00CA36B0">
            <w:pPr>
              <w:spacing w:after="0" w:line="276" w:lineRule="auto"/>
              <w:jc w:val="both"/>
              <w:rPr>
                <w:rFonts w:ascii="ITC Avant Garde" w:eastAsia="Times New Roman" w:hAnsi="ITC Avant Garde"/>
                <w:b/>
                <w:color w:val="000000"/>
                <w:sz w:val="20"/>
                <w:szCs w:val="20"/>
                <w:lang w:eastAsia="es-MX"/>
              </w:rPr>
            </w:pPr>
          </w:p>
        </w:tc>
      </w:tr>
      <w:tr w:rsidR="002C2D28" w:rsidRPr="002C2D28" w14:paraId="3FEFEA4A" w14:textId="77777777" w:rsidTr="00652FBC">
        <w:trPr>
          <w:trHeight w:val="414"/>
        </w:trPr>
        <w:tc>
          <w:tcPr>
            <w:tcW w:w="8641" w:type="dxa"/>
            <w:gridSpan w:val="4"/>
            <w:shd w:val="clear" w:color="auto" w:fill="FFFFFF"/>
          </w:tcPr>
          <w:p w14:paraId="22916C2E" w14:textId="624AF193" w:rsidR="002C2D28" w:rsidRPr="00B107D7" w:rsidRDefault="00B107D7" w:rsidP="00CA36B0">
            <w:pPr>
              <w:jc w:val="both"/>
            </w:pPr>
            <w:r>
              <w:rPr>
                <w:rFonts w:ascii="ITC Avant Garde" w:hAnsi="ITC Avant Garde"/>
                <w:b/>
                <w:sz w:val="20"/>
                <w:szCs w:val="20"/>
              </w:rPr>
              <w:t>Favor de indicar la(s)</w:t>
            </w:r>
            <w:r w:rsidRPr="002C2D28">
              <w:rPr>
                <w:rFonts w:ascii="ITC Avant Garde" w:hAnsi="ITC Avant Garde"/>
                <w:b/>
                <w:sz w:val="20"/>
                <w:szCs w:val="20"/>
              </w:rPr>
              <w:t xml:space="preserve"> propuesta</w:t>
            </w:r>
            <w:r>
              <w:rPr>
                <w:rFonts w:ascii="ITC Avant Garde" w:hAnsi="ITC Avant Garde"/>
                <w:b/>
                <w:sz w:val="20"/>
                <w:szCs w:val="20"/>
              </w:rPr>
              <w:t>(s)</w:t>
            </w:r>
            <w:r w:rsidRPr="002C2D28">
              <w:rPr>
                <w:rFonts w:ascii="ITC Avant Garde" w:hAnsi="ITC Avant Garde"/>
                <w:b/>
                <w:sz w:val="20"/>
                <w:szCs w:val="20"/>
              </w:rPr>
              <w:t xml:space="preserve"> específica</w:t>
            </w:r>
            <w:r>
              <w:rPr>
                <w:rFonts w:ascii="ITC Avant Garde" w:hAnsi="ITC Avant Garde"/>
                <w:b/>
                <w:sz w:val="20"/>
                <w:szCs w:val="20"/>
              </w:rPr>
              <w:t>(s)</w:t>
            </w:r>
            <w:r w:rsidRPr="002C2D28">
              <w:rPr>
                <w:rFonts w:ascii="ITC Avant Garde" w:hAnsi="ITC Avant Garde"/>
                <w:b/>
                <w:sz w:val="20"/>
                <w:szCs w:val="20"/>
              </w:rPr>
              <w:t xml:space="preserve"> </w:t>
            </w:r>
            <w:r>
              <w:rPr>
                <w:rFonts w:ascii="ITC Avant Garde" w:hAnsi="ITC Avant Garde"/>
                <w:b/>
                <w:sz w:val="20"/>
                <w:szCs w:val="20"/>
              </w:rPr>
              <w:t>para la supresión, modificación o adición de</w:t>
            </w:r>
            <w:r w:rsidRPr="002C2D28">
              <w:rPr>
                <w:rFonts w:ascii="ITC Avant Garde" w:hAnsi="ITC Avant Garde"/>
                <w:b/>
                <w:sz w:val="20"/>
                <w:szCs w:val="20"/>
              </w:rPr>
              <w:t xml:space="preserve"> las medidas relacionadas con </w:t>
            </w:r>
            <w:r>
              <w:rPr>
                <w:rFonts w:ascii="ITC Avant Garde" w:hAnsi="ITC Avant Garde"/>
                <w:b/>
                <w:sz w:val="20"/>
                <w:szCs w:val="20"/>
              </w:rPr>
              <w:t>el servicio mayorista de enlaces dedicados.</w:t>
            </w:r>
          </w:p>
        </w:tc>
      </w:tr>
      <w:tr w:rsidR="002C2D28" w:rsidRPr="002C2D28" w14:paraId="64224C5A" w14:textId="77777777" w:rsidTr="00652FBC">
        <w:trPr>
          <w:trHeight w:val="414"/>
        </w:trPr>
        <w:tc>
          <w:tcPr>
            <w:tcW w:w="3047" w:type="dxa"/>
            <w:gridSpan w:val="2"/>
            <w:shd w:val="clear" w:color="auto" w:fill="FFFFFF"/>
          </w:tcPr>
          <w:p w14:paraId="71FC00F5"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gridSpan w:val="2"/>
            <w:shd w:val="clear" w:color="auto" w:fill="FFFFFF"/>
          </w:tcPr>
          <w:p w14:paraId="6BBD9C4E"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2C2D28" w:rsidRPr="002C2D28" w14:paraId="06C59864" w14:textId="77777777" w:rsidTr="00652FBC">
        <w:trPr>
          <w:trHeight w:val="414"/>
        </w:trPr>
        <w:tc>
          <w:tcPr>
            <w:tcW w:w="3047" w:type="dxa"/>
            <w:gridSpan w:val="2"/>
            <w:shd w:val="clear" w:color="auto" w:fill="FFFFFF"/>
          </w:tcPr>
          <w:p w14:paraId="12D807D1"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gridSpan w:val="2"/>
            <w:shd w:val="clear" w:color="auto" w:fill="FFFFFF"/>
          </w:tcPr>
          <w:p w14:paraId="04B09EB7"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2C2D28" w:rsidRPr="002C2D28" w14:paraId="7F9D71FE" w14:textId="77777777" w:rsidTr="00652FBC">
        <w:trPr>
          <w:trHeight w:val="414"/>
        </w:trPr>
        <w:tc>
          <w:tcPr>
            <w:tcW w:w="1754" w:type="dxa"/>
            <w:shd w:val="clear" w:color="auto" w:fill="C5E0B3"/>
            <w:vAlign w:val="center"/>
          </w:tcPr>
          <w:p w14:paraId="6573F9DC" w14:textId="77777777"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Medidas referentes a compartición de infraestructura pasiva</w:t>
            </w:r>
          </w:p>
          <w:p w14:paraId="2D455C57" w14:textId="77777777"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p>
          <w:p w14:paraId="3F5221D5" w14:textId="77777777" w:rsidR="002C2D28" w:rsidRDefault="002C2D28"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 xml:space="preserve">Anexo 2: </w:t>
            </w:r>
            <w:r w:rsidRPr="002C2D28">
              <w:rPr>
                <w:rFonts w:ascii="ITC Avant Garde" w:hAnsi="ITC Avant Garde"/>
                <w:sz w:val="20"/>
                <w:szCs w:val="20"/>
              </w:rPr>
              <w:t xml:space="preserve"> </w:t>
            </w:r>
            <w:r w:rsidRPr="002C2D28">
              <w:rPr>
                <w:rFonts w:ascii="ITC Avant Garde" w:eastAsia="Times New Roman" w:hAnsi="ITC Avant Garde"/>
                <w:b/>
                <w:color w:val="000000"/>
                <w:sz w:val="20"/>
                <w:szCs w:val="20"/>
                <w:lang w:eastAsia="es-MX"/>
              </w:rPr>
              <w:t xml:space="preserve">23, 24, 25, 29, 30, 31, </w:t>
            </w:r>
            <w:r w:rsidR="00D620AF">
              <w:rPr>
                <w:rFonts w:ascii="ITC Avant Garde" w:eastAsia="Times New Roman" w:hAnsi="ITC Avant Garde"/>
                <w:b/>
                <w:color w:val="000000"/>
                <w:sz w:val="20"/>
                <w:szCs w:val="20"/>
                <w:lang w:eastAsia="es-MX"/>
              </w:rPr>
              <w:t>31BIS,</w:t>
            </w:r>
            <w:r w:rsidRPr="002C2D28">
              <w:rPr>
                <w:rFonts w:ascii="ITC Avant Garde" w:eastAsia="Times New Roman" w:hAnsi="ITC Avant Garde"/>
                <w:b/>
                <w:color w:val="000000"/>
                <w:sz w:val="20"/>
                <w:szCs w:val="20"/>
                <w:lang w:eastAsia="es-MX"/>
              </w:rPr>
              <w:t xml:space="preserve"> 32, 33, 34, 39, 41, 43, 60, 61, 62 y 69.</w:t>
            </w:r>
          </w:p>
          <w:p w14:paraId="58F45344" w14:textId="419005AA" w:rsidR="002C2D28" w:rsidRPr="002C2D28" w:rsidRDefault="00D620AF" w:rsidP="00652FBC">
            <w:pPr>
              <w:spacing w:after="0" w:line="276" w:lineRule="auto"/>
              <w:jc w:val="center"/>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t>Anexo 3: 53</w:t>
            </w:r>
          </w:p>
        </w:tc>
        <w:tc>
          <w:tcPr>
            <w:tcW w:w="6887" w:type="dxa"/>
            <w:gridSpan w:val="3"/>
            <w:shd w:val="clear" w:color="auto" w:fill="C5E0B3"/>
            <w:vAlign w:val="center"/>
          </w:tcPr>
          <w:p w14:paraId="302B337E" w14:textId="77777777" w:rsidR="002C2D28" w:rsidRPr="002C2D28" w:rsidRDefault="002C2D28" w:rsidP="00652FBC">
            <w:pPr>
              <w:spacing w:after="0" w:line="276" w:lineRule="auto"/>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Objetivos generales:</w:t>
            </w:r>
          </w:p>
          <w:p w14:paraId="04632FCF" w14:textId="77777777" w:rsidR="002C2D28" w:rsidRPr="002C2D28" w:rsidRDefault="002C2D28">
            <w:pPr>
              <w:numPr>
                <w:ilvl w:val="0"/>
                <w:numId w:val="7"/>
              </w:numPr>
              <w:spacing w:after="0" w:line="276" w:lineRule="auto"/>
              <w:jc w:val="both"/>
              <w:rPr>
                <w:rFonts w:ascii="ITC Avant Garde" w:eastAsia="Times New Roman" w:hAnsi="ITC Avant Garde"/>
                <w:color w:val="000000"/>
                <w:sz w:val="20"/>
                <w:szCs w:val="20"/>
                <w:lang w:eastAsia="es-MX"/>
              </w:rPr>
            </w:pPr>
            <w:r w:rsidRPr="002C2D28">
              <w:rPr>
                <w:rFonts w:ascii="ITC Avant Garde" w:eastAsia="Times New Roman" w:hAnsi="ITC Avant Garde"/>
                <w:color w:val="000000"/>
                <w:sz w:val="20"/>
                <w:szCs w:val="20"/>
                <w:lang w:eastAsia="es-MX"/>
              </w:rPr>
              <w:t>Reducir o eliminar barreras a la entrada y la expansión de participantes distintos al AEPT.</w:t>
            </w:r>
          </w:p>
          <w:p w14:paraId="6C2DD32A" w14:textId="77777777" w:rsidR="002C2D28" w:rsidRPr="002C2D28" w:rsidRDefault="002C2D28">
            <w:pPr>
              <w:numPr>
                <w:ilvl w:val="0"/>
                <w:numId w:val="7"/>
              </w:numPr>
              <w:spacing w:after="0" w:line="276" w:lineRule="auto"/>
              <w:jc w:val="both"/>
              <w:rPr>
                <w:rFonts w:ascii="ITC Avant Garde" w:eastAsia="Times New Roman" w:hAnsi="ITC Avant Garde"/>
                <w:color w:val="000000"/>
                <w:sz w:val="20"/>
                <w:szCs w:val="20"/>
                <w:lang w:eastAsia="es-MX"/>
              </w:rPr>
            </w:pPr>
            <w:r w:rsidRPr="002C2D28">
              <w:rPr>
                <w:rFonts w:ascii="ITC Avant Garde" w:eastAsia="Times New Roman" w:hAnsi="ITC Avant Garde"/>
                <w:color w:val="000000"/>
                <w:sz w:val="20"/>
                <w:szCs w:val="20"/>
                <w:lang w:eastAsia="es-MX"/>
              </w:rPr>
              <w:t>Promover el uso eficiente de las redes y la infraestructura.</w:t>
            </w:r>
          </w:p>
          <w:p w14:paraId="350AF097" w14:textId="77777777" w:rsidR="002C2D28" w:rsidRPr="002C2D28" w:rsidRDefault="002C2D28">
            <w:pPr>
              <w:numPr>
                <w:ilvl w:val="0"/>
                <w:numId w:val="7"/>
              </w:numPr>
              <w:spacing w:after="0" w:line="276" w:lineRule="auto"/>
              <w:jc w:val="both"/>
              <w:rPr>
                <w:rFonts w:ascii="ITC Avant Garde" w:eastAsia="Times New Roman" w:hAnsi="ITC Avant Garde"/>
                <w:color w:val="000000"/>
                <w:sz w:val="20"/>
                <w:szCs w:val="20"/>
                <w:lang w:eastAsia="es-MX"/>
              </w:rPr>
            </w:pPr>
            <w:r w:rsidRPr="002C2D28">
              <w:rPr>
                <w:rFonts w:ascii="ITC Avant Garde" w:eastAsia="Times New Roman" w:hAnsi="ITC Avant Garde"/>
                <w:color w:val="000000"/>
                <w:sz w:val="20"/>
                <w:szCs w:val="20"/>
                <w:lang w:eastAsia="es-MX"/>
              </w:rPr>
              <w:t>Disminuir costos de transacción.</w:t>
            </w:r>
          </w:p>
          <w:p w14:paraId="7FBC8DEB" w14:textId="77777777" w:rsidR="002C2D28" w:rsidRPr="002C2D28" w:rsidRDefault="002C2D28">
            <w:pPr>
              <w:numPr>
                <w:ilvl w:val="0"/>
                <w:numId w:val="7"/>
              </w:numPr>
              <w:spacing w:after="0" w:line="276" w:lineRule="auto"/>
              <w:jc w:val="both"/>
              <w:rPr>
                <w:rFonts w:ascii="ITC Avant Garde" w:eastAsia="Times New Roman" w:hAnsi="ITC Avant Garde"/>
                <w:b/>
                <w:color w:val="000000"/>
                <w:sz w:val="20"/>
                <w:szCs w:val="20"/>
                <w:lang w:eastAsia="es-MX"/>
              </w:rPr>
            </w:pPr>
            <w:r w:rsidRPr="002C2D28">
              <w:rPr>
                <w:rFonts w:ascii="ITC Avant Garde" w:eastAsia="Times New Roman" w:hAnsi="ITC Avant Garde"/>
                <w:color w:val="000000"/>
                <w:sz w:val="20"/>
                <w:szCs w:val="20"/>
                <w:lang w:eastAsia="es-MX"/>
              </w:rPr>
              <w:t>Remediar y prevenir condiciones y conductas con efectos que no favorezcan la competencia y libre concurrencia.</w:t>
            </w:r>
          </w:p>
        </w:tc>
      </w:tr>
      <w:tr w:rsidR="002C2D28" w:rsidRPr="002C2D28" w14:paraId="680116B7" w14:textId="77777777" w:rsidTr="00652FBC">
        <w:trPr>
          <w:trHeight w:val="414"/>
        </w:trPr>
        <w:tc>
          <w:tcPr>
            <w:tcW w:w="8641" w:type="dxa"/>
            <w:gridSpan w:val="4"/>
            <w:shd w:val="clear" w:color="auto" w:fill="FFFFFF"/>
            <w:vAlign w:val="center"/>
          </w:tcPr>
          <w:p w14:paraId="562B26C4" w14:textId="77777777" w:rsidR="002C2D28" w:rsidRPr="002C2D28" w:rsidRDefault="002C2D28" w:rsidP="00EA0095">
            <w:pPr>
              <w:jc w:val="both"/>
              <w:rPr>
                <w:rFonts w:ascii="ITC Avant Garde" w:hAnsi="ITC Avant Garde"/>
                <w:b/>
                <w:sz w:val="20"/>
                <w:szCs w:val="20"/>
              </w:rPr>
            </w:pPr>
            <w:r w:rsidRPr="002C2D28">
              <w:rPr>
                <w:rFonts w:ascii="ITC Avant Garde" w:hAnsi="ITC Avant Garde"/>
                <w:b/>
                <w:sz w:val="20"/>
                <w:szCs w:val="20"/>
              </w:rPr>
              <w:t>Contexto:</w:t>
            </w:r>
          </w:p>
          <w:p w14:paraId="507B1308" w14:textId="77777777" w:rsidR="002C2D28" w:rsidRPr="002C2D28" w:rsidRDefault="002C2D28" w:rsidP="00EA0095">
            <w:pPr>
              <w:jc w:val="both"/>
              <w:rPr>
                <w:rFonts w:ascii="ITC Avant Garde" w:hAnsi="ITC Avant Garde"/>
                <w:sz w:val="20"/>
                <w:szCs w:val="20"/>
              </w:rPr>
            </w:pPr>
            <w:r w:rsidRPr="002C2D28">
              <w:rPr>
                <w:rFonts w:ascii="ITC Avant Garde" w:hAnsi="ITC Avant Garde"/>
                <w:sz w:val="20"/>
                <w:szCs w:val="20"/>
              </w:rPr>
              <w:t xml:space="preserve">El sector de telecomunicaciones está caracterizado por la presencia de elevados costos hundidos, que son inherentes al despliegue de la infraestructura, entre los que destacan los costos de la obra civil como es el excavar los accesos, instalar y enterrar los ductos, y los equipos de transmisión. El uso compartido de la infraestructura pasiva conlleva a una utilización más eficiente de los recursos escasos, al permitir que varias empresas compartan los costos de cierta parte de la infraestructura, evitando duplicidades en su construcción, beneficiándose así de las economías de escala, alcance y densidad. </w:t>
            </w:r>
          </w:p>
          <w:p w14:paraId="1C95EDFA" w14:textId="77777777" w:rsidR="002C2D28" w:rsidRPr="002C2D28" w:rsidRDefault="002C2D28" w:rsidP="00EA0095">
            <w:pPr>
              <w:jc w:val="both"/>
              <w:rPr>
                <w:rFonts w:ascii="ITC Avant Garde" w:hAnsi="ITC Avant Garde"/>
                <w:b/>
                <w:sz w:val="20"/>
                <w:szCs w:val="20"/>
              </w:rPr>
            </w:pPr>
            <w:r w:rsidRPr="002C2D28">
              <w:rPr>
                <w:rFonts w:ascii="ITC Avant Garde" w:hAnsi="ITC Avant Garde"/>
                <w:b/>
                <w:sz w:val="20"/>
                <w:szCs w:val="20"/>
              </w:rPr>
              <w:t>Resumen de las medidas impuestas:</w:t>
            </w:r>
          </w:p>
          <w:p w14:paraId="3ED76204" w14:textId="77777777" w:rsidR="002C2D28" w:rsidRPr="002C2D28" w:rsidRDefault="002C2D28" w:rsidP="00EA0095">
            <w:pPr>
              <w:jc w:val="both"/>
              <w:rPr>
                <w:rFonts w:ascii="ITC Avant Garde" w:eastAsia="Times New Roman" w:hAnsi="ITC Avant Garde"/>
                <w:color w:val="000000"/>
                <w:sz w:val="20"/>
                <w:szCs w:val="20"/>
                <w:lang w:eastAsia="es-MX"/>
              </w:rPr>
            </w:pPr>
            <w:r w:rsidRPr="002C2D28">
              <w:rPr>
                <w:rFonts w:ascii="ITC Avant Garde" w:hAnsi="ITC Avant Garde"/>
                <w:sz w:val="20"/>
                <w:szCs w:val="20"/>
              </w:rPr>
              <w:t>El Instituto impuso medidas al AEPT referentes a proveer el servicio de compartición de infraestructura pasiva</w:t>
            </w:r>
            <w:r w:rsidRPr="002C2D28">
              <w:rPr>
                <w:rFonts w:ascii="ITC Avant Garde" w:eastAsia="Times New Roman" w:hAnsi="ITC Avant Garde"/>
                <w:color w:val="000000"/>
                <w:sz w:val="20"/>
                <w:szCs w:val="20"/>
                <w:lang w:eastAsia="es-MX"/>
              </w:rPr>
              <w:t xml:space="preserve">, publicar una oferta de referencia, suscribir convenios y poner </w:t>
            </w:r>
            <w:r w:rsidRPr="002C2D28">
              <w:rPr>
                <w:rFonts w:ascii="ITC Avant Garde" w:eastAsia="Times New Roman" w:hAnsi="ITC Avant Garde"/>
                <w:color w:val="000000"/>
                <w:sz w:val="20"/>
                <w:szCs w:val="20"/>
                <w:lang w:eastAsia="es-MX"/>
              </w:rPr>
              <w:lastRenderedPageBreak/>
              <w:t>información a disposición de los CS, entre otras.  Asimismo, se señaló que, en caso de desacuerdo respecto a las tarifas aplicables al servicio mayorista, el Instituto las determinaría con base en una metodología de costos incrementales promedio de largo plazo.</w:t>
            </w:r>
          </w:p>
          <w:p w14:paraId="06C85616" w14:textId="77777777" w:rsidR="002C2D28" w:rsidRDefault="002C2D28" w:rsidP="00EA0095">
            <w:pPr>
              <w:jc w:val="both"/>
              <w:rPr>
                <w:rFonts w:ascii="ITC Avant Garde" w:eastAsia="Times New Roman" w:hAnsi="ITC Avant Garde"/>
                <w:color w:val="000000"/>
                <w:sz w:val="20"/>
                <w:szCs w:val="20"/>
                <w:lang w:eastAsia="es-MX"/>
              </w:rPr>
            </w:pPr>
            <w:r w:rsidRPr="002C2D28">
              <w:rPr>
                <w:rFonts w:ascii="ITC Avant Garde" w:hAnsi="ITC Avant Garde"/>
                <w:sz w:val="20"/>
                <w:szCs w:val="20"/>
              </w:rPr>
              <w:t xml:space="preserve">A través de la </w:t>
            </w:r>
            <w:r w:rsidR="007E1B2E">
              <w:rPr>
                <w:rFonts w:ascii="ITC Avant Garde" w:hAnsi="ITC Avant Garde"/>
                <w:sz w:val="20"/>
                <w:szCs w:val="20"/>
              </w:rPr>
              <w:t xml:space="preserve">Primera </w:t>
            </w:r>
            <w:r w:rsidRPr="002C2D28">
              <w:rPr>
                <w:rFonts w:ascii="ITC Avant Garde" w:hAnsi="ITC Avant Garde"/>
                <w:sz w:val="20"/>
                <w:szCs w:val="20"/>
              </w:rPr>
              <w:t>Resolución Bienal de Telecomunicaciones</w:t>
            </w:r>
            <w:r w:rsidRPr="002C2D28">
              <w:rPr>
                <w:rFonts w:ascii="ITC Avant Garde" w:eastAsia="Times New Roman" w:hAnsi="ITC Avant Garde"/>
                <w:color w:val="000000"/>
                <w:sz w:val="20"/>
                <w:szCs w:val="20"/>
                <w:lang w:eastAsia="es-MX"/>
              </w:rPr>
              <w:t xml:space="preserve"> se hicieron adecuaciones en materia de procesos y elementos mínimos que debe contener la oferta de referencia (incluidas las tarifas mayoristas), así como de homologación con lo establecido en la LFTR y otros ordenamientos jurídicos</w:t>
            </w:r>
            <w:r w:rsidRPr="002C2D28">
              <w:rPr>
                <w:rFonts w:ascii="ITC Avant Garde" w:hAnsi="ITC Avant Garde"/>
                <w:sz w:val="20"/>
                <w:szCs w:val="20"/>
              </w:rPr>
              <w:t xml:space="preserve">, </w:t>
            </w:r>
            <w:r w:rsidRPr="002C2D28">
              <w:rPr>
                <w:rFonts w:ascii="ITC Avant Garde" w:eastAsia="Times New Roman" w:hAnsi="ITC Avant Garde"/>
                <w:color w:val="000000"/>
                <w:sz w:val="20"/>
                <w:szCs w:val="20"/>
                <w:lang w:eastAsia="es-MX"/>
              </w:rPr>
              <w:t>entre otras.</w:t>
            </w:r>
          </w:p>
          <w:p w14:paraId="67D81741" w14:textId="450C5969" w:rsidR="007E1B2E" w:rsidRPr="002C2D28" w:rsidRDefault="00324DBD" w:rsidP="00EA0095">
            <w:pPr>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En la Segunda Resolución Bienal de Telecomunicaciones</w:t>
            </w:r>
            <w:r w:rsidRPr="00C430C1">
              <w:rPr>
                <w:rFonts w:ascii="ITC Avant Garde" w:eastAsia="Times New Roman" w:hAnsi="ITC Avant Garde"/>
                <w:color w:val="000000"/>
                <w:sz w:val="20"/>
                <w:szCs w:val="20"/>
                <w:lang w:eastAsia="es-MX"/>
              </w:rPr>
              <w:t xml:space="preserve"> </w:t>
            </w:r>
            <w:r w:rsidRPr="00B56FD9">
              <w:rPr>
                <w:rFonts w:ascii="ITC Avant Garde" w:eastAsia="Times New Roman" w:hAnsi="ITC Avant Garde"/>
                <w:color w:val="000000"/>
                <w:sz w:val="20"/>
                <w:szCs w:val="20"/>
                <w:lang w:eastAsia="es-MX"/>
              </w:rPr>
              <w:t>se hicieron modificaciones en cuanto al proceso de revisión anual de la oferta de referencia para hacerlo más eficiente</w:t>
            </w:r>
            <w:r>
              <w:rPr>
                <w:rFonts w:ascii="ITC Avant Garde" w:eastAsia="Times New Roman" w:hAnsi="ITC Avant Garde"/>
                <w:color w:val="000000"/>
                <w:sz w:val="20"/>
                <w:szCs w:val="20"/>
                <w:lang w:eastAsia="es-MX"/>
              </w:rPr>
              <w:t xml:space="preserve"> y se hicieron modificaciones para</w:t>
            </w:r>
            <w:r w:rsidRPr="001621F6">
              <w:rPr>
                <w:rFonts w:ascii="ITC Avant Garde" w:eastAsia="Times New Roman" w:hAnsi="ITC Avant Garde"/>
                <w:color w:val="000000"/>
                <w:sz w:val="20"/>
                <w:szCs w:val="20"/>
                <w:lang w:eastAsia="es-MX"/>
              </w:rPr>
              <w:t xml:space="preserve"> que la definición de los procedimientos, plazos, términos y demás condiciones técnicas y económicas para la prestación de</w:t>
            </w:r>
            <w:r w:rsidR="005D3565">
              <w:rPr>
                <w:rFonts w:ascii="ITC Avant Garde" w:eastAsia="Times New Roman" w:hAnsi="ITC Avant Garde"/>
                <w:color w:val="000000"/>
                <w:sz w:val="20"/>
                <w:szCs w:val="20"/>
                <w:lang w:eastAsia="es-MX"/>
              </w:rPr>
              <w:t xml:space="preserve"> </w:t>
            </w:r>
            <w:r w:rsidRPr="001621F6">
              <w:rPr>
                <w:rFonts w:ascii="ITC Avant Garde" w:eastAsia="Times New Roman" w:hAnsi="ITC Avant Garde"/>
                <w:color w:val="000000"/>
                <w:sz w:val="20"/>
                <w:szCs w:val="20"/>
                <w:lang w:eastAsia="es-MX"/>
              </w:rPr>
              <w:t>l</w:t>
            </w:r>
            <w:r w:rsidR="005D3565">
              <w:rPr>
                <w:rFonts w:ascii="ITC Avant Garde" w:eastAsia="Times New Roman" w:hAnsi="ITC Avant Garde"/>
                <w:color w:val="000000"/>
                <w:sz w:val="20"/>
                <w:szCs w:val="20"/>
                <w:lang w:eastAsia="es-MX"/>
              </w:rPr>
              <w:t>os</w:t>
            </w:r>
            <w:r w:rsidRPr="001621F6">
              <w:rPr>
                <w:rFonts w:ascii="ITC Avant Garde" w:eastAsia="Times New Roman" w:hAnsi="ITC Avant Garde"/>
                <w:color w:val="000000"/>
                <w:sz w:val="20"/>
                <w:szCs w:val="20"/>
                <w:lang w:eastAsia="es-MX"/>
              </w:rPr>
              <w:t xml:space="preserve"> servicio</w:t>
            </w:r>
            <w:r w:rsidR="005D3565">
              <w:rPr>
                <w:rFonts w:ascii="ITC Avant Garde" w:eastAsia="Times New Roman" w:hAnsi="ITC Avant Garde"/>
                <w:color w:val="000000"/>
                <w:sz w:val="20"/>
                <w:szCs w:val="20"/>
                <w:lang w:eastAsia="es-MX"/>
              </w:rPr>
              <w:t>s</w:t>
            </w:r>
            <w:r w:rsidRPr="001621F6">
              <w:rPr>
                <w:rFonts w:ascii="ITC Avant Garde" w:eastAsia="Times New Roman" w:hAnsi="ITC Avant Garde"/>
                <w:color w:val="000000"/>
                <w:sz w:val="20"/>
                <w:szCs w:val="20"/>
                <w:lang w:eastAsia="es-MX"/>
              </w:rPr>
              <w:t xml:space="preserve"> mayorista</w:t>
            </w:r>
            <w:r w:rsidR="005D3565">
              <w:rPr>
                <w:rFonts w:ascii="ITC Avant Garde" w:eastAsia="Times New Roman" w:hAnsi="ITC Avant Garde"/>
                <w:color w:val="000000"/>
                <w:sz w:val="20"/>
                <w:szCs w:val="20"/>
                <w:lang w:eastAsia="es-MX"/>
              </w:rPr>
              <w:t>s</w:t>
            </w:r>
            <w:r>
              <w:rPr>
                <w:rFonts w:ascii="ITC Avant Garde" w:eastAsia="Times New Roman" w:hAnsi="ITC Avant Garde"/>
                <w:color w:val="000000"/>
                <w:sz w:val="20"/>
                <w:szCs w:val="20"/>
                <w:lang w:eastAsia="es-MX"/>
              </w:rPr>
              <w:t xml:space="preserve"> de compartición de infraestructura</w:t>
            </w:r>
            <w:r w:rsidRPr="001621F6">
              <w:rPr>
                <w:rFonts w:ascii="ITC Avant Garde" w:eastAsia="Times New Roman" w:hAnsi="ITC Avant Garde"/>
                <w:color w:val="000000"/>
                <w:sz w:val="20"/>
                <w:szCs w:val="20"/>
                <w:lang w:eastAsia="es-MX"/>
              </w:rPr>
              <w:t xml:space="preserve"> </w:t>
            </w:r>
            <w:r w:rsidR="005D3565">
              <w:rPr>
                <w:rFonts w:ascii="ITC Avant Garde" w:eastAsia="Times New Roman" w:hAnsi="ITC Avant Garde"/>
                <w:color w:val="000000"/>
                <w:sz w:val="20"/>
                <w:szCs w:val="20"/>
                <w:lang w:eastAsia="es-MX"/>
              </w:rPr>
              <w:t>se lleve a cabo</w:t>
            </w:r>
            <w:r w:rsidR="005D3565" w:rsidRPr="001621F6">
              <w:rPr>
                <w:rFonts w:ascii="ITC Avant Garde" w:eastAsia="Times New Roman" w:hAnsi="ITC Avant Garde"/>
                <w:color w:val="000000"/>
                <w:sz w:val="20"/>
                <w:szCs w:val="20"/>
                <w:lang w:eastAsia="es-MX"/>
              </w:rPr>
              <w:t xml:space="preserve"> en la revisión anual </w:t>
            </w:r>
            <w:r w:rsidR="005D3565">
              <w:rPr>
                <w:rFonts w:ascii="ITC Avant Garde" w:eastAsia="Times New Roman" w:hAnsi="ITC Avant Garde"/>
                <w:color w:val="000000"/>
                <w:sz w:val="20"/>
                <w:szCs w:val="20"/>
                <w:lang w:eastAsia="es-MX"/>
              </w:rPr>
              <w:t>de las ofertas de referencia, a fin de garantizar que la prestación de los servicios sea acorde al dinamismo que caracteriza al sector</w:t>
            </w:r>
            <w:r>
              <w:rPr>
                <w:rFonts w:ascii="ITC Avant Garde" w:hAnsi="ITC Avant Garde"/>
                <w:sz w:val="20"/>
                <w:szCs w:val="20"/>
              </w:rPr>
              <w:t>. Asimismo, se estableció que como parte de la oferta de referencia se deberían incluir</w:t>
            </w:r>
            <w:r>
              <w:t xml:space="preserve"> </w:t>
            </w:r>
            <w:r w:rsidRPr="00324DBD">
              <w:rPr>
                <w:rFonts w:ascii="ITC Avant Garde" w:hAnsi="ITC Avant Garde"/>
                <w:sz w:val="20"/>
                <w:szCs w:val="20"/>
              </w:rPr>
              <w:t>los criterios y metodologías para determinar los trabajos especiales</w:t>
            </w:r>
            <w:r>
              <w:rPr>
                <w:rFonts w:ascii="ITC Avant Garde" w:hAnsi="ITC Avant Garde"/>
                <w:sz w:val="20"/>
                <w:szCs w:val="20"/>
              </w:rPr>
              <w:t>.</w:t>
            </w:r>
          </w:p>
        </w:tc>
      </w:tr>
      <w:tr w:rsidR="00F70551" w:rsidRPr="002C2D28" w14:paraId="573EC108" w14:textId="77777777" w:rsidTr="00652FBC">
        <w:trPr>
          <w:trHeight w:val="414"/>
        </w:trPr>
        <w:tc>
          <w:tcPr>
            <w:tcW w:w="8641" w:type="dxa"/>
            <w:gridSpan w:val="4"/>
            <w:shd w:val="clear" w:color="auto" w:fill="FFFFFF"/>
            <w:vAlign w:val="center"/>
          </w:tcPr>
          <w:p w14:paraId="0CD15F39" w14:textId="748F1648" w:rsidR="00F70551" w:rsidRPr="002C2D28" w:rsidRDefault="00F70551" w:rsidP="00F70551">
            <w:pPr>
              <w:spacing w:after="0" w:line="276" w:lineRule="auto"/>
              <w:jc w:val="both"/>
              <w:rPr>
                <w:rFonts w:ascii="ITC Avant Garde" w:eastAsia="Times New Roman" w:hAnsi="ITC Avant Garde"/>
                <w:b/>
                <w:color w:val="000000"/>
                <w:sz w:val="20"/>
                <w:szCs w:val="20"/>
                <w:lang w:eastAsia="es-MX"/>
              </w:rPr>
            </w:pPr>
            <w:r w:rsidRPr="009B1606">
              <w:rPr>
                <w:rFonts w:ascii="ITC Avant Garde" w:eastAsia="Times New Roman" w:hAnsi="ITC Avant Garde"/>
                <w:b/>
                <w:color w:val="000000"/>
                <w:sz w:val="20"/>
                <w:szCs w:val="20"/>
                <w:lang w:eastAsia="es-MX"/>
              </w:rPr>
              <w:lastRenderedPageBreak/>
              <w:t>¿</w:t>
            </w:r>
            <w:r>
              <w:rPr>
                <w:rFonts w:ascii="ITC Avant Garde" w:eastAsia="Times New Roman" w:hAnsi="ITC Avant Garde"/>
                <w:b/>
                <w:color w:val="000000"/>
                <w:sz w:val="20"/>
                <w:szCs w:val="20"/>
                <w:lang w:eastAsia="es-MX"/>
              </w:rPr>
              <w:t>Cuáles son sus consideraciones respecto al impacto que ha tenido la regulación asimétrica al AEPT referente a la compartición de infraestructura pasiva?</w:t>
            </w:r>
          </w:p>
        </w:tc>
      </w:tr>
      <w:tr w:rsidR="00F70551" w:rsidRPr="002C2D28" w14:paraId="5B3E19FE" w14:textId="77777777" w:rsidTr="00652FBC">
        <w:trPr>
          <w:trHeight w:val="414"/>
        </w:trPr>
        <w:tc>
          <w:tcPr>
            <w:tcW w:w="8641" w:type="dxa"/>
            <w:gridSpan w:val="4"/>
            <w:shd w:val="clear" w:color="auto" w:fill="FFFFFF"/>
            <w:vAlign w:val="center"/>
          </w:tcPr>
          <w:p w14:paraId="1D803A02" w14:textId="77777777" w:rsidR="00F70551" w:rsidRPr="002C2D28" w:rsidRDefault="00F70551" w:rsidP="00F70551">
            <w:pPr>
              <w:spacing w:after="0" w:line="276" w:lineRule="auto"/>
              <w:rPr>
                <w:rFonts w:ascii="ITC Avant Garde" w:eastAsia="Times New Roman" w:hAnsi="ITC Avant Garde"/>
                <w:b/>
                <w:color w:val="000000"/>
                <w:sz w:val="20"/>
                <w:szCs w:val="20"/>
                <w:lang w:eastAsia="es-MX"/>
              </w:rPr>
            </w:pPr>
          </w:p>
        </w:tc>
      </w:tr>
      <w:tr w:rsidR="00F70551" w:rsidRPr="002C2D28" w14:paraId="5F24FE0D" w14:textId="77777777" w:rsidTr="00652FBC">
        <w:trPr>
          <w:trHeight w:val="414"/>
        </w:trPr>
        <w:tc>
          <w:tcPr>
            <w:tcW w:w="8641" w:type="dxa"/>
            <w:gridSpan w:val="4"/>
            <w:shd w:val="clear" w:color="auto" w:fill="FFFFFF"/>
            <w:vAlign w:val="center"/>
          </w:tcPr>
          <w:p w14:paraId="424EABE3" w14:textId="07FBB518" w:rsidR="00F70551" w:rsidRPr="002C2D28" w:rsidRDefault="00F70551" w:rsidP="00F70551">
            <w:pPr>
              <w:spacing w:after="0" w:line="276" w:lineRule="auto"/>
              <w:jc w:val="both"/>
              <w:rPr>
                <w:rFonts w:ascii="ITC Avant Garde" w:eastAsia="Times New Roman" w:hAnsi="ITC Avant Garde"/>
                <w:color w:val="000000"/>
                <w:sz w:val="20"/>
                <w:szCs w:val="20"/>
                <w:lang w:eastAsia="es-MX"/>
              </w:rPr>
            </w:pPr>
            <w:r>
              <w:rPr>
                <w:rFonts w:ascii="ITC Avant Garde" w:eastAsia="Times New Roman" w:hAnsi="ITC Avant Garde"/>
                <w:b/>
                <w:color w:val="000000"/>
                <w:sz w:val="20"/>
                <w:szCs w:val="20"/>
                <w:lang w:eastAsia="es-MX"/>
              </w:rPr>
              <w:t xml:space="preserve">¿Cuáles son sus </w:t>
            </w:r>
            <w:r w:rsidRPr="002C2D28">
              <w:rPr>
                <w:rFonts w:ascii="ITC Avant Garde" w:eastAsia="Times New Roman" w:hAnsi="ITC Avant Garde"/>
                <w:b/>
                <w:color w:val="000000"/>
                <w:sz w:val="20"/>
                <w:szCs w:val="20"/>
                <w:lang w:eastAsia="es-MX"/>
              </w:rPr>
              <w:t>considera</w:t>
            </w:r>
            <w:r>
              <w:rPr>
                <w:rFonts w:ascii="ITC Avant Garde" w:eastAsia="Times New Roman" w:hAnsi="ITC Avant Garde"/>
                <w:b/>
                <w:color w:val="000000"/>
                <w:sz w:val="20"/>
                <w:szCs w:val="20"/>
                <w:lang w:eastAsia="es-MX"/>
              </w:rPr>
              <w:t>ciones respecto</w:t>
            </w:r>
            <w:r w:rsidRPr="002C2D28">
              <w:rPr>
                <w:rFonts w:ascii="ITC Avant Garde" w:eastAsia="Times New Roman" w:hAnsi="ITC Avant Garde"/>
                <w:b/>
                <w:color w:val="000000"/>
                <w:sz w:val="20"/>
                <w:szCs w:val="20"/>
                <w:lang w:eastAsia="es-MX"/>
              </w:rPr>
              <w:t xml:space="preserve"> </w:t>
            </w:r>
            <w:r>
              <w:rPr>
                <w:rFonts w:ascii="ITC Avant Garde" w:eastAsia="Times New Roman" w:hAnsi="ITC Avant Garde"/>
                <w:b/>
                <w:color w:val="000000"/>
                <w:sz w:val="20"/>
                <w:szCs w:val="20"/>
                <w:lang w:eastAsia="es-MX"/>
              </w:rPr>
              <w:t>al diseño de las medidas relacionadas con la compartición de infraestructura pasiva y su idoneidad</w:t>
            </w:r>
            <w:r w:rsidRPr="002C2D28">
              <w:rPr>
                <w:rFonts w:ascii="ITC Avant Garde" w:eastAsia="Times New Roman" w:hAnsi="ITC Avant Garde"/>
                <w:b/>
                <w:color w:val="000000"/>
                <w:sz w:val="20"/>
                <w:szCs w:val="20"/>
                <w:lang w:eastAsia="es-MX"/>
              </w:rPr>
              <w:t xml:space="preserve"> para alcanzar los objetivos por los que se plantearon</w:t>
            </w:r>
            <w:r>
              <w:rPr>
                <w:rFonts w:ascii="ITC Avant Garde" w:eastAsia="Times New Roman" w:hAnsi="ITC Avant Garde"/>
                <w:b/>
                <w:color w:val="000000"/>
                <w:sz w:val="20"/>
                <w:szCs w:val="20"/>
                <w:lang w:eastAsia="es-MX"/>
              </w:rPr>
              <w:t>?</w:t>
            </w:r>
          </w:p>
        </w:tc>
      </w:tr>
      <w:tr w:rsidR="00F70551" w:rsidRPr="002C2D28" w14:paraId="2AD42806" w14:textId="77777777" w:rsidTr="00652FBC">
        <w:trPr>
          <w:trHeight w:val="414"/>
        </w:trPr>
        <w:tc>
          <w:tcPr>
            <w:tcW w:w="8641" w:type="dxa"/>
            <w:gridSpan w:val="4"/>
            <w:shd w:val="clear" w:color="auto" w:fill="FFFFFF"/>
            <w:vAlign w:val="center"/>
          </w:tcPr>
          <w:p w14:paraId="293329B7" w14:textId="77777777" w:rsidR="00F70551" w:rsidRPr="002C2D28" w:rsidRDefault="00F70551" w:rsidP="00F70551">
            <w:pPr>
              <w:spacing w:after="0" w:line="276" w:lineRule="auto"/>
              <w:rPr>
                <w:rFonts w:ascii="ITC Avant Garde" w:eastAsia="Times New Roman" w:hAnsi="ITC Avant Garde"/>
                <w:b/>
                <w:color w:val="000000"/>
                <w:sz w:val="20"/>
                <w:szCs w:val="20"/>
                <w:lang w:eastAsia="es-MX"/>
              </w:rPr>
            </w:pPr>
          </w:p>
        </w:tc>
      </w:tr>
      <w:tr w:rsidR="00F70551" w:rsidRPr="002C2D28" w14:paraId="6FC6DC74" w14:textId="77777777" w:rsidTr="00652FBC">
        <w:trPr>
          <w:trHeight w:val="414"/>
        </w:trPr>
        <w:tc>
          <w:tcPr>
            <w:tcW w:w="8641" w:type="dxa"/>
            <w:gridSpan w:val="4"/>
            <w:shd w:val="clear" w:color="auto" w:fill="FFFFFF"/>
          </w:tcPr>
          <w:p w14:paraId="25C0C80A" w14:textId="7D708104" w:rsidR="00F70551" w:rsidRPr="002C2D28" w:rsidRDefault="00F70551" w:rsidP="00F70551">
            <w:pPr>
              <w:jc w:val="both"/>
              <w:rPr>
                <w:rFonts w:ascii="ITC Avant Garde" w:eastAsia="Times New Roman" w:hAnsi="ITC Avant Garde"/>
                <w:color w:val="7F7F7F" w:themeColor="text1" w:themeTint="80"/>
                <w:sz w:val="20"/>
                <w:szCs w:val="20"/>
                <w:lang w:eastAsia="es-MX"/>
              </w:rPr>
            </w:pPr>
            <w:r>
              <w:rPr>
                <w:rFonts w:ascii="ITC Avant Garde" w:hAnsi="ITC Avant Garde"/>
                <w:b/>
                <w:sz w:val="20"/>
                <w:szCs w:val="20"/>
              </w:rPr>
              <w:t>Favor de indicar la(s)</w:t>
            </w:r>
            <w:r w:rsidRPr="002C2D28">
              <w:rPr>
                <w:rFonts w:ascii="ITC Avant Garde" w:hAnsi="ITC Avant Garde"/>
                <w:b/>
                <w:sz w:val="20"/>
                <w:szCs w:val="20"/>
              </w:rPr>
              <w:t xml:space="preserve"> propuesta</w:t>
            </w:r>
            <w:r>
              <w:rPr>
                <w:rFonts w:ascii="ITC Avant Garde" w:hAnsi="ITC Avant Garde"/>
                <w:b/>
                <w:sz w:val="20"/>
                <w:szCs w:val="20"/>
              </w:rPr>
              <w:t>(s)</w:t>
            </w:r>
            <w:r w:rsidRPr="002C2D28">
              <w:rPr>
                <w:rFonts w:ascii="ITC Avant Garde" w:hAnsi="ITC Avant Garde"/>
                <w:b/>
                <w:sz w:val="20"/>
                <w:szCs w:val="20"/>
              </w:rPr>
              <w:t xml:space="preserve"> específica</w:t>
            </w:r>
            <w:r>
              <w:rPr>
                <w:rFonts w:ascii="ITC Avant Garde" w:hAnsi="ITC Avant Garde"/>
                <w:b/>
                <w:sz w:val="20"/>
                <w:szCs w:val="20"/>
              </w:rPr>
              <w:t>(s)</w:t>
            </w:r>
            <w:r w:rsidRPr="002C2D28">
              <w:rPr>
                <w:rFonts w:ascii="ITC Avant Garde" w:hAnsi="ITC Avant Garde"/>
                <w:b/>
                <w:sz w:val="20"/>
                <w:szCs w:val="20"/>
              </w:rPr>
              <w:t xml:space="preserve"> </w:t>
            </w:r>
            <w:r>
              <w:rPr>
                <w:rFonts w:ascii="ITC Avant Garde" w:hAnsi="ITC Avant Garde"/>
                <w:b/>
                <w:sz w:val="20"/>
                <w:szCs w:val="20"/>
              </w:rPr>
              <w:t>para la supresión, modificación o adición de</w:t>
            </w:r>
            <w:r w:rsidRPr="002C2D28">
              <w:rPr>
                <w:rFonts w:ascii="ITC Avant Garde" w:hAnsi="ITC Avant Garde"/>
                <w:b/>
                <w:sz w:val="20"/>
                <w:szCs w:val="20"/>
              </w:rPr>
              <w:t xml:space="preserve"> las medidas relacionadas con l</w:t>
            </w:r>
            <w:r>
              <w:rPr>
                <w:rFonts w:ascii="ITC Avant Garde" w:hAnsi="ITC Avant Garde"/>
                <w:b/>
                <w:sz w:val="20"/>
                <w:szCs w:val="20"/>
              </w:rPr>
              <w:t>a compartición de infraestructura pasiva.</w:t>
            </w:r>
          </w:p>
        </w:tc>
      </w:tr>
      <w:tr w:rsidR="002C2D28" w:rsidRPr="002C2D28" w14:paraId="03AF06CD" w14:textId="77777777" w:rsidTr="00652FBC">
        <w:trPr>
          <w:trHeight w:val="414"/>
        </w:trPr>
        <w:tc>
          <w:tcPr>
            <w:tcW w:w="3047" w:type="dxa"/>
            <w:gridSpan w:val="2"/>
            <w:shd w:val="clear" w:color="auto" w:fill="FFFFFF"/>
          </w:tcPr>
          <w:p w14:paraId="3B045084"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gridSpan w:val="2"/>
            <w:shd w:val="clear" w:color="auto" w:fill="FFFFFF"/>
          </w:tcPr>
          <w:p w14:paraId="2F91B3E4"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2C2D28" w:rsidRPr="002C2D28" w14:paraId="7546B0C2" w14:textId="77777777" w:rsidTr="00652FBC">
        <w:trPr>
          <w:trHeight w:val="414"/>
        </w:trPr>
        <w:tc>
          <w:tcPr>
            <w:tcW w:w="3047" w:type="dxa"/>
            <w:gridSpan w:val="2"/>
            <w:shd w:val="clear" w:color="auto" w:fill="FFFFFF"/>
          </w:tcPr>
          <w:p w14:paraId="6CA49932"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gridSpan w:val="2"/>
            <w:shd w:val="clear" w:color="auto" w:fill="FFFFFF"/>
          </w:tcPr>
          <w:p w14:paraId="0196123F"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2C2D28" w:rsidRPr="002C2D28" w14:paraId="3DE26132" w14:textId="77777777" w:rsidTr="00652FBC">
        <w:trPr>
          <w:trHeight w:val="414"/>
        </w:trPr>
        <w:tc>
          <w:tcPr>
            <w:tcW w:w="1754" w:type="dxa"/>
            <w:shd w:val="clear" w:color="auto" w:fill="C5E0B3"/>
            <w:vAlign w:val="center"/>
          </w:tcPr>
          <w:p w14:paraId="33F7F352" w14:textId="77777777"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Medidas referentes a</w:t>
            </w:r>
          </w:p>
          <w:p w14:paraId="4A3E64EF" w14:textId="77777777"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Desagregación de la red local</w:t>
            </w:r>
          </w:p>
          <w:p w14:paraId="56B2FDFD" w14:textId="77777777"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p>
          <w:p w14:paraId="2BC6B298" w14:textId="658657C0"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Anexo 3:</w:t>
            </w:r>
            <w:r w:rsidRPr="002C2D28">
              <w:rPr>
                <w:rFonts w:ascii="ITC Avant Garde" w:hAnsi="ITC Avant Garde"/>
                <w:sz w:val="20"/>
                <w:szCs w:val="20"/>
              </w:rPr>
              <w:t xml:space="preserve"> </w:t>
            </w:r>
            <w:r w:rsidRPr="002C2D28">
              <w:rPr>
                <w:rFonts w:ascii="ITC Avant Garde" w:eastAsia="Times New Roman" w:hAnsi="ITC Avant Garde"/>
                <w:b/>
                <w:color w:val="000000"/>
                <w:sz w:val="20"/>
                <w:szCs w:val="20"/>
                <w:lang w:eastAsia="es-MX"/>
              </w:rPr>
              <w:t>4, 5, 6, 7, 8, 9, 10, 11, 12, 13, 14, 15, 26, 28, 33, 34, 36, 37, 38, 39, 41, 42, 43 y 51.</w:t>
            </w:r>
          </w:p>
        </w:tc>
        <w:tc>
          <w:tcPr>
            <w:tcW w:w="6887" w:type="dxa"/>
            <w:gridSpan w:val="3"/>
            <w:shd w:val="clear" w:color="auto" w:fill="C5E0B3"/>
            <w:vAlign w:val="center"/>
          </w:tcPr>
          <w:p w14:paraId="00BE4957" w14:textId="77777777" w:rsidR="002C2D28" w:rsidRPr="002C2D28" w:rsidRDefault="002C2D28" w:rsidP="00652FBC">
            <w:pPr>
              <w:spacing w:after="0"/>
              <w:rPr>
                <w:rFonts w:ascii="ITC Avant Garde" w:hAnsi="ITC Avant Garde"/>
                <w:b/>
                <w:sz w:val="20"/>
                <w:szCs w:val="20"/>
                <w:lang w:eastAsia="es-MX"/>
              </w:rPr>
            </w:pPr>
            <w:r w:rsidRPr="002C2D28">
              <w:rPr>
                <w:rFonts w:ascii="ITC Avant Garde" w:hAnsi="ITC Avant Garde"/>
                <w:b/>
                <w:sz w:val="20"/>
                <w:szCs w:val="20"/>
                <w:lang w:eastAsia="es-MX"/>
              </w:rPr>
              <w:t>Objetivos generales:</w:t>
            </w:r>
          </w:p>
          <w:p w14:paraId="1F103319" w14:textId="77777777" w:rsidR="002C2D28" w:rsidRPr="002C2D28" w:rsidRDefault="002C2D28">
            <w:pPr>
              <w:numPr>
                <w:ilvl w:val="0"/>
                <w:numId w:val="10"/>
              </w:numPr>
              <w:spacing w:after="0"/>
              <w:jc w:val="both"/>
              <w:rPr>
                <w:rFonts w:ascii="ITC Avant Garde" w:hAnsi="ITC Avant Garde"/>
                <w:sz w:val="20"/>
                <w:szCs w:val="20"/>
                <w:lang w:eastAsia="es-MX"/>
              </w:rPr>
            </w:pPr>
            <w:r w:rsidRPr="002C2D28">
              <w:rPr>
                <w:rFonts w:ascii="ITC Avant Garde" w:hAnsi="ITC Avant Garde"/>
                <w:sz w:val="20"/>
                <w:szCs w:val="20"/>
                <w:lang w:eastAsia="es-MX"/>
              </w:rPr>
              <w:t>Reducir o eliminar barreras a la entrada y la expansión de participantes distintos al AEPT.</w:t>
            </w:r>
          </w:p>
          <w:p w14:paraId="4B850B2B" w14:textId="77777777" w:rsidR="002C2D28" w:rsidRPr="002C2D28" w:rsidRDefault="002C2D28">
            <w:pPr>
              <w:numPr>
                <w:ilvl w:val="0"/>
                <w:numId w:val="10"/>
              </w:numPr>
              <w:spacing w:after="0"/>
              <w:jc w:val="both"/>
              <w:rPr>
                <w:rFonts w:ascii="ITC Avant Garde" w:hAnsi="ITC Avant Garde"/>
                <w:sz w:val="20"/>
                <w:szCs w:val="20"/>
                <w:lang w:eastAsia="es-MX"/>
              </w:rPr>
            </w:pPr>
            <w:r w:rsidRPr="002C2D28">
              <w:rPr>
                <w:rFonts w:ascii="ITC Avant Garde" w:hAnsi="ITC Avant Garde"/>
                <w:sz w:val="20"/>
                <w:szCs w:val="20"/>
              </w:rPr>
              <w:t>Remediar y prevenir condiciones y conductas con efectos que no favorezcan la competencia y libre concurrencia.</w:t>
            </w:r>
          </w:p>
          <w:p w14:paraId="4A0A41BB" w14:textId="77777777" w:rsidR="002C2D28" w:rsidRPr="002C2D28" w:rsidRDefault="002C2D28">
            <w:pPr>
              <w:numPr>
                <w:ilvl w:val="0"/>
                <w:numId w:val="10"/>
              </w:numPr>
              <w:spacing w:after="0"/>
              <w:jc w:val="both"/>
              <w:rPr>
                <w:rFonts w:ascii="ITC Avant Garde" w:hAnsi="ITC Avant Garde"/>
                <w:sz w:val="20"/>
                <w:szCs w:val="20"/>
                <w:lang w:eastAsia="es-MX"/>
              </w:rPr>
            </w:pPr>
            <w:r w:rsidRPr="002C2D28">
              <w:rPr>
                <w:rFonts w:ascii="ITC Avant Garde" w:hAnsi="ITC Avant Garde"/>
                <w:sz w:val="20"/>
                <w:szCs w:val="20"/>
                <w:lang w:eastAsia="es-MX"/>
              </w:rPr>
              <w:t>Promover el uso eficiente de las redes y la infraestructura.</w:t>
            </w:r>
          </w:p>
          <w:p w14:paraId="18085D3B" w14:textId="77777777" w:rsidR="002C2D28" w:rsidRDefault="002C2D28">
            <w:pPr>
              <w:numPr>
                <w:ilvl w:val="0"/>
                <w:numId w:val="10"/>
              </w:numPr>
              <w:spacing w:after="0"/>
              <w:jc w:val="both"/>
              <w:rPr>
                <w:rFonts w:ascii="ITC Avant Garde" w:hAnsi="ITC Avant Garde"/>
                <w:sz w:val="20"/>
                <w:szCs w:val="20"/>
                <w:lang w:eastAsia="es-MX"/>
              </w:rPr>
            </w:pPr>
            <w:r w:rsidRPr="002C2D28">
              <w:rPr>
                <w:rFonts w:ascii="ITC Avant Garde" w:hAnsi="ITC Avant Garde"/>
                <w:sz w:val="20"/>
                <w:szCs w:val="20"/>
                <w:lang w:eastAsia="es-MX"/>
              </w:rPr>
              <w:t>Aumentar la penetración de los servicios de telecomunicaciones.</w:t>
            </w:r>
          </w:p>
          <w:p w14:paraId="068881A6" w14:textId="5543B1C4" w:rsidR="00F34942" w:rsidRPr="002C2D28" w:rsidRDefault="00F34942">
            <w:pPr>
              <w:numPr>
                <w:ilvl w:val="0"/>
                <w:numId w:val="10"/>
              </w:numPr>
              <w:spacing w:after="0"/>
              <w:jc w:val="both"/>
              <w:rPr>
                <w:rFonts w:ascii="ITC Avant Garde" w:hAnsi="ITC Avant Garde"/>
                <w:sz w:val="20"/>
                <w:szCs w:val="20"/>
                <w:lang w:eastAsia="es-MX"/>
              </w:rPr>
            </w:pPr>
            <w:r>
              <w:rPr>
                <w:rFonts w:ascii="ITC Avant Garde" w:hAnsi="ITC Avant Garde"/>
                <w:sz w:val="20"/>
                <w:szCs w:val="20"/>
                <w:lang w:eastAsia="es-MX"/>
              </w:rPr>
              <w:t>Disminuir costos de transacción.</w:t>
            </w:r>
          </w:p>
        </w:tc>
      </w:tr>
      <w:tr w:rsidR="002C2D28" w:rsidRPr="002C2D28" w14:paraId="3D94A5CF" w14:textId="77777777" w:rsidTr="00652FBC">
        <w:trPr>
          <w:trHeight w:val="414"/>
        </w:trPr>
        <w:tc>
          <w:tcPr>
            <w:tcW w:w="8641" w:type="dxa"/>
            <w:gridSpan w:val="4"/>
            <w:shd w:val="clear" w:color="auto" w:fill="FFFFFF"/>
            <w:vAlign w:val="center"/>
          </w:tcPr>
          <w:p w14:paraId="30B7953B" w14:textId="77777777" w:rsidR="002C2D28" w:rsidRPr="002C2D28" w:rsidRDefault="002C2D28" w:rsidP="00EE422D">
            <w:pPr>
              <w:jc w:val="both"/>
              <w:rPr>
                <w:rFonts w:ascii="ITC Avant Garde" w:hAnsi="ITC Avant Garde"/>
                <w:b/>
                <w:sz w:val="20"/>
                <w:szCs w:val="20"/>
              </w:rPr>
            </w:pPr>
            <w:r w:rsidRPr="002C2D28">
              <w:rPr>
                <w:rFonts w:ascii="ITC Avant Garde" w:hAnsi="ITC Avant Garde"/>
                <w:b/>
                <w:sz w:val="20"/>
                <w:szCs w:val="20"/>
              </w:rPr>
              <w:lastRenderedPageBreak/>
              <w:t>Contexto:</w:t>
            </w:r>
          </w:p>
          <w:p w14:paraId="1A8C8555" w14:textId="6E58F74D" w:rsidR="002C2D28" w:rsidRPr="00EE422D" w:rsidRDefault="002C2D28" w:rsidP="00EE422D">
            <w:pPr>
              <w:jc w:val="both"/>
              <w:rPr>
                <w:rFonts w:ascii="ITC Avant Garde" w:hAnsi="ITC Avant Garde"/>
                <w:sz w:val="20"/>
                <w:szCs w:val="20"/>
              </w:rPr>
            </w:pPr>
            <w:r w:rsidRPr="002C2D28">
              <w:rPr>
                <w:rFonts w:ascii="ITC Avant Garde" w:hAnsi="ITC Avant Garde"/>
                <w:sz w:val="20"/>
                <w:szCs w:val="20"/>
              </w:rPr>
              <w:t>El artículo Octavo Transitorio del Decreto de Reforma Constitucional</w:t>
            </w:r>
            <w:r w:rsidRPr="002C2D28">
              <w:rPr>
                <w:rStyle w:val="Refdenotaalpie"/>
                <w:rFonts w:ascii="ITC Avant Garde" w:hAnsi="ITC Avant Garde"/>
                <w:sz w:val="20"/>
                <w:szCs w:val="20"/>
              </w:rPr>
              <w:footnoteReference w:id="8"/>
            </w:r>
            <w:r w:rsidRPr="002C2D28">
              <w:rPr>
                <w:rFonts w:ascii="ITC Avant Garde" w:hAnsi="ITC Avant Garde"/>
                <w:sz w:val="20"/>
                <w:szCs w:val="20"/>
              </w:rPr>
              <w:t xml:space="preserve"> en su fracción IV establece la obligación a cargo del Instituto de establecer las medidas que permitan la desagregación efectiva de la red local del AEPT de manera que otros Concesionarios de telecomunicaciones puedan acceder, entre otros, a los medios físicos, técnicos y lógicos de conexión entre cualquier punto terminal de la red pública de telecomunicaciones y el punto de acceso a la red local pertenecientes a dicho agente, a efecto de procurar la cobertura universal y el aumento en la penetración de los servicio de telecomunicaciones.</w:t>
            </w:r>
          </w:p>
          <w:p w14:paraId="1BE3DD3B" w14:textId="77777777" w:rsidR="002C2D28" w:rsidRPr="002C2D28" w:rsidRDefault="002C2D28" w:rsidP="00EE422D">
            <w:pPr>
              <w:jc w:val="both"/>
              <w:rPr>
                <w:rFonts w:ascii="ITC Avant Garde" w:hAnsi="ITC Avant Garde"/>
                <w:b/>
                <w:sz w:val="20"/>
                <w:szCs w:val="20"/>
              </w:rPr>
            </w:pPr>
            <w:r w:rsidRPr="002C2D28">
              <w:rPr>
                <w:rFonts w:ascii="ITC Avant Garde" w:hAnsi="ITC Avant Garde"/>
                <w:b/>
                <w:sz w:val="20"/>
                <w:szCs w:val="20"/>
              </w:rPr>
              <w:t>Resumen de las medidas impuestas:</w:t>
            </w:r>
          </w:p>
          <w:p w14:paraId="0FAAE1A0" w14:textId="23B3EE0D" w:rsidR="002C2D28" w:rsidRPr="002C2D28" w:rsidRDefault="002C2D28" w:rsidP="00EE422D">
            <w:pPr>
              <w:jc w:val="both"/>
              <w:rPr>
                <w:rFonts w:ascii="ITC Avant Garde" w:hAnsi="ITC Avant Garde"/>
                <w:sz w:val="20"/>
                <w:szCs w:val="20"/>
              </w:rPr>
            </w:pPr>
            <w:r w:rsidRPr="002C2D28">
              <w:rPr>
                <w:rFonts w:ascii="ITC Avant Garde" w:hAnsi="ITC Avant Garde"/>
                <w:sz w:val="20"/>
                <w:szCs w:val="20"/>
              </w:rPr>
              <w:t xml:space="preserve">El Instituto impuso medidas al AEPT referentes a prestar los servicios mayoristas de desagregación total y compartida del bucle y </w:t>
            </w:r>
            <w:proofErr w:type="gramStart"/>
            <w:r w:rsidRPr="002C2D28">
              <w:rPr>
                <w:rFonts w:ascii="ITC Avant Garde" w:hAnsi="ITC Avant Garde"/>
                <w:sz w:val="20"/>
                <w:szCs w:val="20"/>
              </w:rPr>
              <w:t>sub</w:t>
            </w:r>
            <w:r w:rsidR="00D24036">
              <w:rPr>
                <w:rFonts w:ascii="ITC Avant Garde" w:hAnsi="ITC Avant Garde"/>
                <w:sz w:val="20"/>
                <w:szCs w:val="20"/>
              </w:rPr>
              <w:t xml:space="preserve"> </w:t>
            </w:r>
            <w:r w:rsidRPr="002C2D28">
              <w:rPr>
                <w:rFonts w:ascii="ITC Avant Garde" w:hAnsi="ITC Avant Garde"/>
                <w:sz w:val="20"/>
                <w:szCs w:val="20"/>
              </w:rPr>
              <w:t>bucle</w:t>
            </w:r>
            <w:proofErr w:type="gramEnd"/>
            <w:r w:rsidRPr="002C2D28">
              <w:rPr>
                <w:rFonts w:ascii="ITC Avant Garde" w:hAnsi="ITC Avant Garde"/>
                <w:sz w:val="20"/>
                <w:szCs w:val="20"/>
              </w:rPr>
              <w:t>, el servicio de acceso indirecto, el servicio de reventa de línea, el servicio de coubicación para desagregación y servicios auxiliares, publicando para ello una oferta de referencia, previamente autorizada por el Instituto. Asimismo, se mandató que el AEPT debería suscribir un convenio de desagregación en el que se manifiesten las condiciones contenidas en la oferta de referencia, así como las establecidas en la normatividad vigente, entre otras medidas. En línea con lo anterior, se señalaron las metodologías de costos para la determinación de las tarifas de los servicios regulados.</w:t>
            </w:r>
          </w:p>
          <w:p w14:paraId="2D259E92" w14:textId="469947D0" w:rsidR="002C2D28" w:rsidRDefault="002C2D28" w:rsidP="00EE422D">
            <w:pPr>
              <w:jc w:val="both"/>
              <w:rPr>
                <w:rFonts w:ascii="ITC Avant Garde" w:hAnsi="ITC Avant Garde"/>
                <w:sz w:val="20"/>
                <w:szCs w:val="20"/>
              </w:rPr>
            </w:pPr>
            <w:r w:rsidRPr="002C2D28">
              <w:rPr>
                <w:rFonts w:ascii="ITC Avant Garde" w:hAnsi="ITC Avant Garde"/>
                <w:sz w:val="20"/>
                <w:szCs w:val="20"/>
              </w:rPr>
              <w:t xml:space="preserve">A través de la </w:t>
            </w:r>
            <w:r w:rsidR="00390B31">
              <w:rPr>
                <w:rFonts w:ascii="ITC Avant Garde" w:hAnsi="ITC Avant Garde"/>
                <w:sz w:val="20"/>
                <w:szCs w:val="20"/>
              </w:rPr>
              <w:t xml:space="preserve">Primera </w:t>
            </w:r>
            <w:r w:rsidRPr="002C2D28">
              <w:rPr>
                <w:rFonts w:ascii="ITC Avant Garde" w:hAnsi="ITC Avant Garde"/>
                <w:sz w:val="20"/>
                <w:szCs w:val="20"/>
              </w:rPr>
              <w:t>Resolución Bienal de Telecomunicaciones se hicieron adecuaciones en materia de inclusión de nuevas figuras legales;</w:t>
            </w:r>
            <w:r w:rsidRPr="002C2D28">
              <w:rPr>
                <w:rFonts w:ascii="ITC Avant Garde" w:eastAsia="Times New Roman" w:hAnsi="ITC Avant Garde"/>
                <w:color w:val="000000"/>
                <w:sz w:val="20"/>
                <w:szCs w:val="20"/>
                <w:lang w:eastAsia="es-MX"/>
              </w:rPr>
              <w:t xml:space="preserve"> homologación con lo establecido en la LFTR y otros ordenamientos jurídicos</w:t>
            </w:r>
            <w:r w:rsidRPr="002C2D28">
              <w:rPr>
                <w:rFonts w:ascii="ITC Avant Garde" w:hAnsi="ITC Avant Garde"/>
                <w:sz w:val="20"/>
                <w:szCs w:val="20"/>
              </w:rPr>
              <w:t>; acceso de los prestadores del servicio de telefonía pública a los servicios de desagregación, y precisiones de procedimientos y parámetros de calidad, entre otras.</w:t>
            </w:r>
          </w:p>
          <w:p w14:paraId="299E6BA7" w14:textId="70331F08" w:rsidR="008455AA" w:rsidRPr="002C2D28" w:rsidRDefault="00324DBD" w:rsidP="00EE422D">
            <w:pPr>
              <w:jc w:val="both"/>
              <w:rPr>
                <w:rFonts w:ascii="ITC Avant Garde" w:hAnsi="ITC Avant Garde"/>
                <w:sz w:val="20"/>
                <w:szCs w:val="20"/>
              </w:rPr>
            </w:pPr>
            <w:r>
              <w:rPr>
                <w:rFonts w:ascii="ITC Avant Garde" w:eastAsia="Times New Roman" w:hAnsi="ITC Avant Garde"/>
                <w:color w:val="000000"/>
                <w:sz w:val="20"/>
                <w:szCs w:val="20"/>
                <w:lang w:eastAsia="es-MX"/>
              </w:rPr>
              <w:t>En la Segunda Resolución Bienal de Telecomunicaciones</w:t>
            </w:r>
            <w:r w:rsidRPr="00C430C1">
              <w:rPr>
                <w:rFonts w:ascii="ITC Avant Garde" w:eastAsia="Times New Roman" w:hAnsi="ITC Avant Garde"/>
                <w:color w:val="000000"/>
                <w:sz w:val="20"/>
                <w:szCs w:val="20"/>
                <w:lang w:eastAsia="es-MX"/>
              </w:rPr>
              <w:t xml:space="preserve"> </w:t>
            </w:r>
            <w:r w:rsidRPr="00B56FD9">
              <w:rPr>
                <w:rFonts w:ascii="ITC Avant Garde" w:eastAsia="Times New Roman" w:hAnsi="ITC Avant Garde"/>
                <w:color w:val="000000"/>
                <w:sz w:val="20"/>
                <w:szCs w:val="20"/>
                <w:lang w:eastAsia="es-MX"/>
              </w:rPr>
              <w:t>se hicieron modificaciones</w:t>
            </w:r>
            <w:r w:rsidR="00C751E9">
              <w:rPr>
                <w:rFonts w:ascii="ITC Avant Garde" w:eastAsia="Times New Roman" w:hAnsi="ITC Avant Garde"/>
                <w:color w:val="000000"/>
                <w:sz w:val="20"/>
                <w:szCs w:val="20"/>
                <w:lang w:eastAsia="es-MX"/>
              </w:rPr>
              <w:t>: (i)</w:t>
            </w:r>
            <w:r w:rsidRPr="00B56FD9">
              <w:rPr>
                <w:rFonts w:ascii="ITC Avant Garde" w:eastAsia="Times New Roman" w:hAnsi="ITC Avant Garde"/>
                <w:color w:val="000000"/>
                <w:sz w:val="20"/>
                <w:szCs w:val="20"/>
                <w:lang w:eastAsia="es-MX"/>
              </w:rPr>
              <w:t xml:space="preserve"> en cuanto al proceso de revisión anual de la oferta de referencia para hacerlo más eficiente</w:t>
            </w:r>
            <w:r w:rsidR="00C751E9">
              <w:rPr>
                <w:rFonts w:ascii="ITC Avant Garde" w:eastAsia="Times New Roman" w:hAnsi="ITC Avant Garde"/>
                <w:color w:val="000000"/>
                <w:sz w:val="20"/>
                <w:szCs w:val="20"/>
                <w:lang w:eastAsia="es-MX"/>
              </w:rPr>
              <w:t>;</w:t>
            </w:r>
            <w:r>
              <w:rPr>
                <w:rFonts w:ascii="ITC Avant Garde" w:eastAsia="Times New Roman" w:hAnsi="ITC Avant Garde"/>
                <w:color w:val="000000"/>
                <w:sz w:val="20"/>
                <w:szCs w:val="20"/>
                <w:lang w:eastAsia="es-MX"/>
              </w:rPr>
              <w:t xml:space="preserve"> </w:t>
            </w:r>
            <w:r w:rsidR="00C751E9">
              <w:rPr>
                <w:rFonts w:ascii="ITC Avant Garde" w:eastAsia="Times New Roman" w:hAnsi="ITC Avant Garde"/>
                <w:color w:val="000000"/>
                <w:sz w:val="20"/>
                <w:szCs w:val="20"/>
                <w:lang w:eastAsia="es-MX"/>
              </w:rPr>
              <w:t>(</w:t>
            </w:r>
            <w:proofErr w:type="spellStart"/>
            <w:r w:rsidR="00C751E9">
              <w:rPr>
                <w:rFonts w:ascii="ITC Avant Garde" w:eastAsia="Times New Roman" w:hAnsi="ITC Avant Garde"/>
                <w:color w:val="000000"/>
                <w:sz w:val="20"/>
                <w:szCs w:val="20"/>
                <w:lang w:eastAsia="es-MX"/>
              </w:rPr>
              <w:t>ii</w:t>
            </w:r>
            <w:proofErr w:type="spellEnd"/>
            <w:r w:rsidR="00C751E9">
              <w:rPr>
                <w:rFonts w:ascii="ITC Avant Garde" w:eastAsia="Times New Roman" w:hAnsi="ITC Avant Garde"/>
                <w:color w:val="000000"/>
                <w:sz w:val="20"/>
                <w:szCs w:val="20"/>
                <w:lang w:eastAsia="es-MX"/>
              </w:rPr>
              <w:t xml:space="preserve">) </w:t>
            </w:r>
            <w:r>
              <w:rPr>
                <w:rFonts w:ascii="ITC Avant Garde" w:eastAsia="Times New Roman" w:hAnsi="ITC Avant Garde"/>
                <w:color w:val="000000"/>
                <w:sz w:val="20"/>
                <w:szCs w:val="20"/>
                <w:lang w:eastAsia="es-MX"/>
              </w:rPr>
              <w:t>para</w:t>
            </w:r>
            <w:r w:rsidRPr="001621F6">
              <w:rPr>
                <w:rFonts w:ascii="ITC Avant Garde" w:eastAsia="Times New Roman" w:hAnsi="ITC Avant Garde"/>
                <w:color w:val="000000"/>
                <w:sz w:val="20"/>
                <w:szCs w:val="20"/>
                <w:lang w:eastAsia="es-MX"/>
              </w:rPr>
              <w:t xml:space="preserve"> </w:t>
            </w:r>
            <w:r w:rsidR="00C751E9">
              <w:rPr>
                <w:rFonts w:ascii="ITC Avant Garde" w:eastAsia="Times New Roman" w:hAnsi="ITC Avant Garde"/>
                <w:color w:val="000000"/>
                <w:sz w:val="20"/>
                <w:szCs w:val="20"/>
                <w:lang w:eastAsia="es-MX"/>
              </w:rPr>
              <w:t xml:space="preserve">establecer </w:t>
            </w:r>
            <w:r w:rsidRPr="001621F6">
              <w:rPr>
                <w:rFonts w:ascii="ITC Avant Garde" w:eastAsia="Times New Roman" w:hAnsi="ITC Avant Garde"/>
                <w:color w:val="000000"/>
                <w:sz w:val="20"/>
                <w:szCs w:val="20"/>
                <w:lang w:eastAsia="es-MX"/>
              </w:rPr>
              <w:t>que la definición de los procedimientos, plazos, términos y demás condiciones técnicas y económicas para la prestación del servicio mayorista</w:t>
            </w:r>
            <w:r>
              <w:rPr>
                <w:rFonts w:ascii="ITC Avant Garde" w:eastAsia="Times New Roman" w:hAnsi="ITC Avant Garde"/>
                <w:color w:val="000000"/>
                <w:sz w:val="20"/>
                <w:szCs w:val="20"/>
                <w:lang w:eastAsia="es-MX"/>
              </w:rPr>
              <w:t xml:space="preserve"> de desagregación</w:t>
            </w:r>
            <w:r w:rsidRPr="001621F6">
              <w:rPr>
                <w:rFonts w:ascii="ITC Avant Garde" w:eastAsia="Times New Roman" w:hAnsi="ITC Avant Garde"/>
                <w:color w:val="000000"/>
                <w:sz w:val="20"/>
                <w:szCs w:val="20"/>
                <w:lang w:eastAsia="es-MX"/>
              </w:rPr>
              <w:t xml:space="preserve"> </w:t>
            </w:r>
            <w:r w:rsidR="005D3565">
              <w:rPr>
                <w:rFonts w:ascii="ITC Avant Garde" w:eastAsia="Times New Roman" w:hAnsi="ITC Avant Garde"/>
                <w:color w:val="000000"/>
                <w:sz w:val="20"/>
                <w:szCs w:val="20"/>
                <w:lang w:eastAsia="es-MX"/>
              </w:rPr>
              <w:t>se lleve a cabo</w:t>
            </w:r>
            <w:r w:rsidR="005D3565" w:rsidRPr="001621F6">
              <w:rPr>
                <w:rFonts w:ascii="ITC Avant Garde" w:eastAsia="Times New Roman" w:hAnsi="ITC Avant Garde"/>
                <w:color w:val="000000"/>
                <w:sz w:val="20"/>
                <w:szCs w:val="20"/>
                <w:lang w:eastAsia="es-MX"/>
              </w:rPr>
              <w:t xml:space="preserve"> en la revisión anual </w:t>
            </w:r>
            <w:r w:rsidR="005D3565">
              <w:rPr>
                <w:rFonts w:ascii="ITC Avant Garde" w:eastAsia="Times New Roman" w:hAnsi="ITC Avant Garde"/>
                <w:color w:val="000000"/>
                <w:sz w:val="20"/>
                <w:szCs w:val="20"/>
                <w:lang w:eastAsia="es-MX"/>
              </w:rPr>
              <w:t>de las ofertas de referencia, a fin de garantizar que la prestación de los servicios sea acorde al dinamismo que caracteriza al sector</w:t>
            </w:r>
            <w:r w:rsidR="00C751E9">
              <w:rPr>
                <w:rFonts w:ascii="ITC Avant Garde" w:hAnsi="ITC Avant Garde"/>
                <w:sz w:val="20"/>
                <w:szCs w:val="20"/>
              </w:rPr>
              <w:t>; (</w:t>
            </w:r>
            <w:proofErr w:type="spellStart"/>
            <w:r w:rsidR="00C751E9">
              <w:rPr>
                <w:rFonts w:ascii="ITC Avant Garde" w:hAnsi="ITC Avant Garde"/>
                <w:sz w:val="20"/>
                <w:szCs w:val="20"/>
              </w:rPr>
              <w:t>iii</w:t>
            </w:r>
            <w:proofErr w:type="spellEnd"/>
            <w:r w:rsidR="00C751E9">
              <w:rPr>
                <w:rFonts w:ascii="ITC Avant Garde" w:hAnsi="ITC Avant Garde"/>
                <w:sz w:val="20"/>
                <w:szCs w:val="20"/>
              </w:rPr>
              <w:t>) para</w:t>
            </w:r>
            <w:r>
              <w:rPr>
                <w:rFonts w:ascii="ITC Avant Garde" w:hAnsi="ITC Avant Garde"/>
                <w:sz w:val="20"/>
                <w:szCs w:val="20"/>
              </w:rPr>
              <w:t xml:space="preserve"> </w:t>
            </w:r>
            <w:r w:rsidR="00C751E9">
              <w:rPr>
                <w:rFonts w:ascii="ITC Avant Garde" w:hAnsi="ITC Avant Garde"/>
                <w:sz w:val="20"/>
                <w:szCs w:val="20"/>
              </w:rPr>
              <w:t>establecer</w:t>
            </w:r>
            <w:r>
              <w:rPr>
                <w:rFonts w:ascii="ITC Avant Garde" w:hAnsi="ITC Avant Garde"/>
                <w:sz w:val="20"/>
                <w:szCs w:val="20"/>
              </w:rPr>
              <w:t xml:space="preserve"> que</w:t>
            </w:r>
            <w:r w:rsidR="005D3565">
              <w:rPr>
                <w:rFonts w:ascii="ITC Avant Garde" w:hAnsi="ITC Avant Garde"/>
                <w:sz w:val="20"/>
                <w:szCs w:val="20"/>
              </w:rPr>
              <w:t>,</w:t>
            </w:r>
            <w:r>
              <w:rPr>
                <w:rFonts w:ascii="ITC Avant Garde" w:hAnsi="ITC Avant Garde"/>
                <w:sz w:val="20"/>
                <w:szCs w:val="20"/>
              </w:rPr>
              <w:t xml:space="preserve"> como parte de la oferta de referencia</w:t>
            </w:r>
            <w:r w:rsidR="005D3565">
              <w:rPr>
                <w:rFonts w:ascii="ITC Avant Garde" w:hAnsi="ITC Avant Garde"/>
                <w:sz w:val="20"/>
                <w:szCs w:val="20"/>
              </w:rPr>
              <w:t>,</w:t>
            </w:r>
            <w:r>
              <w:rPr>
                <w:rFonts w:ascii="ITC Avant Garde" w:hAnsi="ITC Avant Garde"/>
                <w:sz w:val="20"/>
                <w:szCs w:val="20"/>
              </w:rPr>
              <w:t xml:space="preserve"> se </w:t>
            </w:r>
            <w:r w:rsidR="005D3565">
              <w:rPr>
                <w:rFonts w:ascii="ITC Avant Garde" w:hAnsi="ITC Avant Garde"/>
                <w:sz w:val="20"/>
                <w:szCs w:val="20"/>
              </w:rPr>
              <w:t>incluyan</w:t>
            </w:r>
            <w:r>
              <w:rPr>
                <w:rFonts w:ascii="ITC Avant Garde" w:hAnsi="ITC Avant Garde"/>
                <w:sz w:val="20"/>
                <w:szCs w:val="20"/>
              </w:rPr>
              <w:t xml:space="preserve"> </w:t>
            </w:r>
            <w:r>
              <w:t xml:space="preserve"> </w:t>
            </w:r>
            <w:r w:rsidRPr="00324DBD">
              <w:rPr>
                <w:rFonts w:ascii="ITC Avant Garde" w:hAnsi="ITC Avant Garde"/>
                <w:sz w:val="20"/>
                <w:szCs w:val="20"/>
              </w:rPr>
              <w:t>los criterios y metodologías para determinar los trabajos especiales</w:t>
            </w:r>
            <w:r w:rsidR="00C751E9">
              <w:rPr>
                <w:rFonts w:ascii="ITC Avant Garde" w:hAnsi="ITC Avant Garde"/>
                <w:sz w:val="20"/>
                <w:szCs w:val="20"/>
              </w:rPr>
              <w:t>; (</w:t>
            </w:r>
            <w:proofErr w:type="spellStart"/>
            <w:r w:rsidR="00C751E9">
              <w:rPr>
                <w:rFonts w:ascii="ITC Avant Garde" w:hAnsi="ITC Avant Garde"/>
                <w:sz w:val="20"/>
                <w:szCs w:val="20"/>
              </w:rPr>
              <w:t>iv</w:t>
            </w:r>
            <w:proofErr w:type="spellEnd"/>
            <w:r w:rsidR="00C751E9">
              <w:rPr>
                <w:rFonts w:ascii="ITC Avant Garde" w:hAnsi="ITC Avant Garde"/>
                <w:sz w:val="20"/>
                <w:szCs w:val="20"/>
              </w:rPr>
              <w:t xml:space="preserve">) </w:t>
            </w:r>
            <w:r w:rsidR="00C751E9">
              <w:t xml:space="preserve"> </w:t>
            </w:r>
            <w:r w:rsidR="00C751E9">
              <w:rPr>
                <w:rFonts w:ascii="ITC Avant Garde" w:hAnsi="ITC Avant Garde"/>
                <w:sz w:val="20"/>
                <w:szCs w:val="20"/>
              </w:rPr>
              <w:t>para establecer la posibilidad de</w:t>
            </w:r>
            <w:r w:rsidR="00C751E9" w:rsidRPr="00C751E9">
              <w:rPr>
                <w:rFonts w:ascii="ITC Avant Garde" w:hAnsi="ITC Avant Garde"/>
                <w:sz w:val="20"/>
                <w:szCs w:val="20"/>
              </w:rPr>
              <w:t xml:space="preserve"> modificar el esquema regulatorio de tarifas mayoristas</w:t>
            </w:r>
            <w:r w:rsidR="00C751E9">
              <w:rPr>
                <w:rFonts w:ascii="ITC Avant Garde" w:hAnsi="ITC Avant Garde"/>
                <w:sz w:val="20"/>
                <w:szCs w:val="20"/>
              </w:rPr>
              <w:t xml:space="preserve"> en zonas geográficas</w:t>
            </w:r>
            <w:r w:rsidR="00C751E9" w:rsidRPr="00C751E9">
              <w:rPr>
                <w:rFonts w:ascii="ITC Avant Garde" w:hAnsi="ITC Avant Garde"/>
                <w:sz w:val="20"/>
                <w:szCs w:val="20"/>
              </w:rPr>
              <w:t>, sujeto a un análisis de competencia</w:t>
            </w:r>
            <w:r w:rsidR="008455AA" w:rsidRPr="00B56FD9">
              <w:rPr>
                <w:rFonts w:ascii="ITC Avant Garde" w:eastAsia="Times New Roman" w:hAnsi="ITC Avant Garde"/>
                <w:color w:val="000000"/>
                <w:sz w:val="20"/>
                <w:szCs w:val="20"/>
                <w:lang w:eastAsia="es-MX"/>
              </w:rPr>
              <w:t>.</w:t>
            </w:r>
            <w:r w:rsidR="008455AA">
              <w:rPr>
                <w:rFonts w:ascii="ITC Avant Garde" w:eastAsia="Times New Roman" w:hAnsi="ITC Avant Garde"/>
                <w:color w:val="000000"/>
                <w:sz w:val="20"/>
                <w:szCs w:val="20"/>
                <w:lang w:eastAsia="es-MX"/>
              </w:rPr>
              <w:t xml:space="preserve"> </w:t>
            </w:r>
          </w:p>
        </w:tc>
      </w:tr>
      <w:tr w:rsidR="002C2D28" w:rsidRPr="002C2D28" w14:paraId="2CA80373" w14:textId="77777777" w:rsidTr="00652FBC">
        <w:trPr>
          <w:trHeight w:val="414"/>
        </w:trPr>
        <w:tc>
          <w:tcPr>
            <w:tcW w:w="8641" w:type="dxa"/>
            <w:gridSpan w:val="4"/>
            <w:shd w:val="clear" w:color="auto" w:fill="FFFFFF"/>
            <w:vAlign w:val="center"/>
          </w:tcPr>
          <w:p w14:paraId="0AA9BC43" w14:textId="25090F8E" w:rsidR="002C2D28" w:rsidRPr="002C2D28" w:rsidRDefault="00F70551" w:rsidP="00946EFD">
            <w:pPr>
              <w:jc w:val="both"/>
              <w:rPr>
                <w:rFonts w:ascii="ITC Avant Garde" w:eastAsia="Times New Roman" w:hAnsi="ITC Avant Garde"/>
                <w:b/>
                <w:color w:val="000000"/>
                <w:sz w:val="20"/>
                <w:szCs w:val="20"/>
                <w:lang w:eastAsia="es-MX"/>
              </w:rPr>
            </w:pPr>
            <w:r w:rsidRPr="009B1606">
              <w:rPr>
                <w:rFonts w:ascii="ITC Avant Garde" w:eastAsia="Times New Roman" w:hAnsi="ITC Avant Garde"/>
                <w:b/>
                <w:color w:val="000000"/>
                <w:sz w:val="20"/>
                <w:szCs w:val="20"/>
                <w:lang w:eastAsia="es-MX"/>
              </w:rPr>
              <w:t>¿</w:t>
            </w:r>
            <w:r>
              <w:rPr>
                <w:rFonts w:ascii="ITC Avant Garde" w:eastAsia="Times New Roman" w:hAnsi="ITC Avant Garde"/>
                <w:b/>
                <w:color w:val="000000"/>
                <w:sz w:val="20"/>
                <w:szCs w:val="20"/>
                <w:lang w:eastAsia="es-MX"/>
              </w:rPr>
              <w:t>Cuáles son sus consideraciones respecto al impacto que ha tenido la regulación asimétrica al AEPT referente a la desagregación de la red local?</w:t>
            </w:r>
          </w:p>
        </w:tc>
      </w:tr>
      <w:tr w:rsidR="002C2D28" w:rsidRPr="002C2D28" w14:paraId="3F916644" w14:textId="77777777" w:rsidTr="00652FBC">
        <w:trPr>
          <w:trHeight w:val="414"/>
        </w:trPr>
        <w:tc>
          <w:tcPr>
            <w:tcW w:w="8641" w:type="dxa"/>
            <w:gridSpan w:val="4"/>
            <w:shd w:val="clear" w:color="auto" w:fill="FFFFFF"/>
            <w:vAlign w:val="center"/>
          </w:tcPr>
          <w:p w14:paraId="44991397" w14:textId="77777777" w:rsidR="002C2D28" w:rsidRPr="002C2D28" w:rsidRDefault="002C2D28" w:rsidP="00946EFD">
            <w:pPr>
              <w:spacing w:after="0" w:line="276" w:lineRule="auto"/>
              <w:jc w:val="both"/>
              <w:rPr>
                <w:rFonts w:ascii="ITC Avant Garde" w:eastAsia="Times New Roman" w:hAnsi="ITC Avant Garde"/>
                <w:b/>
                <w:color w:val="000000"/>
                <w:sz w:val="20"/>
                <w:szCs w:val="20"/>
                <w:lang w:eastAsia="es-MX"/>
              </w:rPr>
            </w:pPr>
          </w:p>
        </w:tc>
      </w:tr>
      <w:tr w:rsidR="002C2D28" w:rsidRPr="002C2D28" w14:paraId="264F2C8A" w14:textId="77777777" w:rsidTr="00652FBC">
        <w:trPr>
          <w:trHeight w:val="414"/>
        </w:trPr>
        <w:tc>
          <w:tcPr>
            <w:tcW w:w="8641" w:type="dxa"/>
            <w:gridSpan w:val="4"/>
            <w:shd w:val="clear" w:color="auto" w:fill="FFFFFF"/>
            <w:vAlign w:val="center"/>
          </w:tcPr>
          <w:p w14:paraId="4D072625" w14:textId="738A20A0" w:rsidR="002C2D28" w:rsidRPr="00F70551" w:rsidRDefault="00F70551" w:rsidP="00946EFD">
            <w:pPr>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lastRenderedPageBreak/>
              <w:t xml:space="preserve">¿Cuáles son sus </w:t>
            </w:r>
            <w:r w:rsidRPr="002C2D28">
              <w:rPr>
                <w:rFonts w:ascii="ITC Avant Garde" w:eastAsia="Times New Roman" w:hAnsi="ITC Avant Garde"/>
                <w:b/>
                <w:color w:val="000000"/>
                <w:sz w:val="20"/>
                <w:szCs w:val="20"/>
                <w:lang w:eastAsia="es-MX"/>
              </w:rPr>
              <w:t>considera</w:t>
            </w:r>
            <w:r>
              <w:rPr>
                <w:rFonts w:ascii="ITC Avant Garde" w:eastAsia="Times New Roman" w:hAnsi="ITC Avant Garde"/>
                <w:b/>
                <w:color w:val="000000"/>
                <w:sz w:val="20"/>
                <w:szCs w:val="20"/>
                <w:lang w:eastAsia="es-MX"/>
              </w:rPr>
              <w:t>ciones respecto</w:t>
            </w:r>
            <w:r w:rsidRPr="002C2D28">
              <w:rPr>
                <w:rFonts w:ascii="ITC Avant Garde" w:eastAsia="Times New Roman" w:hAnsi="ITC Avant Garde"/>
                <w:b/>
                <w:color w:val="000000"/>
                <w:sz w:val="20"/>
                <w:szCs w:val="20"/>
                <w:lang w:eastAsia="es-MX"/>
              </w:rPr>
              <w:t xml:space="preserve"> </w:t>
            </w:r>
            <w:r>
              <w:rPr>
                <w:rFonts w:ascii="ITC Avant Garde" w:eastAsia="Times New Roman" w:hAnsi="ITC Avant Garde"/>
                <w:b/>
                <w:color w:val="000000"/>
                <w:sz w:val="20"/>
                <w:szCs w:val="20"/>
                <w:lang w:eastAsia="es-MX"/>
              </w:rPr>
              <w:t>al diseño de las medidas referente</w:t>
            </w:r>
            <w:r w:rsidR="00930E29">
              <w:rPr>
                <w:rFonts w:ascii="ITC Avant Garde" w:eastAsia="Times New Roman" w:hAnsi="ITC Avant Garde"/>
                <w:b/>
                <w:color w:val="000000"/>
                <w:sz w:val="20"/>
                <w:szCs w:val="20"/>
                <w:lang w:eastAsia="es-MX"/>
              </w:rPr>
              <w:t>s</w:t>
            </w:r>
            <w:r>
              <w:rPr>
                <w:rFonts w:ascii="ITC Avant Garde" w:eastAsia="Times New Roman" w:hAnsi="ITC Avant Garde"/>
                <w:b/>
                <w:color w:val="000000"/>
                <w:sz w:val="20"/>
                <w:szCs w:val="20"/>
                <w:lang w:eastAsia="es-MX"/>
              </w:rPr>
              <w:t xml:space="preserve"> a la desagregación de la red local y su idoneidad</w:t>
            </w:r>
            <w:r w:rsidRPr="002C2D28">
              <w:rPr>
                <w:rFonts w:ascii="ITC Avant Garde" w:eastAsia="Times New Roman" w:hAnsi="ITC Avant Garde"/>
                <w:b/>
                <w:color w:val="000000"/>
                <w:sz w:val="20"/>
                <w:szCs w:val="20"/>
                <w:lang w:eastAsia="es-MX"/>
              </w:rPr>
              <w:t xml:space="preserve"> para alcanzar los objetivos por los que se plantearon</w:t>
            </w:r>
            <w:r>
              <w:rPr>
                <w:rFonts w:ascii="ITC Avant Garde" w:eastAsia="Times New Roman" w:hAnsi="ITC Avant Garde"/>
                <w:b/>
                <w:color w:val="000000"/>
                <w:sz w:val="20"/>
                <w:szCs w:val="20"/>
                <w:lang w:eastAsia="es-MX"/>
              </w:rPr>
              <w:t>?</w:t>
            </w:r>
          </w:p>
        </w:tc>
      </w:tr>
      <w:tr w:rsidR="002C2D28" w:rsidRPr="002C2D28" w14:paraId="48D6BE3F" w14:textId="77777777" w:rsidTr="00652FBC">
        <w:trPr>
          <w:trHeight w:val="414"/>
        </w:trPr>
        <w:tc>
          <w:tcPr>
            <w:tcW w:w="8641" w:type="dxa"/>
            <w:gridSpan w:val="4"/>
            <w:shd w:val="clear" w:color="auto" w:fill="FFFFFF"/>
            <w:vAlign w:val="center"/>
          </w:tcPr>
          <w:p w14:paraId="466C6E78" w14:textId="77777777" w:rsidR="002C2D28" w:rsidRPr="002C2D28" w:rsidRDefault="002C2D28" w:rsidP="00946EFD">
            <w:pPr>
              <w:spacing w:after="0" w:line="276" w:lineRule="auto"/>
              <w:jc w:val="both"/>
              <w:rPr>
                <w:rFonts w:ascii="ITC Avant Garde" w:eastAsia="Times New Roman" w:hAnsi="ITC Avant Garde"/>
                <w:b/>
                <w:color w:val="000000"/>
                <w:sz w:val="20"/>
                <w:szCs w:val="20"/>
                <w:lang w:eastAsia="es-MX"/>
              </w:rPr>
            </w:pPr>
          </w:p>
        </w:tc>
      </w:tr>
      <w:tr w:rsidR="002C2D28" w:rsidRPr="002C2D28" w14:paraId="57CA4B1B" w14:textId="77777777" w:rsidTr="00652FBC">
        <w:trPr>
          <w:trHeight w:val="414"/>
        </w:trPr>
        <w:tc>
          <w:tcPr>
            <w:tcW w:w="8641" w:type="dxa"/>
            <w:gridSpan w:val="4"/>
            <w:shd w:val="clear" w:color="auto" w:fill="FFFFFF"/>
          </w:tcPr>
          <w:p w14:paraId="26063920" w14:textId="6185B906" w:rsidR="002C2D28" w:rsidRPr="00930E29" w:rsidRDefault="00930E29" w:rsidP="00946EFD">
            <w:pPr>
              <w:jc w:val="both"/>
            </w:pPr>
            <w:r>
              <w:rPr>
                <w:rFonts w:ascii="ITC Avant Garde" w:hAnsi="ITC Avant Garde"/>
                <w:b/>
                <w:sz w:val="20"/>
                <w:szCs w:val="20"/>
              </w:rPr>
              <w:t>Favor de indicar la(s)</w:t>
            </w:r>
            <w:r w:rsidRPr="002C2D28">
              <w:rPr>
                <w:rFonts w:ascii="ITC Avant Garde" w:hAnsi="ITC Avant Garde"/>
                <w:b/>
                <w:sz w:val="20"/>
                <w:szCs w:val="20"/>
              </w:rPr>
              <w:t xml:space="preserve"> propuesta</w:t>
            </w:r>
            <w:r>
              <w:rPr>
                <w:rFonts w:ascii="ITC Avant Garde" w:hAnsi="ITC Avant Garde"/>
                <w:b/>
                <w:sz w:val="20"/>
                <w:szCs w:val="20"/>
              </w:rPr>
              <w:t>(s)</w:t>
            </w:r>
            <w:r w:rsidRPr="002C2D28">
              <w:rPr>
                <w:rFonts w:ascii="ITC Avant Garde" w:hAnsi="ITC Avant Garde"/>
                <w:b/>
                <w:sz w:val="20"/>
                <w:szCs w:val="20"/>
              </w:rPr>
              <w:t xml:space="preserve"> específica</w:t>
            </w:r>
            <w:r>
              <w:rPr>
                <w:rFonts w:ascii="ITC Avant Garde" w:hAnsi="ITC Avant Garde"/>
                <w:b/>
                <w:sz w:val="20"/>
                <w:szCs w:val="20"/>
              </w:rPr>
              <w:t>(s)</w:t>
            </w:r>
            <w:r w:rsidRPr="002C2D28">
              <w:rPr>
                <w:rFonts w:ascii="ITC Avant Garde" w:hAnsi="ITC Avant Garde"/>
                <w:b/>
                <w:sz w:val="20"/>
                <w:szCs w:val="20"/>
              </w:rPr>
              <w:t xml:space="preserve"> </w:t>
            </w:r>
            <w:r>
              <w:rPr>
                <w:rFonts w:ascii="ITC Avant Garde" w:hAnsi="ITC Avant Garde"/>
                <w:b/>
                <w:sz w:val="20"/>
                <w:szCs w:val="20"/>
              </w:rPr>
              <w:t>para la supresión, modificación o adición de</w:t>
            </w:r>
            <w:r w:rsidRPr="002C2D28">
              <w:rPr>
                <w:rFonts w:ascii="ITC Avant Garde" w:hAnsi="ITC Avant Garde"/>
                <w:b/>
                <w:sz w:val="20"/>
                <w:szCs w:val="20"/>
              </w:rPr>
              <w:t xml:space="preserve"> las medidas re</w:t>
            </w:r>
            <w:r>
              <w:rPr>
                <w:rFonts w:ascii="ITC Avant Garde" w:hAnsi="ITC Avant Garde"/>
                <w:b/>
                <w:sz w:val="20"/>
                <w:szCs w:val="20"/>
              </w:rPr>
              <w:t>ferentes a la desagregación de la red local.</w:t>
            </w:r>
          </w:p>
        </w:tc>
      </w:tr>
      <w:tr w:rsidR="002C2D28" w:rsidRPr="002C2D28" w14:paraId="6237BACA" w14:textId="77777777" w:rsidTr="00652FBC">
        <w:trPr>
          <w:trHeight w:val="414"/>
        </w:trPr>
        <w:tc>
          <w:tcPr>
            <w:tcW w:w="4320" w:type="dxa"/>
            <w:gridSpan w:val="3"/>
            <w:shd w:val="clear" w:color="auto" w:fill="FFFFFF"/>
          </w:tcPr>
          <w:p w14:paraId="06B02A6C"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4321" w:type="dxa"/>
            <w:shd w:val="clear" w:color="auto" w:fill="FFFFFF"/>
          </w:tcPr>
          <w:p w14:paraId="2F581C05"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2C2D28" w:rsidRPr="002C2D28" w14:paraId="3EEDEA7B" w14:textId="77777777" w:rsidTr="00652FBC">
        <w:trPr>
          <w:trHeight w:val="414"/>
        </w:trPr>
        <w:tc>
          <w:tcPr>
            <w:tcW w:w="4320" w:type="dxa"/>
            <w:gridSpan w:val="3"/>
            <w:shd w:val="clear" w:color="auto" w:fill="FFFFFF"/>
          </w:tcPr>
          <w:p w14:paraId="0F05C275"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4321" w:type="dxa"/>
            <w:shd w:val="clear" w:color="auto" w:fill="FFFFFF"/>
          </w:tcPr>
          <w:p w14:paraId="6B01CBA2"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2C2D28" w:rsidRPr="002C2D28" w14:paraId="3370905C" w14:textId="77777777" w:rsidTr="00652FBC">
        <w:trPr>
          <w:trHeight w:val="414"/>
        </w:trPr>
        <w:tc>
          <w:tcPr>
            <w:tcW w:w="1754" w:type="dxa"/>
            <w:shd w:val="clear" w:color="auto" w:fill="C5E0B3"/>
            <w:vAlign w:val="center"/>
          </w:tcPr>
          <w:p w14:paraId="4849486D" w14:textId="77777777"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Medidas referentes a</w:t>
            </w:r>
          </w:p>
          <w:p w14:paraId="3E6C4BF9" w14:textId="77777777"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Usuarios finales</w:t>
            </w:r>
          </w:p>
          <w:p w14:paraId="5BAB6925" w14:textId="77777777"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p>
          <w:p w14:paraId="59ED9A8A" w14:textId="778708B8"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Anexo 2: 45</w:t>
            </w:r>
            <w:r w:rsidR="00D83C4C">
              <w:rPr>
                <w:rFonts w:ascii="ITC Avant Garde" w:eastAsia="Times New Roman" w:hAnsi="ITC Avant Garde"/>
                <w:b/>
                <w:color w:val="000000"/>
                <w:sz w:val="20"/>
                <w:szCs w:val="20"/>
                <w:lang w:eastAsia="es-MX"/>
              </w:rPr>
              <w:t xml:space="preserve"> y</w:t>
            </w:r>
            <w:r w:rsidRPr="002C2D28">
              <w:rPr>
                <w:rFonts w:ascii="ITC Avant Garde" w:eastAsia="Times New Roman" w:hAnsi="ITC Avant Garde"/>
                <w:b/>
                <w:color w:val="000000"/>
                <w:sz w:val="20"/>
                <w:szCs w:val="20"/>
                <w:lang w:eastAsia="es-MX"/>
              </w:rPr>
              <w:t xml:space="preserve"> 47.</w:t>
            </w:r>
          </w:p>
        </w:tc>
        <w:tc>
          <w:tcPr>
            <w:tcW w:w="6887" w:type="dxa"/>
            <w:gridSpan w:val="3"/>
            <w:shd w:val="clear" w:color="auto" w:fill="C5E0B3"/>
            <w:vAlign w:val="center"/>
          </w:tcPr>
          <w:p w14:paraId="0B4E81C5" w14:textId="77777777" w:rsidR="002C2D28" w:rsidRPr="002C2D28" w:rsidRDefault="002C2D28" w:rsidP="00652FBC">
            <w:pPr>
              <w:spacing w:after="0"/>
              <w:rPr>
                <w:rFonts w:ascii="ITC Avant Garde" w:hAnsi="ITC Avant Garde"/>
                <w:b/>
                <w:sz w:val="20"/>
                <w:szCs w:val="20"/>
                <w:lang w:eastAsia="es-MX"/>
              </w:rPr>
            </w:pPr>
            <w:r w:rsidRPr="002C2D28">
              <w:rPr>
                <w:rFonts w:ascii="ITC Avant Garde" w:hAnsi="ITC Avant Garde"/>
                <w:b/>
                <w:sz w:val="20"/>
                <w:szCs w:val="20"/>
                <w:lang w:eastAsia="es-MX"/>
              </w:rPr>
              <w:t>Objetivos generales:</w:t>
            </w:r>
          </w:p>
          <w:p w14:paraId="5DD509AD" w14:textId="77777777" w:rsidR="002C2D28" w:rsidRPr="002C2D28" w:rsidRDefault="002C2D28">
            <w:pPr>
              <w:numPr>
                <w:ilvl w:val="0"/>
                <w:numId w:val="10"/>
              </w:numPr>
              <w:spacing w:after="0"/>
              <w:rPr>
                <w:rFonts w:ascii="ITC Avant Garde" w:hAnsi="ITC Avant Garde"/>
                <w:sz w:val="20"/>
                <w:szCs w:val="20"/>
                <w:lang w:eastAsia="es-MX"/>
              </w:rPr>
            </w:pPr>
            <w:r w:rsidRPr="002C2D28">
              <w:rPr>
                <w:rFonts w:ascii="ITC Avant Garde" w:hAnsi="ITC Avant Garde"/>
                <w:sz w:val="20"/>
                <w:szCs w:val="20"/>
                <w:lang w:eastAsia="es-MX"/>
              </w:rPr>
              <w:t xml:space="preserve">Reducir las asimetrías de información. </w:t>
            </w:r>
          </w:p>
          <w:p w14:paraId="50E12B02" w14:textId="77777777" w:rsidR="002C2D28" w:rsidRPr="002C2D28" w:rsidRDefault="002C2D28">
            <w:pPr>
              <w:numPr>
                <w:ilvl w:val="0"/>
                <w:numId w:val="10"/>
              </w:numPr>
              <w:spacing w:after="0"/>
              <w:rPr>
                <w:rFonts w:ascii="ITC Avant Garde" w:hAnsi="ITC Avant Garde"/>
                <w:sz w:val="20"/>
                <w:szCs w:val="20"/>
                <w:lang w:eastAsia="es-MX"/>
              </w:rPr>
            </w:pPr>
            <w:r w:rsidRPr="002C2D28">
              <w:rPr>
                <w:rFonts w:ascii="ITC Avant Garde" w:hAnsi="ITC Avant Garde"/>
                <w:sz w:val="20"/>
                <w:szCs w:val="20"/>
              </w:rPr>
              <w:t>Remediar y prevenir condiciones y conductas con efectos que no favorezcan la competencia y libre concurrencia.</w:t>
            </w:r>
          </w:p>
          <w:p w14:paraId="693BBA8D" w14:textId="7C7FC8E3" w:rsidR="002C2D28" w:rsidRPr="002C2D28" w:rsidRDefault="002C2D28">
            <w:pPr>
              <w:numPr>
                <w:ilvl w:val="0"/>
                <w:numId w:val="10"/>
              </w:numPr>
              <w:spacing w:after="0"/>
              <w:rPr>
                <w:rFonts w:ascii="ITC Avant Garde" w:hAnsi="ITC Avant Garde"/>
                <w:sz w:val="20"/>
                <w:szCs w:val="20"/>
                <w:lang w:eastAsia="es-MX"/>
              </w:rPr>
            </w:pPr>
            <w:r w:rsidRPr="002C2D28">
              <w:rPr>
                <w:rFonts w:ascii="ITC Avant Garde" w:hAnsi="ITC Avant Garde"/>
                <w:sz w:val="20"/>
                <w:szCs w:val="20"/>
                <w:lang w:eastAsia="es-MX"/>
              </w:rPr>
              <w:t xml:space="preserve">Disminuir costos de </w:t>
            </w:r>
            <w:r w:rsidR="00392A09">
              <w:rPr>
                <w:rFonts w:ascii="ITC Avant Garde" w:hAnsi="ITC Avant Garde"/>
                <w:sz w:val="20"/>
                <w:szCs w:val="20"/>
                <w:lang w:eastAsia="es-MX"/>
              </w:rPr>
              <w:t>cambio entre operadores</w:t>
            </w:r>
            <w:r w:rsidRPr="002C2D28">
              <w:rPr>
                <w:rFonts w:ascii="ITC Avant Garde" w:hAnsi="ITC Avant Garde"/>
                <w:sz w:val="20"/>
                <w:szCs w:val="20"/>
                <w:lang w:eastAsia="es-MX"/>
              </w:rPr>
              <w:t>.</w:t>
            </w:r>
          </w:p>
        </w:tc>
      </w:tr>
      <w:tr w:rsidR="002C2D28" w:rsidRPr="002C2D28" w14:paraId="0A1E409D" w14:textId="77777777" w:rsidTr="00652FBC">
        <w:trPr>
          <w:trHeight w:val="414"/>
        </w:trPr>
        <w:tc>
          <w:tcPr>
            <w:tcW w:w="8641" w:type="dxa"/>
            <w:gridSpan w:val="4"/>
            <w:shd w:val="clear" w:color="auto" w:fill="FFFFFF"/>
            <w:vAlign w:val="center"/>
          </w:tcPr>
          <w:p w14:paraId="005EEACC" w14:textId="77777777" w:rsidR="002C2D28" w:rsidRPr="002C2D28" w:rsidRDefault="002C2D28" w:rsidP="00EE422D">
            <w:pPr>
              <w:jc w:val="both"/>
              <w:rPr>
                <w:rFonts w:ascii="ITC Avant Garde" w:hAnsi="ITC Avant Garde"/>
                <w:b/>
                <w:sz w:val="20"/>
                <w:szCs w:val="20"/>
              </w:rPr>
            </w:pPr>
            <w:r w:rsidRPr="002C2D28">
              <w:rPr>
                <w:rFonts w:ascii="ITC Avant Garde" w:hAnsi="ITC Avant Garde"/>
                <w:b/>
                <w:sz w:val="20"/>
                <w:szCs w:val="20"/>
              </w:rPr>
              <w:t>Contexto:</w:t>
            </w:r>
          </w:p>
          <w:p w14:paraId="546251A0" w14:textId="77777777" w:rsidR="002C2D28" w:rsidRPr="002C2D28" w:rsidRDefault="002C2D28" w:rsidP="00EE422D">
            <w:pPr>
              <w:jc w:val="both"/>
              <w:rPr>
                <w:rFonts w:ascii="ITC Avant Garde" w:hAnsi="ITC Avant Garde"/>
                <w:sz w:val="20"/>
                <w:szCs w:val="20"/>
              </w:rPr>
            </w:pPr>
            <w:r w:rsidRPr="002C2D28">
              <w:rPr>
                <w:rFonts w:ascii="ITC Avant Garde" w:hAnsi="ITC Avant Garde"/>
                <w:sz w:val="20"/>
                <w:szCs w:val="20"/>
              </w:rPr>
              <w:t>Los costos de cambio que enfrentan los usuarios para migrar de operador de telecomunicaciones pueden llegar a formar una barrera a la entrada y/o expansión de operadores eficientes alternos. Asimismo, parte del desarrollo del sector involucra la protección de los usuarios finales en los procesos de contratación de los servicios.</w:t>
            </w:r>
          </w:p>
          <w:p w14:paraId="5AE245D6" w14:textId="77777777" w:rsidR="002C2D28" w:rsidRPr="002C2D28" w:rsidRDefault="002C2D28" w:rsidP="00EE422D">
            <w:pPr>
              <w:jc w:val="both"/>
              <w:rPr>
                <w:rFonts w:ascii="ITC Avant Garde" w:hAnsi="ITC Avant Garde"/>
                <w:b/>
                <w:sz w:val="20"/>
                <w:szCs w:val="20"/>
              </w:rPr>
            </w:pPr>
            <w:r w:rsidRPr="002C2D28">
              <w:rPr>
                <w:rFonts w:ascii="ITC Avant Garde" w:hAnsi="ITC Avant Garde"/>
                <w:b/>
                <w:sz w:val="20"/>
                <w:szCs w:val="20"/>
              </w:rPr>
              <w:t>Resumen de medidas impuestas:</w:t>
            </w:r>
          </w:p>
          <w:p w14:paraId="359DFB62" w14:textId="77777777" w:rsidR="002C2D28" w:rsidRPr="002C2D28" w:rsidRDefault="002C2D28" w:rsidP="00EE422D">
            <w:pPr>
              <w:jc w:val="both"/>
              <w:rPr>
                <w:rFonts w:ascii="ITC Avant Garde" w:hAnsi="ITC Avant Garde"/>
                <w:sz w:val="20"/>
                <w:szCs w:val="20"/>
              </w:rPr>
            </w:pPr>
            <w:r w:rsidRPr="002C2D28">
              <w:rPr>
                <w:rFonts w:ascii="ITC Avant Garde" w:hAnsi="ITC Avant Garde"/>
                <w:sz w:val="20"/>
                <w:szCs w:val="20"/>
              </w:rPr>
              <w:t xml:space="preserve">El Instituto impuso medidas al AEPT referentes a información mínima que el AEPT debe proveer a los usuarios finales, condiciones de publicidad, contratación y cancelación, facturación de los servicios y canales de atención, entre otras. Además, el Instituto impuso medidas al AEPT referentes al control tarifario bajo un sistema de precios tope de las tarifas minoristas del servicio local fijo, servicio de acceso a internet y servicio de larga distancia.  </w:t>
            </w:r>
          </w:p>
          <w:p w14:paraId="6D0E2C10" w14:textId="77777777" w:rsidR="002C2D28" w:rsidRDefault="002C2D28" w:rsidP="00EE422D">
            <w:pPr>
              <w:jc w:val="both"/>
              <w:rPr>
                <w:rFonts w:ascii="ITC Avant Garde" w:eastAsia="Times New Roman" w:hAnsi="ITC Avant Garde"/>
                <w:color w:val="000000"/>
                <w:sz w:val="20"/>
                <w:szCs w:val="20"/>
                <w:lang w:eastAsia="es-MX"/>
              </w:rPr>
            </w:pPr>
            <w:r w:rsidRPr="002C2D28">
              <w:rPr>
                <w:rFonts w:ascii="ITC Avant Garde" w:eastAsia="Times New Roman" w:hAnsi="ITC Avant Garde"/>
                <w:color w:val="000000"/>
                <w:sz w:val="20"/>
                <w:szCs w:val="20"/>
                <w:lang w:eastAsia="es-MX"/>
              </w:rPr>
              <w:t xml:space="preserve">A través de la </w:t>
            </w:r>
            <w:r w:rsidR="00390B31">
              <w:rPr>
                <w:rFonts w:ascii="ITC Avant Garde" w:eastAsia="Times New Roman" w:hAnsi="ITC Avant Garde"/>
                <w:color w:val="000000"/>
                <w:sz w:val="20"/>
                <w:szCs w:val="20"/>
                <w:lang w:eastAsia="es-MX"/>
              </w:rPr>
              <w:t xml:space="preserve">Primera </w:t>
            </w:r>
            <w:r w:rsidRPr="002C2D28">
              <w:rPr>
                <w:rFonts w:ascii="ITC Avant Garde" w:eastAsia="Times New Roman" w:hAnsi="ITC Avant Garde"/>
                <w:color w:val="000000"/>
                <w:sz w:val="20"/>
                <w:szCs w:val="20"/>
                <w:lang w:eastAsia="es-MX"/>
              </w:rPr>
              <w:t>Resolución Bienal de Telecomunicaciones se hicieron adecuaciones a efecto de homologar con lo establecido en la LFTR y otros ordenamientos jurídicos.</w:t>
            </w:r>
          </w:p>
          <w:p w14:paraId="08C1B3E0" w14:textId="05B6DEBC" w:rsidR="00390B31" w:rsidRPr="001F5B68" w:rsidRDefault="00390B31" w:rsidP="00EE422D">
            <w:pPr>
              <w:jc w:val="both"/>
              <w:rPr>
                <w:rFonts w:ascii="ITC Avant Garde" w:eastAsia="Times New Roman" w:hAnsi="ITC Avant Garde"/>
                <w:color w:val="000000"/>
                <w:sz w:val="20"/>
                <w:szCs w:val="20"/>
                <w:lang w:eastAsia="es-MX"/>
              </w:rPr>
            </w:pPr>
            <w:r w:rsidRPr="009C0C84">
              <w:rPr>
                <w:rFonts w:ascii="ITC Avant Garde" w:eastAsia="Times New Roman" w:hAnsi="ITC Avant Garde"/>
                <w:color w:val="000000"/>
                <w:sz w:val="20"/>
                <w:szCs w:val="20"/>
                <w:lang w:eastAsia="es-MX"/>
              </w:rPr>
              <w:t xml:space="preserve">En la Segunda </w:t>
            </w:r>
            <w:r w:rsidRPr="002C2D28">
              <w:rPr>
                <w:rFonts w:ascii="ITC Avant Garde" w:eastAsia="Times New Roman" w:hAnsi="ITC Avant Garde"/>
                <w:color w:val="000000"/>
                <w:sz w:val="20"/>
                <w:szCs w:val="20"/>
                <w:lang w:eastAsia="es-MX"/>
              </w:rPr>
              <w:t>Resolución Bienal de Telecomunicaciones</w:t>
            </w:r>
            <w:r>
              <w:rPr>
                <w:rFonts w:ascii="ITC Avant Garde" w:eastAsia="Times New Roman" w:hAnsi="ITC Avant Garde"/>
                <w:color w:val="000000"/>
                <w:sz w:val="20"/>
                <w:szCs w:val="20"/>
                <w:lang w:eastAsia="es-MX"/>
              </w:rPr>
              <w:t xml:space="preserve"> s</w:t>
            </w:r>
            <w:r w:rsidRPr="009C0C84">
              <w:rPr>
                <w:rFonts w:ascii="ITC Avant Garde" w:eastAsia="Times New Roman" w:hAnsi="ITC Avant Garde"/>
                <w:color w:val="000000"/>
                <w:sz w:val="20"/>
                <w:szCs w:val="20"/>
                <w:lang w:eastAsia="es-MX"/>
              </w:rPr>
              <w:t xml:space="preserve">e </w:t>
            </w:r>
            <w:r w:rsidR="005A5F31">
              <w:rPr>
                <w:rFonts w:ascii="ITC Avant Garde" w:eastAsia="Times New Roman" w:hAnsi="ITC Avant Garde"/>
                <w:color w:val="000000"/>
                <w:sz w:val="20"/>
                <w:szCs w:val="20"/>
                <w:lang w:eastAsia="es-MX"/>
              </w:rPr>
              <w:t xml:space="preserve">modificaron diversas obligaciones a fin de mantener aquellas que revisten el carácter asimétrico y evitar redundancias regulatorias </w:t>
            </w:r>
            <w:r w:rsidR="005A5F31" w:rsidRPr="001F5B68">
              <w:rPr>
                <w:rFonts w:ascii="ITC Avant Garde" w:eastAsia="Times New Roman" w:hAnsi="ITC Avant Garde"/>
                <w:color w:val="000000"/>
                <w:sz w:val="20"/>
                <w:szCs w:val="20"/>
                <w:lang w:eastAsia="es-MX"/>
              </w:rPr>
              <w:t>cuando diversas medidas y/o marcos normativos abordan las mismas obligaciones</w:t>
            </w:r>
            <w:r w:rsidR="005A5F31">
              <w:rPr>
                <w:rFonts w:ascii="ITC Avant Garde" w:eastAsia="Times New Roman" w:hAnsi="ITC Avant Garde"/>
                <w:color w:val="000000"/>
                <w:sz w:val="20"/>
                <w:szCs w:val="20"/>
                <w:lang w:eastAsia="es-MX"/>
              </w:rPr>
              <w:t xml:space="preserve">. </w:t>
            </w:r>
            <w:r w:rsidR="005A5F31" w:rsidRPr="001F5B68">
              <w:rPr>
                <w:rFonts w:ascii="ITC Avant Garde" w:eastAsia="Times New Roman" w:hAnsi="ITC Avant Garde"/>
                <w:color w:val="000000"/>
                <w:sz w:val="20"/>
                <w:szCs w:val="20"/>
                <w:lang w:eastAsia="es-MX"/>
              </w:rPr>
              <w:t xml:space="preserve"> </w:t>
            </w:r>
          </w:p>
        </w:tc>
      </w:tr>
      <w:tr w:rsidR="00E44F67" w:rsidRPr="002C2D28" w14:paraId="62020170" w14:textId="77777777" w:rsidTr="00652FBC">
        <w:trPr>
          <w:trHeight w:val="414"/>
        </w:trPr>
        <w:tc>
          <w:tcPr>
            <w:tcW w:w="8641" w:type="dxa"/>
            <w:gridSpan w:val="4"/>
            <w:shd w:val="clear" w:color="auto" w:fill="FFFFFF"/>
            <w:vAlign w:val="center"/>
          </w:tcPr>
          <w:p w14:paraId="45A18F44" w14:textId="2E0B16BA" w:rsidR="00E44F67" w:rsidRPr="002C2D28" w:rsidRDefault="00E44F67" w:rsidP="00E44F67">
            <w:pPr>
              <w:spacing w:after="0" w:line="276" w:lineRule="auto"/>
              <w:jc w:val="both"/>
              <w:rPr>
                <w:rFonts w:ascii="ITC Avant Garde" w:eastAsia="Times New Roman" w:hAnsi="ITC Avant Garde"/>
                <w:b/>
                <w:color w:val="000000"/>
                <w:sz w:val="20"/>
                <w:szCs w:val="20"/>
                <w:lang w:eastAsia="es-MX"/>
              </w:rPr>
            </w:pPr>
            <w:r w:rsidRPr="009B1606">
              <w:rPr>
                <w:rFonts w:ascii="ITC Avant Garde" w:eastAsia="Times New Roman" w:hAnsi="ITC Avant Garde"/>
                <w:b/>
                <w:color w:val="000000"/>
                <w:sz w:val="20"/>
                <w:szCs w:val="20"/>
                <w:lang w:eastAsia="es-MX"/>
              </w:rPr>
              <w:t>¿</w:t>
            </w:r>
            <w:r>
              <w:rPr>
                <w:rFonts w:ascii="ITC Avant Garde" w:eastAsia="Times New Roman" w:hAnsi="ITC Avant Garde"/>
                <w:b/>
                <w:color w:val="000000"/>
                <w:sz w:val="20"/>
                <w:szCs w:val="20"/>
                <w:lang w:eastAsia="es-MX"/>
              </w:rPr>
              <w:t>Cuáles son sus consideraciones respecto al impacto que ha tenido la regulación asimétrica al AEPT de los servicios a usuarios finales?</w:t>
            </w:r>
          </w:p>
        </w:tc>
      </w:tr>
      <w:tr w:rsidR="00E44F67" w:rsidRPr="002C2D28" w14:paraId="0996C054" w14:textId="77777777" w:rsidTr="00652FBC">
        <w:trPr>
          <w:trHeight w:val="414"/>
        </w:trPr>
        <w:tc>
          <w:tcPr>
            <w:tcW w:w="8641" w:type="dxa"/>
            <w:gridSpan w:val="4"/>
            <w:shd w:val="clear" w:color="auto" w:fill="FFFFFF"/>
            <w:vAlign w:val="center"/>
          </w:tcPr>
          <w:p w14:paraId="01FE0872" w14:textId="77777777" w:rsidR="00E44F67" w:rsidRPr="002C2D28" w:rsidRDefault="00E44F67" w:rsidP="00E44F67">
            <w:pPr>
              <w:spacing w:after="0" w:line="276" w:lineRule="auto"/>
              <w:rPr>
                <w:rFonts w:ascii="ITC Avant Garde" w:eastAsia="Times New Roman" w:hAnsi="ITC Avant Garde"/>
                <w:b/>
                <w:color w:val="000000"/>
                <w:sz w:val="20"/>
                <w:szCs w:val="20"/>
                <w:lang w:eastAsia="es-MX"/>
              </w:rPr>
            </w:pPr>
          </w:p>
        </w:tc>
      </w:tr>
      <w:tr w:rsidR="00E44F67" w:rsidRPr="002C2D28" w14:paraId="056CF9BB" w14:textId="77777777" w:rsidTr="00652FBC">
        <w:trPr>
          <w:trHeight w:val="414"/>
        </w:trPr>
        <w:tc>
          <w:tcPr>
            <w:tcW w:w="8641" w:type="dxa"/>
            <w:gridSpan w:val="4"/>
            <w:shd w:val="clear" w:color="auto" w:fill="FFFFFF"/>
            <w:vAlign w:val="center"/>
          </w:tcPr>
          <w:p w14:paraId="5C781290" w14:textId="418FC880" w:rsidR="00E44F67" w:rsidRPr="002C2D28" w:rsidRDefault="00E44F67" w:rsidP="00E44F67">
            <w:pPr>
              <w:spacing w:after="0" w:line="276" w:lineRule="auto"/>
              <w:jc w:val="both"/>
              <w:rPr>
                <w:rFonts w:ascii="ITC Avant Garde" w:eastAsia="Times New Roman" w:hAnsi="ITC Avant Garde"/>
                <w:color w:val="000000"/>
                <w:sz w:val="20"/>
                <w:szCs w:val="20"/>
                <w:lang w:eastAsia="es-MX"/>
              </w:rPr>
            </w:pPr>
            <w:r>
              <w:rPr>
                <w:rFonts w:ascii="ITC Avant Garde" w:eastAsia="Times New Roman" w:hAnsi="ITC Avant Garde"/>
                <w:b/>
                <w:color w:val="000000"/>
                <w:sz w:val="20"/>
                <w:szCs w:val="20"/>
                <w:lang w:eastAsia="es-MX"/>
              </w:rPr>
              <w:lastRenderedPageBreak/>
              <w:t xml:space="preserve">¿Cuáles son sus </w:t>
            </w:r>
            <w:r w:rsidRPr="002C2D28">
              <w:rPr>
                <w:rFonts w:ascii="ITC Avant Garde" w:eastAsia="Times New Roman" w:hAnsi="ITC Avant Garde"/>
                <w:b/>
                <w:color w:val="000000"/>
                <w:sz w:val="20"/>
                <w:szCs w:val="20"/>
                <w:lang w:eastAsia="es-MX"/>
              </w:rPr>
              <w:t>considera</w:t>
            </w:r>
            <w:r>
              <w:rPr>
                <w:rFonts w:ascii="ITC Avant Garde" w:eastAsia="Times New Roman" w:hAnsi="ITC Avant Garde"/>
                <w:b/>
                <w:color w:val="000000"/>
                <w:sz w:val="20"/>
                <w:szCs w:val="20"/>
                <w:lang w:eastAsia="es-MX"/>
              </w:rPr>
              <w:t>ciones respecto</w:t>
            </w:r>
            <w:r w:rsidRPr="002C2D28">
              <w:rPr>
                <w:rFonts w:ascii="ITC Avant Garde" w:eastAsia="Times New Roman" w:hAnsi="ITC Avant Garde"/>
                <w:b/>
                <w:color w:val="000000"/>
                <w:sz w:val="20"/>
                <w:szCs w:val="20"/>
                <w:lang w:eastAsia="es-MX"/>
              </w:rPr>
              <w:t xml:space="preserve"> </w:t>
            </w:r>
            <w:r>
              <w:rPr>
                <w:rFonts w:ascii="ITC Avant Garde" w:eastAsia="Times New Roman" w:hAnsi="ITC Avant Garde"/>
                <w:b/>
                <w:color w:val="000000"/>
                <w:sz w:val="20"/>
                <w:szCs w:val="20"/>
                <w:lang w:eastAsia="es-MX"/>
              </w:rPr>
              <w:t>al diseño de las medidas relacionadas con los servicios a usuarios finales y su idoneidad</w:t>
            </w:r>
            <w:r w:rsidRPr="002C2D28">
              <w:rPr>
                <w:rFonts w:ascii="ITC Avant Garde" w:eastAsia="Times New Roman" w:hAnsi="ITC Avant Garde"/>
                <w:b/>
                <w:color w:val="000000"/>
                <w:sz w:val="20"/>
                <w:szCs w:val="20"/>
                <w:lang w:eastAsia="es-MX"/>
              </w:rPr>
              <w:t xml:space="preserve"> para alcanzar los objetivos por los que se plantearon</w:t>
            </w:r>
            <w:r>
              <w:rPr>
                <w:rFonts w:ascii="ITC Avant Garde" w:eastAsia="Times New Roman" w:hAnsi="ITC Avant Garde"/>
                <w:b/>
                <w:color w:val="000000"/>
                <w:sz w:val="20"/>
                <w:szCs w:val="20"/>
                <w:lang w:eastAsia="es-MX"/>
              </w:rPr>
              <w:t>?</w:t>
            </w:r>
          </w:p>
        </w:tc>
      </w:tr>
      <w:tr w:rsidR="00E44F67" w:rsidRPr="002C2D28" w14:paraId="7F77DE32" w14:textId="77777777" w:rsidTr="00652FBC">
        <w:trPr>
          <w:trHeight w:val="414"/>
        </w:trPr>
        <w:tc>
          <w:tcPr>
            <w:tcW w:w="8641" w:type="dxa"/>
            <w:gridSpan w:val="4"/>
            <w:shd w:val="clear" w:color="auto" w:fill="FFFFFF"/>
            <w:vAlign w:val="center"/>
          </w:tcPr>
          <w:p w14:paraId="40B51F20" w14:textId="77777777" w:rsidR="00E44F67" w:rsidRPr="002C2D28" w:rsidRDefault="00E44F67" w:rsidP="00E44F67">
            <w:pPr>
              <w:spacing w:after="0" w:line="276" w:lineRule="auto"/>
              <w:rPr>
                <w:rFonts w:ascii="ITC Avant Garde" w:eastAsia="Times New Roman" w:hAnsi="ITC Avant Garde"/>
                <w:b/>
                <w:color w:val="000000"/>
                <w:sz w:val="20"/>
                <w:szCs w:val="20"/>
                <w:lang w:eastAsia="es-MX"/>
              </w:rPr>
            </w:pPr>
          </w:p>
        </w:tc>
      </w:tr>
      <w:tr w:rsidR="00E44F67" w:rsidRPr="002C2D28" w14:paraId="4DC54DF2" w14:textId="77777777" w:rsidTr="00875BFF">
        <w:trPr>
          <w:trHeight w:val="414"/>
        </w:trPr>
        <w:tc>
          <w:tcPr>
            <w:tcW w:w="8641" w:type="dxa"/>
            <w:gridSpan w:val="4"/>
            <w:shd w:val="clear" w:color="auto" w:fill="FFFFFF"/>
          </w:tcPr>
          <w:p w14:paraId="6A8A1144" w14:textId="113EF6D9" w:rsidR="00E44F67" w:rsidRPr="002C2D28" w:rsidRDefault="00E44F67" w:rsidP="00E44F67">
            <w:pPr>
              <w:jc w:val="both"/>
              <w:rPr>
                <w:rFonts w:ascii="ITC Avant Garde" w:eastAsia="Times New Roman" w:hAnsi="ITC Avant Garde"/>
                <w:color w:val="000000"/>
                <w:sz w:val="20"/>
                <w:szCs w:val="20"/>
                <w:lang w:eastAsia="es-MX"/>
              </w:rPr>
            </w:pPr>
            <w:r>
              <w:rPr>
                <w:rFonts w:ascii="ITC Avant Garde" w:hAnsi="ITC Avant Garde"/>
                <w:b/>
                <w:sz w:val="20"/>
                <w:szCs w:val="20"/>
              </w:rPr>
              <w:t>Favor de indicar la(s)</w:t>
            </w:r>
            <w:r w:rsidRPr="002C2D28">
              <w:rPr>
                <w:rFonts w:ascii="ITC Avant Garde" w:hAnsi="ITC Avant Garde"/>
                <w:b/>
                <w:sz w:val="20"/>
                <w:szCs w:val="20"/>
              </w:rPr>
              <w:t xml:space="preserve"> propuesta</w:t>
            </w:r>
            <w:r>
              <w:rPr>
                <w:rFonts w:ascii="ITC Avant Garde" w:hAnsi="ITC Avant Garde"/>
                <w:b/>
                <w:sz w:val="20"/>
                <w:szCs w:val="20"/>
              </w:rPr>
              <w:t>(s)</w:t>
            </w:r>
            <w:r w:rsidRPr="002C2D28">
              <w:rPr>
                <w:rFonts w:ascii="ITC Avant Garde" w:hAnsi="ITC Avant Garde"/>
                <w:b/>
                <w:sz w:val="20"/>
                <w:szCs w:val="20"/>
              </w:rPr>
              <w:t xml:space="preserve"> específica</w:t>
            </w:r>
            <w:r>
              <w:rPr>
                <w:rFonts w:ascii="ITC Avant Garde" w:hAnsi="ITC Avant Garde"/>
                <w:b/>
                <w:sz w:val="20"/>
                <w:szCs w:val="20"/>
              </w:rPr>
              <w:t>(s)</w:t>
            </w:r>
            <w:r w:rsidRPr="002C2D28">
              <w:rPr>
                <w:rFonts w:ascii="ITC Avant Garde" w:hAnsi="ITC Avant Garde"/>
                <w:b/>
                <w:sz w:val="20"/>
                <w:szCs w:val="20"/>
              </w:rPr>
              <w:t xml:space="preserve"> </w:t>
            </w:r>
            <w:r>
              <w:rPr>
                <w:rFonts w:ascii="ITC Avant Garde" w:hAnsi="ITC Avant Garde"/>
                <w:b/>
                <w:sz w:val="20"/>
                <w:szCs w:val="20"/>
              </w:rPr>
              <w:t>para la supresión, modificación o adición de</w:t>
            </w:r>
            <w:r w:rsidRPr="002C2D28">
              <w:rPr>
                <w:rFonts w:ascii="ITC Avant Garde" w:hAnsi="ITC Avant Garde"/>
                <w:b/>
                <w:sz w:val="20"/>
                <w:szCs w:val="20"/>
              </w:rPr>
              <w:t xml:space="preserve"> las medidas relacionadas con los</w:t>
            </w:r>
            <w:r>
              <w:rPr>
                <w:rFonts w:ascii="ITC Avant Garde" w:hAnsi="ITC Avant Garde"/>
                <w:b/>
                <w:sz w:val="20"/>
                <w:szCs w:val="20"/>
              </w:rPr>
              <w:t xml:space="preserve"> servicios a usuarios finales.</w:t>
            </w:r>
          </w:p>
        </w:tc>
      </w:tr>
      <w:tr w:rsidR="002C2D28" w:rsidRPr="002C2D28" w14:paraId="141E95F2" w14:textId="77777777" w:rsidTr="00652FBC">
        <w:trPr>
          <w:trHeight w:val="414"/>
        </w:trPr>
        <w:tc>
          <w:tcPr>
            <w:tcW w:w="3047" w:type="dxa"/>
            <w:gridSpan w:val="2"/>
            <w:shd w:val="clear" w:color="auto" w:fill="FFFFFF"/>
            <w:vAlign w:val="center"/>
          </w:tcPr>
          <w:p w14:paraId="254C1A80" w14:textId="77777777" w:rsidR="002C2D28" w:rsidRPr="002C2D28" w:rsidRDefault="002C2D28" w:rsidP="00652FBC">
            <w:pPr>
              <w:jc w:val="center"/>
              <w:rPr>
                <w:rFonts w:ascii="ITC Avant Garde" w:eastAsia="Times New Roman" w:hAnsi="ITC Avant Garde"/>
                <w:color w:val="00000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gridSpan w:val="2"/>
            <w:shd w:val="clear" w:color="auto" w:fill="FFFFFF"/>
            <w:vAlign w:val="center"/>
          </w:tcPr>
          <w:p w14:paraId="73A17551"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2C2D28" w:rsidRPr="002C2D28" w14:paraId="4FF03D0B" w14:textId="77777777" w:rsidTr="00652FBC">
        <w:trPr>
          <w:trHeight w:val="414"/>
        </w:trPr>
        <w:tc>
          <w:tcPr>
            <w:tcW w:w="3047" w:type="dxa"/>
            <w:gridSpan w:val="2"/>
            <w:shd w:val="clear" w:color="auto" w:fill="FFFFFF"/>
            <w:vAlign w:val="center"/>
          </w:tcPr>
          <w:p w14:paraId="746B1F94"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gridSpan w:val="2"/>
            <w:shd w:val="clear" w:color="auto" w:fill="FFFFFF"/>
            <w:vAlign w:val="center"/>
          </w:tcPr>
          <w:p w14:paraId="4CA77996"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2C2D28" w:rsidRPr="002C2D28" w14:paraId="34C64B9A" w14:textId="77777777" w:rsidTr="00652FBC">
        <w:trPr>
          <w:trHeight w:val="414"/>
        </w:trPr>
        <w:tc>
          <w:tcPr>
            <w:tcW w:w="1754" w:type="dxa"/>
            <w:shd w:val="clear" w:color="auto" w:fill="C5E0B3"/>
            <w:vAlign w:val="center"/>
          </w:tcPr>
          <w:p w14:paraId="4E62A8C2" w14:textId="77777777"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Medidas referentes a Información</w:t>
            </w:r>
          </w:p>
          <w:p w14:paraId="39F10B8B" w14:textId="77777777"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p>
          <w:p w14:paraId="6F54B101" w14:textId="0CFB2136"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 xml:space="preserve">Anexo 2:  26, </w:t>
            </w:r>
            <w:r w:rsidR="00D620AF">
              <w:rPr>
                <w:rFonts w:ascii="ITC Avant Garde" w:eastAsia="Times New Roman" w:hAnsi="ITC Avant Garde"/>
                <w:b/>
                <w:color w:val="000000"/>
                <w:sz w:val="20"/>
                <w:szCs w:val="20"/>
                <w:lang w:eastAsia="es-MX"/>
              </w:rPr>
              <w:t xml:space="preserve">41 BIS, </w:t>
            </w:r>
            <w:r w:rsidRPr="002C2D28">
              <w:rPr>
                <w:rFonts w:ascii="ITC Avant Garde" w:eastAsia="Times New Roman" w:hAnsi="ITC Avant Garde"/>
                <w:b/>
                <w:color w:val="000000"/>
                <w:sz w:val="20"/>
                <w:szCs w:val="20"/>
                <w:lang w:eastAsia="es-MX"/>
              </w:rPr>
              <w:t>42,</w:t>
            </w:r>
            <w:r w:rsidR="00D620AF">
              <w:rPr>
                <w:rFonts w:ascii="ITC Avant Garde" w:eastAsia="Times New Roman" w:hAnsi="ITC Avant Garde"/>
                <w:b/>
                <w:color w:val="000000"/>
                <w:sz w:val="20"/>
                <w:szCs w:val="20"/>
                <w:lang w:eastAsia="es-MX"/>
              </w:rPr>
              <w:t xml:space="preserve"> 42 BIS, 42 TER, 42 QUÁTER, 42 QUINQUIES, 42 SEXIES,</w:t>
            </w:r>
            <w:r w:rsidRPr="002C2D28">
              <w:rPr>
                <w:rFonts w:ascii="ITC Avant Garde" w:eastAsia="Times New Roman" w:hAnsi="ITC Avant Garde"/>
                <w:b/>
                <w:color w:val="000000"/>
                <w:sz w:val="20"/>
                <w:szCs w:val="20"/>
                <w:lang w:eastAsia="es-MX"/>
              </w:rPr>
              <w:t xml:space="preserve"> 44</w:t>
            </w:r>
            <w:r w:rsidR="00D83C4C">
              <w:rPr>
                <w:rFonts w:ascii="ITC Avant Garde" w:eastAsia="Times New Roman" w:hAnsi="ITC Avant Garde"/>
                <w:b/>
                <w:color w:val="000000"/>
                <w:sz w:val="20"/>
                <w:szCs w:val="20"/>
                <w:lang w:eastAsia="es-MX"/>
              </w:rPr>
              <w:t xml:space="preserve"> y</w:t>
            </w:r>
            <w:r w:rsidRPr="002C2D28">
              <w:rPr>
                <w:rFonts w:ascii="ITC Avant Garde" w:eastAsia="Times New Roman" w:hAnsi="ITC Avant Garde"/>
                <w:b/>
                <w:color w:val="000000"/>
                <w:sz w:val="20"/>
                <w:szCs w:val="20"/>
                <w:lang w:eastAsia="es-MX"/>
              </w:rPr>
              <w:t xml:space="preserve"> 54.     </w:t>
            </w:r>
          </w:p>
          <w:p w14:paraId="1F176794" w14:textId="396A74D5"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 xml:space="preserve">Anexo 3: </w:t>
            </w:r>
            <w:r w:rsidR="00C11AE3">
              <w:rPr>
                <w:rFonts w:ascii="ITC Avant Garde" w:eastAsia="Times New Roman" w:hAnsi="ITC Avant Garde"/>
                <w:b/>
                <w:color w:val="000000"/>
                <w:sz w:val="20"/>
                <w:szCs w:val="20"/>
                <w:lang w:eastAsia="es-MX"/>
              </w:rPr>
              <w:t xml:space="preserve">5 BIS, </w:t>
            </w:r>
            <w:r w:rsidRPr="002C2D28">
              <w:rPr>
                <w:rFonts w:ascii="ITC Avant Garde" w:eastAsia="Times New Roman" w:hAnsi="ITC Avant Garde"/>
                <w:b/>
                <w:color w:val="000000"/>
                <w:sz w:val="20"/>
                <w:szCs w:val="20"/>
                <w:lang w:eastAsia="es-MX"/>
              </w:rPr>
              <w:t xml:space="preserve">16, </w:t>
            </w:r>
            <w:r w:rsidR="00D620AF">
              <w:rPr>
                <w:rFonts w:ascii="ITC Avant Garde" w:eastAsia="Times New Roman" w:hAnsi="ITC Avant Garde"/>
                <w:b/>
                <w:color w:val="000000"/>
                <w:sz w:val="20"/>
                <w:szCs w:val="20"/>
                <w:lang w:eastAsia="es-MX"/>
              </w:rPr>
              <w:t xml:space="preserve">16 BIS, 16 TER, </w:t>
            </w:r>
            <w:r w:rsidR="00C11AE3">
              <w:rPr>
                <w:rFonts w:ascii="ITC Avant Garde" w:eastAsia="Times New Roman" w:hAnsi="ITC Avant Garde"/>
                <w:b/>
                <w:color w:val="000000"/>
                <w:sz w:val="20"/>
                <w:szCs w:val="20"/>
                <w:lang w:eastAsia="es-MX"/>
              </w:rPr>
              <w:t xml:space="preserve">16 QUÁTER, 16 QUINQUIES, 16 SEXIES, </w:t>
            </w:r>
            <w:r w:rsidRPr="002C2D28">
              <w:rPr>
                <w:rFonts w:ascii="ITC Avant Garde" w:eastAsia="Times New Roman" w:hAnsi="ITC Avant Garde"/>
                <w:b/>
                <w:color w:val="000000"/>
                <w:sz w:val="20"/>
                <w:szCs w:val="20"/>
                <w:lang w:eastAsia="es-MX"/>
              </w:rPr>
              <w:t xml:space="preserve">17, 18, 19, 20, 21, </w:t>
            </w:r>
            <w:r w:rsidR="00C11AE3">
              <w:rPr>
                <w:rFonts w:ascii="ITC Avant Garde" w:eastAsia="Times New Roman" w:hAnsi="ITC Avant Garde"/>
                <w:b/>
                <w:color w:val="000000"/>
                <w:sz w:val="20"/>
                <w:szCs w:val="20"/>
                <w:lang w:eastAsia="es-MX"/>
              </w:rPr>
              <w:t>22 BIS,</w:t>
            </w:r>
            <w:r w:rsidRPr="002C2D28">
              <w:rPr>
                <w:rFonts w:ascii="ITC Avant Garde" w:eastAsia="Times New Roman" w:hAnsi="ITC Avant Garde"/>
                <w:b/>
                <w:color w:val="000000"/>
                <w:sz w:val="20"/>
                <w:szCs w:val="20"/>
                <w:lang w:eastAsia="es-MX"/>
              </w:rPr>
              <w:t xml:space="preserve"> 30, 31 y 35.</w:t>
            </w:r>
          </w:p>
          <w:p w14:paraId="5FED681D" w14:textId="77777777"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p>
        </w:tc>
        <w:tc>
          <w:tcPr>
            <w:tcW w:w="6887" w:type="dxa"/>
            <w:gridSpan w:val="3"/>
            <w:shd w:val="clear" w:color="auto" w:fill="C5E0B3"/>
            <w:vAlign w:val="center"/>
          </w:tcPr>
          <w:p w14:paraId="31C00816" w14:textId="77777777" w:rsidR="002C2D28" w:rsidRPr="002C2D28" w:rsidRDefault="002C2D28" w:rsidP="00652FBC">
            <w:pP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Objetivos generales:</w:t>
            </w:r>
          </w:p>
          <w:p w14:paraId="2F030EE2" w14:textId="77777777" w:rsidR="002C2D28" w:rsidRPr="002C2D28" w:rsidRDefault="002C2D28">
            <w:pPr>
              <w:numPr>
                <w:ilvl w:val="0"/>
                <w:numId w:val="11"/>
              </w:numPr>
              <w:spacing w:after="0"/>
              <w:jc w:val="both"/>
              <w:rPr>
                <w:rFonts w:ascii="ITC Avant Garde" w:eastAsia="Times New Roman" w:hAnsi="ITC Avant Garde"/>
                <w:color w:val="000000"/>
                <w:sz w:val="20"/>
                <w:szCs w:val="20"/>
                <w:lang w:eastAsia="es-MX"/>
              </w:rPr>
            </w:pPr>
            <w:r w:rsidRPr="002C2D28">
              <w:rPr>
                <w:rFonts w:ascii="ITC Avant Garde" w:eastAsia="Times New Roman" w:hAnsi="ITC Avant Garde"/>
                <w:color w:val="000000"/>
                <w:sz w:val="20"/>
                <w:szCs w:val="20"/>
                <w:lang w:eastAsia="es-MX"/>
              </w:rPr>
              <w:t>Reducir asimetrías de información.</w:t>
            </w:r>
          </w:p>
          <w:p w14:paraId="235EB43E" w14:textId="77777777" w:rsidR="002C2D28" w:rsidRPr="002C2D28" w:rsidRDefault="002C2D28">
            <w:pPr>
              <w:numPr>
                <w:ilvl w:val="0"/>
                <w:numId w:val="11"/>
              </w:numPr>
              <w:spacing w:after="0"/>
              <w:jc w:val="both"/>
              <w:rPr>
                <w:rFonts w:ascii="ITC Avant Garde" w:eastAsia="Times New Roman" w:hAnsi="ITC Avant Garde"/>
                <w:color w:val="000000"/>
                <w:sz w:val="20"/>
                <w:szCs w:val="20"/>
                <w:lang w:eastAsia="es-MX"/>
              </w:rPr>
            </w:pPr>
            <w:r w:rsidRPr="002C2D28">
              <w:rPr>
                <w:rFonts w:ascii="ITC Avant Garde" w:eastAsia="Times New Roman" w:hAnsi="ITC Avant Garde"/>
                <w:color w:val="000000"/>
                <w:sz w:val="20"/>
                <w:szCs w:val="20"/>
                <w:lang w:eastAsia="es-MX"/>
              </w:rPr>
              <w:t>Reducir costos de transacción.</w:t>
            </w:r>
          </w:p>
          <w:p w14:paraId="03357496" w14:textId="77777777" w:rsidR="002C2D28" w:rsidRPr="002C2D28" w:rsidRDefault="002C2D28" w:rsidP="00652FBC">
            <w:pPr>
              <w:spacing w:after="0"/>
              <w:rPr>
                <w:rFonts w:ascii="ITC Avant Garde" w:eastAsia="Times New Roman" w:hAnsi="ITC Avant Garde"/>
                <w:b/>
                <w:color w:val="000000"/>
                <w:sz w:val="20"/>
                <w:szCs w:val="20"/>
                <w:lang w:eastAsia="es-MX"/>
              </w:rPr>
            </w:pPr>
          </w:p>
        </w:tc>
      </w:tr>
      <w:tr w:rsidR="002C2D28" w:rsidRPr="002C2D28" w14:paraId="40A1029E" w14:textId="77777777" w:rsidTr="00652FBC">
        <w:trPr>
          <w:trHeight w:val="414"/>
        </w:trPr>
        <w:tc>
          <w:tcPr>
            <w:tcW w:w="8641" w:type="dxa"/>
            <w:gridSpan w:val="4"/>
            <w:shd w:val="clear" w:color="auto" w:fill="FFFFFF"/>
            <w:vAlign w:val="center"/>
          </w:tcPr>
          <w:p w14:paraId="364F13C3" w14:textId="77777777" w:rsidR="002C2D28" w:rsidRPr="002C2D28" w:rsidRDefault="002C2D28" w:rsidP="00EE422D">
            <w:pPr>
              <w:jc w:val="both"/>
              <w:rPr>
                <w:rFonts w:ascii="ITC Avant Garde" w:hAnsi="ITC Avant Garde"/>
                <w:b/>
                <w:sz w:val="20"/>
                <w:szCs w:val="20"/>
              </w:rPr>
            </w:pPr>
            <w:r w:rsidRPr="002C2D28">
              <w:rPr>
                <w:rFonts w:ascii="ITC Avant Garde" w:hAnsi="ITC Avant Garde"/>
                <w:b/>
                <w:sz w:val="20"/>
                <w:szCs w:val="20"/>
              </w:rPr>
              <w:t>Contexto:</w:t>
            </w:r>
          </w:p>
          <w:p w14:paraId="12B5EEE4" w14:textId="727CCADF" w:rsidR="002C2D28" w:rsidRPr="002C2D28" w:rsidRDefault="002C2D28" w:rsidP="00EE422D">
            <w:pPr>
              <w:jc w:val="both"/>
              <w:rPr>
                <w:rFonts w:ascii="ITC Avant Garde" w:hAnsi="ITC Avant Garde"/>
                <w:sz w:val="20"/>
                <w:szCs w:val="20"/>
              </w:rPr>
            </w:pPr>
            <w:r w:rsidRPr="002C2D28">
              <w:rPr>
                <w:rFonts w:ascii="ITC Avant Garde" w:hAnsi="ITC Avant Garde"/>
                <w:sz w:val="20"/>
                <w:szCs w:val="20"/>
              </w:rPr>
              <w:t>La información es un elemento indispensable para el buen funcionamiento de un mercado; entre más información esté disponible entre oferentes y demandantes, mejores decisiones de intercambio resultarán entre los agentes económicos. En el caso de los concesionarios de redes públicas de telecomunicaciones que deseen ofertar servicios al usuario final, es necesario conocer con la mayor certeza posible los insumos disponibles y tener un medio eficiente para realizar solicitudes y dar seguimiento a la prestación de los servicios, entre otros elementos. En el caso del regulador, este también requiere acceso a información relativa a la prestación tanto de servicios minoristas como mayoristas para la mejor toma de decisiones.</w:t>
            </w:r>
          </w:p>
          <w:p w14:paraId="689A6C81" w14:textId="77777777" w:rsidR="002C2D28" w:rsidRPr="002C2D28" w:rsidRDefault="002C2D28" w:rsidP="00EE422D">
            <w:pPr>
              <w:jc w:val="both"/>
              <w:rPr>
                <w:rFonts w:ascii="ITC Avant Garde" w:hAnsi="ITC Avant Garde"/>
                <w:b/>
                <w:sz w:val="20"/>
                <w:szCs w:val="20"/>
              </w:rPr>
            </w:pPr>
            <w:r w:rsidRPr="002C2D28">
              <w:rPr>
                <w:rFonts w:ascii="ITC Avant Garde" w:hAnsi="ITC Avant Garde"/>
                <w:b/>
                <w:sz w:val="20"/>
                <w:szCs w:val="20"/>
              </w:rPr>
              <w:t>Resumen de las medidas impuestas:</w:t>
            </w:r>
          </w:p>
          <w:p w14:paraId="07417C3D" w14:textId="77777777" w:rsidR="002C2D28" w:rsidRPr="002C2D28" w:rsidRDefault="002C2D28" w:rsidP="00EE422D">
            <w:pPr>
              <w:jc w:val="both"/>
              <w:rPr>
                <w:rFonts w:ascii="ITC Avant Garde" w:hAnsi="ITC Avant Garde"/>
                <w:sz w:val="20"/>
                <w:szCs w:val="20"/>
              </w:rPr>
            </w:pPr>
            <w:r w:rsidRPr="002C2D28">
              <w:rPr>
                <w:rFonts w:ascii="ITC Avant Garde" w:hAnsi="ITC Avant Garde"/>
                <w:sz w:val="20"/>
                <w:szCs w:val="20"/>
              </w:rPr>
              <w:t xml:space="preserve">El Instituto impuso medidas al AEPT referentes a poner a disposición del Instituto y de los CS un SEG, con información relativa a su red y como medio para solicitar los servicios </w:t>
            </w:r>
            <w:r w:rsidRPr="002C2D28">
              <w:rPr>
                <w:rFonts w:ascii="ITC Avant Garde" w:hAnsi="ITC Avant Garde"/>
                <w:sz w:val="20"/>
                <w:szCs w:val="20"/>
              </w:rPr>
              <w:lastRenderedPageBreak/>
              <w:t>mayoristas y dar seguimiento a su provisión, normativas y criterios técnicos, así como asociadas con información de planes comerciales, tráficos y líneas, la información relativa a sus instalaciones y criterios técnicos para el acceso a la infraestructura, entre otras.</w:t>
            </w:r>
          </w:p>
          <w:p w14:paraId="73BB8C61" w14:textId="77777777" w:rsidR="002C2D28" w:rsidRDefault="002C2D28" w:rsidP="00EE422D">
            <w:pPr>
              <w:jc w:val="both"/>
              <w:rPr>
                <w:rFonts w:ascii="ITC Avant Garde" w:eastAsia="Times New Roman" w:hAnsi="ITC Avant Garde"/>
                <w:color w:val="000000"/>
                <w:sz w:val="20"/>
                <w:szCs w:val="20"/>
                <w:lang w:eastAsia="es-MX"/>
              </w:rPr>
            </w:pPr>
            <w:r w:rsidRPr="002C2D28">
              <w:rPr>
                <w:rFonts w:ascii="ITC Avant Garde" w:hAnsi="ITC Avant Garde"/>
                <w:sz w:val="20"/>
                <w:szCs w:val="20"/>
              </w:rPr>
              <w:t xml:space="preserve">A través de la </w:t>
            </w:r>
            <w:r w:rsidR="00E57323">
              <w:rPr>
                <w:rFonts w:ascii="ITC Avant Garde" w:hAnsi="ITC Avant Garde"/>
                <w:sz w:val="20"/>
                <w:szCs w:val="20"/>
              </w:rPr>
              <w:t xml:space="preserve">Primera </w:t>
            </w:r>
            <w:r w:rsidRPr="002C2D28">
              <w:rPr>
                <w:rFonts w:ascii="ITC Avant Garde" w:hAnsi="ITC Avant Garde"/>
                <w:sz w:val="20"/>
                <w:szCs w:val="20"/>
              </w:rPr>
              <w:t xml:space="preserve">Resolución Bienal de Telecomunicaciones </w:t>
            </w:r>
            <w:r w:rsidRPr="002C2D28">
              <w:rPr>
                <w:rFonts w:ascii="ITC Avant Garde" w:eastAsia="Times New Roman" w:hAnsi="ITC Avant Garde"/>
                <w:color w:val="000000"/>
                <w:sz w:val="20"/>
                <w:szCs w:val="20"/>
                <w:lang w:eastAsia="es-MX"/>
              </w:rPr>
              <w:t>se hicieron adecuaciones relacionadas con información y características de operación del SEG (por ej., mapas de cobertura, tipo y calidad de la información, notificaciones y alta de inventarios), entre otras.</w:t>
            </w:r>
          </w:p>
          <w:p w14:paraId="7647EECC" w14:textId="73CADC82" w:rsidR="00E57323" w:rsidRPr="002C2D28" w:rsidRDefault="00991CB4" w:rsidP="00EE422D">
            <w:pPr>
              <w:jc w:val="both"/>
              <w:rPr>
                <w:rFonts w:ascii="ITC Avant Garde" w:hAnsi="ITC Avant Garde"/>
                <w:sz w:val="20"/>
                <w:szCs w:val="20"/>
              </w:rPr>
            </w:pPr>
            <w:r w:rsidRPr="00BC3321">
              <w:rPr>
                <w:rFonts w:ascii="ITC Avant Garde" w:hAnsi="ITC Avant Garde"/>
                <w:sz w:val="20"/>
                <w:szCs w:val="20"/>
              </w:rPr>
              <w:t>En</w:t>
            </w:r>
            <w:r w:rsidRPr="002C2D28">
              <w:rPr>
                <w:rFonts w:ascii="ITC Avant Garde" w:hAnsi="ITC Avant Garde"/>
                <w:sz w:val="20"/>
                <w:szCs w:val="20"/>
              </w:rPr>
              <w:t xml:space="preserve"> la </w:t>
            </w:r>
            <w:r>
              <w:rPr>
                <w:rFonts w:ascii="ITC Avant Garde" w:hAnsi="ITC Avant Garde"/>
                <w:sz w:val="20"/>
                <w:szCs w:val="20"/>
              </w:rPr>
              <w:t xml:space="preserve">Segunda </w:t>
            </w:r>
            <w:r w:rsidRPr="002C2D28">
              <w:rPr>
                <w:rFonts w:ascii="ITC Avant Garde" w:hAnsi="ITC Avant Garde"/>
                <w:sz w:val="20"/>
                <w:szCs w:val="20"/>
              </w:rPr>
              <w:t>Resolución Bienal de Telecomunicaciones</w:t>
            </w:r>
            <w:r>
              <w:rPr>
                <w:rFonts w:ascii="ITC Avant Garde" w:hAnsi="ITC Avant Garde"/>
                <w:sz w:val="20"/>
                <w:szCs w:val="20"/>
              </w:rPr>
              <w:t xml:space="preserve"> </w:t>
            </w:r>
            <w:r w:rsidRPr="00BC3321">
              <w:rPr>
                <w:rFonts w:ascii="ITC Avant Garde" w:hAnsi="ITC Avant Garde"/>
                <w:sz w:val="20"/>
                <w:szCs w:val="20"/>
              </w:rPr>
              <w:t xml:space="preserve">se </w:t>
            </w:r>
            <w:r>
              <w:rPr>
                <w:rFonts w:ascii="ITC Avant Garde" w:hAnsi="ITC Avant Garde"/>
                <w:sz w:val="20"/>
                <w:szCs w:val="20"/>
              </w:rPr>
              <w:t xml:space="preserve">realizaron diversas modificaciones a </w:t>
            </w:r>
            <w:r w:rsidRPr="008C0CCA">
              <w:rPr>
                <w:rFonts w:ascii="ITC Avant Garde" w:hAnsi="ITC Avant Garde"/>
                <w:sz w:val="20"/>
                <w:szCs w:val="20"/>
              </w:rPr>
              <w:t xml:space="preserve">fin de fortalecer </w:t>
            </w:r>
            <w:r w:rsidR="002D57B0">
              <w:rPr>
                <w:rFonts w:ascii="ITC Avant Garde" w:hAnsi="ITC Avant Garde"/>
                <w:sz w:val="20"/>
                <w:szCs w:val="20"/>
              </w:rPr>
              <w:t>las</w:t>
            </w:r>
            <w:r w:rsidRPr="008C0CCA">
              <w:rPr>
                <w:rFonts w:ascii="ITC Avant Garde" w:hAnsi="ITC Avant Garde"/>
                <w:sz w:val="20"/>
                <w:szCs w:val="20"/>
              </w:rPr>
              <w:t xml:space="preserve"> funciones </w:t>
            </w:r>
            <w:r w:rsidR="002D57B0">
              <w:rPr>
                <w:rFonts w:ascii="ITC Avant Garde" w:hAnsi="ITC Avant Garde"/>
                <w:sz w:val="20"/>
                <w:szCs w:val="20"/>
              </w:rPr>
              <w:t xml:space="preserve">del SEG </w:t>
            </w:r>
            <w:r w:rsidR="002D57B0" w:rsidRPr="008C0CCA">
              <w:rPr>
                <w:rFonts w:ascii="ITC Avant Garde" w:hAnsi="ITC Avant Garde"/>
                <w:sz w:val="20"/>
                <w:szCs w:val="20"/>
              </w:rPr>
              <w:t xml:space="preserve">como </w:t>
            </w:r>
            <w:r w:rsidR="002D57B0">
              <w:rPr>
                <w:rFonts w:ascii="ITC Avant Garde" w:hAnsi="ITC Avant Garde"/>
                <w:sz w:val="20"/>
                <w:szCs w:val="20"/>
              </w:rPr>
              <w:t>instrumento de comunicación</w:t>
            </w:r>
            <w:r w:rsidR="002D57B0" w:rsidRPr="008C0CCA">
              <w:rPr>
                <w:rFonts w:ascii="ITC Avant Garde" w:hAnsi="ITC Avant Garde"/>
                <w:sz w:val="20"/>
                <w:szCs w:val="20"/>
              </w:rPr>
              <w:t xml:space="preserve"> para la provisión de servicios mayoristas y consulta de información y con ello</w:t>
            </w:r>
            <w:r w:rsidR="002D57B0">
              <w:rPr>
                <w:rFonts w:ascii="ITC Avant Garde" w:hAnsi="ITC Avant Garde"/>
                <w:sz w:val="20"/>
                <w:szCs w:val="20"/>
              </w:rPr>
              <w:t>, por un lado,</w:t>
            </w:r>
            <w:r w:rsidR="002D57B0" w:rsidRPr="008C0CCA">
              <w:rPr>
                <w:rFonts w:ascii="ITC Avant Garde" w:hAnsi="ITC Avant Garde"/>
                <w:sz w:val="20"/>
                <w:szCs w:val="20"/>
              </w:rPr>
              <w:t xml:space="preserve"> dotar </w:t>
            </w:r>
            <w:r w:rsidR="002D57B0">
              <w:rPr>
                <w:rFonts w:ascii="ITC Avant Garde" w:hAnsi="ITC Avant Garde"/>
                <w:sz w:val="20"/>
                <w:szCs w:val="20"/>
              </w:rPr>
              <w:t>de información oportuna a los operadores y, por otro, proporcionar</w:t>
            </w:r>
            <w:r w:rsidR="002D57B0" w:rsidRPr="008C0CCA">
              <w:rPr>
                <w:rFonts w:ascii="ITC Avant Garde" w:hAnsi="ITC Avant Garde"/>
                <w:sz w:val="20"/>
                <w:szCs w:val="20"/>
              </w:rPr>
              <w:t xml:space="preserve"> más herramientas </w:t>
            </w:r>
            <w:r w:rsidR="002D57B0">
              <w:rPr>
                <w:rFonts w:ascii="ITC Avant Garde" w:hAnsi="ITC Avant Garde"/>
                <w:sz w:val="20"/>
                <w:szCs w:val="20"/>
              </w:rPr>
              <w:t>a</w:t>
            </w:r>
            <w:r w:rsidR="002D57B0" w:rsidRPr="008C0CCA">
              <w:rPr>
                <w:rFonts w:ascii="ITC Avant Garde" w:hAnsi="ITC Avant Garde"/>
                <w:sz w:val="20"/>
                <w:szCs w:val="20"/>
              </w:rPr>
              <w:t xml:space="preserve"> las unidades del Instituto para el desarrollo de sus funciones regulatorias</w:t>
            </w:r>
            <w:r w:rsidR="002D57B0">
              <w:rPr>
                <w:rFonts w:ascii="ITC Avant Garde" w:hAnsi="ITC Avant Garde"/>
                <w:sz w:val="20"/>
                <w:szCs w:val="20"/>
              </w:rPr>
              <w:t>,</w:t>
            </w:r>
            <w:r w:rsidR="002D57B0" w:rsidRPr="008C0CCA">
              <w:rPr>
                <w:rFonts w:ascii="ITC Avant Garde" w:hAnsi="ITC Avant Garde"/>
                <w:sz w:val="20"/>
                <w:szCs w:val="20"/>
              </w:rPr>
              <w:t xml:space="preserve"> de supervisión y verificación</w:t>
            </w:r>
            <w:r w:rsidR="00E57323">
              <w:rPr>
                <w:rFonts w:ascii="ITC Avant Garde" w:hAnsi="ITC Avant Garde"/>
                <w:sz w:val="20"/>
                <w:szCs w:val="20"/>
              </w:rPr>
              <w:t>.</w:t>
            </w:r>
          </w:p>
        </w:tc>
      </w:tr>
      <w:tr w:rsidR="00325D79" w:rsidRPr="002C2D28" w14:paraId="7E3293DD" w14:textId="77777777" w:rsidTr="00652FBC">
        <w:trPr>
          <w:trHeight w:val="414"/>
        </w:trPr>
        <w:tc>
          <w:tcPr>
            <w:tcW w:w="8641" w:type="dxa"/>
            <w:gridSpan w:val="4"/>
            <w:shd w:val="clear" w:color="auto" w:fill="FFFFFF"/>
            <w:vAlign w:val="center"/>
          </w:tcPr>
          <w:p w14:paraId="7BEE40A2" w14:textId="3FA7271D" w:rsidR="00325D79" w:rsidRPr="002C2D28" w:rsidRDefault="00325D79" w:rsidP="00325D79">
            <w:pPr>
              <w:spacing w:after="0" w:line="276" w:lineRule="auto"/>
              <w:jc w:val="both"/>
              <w:rPr>
                <w:rFonts w:ascii="ITC Avant Garde" w:eastAsia="Times New Roman" w:hAnsi="ITC Avant Garde"/>
                <w:b/>
                <w:color w:val="000000"/>
                <w:sz w:val="20"/>
                <w:szCs w:val="20"/>
                <w:lang w:eastAsia="es-MX"/>
              </w:rPr>
            </w:pPr>
            <w:r w:rsidRPr="009B1606">
              <w:rPr>
                <w:rFonts w:ascii="ITC Avant Garde" w:eastAsia="Times New Roman" w:hAnsi="ITC Avant Garde"/>
                <w:b/>
                <w:color w:val="000000"/>
                <w:sz w:val="20"/>
                <w:szCs w:val="20"/>
                <w:lang w:eastAsia="es-MX"/>
              </w:rPr>
              <w:lastRenderedPageBreak/>
              <w:t>¿</w:t>
            </w:r>
            <w:r>
              <w:rPr>
                <w:rFonts w:ascii="ITC Avant Garde" w:eastAsia="Times New Roman" w:hAnsi="ITC Avant Garde"/>
                <w:b/>
                <w:color w:val="000000"/>
                <w:sz w:val="20"/>
                <w:szCs w:val="20"/>
                <w:lang w:eastAsia="es-MX"/>
              </w:rPr>
              <w:t>Cuáles son sus consideraciones respecto al impacto que ha tenido la regulación asimétrica al AEPT relacionada con el acceso a información?</w:t>
            </w:r>
          </w:p>
        </w:tc>
      </w:tr>
      <w:tr w:rsidR="00325D79" w:rsidRPr="002C2D28" w14:paraId="6BB667FC" w14:textId="77777777" w:rsidTr="00652FBC">
        <w:trPr>
          <w:trHeight w:val="414"/>
        </w:trPr>
        <w:tc>
          <w:tcPr>
            <w:tcW w:w="8641" w:type="dxa"/>
            <w:gridSpan w:val="4"/>
            <w:shd w:val="clear" w:color="auto" w:fill="FFFFFF"/>
            <w:vAlign w:val="center"/>
          </w:tcPr>
          <w:p w14:paraId="755F7FCA" w14:textId="77777777" w:rsidR="00325D79" w:rsidRPr="002C2D28" w:rsidRDefault="00325D79" w:rsidP="00325D79">
            <w:pPr>
              <w:spacing w:after="0" w:line="276" w:lineRule="auto"/>
              <w:rPr>
                <w:rFonts w:ascii="ITC Avant Garde" w:eastAsia="Times New Roman" w:hAnsi="ITC Avant Garde"/>
                <w:b/>
                <w:color w:val="000000"/>
                <w:sz w:val="20"/>
                <w:szCs w:val="20"/>
                <w:lang w:eastAsia="es-MX"/>
              </w:rPr>
            </w:pPr>
          </w:p>
        </w:tc>
      </w:tr>
      <w:tr w:rsidR="00325D79" w:rsidRPr="002C2D28" w14:paraId="7DC7FB1F" w14:textId="77777777" w:rsidTr="00652FBC">
        <w:trPr>
          <w:trHeight w:val="414"/>
        </w:trPr>
        <w:tc>
          <w:tcPr>
            <w:tcW w:w="8641" w:type="dxa"/>
            <w:gridSpan w:val="4"/>
            <w:shd w:val="clear" w:color="auto" w:fill="FFFFFF"/>
            <w:vAlign w:val="center"/>
          </w:tcPr>
          <w:p w14:paraId="2EBF590C" w14:textId="55536069" w:rsidR="00325D79" w:rsidRPr="002C2D28" w:rsidRDefault="00325D79" w:rsidP="00325D79">
            <w:pPr>
              <w:spacing w:after="0" w:line="276" w:lineRule="auto"/>
              <w:jc w:val="both"/>
              <w:rPr>
                <w:rFonts w:ascii="ITC Avant Garde" w:eastAsia="Times New Roman" w:hAnsi="ITC Avant Garde"/>
                <w:color w:val="000000"/>
                <w:sz w:val="20"/>
                <w:szCs w:val="20"/>
                <w:lang w:eastAsia="es-MX"/>
              </w:rPr>
            </w:pPr>
            <w:r>
              <w:rPr>
                <w:rFonts w:ascii="ITC Avant Garde" w:eastAsia="Times New Roman" w:hAnsi="ITC Avant Garde"/>
                <w:b/>
                <w:color w:val="000000"/>
                <w:sz w:val="20"/>
                <w:szCs w:val="20"/>
                <w:lang w:eastAsia="es-MX"/>
              </w:rPr>
              <w:t xml:space="preserve">¿Cuáles son sus </w:t>
            </w:r>
            <w:r w:rsidRPr="002C2D28">
              <w:rPr>
                <w:rFonts w:ascii="ITC Avant Garde" w:eastAsia="Times New Roman" w:hAnsi="ITC Avant Garde"/>
                <w:b/>
                <w:color w:val="000000"/>
                <w:sz w:val="20"/>
                <w:szCs w:val="20"/>
                <w:lang w:eastAsia="es-MX"/>
              </w:rPr>
              <w:t>considera</w:t>
            </w:r>
            <w:r>
              <w:rPr>
                <w:rFonts w:ascii="ITC Avant Garde" w:eastAsia="Times New Roman" w:hAnsi="ITC Avant Garde"/>
                <w:b/>
                <w:color w:val="000000"/>
                <w:sz w:val="20"/>
                <w:szCs w:val="20"/>
                <w:lang w:eastAsia="es-MX"/>
              </w:rPr>
              <w:t>ciones respecto</w:t>
            </w:r>
            <w:r w:rsidRPr="002C2D28">
              <w:rPr>
                <w:rFonts w:ascii="ITC Avant Garde" w:eastAsia="Times New Roman" w:hAnsi="ITC Avant Garde"/>
                <w:b/>
                <w:color w:val="000000"/>
                <w:sz w:val="20"/>
                <w:szCs w:val="20"/>
                <w:lang w:eastAsia="es-MX"/>
              </w:rPr>
              <w:t xml:space="preserve"> </w:t>
            </w:r>
            <w:r>
              <w:rPr>
                <w:rFonts w:ascii="ITC Avant Garde" w:eastAsia="Times New Roman" w:hAnsi="ITC Avant Garde"/>
                <w:b/>
                <w:color w:val="000000"/>
                <w:sz w:val="20"/>
                <w:szCs w:val="20"/>
                <w:lang w:eastAsia="es-MX"/>
              </w:rPr>
              <w:t>al diseño de las medidas relacionadas con el acceso a información y su idoneidad</w:t>
            </w:r>
            <w:r w:rsidRPr="002C2D28">
              <w:rPr>
                <w:rFonts w:ascii="ITC Avant Garde" w:eastAsia="Times New Roman" w:hAnsi="ITC Avant Garde"/>
                <w:b/>
                <w:color w:val="000000"/>
                <w:sz w:val="20"/>
                <w:szCs w:val="20"/>
                <w:lang w:eastAsia="es-MX"/>
              </w:rPr>
              <w:t xml:space="preserve"> para alcanzar los objetivos por los que se plantearon</w:t>
            </w:r>
            <w:r>
              <w:rPr>
                <w:rFonts w:ascii="ITC Avant Garde" w:eastAsia="Times New Roman" w:hAnsi="ITC Avant Garde"/>
                <w:b/>
                <w:color w:val="000000"/>
                <w:sz w:val="20"/>
                <w:szCs w:val="20"/>
                <w:lang w:eastAsia="es-MX"/>
              </w:rPr>
              <w:t>?</w:t>
            </w:r>
          </w:p>
        </w:tc>
      </w:tr>
      <w:tr w:rsidR="00325D79" w:rsidRPr="002C2D28" w14:paraId="3814051A" w14:textId="77777777" w:rsidTr="00652FBC">
        <w:trPr>
          <w:trHeight w:val="414"/>
        </w:trPr>
        <w:tc>
          <w:tcPr>
            <w:tcW w:w="8641" w:type="dxa"/>
            <w:gridSpan w:val="4"/>
            <w:shd w:val="clear" w:color="auto" w:fill="FFFFFF"/>
            <w:vAlign w:val="center"/>
          </w:tcPr>
          <w:p w14:paraId="7BF9C553" w14:textId="77777777" w:rsidR="00325D79" w:rsidRPr="002C2D28" w:rsidRDefault="00325D79" w:rsidP="00325D79">
            <w:pPr>
              <w:spacing w:after="0" w:line="276" w:lineRule="auto"/>
              <w:rPr>
                <w:rFonts w:ascii="ITC Avant Garde" w:eastAsia="Times New Roman" w:hAnsi="ITC Avant Garde"/>
                <w:b/>
                <w:color w:val="000000"/>
                <w:sz w:val="20"/>
                <w:szCs w:val="20"/>
                <w:lang w:eastAsia="es-MX"/>
              </w:rPr>
            </w:pPr>
          </w:p>
        </w:tc>
      </w:tr>
      <w:tr w:rsidR="00325D79" w:rsidRPr="002C2D28" w14:paraId="5FE24EA7" w14:textId="77777777" w:rsidTr="00C63854">
        <w:trPr>
          <w:trHeight w:val="414"/>
        </w:trPr>
        <w:tc>
          <w:tcPr>
            <w:tcW w:w="8641" w:type="dxa"/>
            <w:gridSpan w:val="4"/>
            <w:shd w:val="clear" w:color="auto" w:fill="FFFFFF"/>
          </w:tcPr>
          <w:p w14:paraId="2A56D2D0" w14:textId="61D1F625" w:rsidR="00325D79" w:rsidRPr="002C2D28" w:rsidRDefault="00325D79" w:rsidP="00325D79">
            <w:pPr>
              <w:jc w:val="both"/>
              <w:rPr>
                <w:rFonts w:ascii="ITC Avant Garde" w:eastAsia="Times New Roman" w:hAnsi="ITC Avant Garde"/>
                <w:color w:val="000000"/>
                <w:sz w:val="20"/>
                <w:szCs w:val="20"/>
                <w:lang w:eastAsia="es-MX"/>
              </w:rPr>
            </w:pPr>
            <w:r>
              <w:rPr>
                <w:rFonts w:ascii="ITC Avant Garde" w:hAnsi="ITC Avant Garde"/>
                <w:b/>
                <w:sz w:val="20"/>
                <w:szCs w:val="20"/>
              </w:rPr>
              <w:t>Favor de indicar la(s)</w:t>
            </w:r>
            <w:r w:rsidRPr="002C2D28">
              <w:rPr>
                <w:rFonts w:ascii="ITC Avant Garde" w:hAnsi="ITC Avant Garde"/>
                <w:b/>
                <w:sz w:val="20"/>
                <w:szCs w:val="20"/>
              </w:rPr>
              <w:t xml:space="preserve"> propuesta</w:t>
            </w:r>
            <w:r>
              <w:rPr>
                <w:rFonts w:ascii="ITC Avant Garde" w:hAnsi="ITC Avant Garde"/>
                <w:b/>
                <w:sz w:val="20"/>
                <w:szCs w:val="20"/>
              </w:rPr>
              <w:t>(s)</w:t>
            </w:r>
            <w:r w:rsidRPr="002C2D28">
              <w:rPr>
                <w:rFonts w:ascii="ITC Avant Garde" w:hAnsi="ITC Avant Garde"/>
                <w:b/>
                <w:sz w:val="20"/>
                <w:szCs w:val="20"/>
              </w:rPr>
              <w:t xml:space="preserve"> específica</w:t>
            </w:r>
            <w:r>
              <w:rPr>
                <w:rFonts w:ascii="ITC Avant Garde" w:hAnsi="ITC Avant Garde"/>
                <w:b/>
                <w:sz w:val="20"/>
                <w:szCs w:val="20"/>
              </w:rPr>
              <w:t>(s)</w:t>
            </w:r>
            <w:r w:rsidRPr="002C2D28">
              <w:rPr>
                <w:rFonts w:ascii="ITC Avant Garde" w:hAnsi="ITC Avant Garde"/>
                <w:b/>
                <w:sz w:val="20"/>
                <w:szCs w:val="20"/>
              </w:rPr>
              <w:t xml:space="preserve"> </w:t>
            </w:r>
            <w:r>
              <w:rPr>
                <w:rFonts w:ascii="ITC Avant Garde" w:hAnsi="ITC Avant Garde"/>
                <w:b/>
                <w:sz w:val="20"/>
                <w:szCs w:val="20"/>
              </w:rPr>
              <w:t>para la supresión, modificación o adición de</w:t>
            </w:r>
            <w:r w:rsidRPr="002C2D28">
              <w:rPr>
                <w:rFonts w:ascii="ITC Avant Garde" w:hAnsi="ITC Avant Garde"/>
                <w:b/>
                <w:sz w:val="20"/>
                <w:szCs w:val="20"/>
              </w:rPr>
              <w:t xml:space="preserve"> las medidas relacionadas con </w:t>
            </w:r>
            <w:r>
              <w:rPr>
                <w:rFonts w:ascii="ITC Avant Garde" w:hAnsi="ITC Avant Garde"/>
                <w:b/>
                <w:sz w:val="20"/>
                <w:szCs w:val="20"/>
              </w:rPr>
              <w:t>el acceso a información.</w:t>
            </w:r>
          </w:p>
        </w:tc>
      </w:tr>
      <w:tr w:rsidR="002C2D28" w:rsidRPr="002C2D28" w14:paraId="288B1E96" w14:textId="77777777" w:rsidTr="00652FBC">
        <w:trPr>
          <w:trHeight w:val="414"/>
        </w:trPr>
        <w:tc>
          <w:tcPr>
            <w:tcW w:w="3047" w:type="dxa"/>
            <w:gridSpan w:val="2"/>
            <w:shd w:val="clear" w:color="auto" w:fill="FFFFFF"/>
            <w:vAlign w:val="center"/>
          </w:tcPr>
          <w:p w14:paraId="07F03563" w14:textId="77777777" w:rsidR="002C2D28" w:rsidRPr="002C2D28" w:rsidRDefault="002C2D28" w:rsidP="00652FBC">
            <w:pPr>
              <w:jc w:val="center"/>
              <w:rPr>
                <w:rFonts w:ascii="ITC Avant Garde" w:eastAsia="Times New Roman" w:hAnsi="ITC Avant Garde"/>
                <w:color w:val="00000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gridSpan w:val="2"/>
            <w:shd w:val="clear" w:color="auto" w:fill="FFFFFF"/>
            <w:vAlign w:val="center"/>
          </w:tcPr>
          <w:p w14:paraId="253CCCD7"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2C2D28" w:rsidRPr="002C2D28" w14:paraId="6F23F7C2" w14:textId="77777777" w:rsidTr="00652FBC">
        <w:trPr>
          <w:trHeight w:val="414"/>
        </w:trPr>
        <w:tc>
          <w:tcPr>
            <w:tcW w:w="3047" w:type="dxa"/>
            <w:gridSpan w:val="2"/>
            <w:shd w:val="clear" w:color="auto" w:fill="FFFFFF"/>
            <w:vAlign w:val="center"/>
          </w:tcPr>
          <w:p w14:paraId="7C212918"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gridSpan w:val="2"/>
            <w:shd w:val="clear" w:color="auto" w:fill="FFFFFF"/>
            <w:vAlign w:val="center"/>
          </w:tcPr>
          <w:p w14:paraId="1F327E4C"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2C2D28" w:rsidRPr="002C2D28" w14:paraId="74226F98" w14:textId="77777777" w:rsidTr="00652FBC">
        <w:trPr>
          <w:trHeight w:val="290"/>
        </w:trPr>
        <w:tc>
          <w:tcPr>
            <w:tcW w:w="1754" w:type="dxa"/>
            <w:shd w:val="clear" w:color="auto" w:fill="C5E0B3"/>
            <w:vAlign w:val="center"/>
          </w:tcPr>
          <w:p w14:paraId="51E4B8A0" w14:textId="77777777"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Medidas referentes a Conductas y No Discriminación</w:t>
            </w:r>
          </w:p>
          <w:p w14:paraId="4E8BA25F" w14:textId="77777777"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p>
          <w:p w14:paraId="5DE104F4" w14:textId="30ACFBA4"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Anexo 2: 35, 66 y 67.</w:t>
            </w:r>
          </w:p>
          <w:p w14:paraId="1C87FACE" w14:textId="4CBC6E1D" w:rsidR="002C2D28" w:rsidRPr="002C2D28" w:rsidRDefault="002C2D28" w:rsidP="00652FBC">
            <w:pPr>
              <w:spacing w:after="0" w:line="276" w:lineRule="auto"/>
              <w:jc w:val="center"/>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Anexo 3: 7, 27, 29, 32, 48, 49 y 50.</w:t>
            </w:r>
          </w:p>
        </w:tc>
        <w:tc>
          <w:tcPr>
            <w:tcW w:w="6887" w:type="dxa"/>
            <w:gridSpan w:val="3"/>
            <w:shd w:val="clear" w:color="auto" w:fill="C5E0B3"/>
            <w:vAlign w:val="center"/>
          </w:tcPr>
          <w:p w14:paraId="27AD7579" w14:textId="77777777" w:rsidR="002C2D28" w:rsidRPr="002C2D28" w:rsidRDefault="002C2D28" w:rsidP="00652FBC">
            <w:pPr>
              <w:spacing w:after="0" w:line="276" w:lineRule="auto"/>
              <w:rPr>
                <w:rFonts w:ascii="ITC Avant Garde" w:eastAsia="Times New Roman" w:hAnsi="ITC Avant Garde"/>
                <w:b/>
                <w:color w:val="000000"/>
                <w:sz w:val="20"/>
                <w:szCs w:val="20"/>
                <w:lang w:eastAsia="es-MX"/>
              </w:rPr>
            </w:pPr>
            <w:r w:rsidRPr="002C2D28">
              <w:rPr>
                <w:rFonts w:ascii="ITC Avant Garde" w:eastAsia="Times New Roman" w:hAnsi="ITC Avant Garde"/>
                <w:b/>
                <w:color w:val="000000"/>
                <w:sz w:val="20"/>
                <w:szCs w:val="20"/>
                <w:lang w:eastAsia="es-MX"/>
              </w:rPr>
              <w:t>Objetivos generales:</w:t>
            </w:r>
          </w:p>
          <w:p w14:paraId="4480651E" w14:textId="77777777" w:rsidR="002C2D28" w:rsidRPr="002C2D28" w:rsidRDefault="002C2D28">
            <w:pPr>
              <w:numPr>
                <w:ilvl w:val="0"/>
                <w:numId w:val="12"/>
              </w:numPr>
              <w:spacing w:after="0" w:line="276" w:lineRule="auto"/>
              <w:jc w:val="both"/>
              <w:rPr>
                <w:rFonts w:ascii="ITC Avant Garde" w:eastAsia="Times New Roman" w:hAnsi="ITC Avant Garde"/>
                <w:b/>
                <w:color w:val="000000"/>
                <w:sz w:val="20"/>
                <w:szCs w:val="20"/>
                <w:lang w:eastAsia="es-MX"/>
              </w:rPr>
            </w:pPr>
            <w:r w:rsidRPr="002C2D28">
              <w:rPr>
                <w:rFonts w:ascii="ITC Avant Garde" w:hAnsi="ITC Avant Garde"/>
                <w:sz w:val="20"/>
                <w:szCs w:val="20"/>
              </w:rPr>
              <w:t>Remediar y prevenir condiciones y conductas con efectos que no favorezcan la competencia y libre concurrencia.</w:t>
            </w:r>
          </w:p>
          <w:p w14:paraId="0CB418A7" w14:textId="77777777" w:rsidR="002C2D28" w:rsidRPr="002C2D28" w:rsidRDefault="002C2D28">
            <w:pPr>
              <w:numPr>
                <w:ilvl w:val="0"/>
                <w:numId w:val="12"/>
              </w:numPr>
              <w:spacing w:after="0" w:line="276" w:lineRule="auto"/>
              <w:jc w:val="both"/>
              <w:rPr>
                <w:rFonts w:ascii="ITC Avant Garde" w:eastAsia="Times New Roman" w:hAnsi="ITC Avant Garde"/>
                <w:b/>
                <w:color w:val="000000"/>
                <w:sz w:val="20"/>
                <w:szCs w:val="20"/>
                <w:lang w:eastAsia="es-MX"/>
              </w:rPr>
            </w:pPr>
            <w:r w:rsidRPr="002C2D28">
              <w:rPr>
                <w:rFonts w:ascii="ITC Avant Garde" w:hAnsi="ITC Avant Garde"/>
                <w:sz w:val="20"/>
                <w:szCs w:val="20"/>
              </w:rPr>
              <w:t>Promover el acceso eficiente a servicios mayoristas.</w:t>
            </w:r>
            <w:r w:rsidRPr="002C2D28" w:rsidDel="00550A91">
              <w:rPr>
                <w:rFonts w:ascii="ITC Avant Garde" w:hAnsi="ITC Avant Garde"/>
                <w:sz w:val="20"/>
                <w:szCs w:val="20"/>
              </w:rPr>
              <w:t xml:space="preserve"> </w:t>
            </w:r>
          </w:p>
        </w:tc>
      </w:tr>
      <w:tr w:rsidR="002C2D28" w:rsidRPr="002C2D28" w14:paraId="7065B89B" w14:textId="77777777" w:rsidTr="00652FBC">
        <w:trPr>
          <w:trHeight w:val="290"/>
        </w:trPr>
        <w:tc>
          <w:tcPr>
            <w:tcW w:w="8641" w:type="dxa"/>
            <w:gridSpan w:val="4"/>
            <w:shd w:val="clear" w:color="auto" w:fill="FFFFFF"/>
          </w:tcPr>
          <w:p w14:paraId="68200B82" w14:textId="77777777" w:rsidR="002C2D28" w:rsidRPr="002C2D28" w:rsidRDefault="002C2D28" w:rsidP="00EE422D">
            <w:pPr>
              <w:jc w:val="both"/>
              <w:rPr>
                <w:rFonts w:ascii="ITC Avant Garde" w:hAnsi="ITC Avant Garde"/>
                <w:b/>
                <w:sz w:val="20"/>
                <w:szCs w:val="20"/>
                <w:lang w:eastAsia="es-MX"/>
              </w:rPr>
            </w:pPr>
            <w:r w:rsidRPr="002C2D28">
              <w:rPr>
                <w:rFonts w:ascii="ITC Avant Garde" w:hAnsi="ITC Avant Garde"/>
                <w:b/>
                <w:sz w:val="20"/>
                <w:szCs w:val="20"/>
                <w:lang w:eastAsia="es-MX"/>
              </w:rPr>
              <w:t>Contexto</w:t>
            </w:r>
            <w:r w:rsidRPr="002C2D28">
              <w:rPr>
                <w:rFonts w:ascii="ITC Avant Garde" w:hAnsi="ITC Avant Garde"/>
                <w:sz w:val="20"/>
                <w:szCs w:val="20"/>
                <w:lang w:eastAsia="es-MX"/>
              </w:rPr>
              <w:t>:</w:t>
            </w:r>
          </w:p>
          <w:p w14:paraId="30666CA5" w14:textId="77777777" w:rsidR="002C2D28" w:rsidRPr="002C2D28" w:rsidRDefault="002C2D28" w:rsidP="00EE422D">
            <w:pPr>
              <w:jc w:val="both"/>
              <w:rPr>
                <w:rFonts w:ascii="ITC Avant Garde" w:hAnsi="ITC Avant Garde"/>
                <w:sz w:val="20"/>
                <w:szCs w:val="20"/>
                <w:lang w:eastAsia="es-MX"/>
              </w:rPr>
            </w:pPr>
            <w:r w:rsidRPr="002C2D28">
              <w:rPr>
                <w:rFonts w:ascii="ITC Avant Garde" w:hAnsi="ITC Avant Garde"/>
                <w:sz w:val="20"/>
                <w:szCs w:val="20"/>
                <w:lang w:eastAsia="es-MX"/>
              </w:rPr>
              <w:t xml:space="preserve">Con la finalidad de prevenir el desplazamiento indebido de los competidores, resulta conveniente establecer medidas que mitiguen que un operador incurra en prácticas </w:t>
            </w:r>
            <w:r w:rsidRPr="002C2D28">
              <w:rPr>
                <w:rFonts w:ascii="ITC Avant Garde" w:hAnsi="ITC Avant Garde"/>
                <w:sz w:val="20"/>
                <w:szCs w:val="20"/>
                <w:lang w:eastAsia="es-MX"/>
              </w:rPr>
              <w:lastRenderedPageBreak/>
              <w:t>anticompetitivas. Asimismo, cuando un operador verticalmente integrado está obligado a poner a disposición de terceros insumos no replicables con los que cuenta, resulta primordial velar porque estos se provean en términos no discriminatorios, es decir, bajo los mismos términos, procesos, sistemas y condiciones económicas, entre otros.</w:t>
            </w:r>
          </w:p>
          <w:p w14:paraId="6462B76D" w14:textId="77777777" w:rsidR="002C2D28" w:rsidRPr="002C2D28" w:rsidRDefault="002C2D28" w:rsidP="00EE422D">
            <w:pPr>
              <w:jc w:val="both"/>
              <w:rPr>
                <w:rFonts w:ascii="ITC Avant Garde" w:hAnsi="ITC Avant Garde"/>
                <w:b/>
                <w:sz w:val="20"/>
                <w:szCs w:val="20"/>
                <w:lang w:eastAsia="es-MX"/>
              </w:rPr>
            </w:pPr>
            <w:r w:rsidRPr="002C2D28">
              <w:rPr>
                <w:rFonts w:ascii="ITC Avant Garde" w:hAnsi="ITC Avant Garde"/>
                <w:b/>
                <w:sz w:val="20"/>
                <w:szCs w:val="20"/>
                <w:lang w:eastAsia="es-MX"/>
              </w:rPr>
              <w:t>Resumen de medidas impuestas:</w:t>
            </w:r>
          </w:p>
          <w:p w14:paraId="3A23C75C" w14:textId="77777777" w:rsidR="002C2D28" w:rsidRPr="002C2D28" w:rsidRDefault="002C2D28" w:rsidP="00EE422D">
            <w:pPr>
              <w:jc w:val="both"/>
              <w:rPr>
                <w:rFonts w:ascii="ITC Avant Garde" w:hAnsi="ITC Avant Garde"/>
                <w:sz w:val="20"/>
                <w:szCs w:val="20"/>
              </w:rPr>
            </w:pPr>
            <w:r w:rsidRPr="002C2D28">
              <w:rPr>
                <w:rFonts w:ascii="ITC Avant Garde" w:hAnsi="ITC Avant Garde"/>
                <w:sz w:val="20"/>
                <w:szCs w:val="20"/>
              </w:rPr>
              <w:t>El Instituto impuso medidas al AEPT referentes a la provisión de servicios al usuario final en términos que no desplacen indebidamente a la competencia, así como en lo referente a la atención de solicitudes de prestación de servicios mayoristas, haciendo énfasis en el trato no discriminatorio.</w:t>
            </w:r>
            <w:r w:rsidRPr="002C2D28" w:rsidDel="005833EC">
              <w:rPr>
                <w:rFonts w:ascii="ITC Avant Garde" w:hAnsi="ITC Avant Garde"/>
                <w:sz w:val="20"/>
                <w:szCs w:val="20"/>
              </w:rPr>
              <w:t xml:space="preserve"> </w:t>
            </w:r>
          </w:p>
          <w:p w14:paraId="76CACB15" w14:textId="77777777" w:rsidR="002C2D28" w:rsidRDefault="002C2D28" w:rsidP="00EE422D">
            <w:pPr>
              <w:jc w:val="both"/>
              <w:rPr>
                <w:rFonts w:ascii="ITC Avant Garde" w:eastAsia="Times New Roman" w:hAnsi="ITC Avant Garde"/>
                <w:color w:val="000000"/>
                <w:sz w:val="20"/>
                <w:szCs w:val="20"/>
                <w:lang w:eastAsia="es-MX"/>
              </w:rPr>
            </w:pPr>
            <w:r w:rsidRPr="002C2D28">
              <w:rPr>
                <w:rFonts w:ascii="ITC Avant Garde" w:hAnsi="ITC Avant Garde"/>
                <w:sz w:val="20"/>
                <w:szCs w:val="20"/>
              </w:rPr>
              <w:t xml:space="preserve">A través de la </w:t>
            </w:r>
            <w:r w:rsidR="0002271D">
              <w:rPr>
                <w:rFonts w:ascii="ITC Avant Garde" w:hAnsi="ITC Avant Garde"/>
                <w:sz w:val="20"/>
                <w:szCs w:val="20"/>
              </w:rPr>
              <w:t xml:space="preserve">Primera </w:t>
            </w:r>
            <w:r w:rsidRPr="002C2D28">
              <w:rPr>
                <w:rFonts w:ascii="ITC Avant Garde" w:hAnsi="ITC Avant Garde"/>
                <w:sz w:val="20"/>
                <w:szCs w:val="20"/>
              </w:rPr>
              <w:t xml:space="preserve">Resolución Bienal de Telecomunicaciones </w:t>
            </w:r>
            <w:r w:rsidRPr="002C2D28">
              <w:rPr>
                <w:rFonts w:ascii="ITC Avant Garde" w:eastAsia="Times New Roman" w:hAnsi="ITC Avant Garde"/>
                <w:color w:val="000000"/>
                <w:sz w:val="20"/>
                <w:szCs w:val="20"/>
                <w:lang w:eastAsia="es-MX"/>
              </w:rPr>
              <w:t>se hicieron adecuaciones a efecto de prevenir prácticas anticompetitivas asociadas con el estrechamiento de márgenes y la discriminación, tanto por la vía de precios como por una vía distinta (por ej., técnica), mediante la incorporación de obligaciones de equivalencia de insumos y replicabilidad económica y técnica de las ofertas minoristas.</w:t>
            </w:r>
          </w:p>
          <w:p w14:paraId="09A3EA71" w14:textId="1F65A569" w:rsidR="0002271D" w:rsidRPr="002C2D28" w:rsidRDefault="00991CB4" w:rsidP="00EE422D">
            <w:pPr>
              <w:jc w:val="both"/>
              <w:rPr>
                <w:rFonts w:ascii="ITC Avant Garde" w:hAnsi="ITC Avant Garde"/>
                <w:b/>
                <w:sz w:val="20"/>
                <w:szCs w:val="20"/>
              </w:rPr>
            </w:pPr>
            <w:r>
              <w:rPr>
                <w:rFonts w:ascii="ITC Avant Garde" w:hAnsi="ITC Avant Garde"/>
                <w:sz w:val="20"/>
                <w:szCs w:val="20"/>
              </w:rPr>
              <w:t xml:space="preserve">En la Segunda </w:t>
            </w:r>
            <w:r w:rsidRPr="002C2D28">
              <w:rPr>
                <w:rFonts w:ascii="ITC Avant Garde" w:hAnsi="ITC Avant Garde"/>
                <w:sz w:val="20"/>
                <w:szCs w:val="20"/>
              </w:rPr>
              <w:t>Resolución Bienal de Telecomunicaciones</w:t>
            </w:r>
            <w:r>
              <w:rPr>
                <w:rFonts w:ascii="ITC Avant Garde" w:hAnsi="ITC Avant Garde"/>
                <w:sz w:val="20"/>
                <w:szCs w:val="20"/>
              </w:rPr>
              <w:t xml:space="preserve"> se estableció que, e</w:t>
            </w:r>
            <w:r w:rsidRPr="00BC3321">
              <w:rPr>
                <w:rFonts w:ascii="ITC Avant Garde" w:hAnsi="ITC Avant Garde"/>
                <w:sz w:val="20"/>
                <w:szCs w:val="20"/>
              </w:rPr>
              <w:t>n la provisión de servicios mayoristas, el AEPT deberá entregar al Instituto los contratos que haya firmado con empresas de su grupo para la provisión de servicios mayoristas regulados con el fin de revisar si hay mejores términos y condiciones que deban incorporarse a las ofertas de referencia, o bien, que puedan solicitarse bajo el principio de no discriminación</w:t>
            </w:r>
            <w:r>
              <w:rPr>
                <w:rFonts w:ascii="ITC Avant Garde" w:hAnsi="ITC Avant Garde"/>
                <w:sz w:val="20"/>
                <w:szCs w:val="20"/>
              </w:rPr>
              <w:t xml:space="preserve">. Además, </w:t>
            </w:r>
            <w:r w:rsidRPr="00340110">
              <w:rPr>
                <w:rFonts w:ascii="ITC Avant Garde" w:hAnsi="ITC Avant Garde"/>
                <w:sz w:val="20"/>
                <w:szCs w:val="20"/>
              </w:rPr>
              <w:t>se establec</w:t>
            </w:r>
            <w:r>
              <w:rPr>
                <w:rFonts w:ascii="ITC Avant Garde" w:hAnsi="ITC Avant Garde"/>
                <w:sz w:val="20"/>
                <w:szCs w:val="20"/>
              </w:rPr>
              <w:t>ió</w:t>
            </w:r>
            <w:r w:rsidRPr="00340110">
              <w:rPr>
                <w:rFonts w:ascii="ITC Avant Garde" w:hAnsi="ITC Avant Garde"/>
                <w:sz w:val="20"/>
                <w:szCs w:val="20"/>
              </w:rPr>
              <w:t xml:space="preserve"> que el AEPT deberá notificar a los operadores, vía el SEG, cuando haya firmado nuevos convenios para la prestación de los servicios</w:t>
            </w:r>
            <w:r w:rsidR="0002271D" w:rsidRPr="00340110">
              <w:rPr>
                <w:rFonts w:ascii="ITC Avant Garde" w:hAnsi="ITC Avant Garde"/>
                <w:sz w:val="20"/>
                <w:szCs w:val="20"/>
              </w:rPr>
              <w:t>.</w:t>
            </w:r>
          </w:p>
        </w:tc>
      </w:tr>
      <w:tr w:rsidR="00325D79" w:rsidRPr="002C2D28" w14:paraId="758A40B7" w14:textId="77777777" w:rsidTr="00652FBC">
        <w:trPr>
          <w:trHeight w:val="290"/>
        </w:trPr>
        <w:tc>
          <w:tcPr>
            <w:tcW w:w="8641" w:type="dxa"/>
            <w:gridSpan w:val="4"/>
            <w:shd w:val="clear" w:color="auto" w:fill="FFFFFF"/>
            <w:vAlign w:val="center"/>
          </w:tcPr>
          <w:p w14:paraId="0967FE0F" w14:textId="1F159651" w:rsidR="00325D79" w:rsidRPr="002C2D28" w:rsidRDefault="00325D79" w:rsidP="00325D79">
            <w:pPr>
              <w:spacing w:after="0" w:line="276" w:lineRule="auto"/>
              <w:jc w:val="both"/>
              <w:rPr>
                <w:rFonts w:ascii="ITC Avant Garde" w:eastAsia="Times New Roman" w:hAnsi="ITC Avant Garde"/>
                <w:b/>
                <w:color w:val="000000"/>
                <w:sz w:val="20"/>
                <w:szCs w:val="20"/>
                <w:lang w:eastAsia="es-MX"/>
              </w:rPr>
            </w:pPr>
            <w:r w:rsidRPr="009B1606">
              <w:rPr>
                <w:rFonts w:ascii="ITC Avant Garde" w:eastAsia="Times New Roman" w:hAnsi="ITC Avant Garde"/>
                <w:b/>
                <w:color w:val="000000"/>
                <w:sz w:val="20"/>
                <w:szCs w:val="20"/>
                <w:lang w:eastAsia="es-MX"/>
              </w:rPr>
              <w:lastRenderedPageBreak/>
              <w:t>¿</w:t>
            </w:r>
            <w:r>
              <w:rPr>
                <w:rFonts w:ascii="ITC Avant Garde" w:eastAsia="Times New Roman" w:hAnsi="ITC Avant Garde"/>
                <w:b/>
                <w:color w:val="000000"/>
                <w:sz w:val="20"/>
                <w:szCs w:val="20"/>
                <w:lang w:eastAsia="es-MX"/>
              </w:rPr>
              <w:t>Cuáles son sus consideraciones respecto al impacto que ha tenido la regulación asimétrica al AEPT referente a Conductas y No Discriminación?</w:t>
            </w:r>
          </w:p>
        </w:tc>
      </w:tr>
      <w:tr w:rsidR="00325D79" w:rsidRPr="002C2D28" w14:paraId="11D03CBD" w14:textId="77777777" w:rsidTr="00652FBC">
        <w:trPr>
          <w:trHeight w:val="290"/>
        </w:trPr>
        <w:tc>
          <w:tcPr>
            <w:tcW w:w="8641" w:type="dxa"/>
            <w:gridSpan w:val="4"/>
            <w:shd w:val="clear" w:color="auto" w:fill="FFFFFF"/>
            <w:vAlign w:val="center"/>
          </w:tcPr>
          <w:p w14:paraId="53E1A052" w14:textId="77777777" w:rsidR="00325D79" w:rsidRPr="002C2D28" w:rsidRDefault="00325D79" w:rsidP="00325D79">
            <w:pPr>
              <w:spacing w:after="0" w:line="276" w:lineRule="auto"/>
              <w:rPr>
                <w:rFonts w:ascii="ITC Avant Garde" w:eastAsia="Times New Roman" w:hAnsi="ITC Avant Garde"/>
                <w:b/>
                <w:color w:val="000000"/>
                <w:sz w:val="20"/>
                <w:szCs w:val="20"/>
                <w:lang w:eastAsia="es-MX"/>
              </w:rPr>
            </w:pPr>
          </w:p>
        </w:tc>
      </w:tr>
      <w:tr w:rsidR="00325D79" w:rsidRPr="002C2D28" w14:paraId="68344FB4" w14:textId="77777777" w:rsidTr="00652FBC">
        <w:trPr>
          <w:trHeight w:val="290"/>
        </w:trPr>
        <w:tc>
          <w:tcPr>
            <w:tcW w:w="8641" w:type="dxa"/>
            <w:gridSpan w:val="4"/>
            <w:shd w:val="clear" w:color="auto" w:fill="FFFFFF"/>
            <w:vAlign w:val="center"/>
          </w:tcPr>
          <w:p w14:paraId="320AED09" w14:textId="6492F49F" w:rsidR="00325D79" w:rsidRPr="002C2D28" w:rsidRDefault="00325D79" w:rsidP="00325D79">
            <w:pPr>
              <w:spacing w:after="0" w:line="276" w:lineRule="auto"/>
              <w:jc w:val="both"/>
              <w:rPr>
                <w:rFonts w:ascii="ITC Avant Garde" w:eastAsia="Times New Roman" w:hAnsi="ITC Avant Garde"/>
                <w:color w:val="000000"/>
                <w:sz w:val="20"/>
                <w:szCs w:val="20"/>
                <w:lang w:eastAsia="es-MX"/>
              </w:rPr>
            </w:pPr>
            <w:r>
              <w:rPr>
                <w:rFonts w:ascii="ITC Avant Garde" w:eastAsia="Times New Roman" w:hAnsi="ITC Avant Garde"/>
                <w:b/>
                <w:color w:val="000000"/>
                <w:sz w:val="20"/>
                <w:szCs w:val="20"/>
                <w:lang w:eastAsia="es-MX"/>
              </w:rPr>
              <w:t xml:space="preserve">¿Cuáles son sus </w:t>
            </w:r>
            <w:r w:rsidRPr="002C2D28">
              <w:rPr>
                <w:rFonts w:ascii="ITC Avant Garde" w:eastAsia="Times New Roman" w:hAnsi="ITC Avant Garde"/>
                <w:b/>
                <w:color w:val="000000"/>
                <w:sz w:val="20"/>
                <w:szCs w:val="20"/>
                <w:lang w:eastAsia="es-MX"/>
              </w:rPr>
              <w:t>considera</w:t>
            </w:r>
            <w:r>
              <w:rPr>
                <w:rFonts w:ascii="ITC Avant Garde" w:eastAsia="Times New Roman" w:hAnsi="ITC Avant Garde"/>
                <w:b/>
                <w:color w:val="000000"/>
                <w:sz w:val="20"/>
                <w:szCs w:val="20"/>
                <w:lang w:eastAsia="es-MX"/>
              </w:rPr>
              <w:t>ciones respecto</w:t>
            </w:r>
            <w:r w:rsidRPr="002C2D28">
              <w:rPr>
                <w:rFonts w:ascii="ITC Avant Garde" w:eastAsia="Times New Roman" w:hAnsi="ITC Avant Garde"/>
                <w:b/>
                <w:color w:val="000000"/>
                <w:sz w:val="20"/>
                <w:szCs w:val="20"/>
                <w:lang w:eastAsia="es-MX"/>
              </w:rPr>
              <w:t xml:space="preserve"> </w:t>
            </w:r>
            <w:r>
              <w:rPr>
                <w:rFonts w:ascii="ITC Avant Garde" w:eastAsia="Times New Roman" w:hAnsi="ITC Avant Garde"/>
                <w:b/>
                <w:color w:val="000000"/>
                <w:sz w:val="20"/>
                <w:szCs w:val="20"/>
                <w:lang w:eastAsia="es-MX"/>
              </w:rPr>
              <w:t>al diseño de las medidas referentes a Conductas y No Discriminación y su idoneidad</w:t>
            </w:r>
            <w:r w:rsidRPr="002C2D28">
              <w:rPr>
                <w:rFonts w:ascii="ITC Avant Garde" w:eastAsia="Times New Roman" w:hAnsi="ITC Avant Garde"/>
                <w:b/>
                <w:color w:val="000000"/>
                <w:sz w:val="20"/>
                <w:szCs w:val="20"/>
                <w:lang w:eastAsia="es-MX"/>
              </w:rPr>
              <w:t xml:space="preserve"> para alcanzar los objetivos por los que se plantearon</w:t>
            </w:r>
            <w:r>
              <w:rPr>
                <w:rFonts w:ascii="ITC Avant Garde" w:eastAsia="Times New Roman" w:hAnsi="ITC Avant Garde"/>
                <w:b/>
                <w:color w:val="000000"/>
                <w:sz w:val="20"/>
                <w:szCs w:val="20"/>
                <w:lang w:eastAsia="es-MX"/>
              </w:rPr>
              <w:t>?</w:t>
            </w:r>
          </w:p>
        </w:tc>
      </w:tr>
      <w:tr w:rsidR="00325D79" w:rsidRPr="002C2D28" w14:paraId="452CD59C" w14:textId="77777777" w:rsidTr="00652FBC">
        <w:trPr>
          <w:trHeight w:val="290"/>
        </w:trPr>
        <w:tc>
          <w:tcPr>
            <w:tcW w:w="8641" w:type="dxa"/>
            <w:gridSpan w:val="4"/>
            <w:shd w:val="clear" w:color="auto" w:fill="FFFFFF"/>
            <w:vAlign w:val="center"/>
          </w:tcPr>
          <w:p w14:paraId="39E299A3" w14:textId="77777777" w:rsidR="00325D79" w:rsidRPr="002C2D28" w:rsidRDefault="00325D79" w:rsidP="00325D79">
            <w:pPr>
              <w:spacing w:after="0" w:line="276" w:lineRule="auto"/>
              <w:rPr>
                <w:rFonts w:ascii="ITC Avant Garde" w:eastAsia="Times New Roman" w:hAnsi="ITC Avant Garde"/>
                <w:b/>
                <w:color w:val="000000"/>
                <w:sz w:val="20"/>
                <w:szCs w:val="20"/>
                <w:lang w:eastAsia="es-MX"/>
              </w:rPr>
            </w:pPr>
          </w:p>
        </w:tc>
      </w:tr>
      <w:tr w:rsidR="00325D79" w:rsidRPr="002C2D28" w14:paraId="024D5855" w14:textId="77777777" w:rsidTr="00281AFA">
        <w:trPr>
          <w:trHeight w:val="414"/>
        </w:trPr>
        <w:tc>
          <w:tcPr>
            <w:tcW w:w="8641" w:type="dxa"/>
            <w:gridSpan w:val="4"/>
            <w:shd w:val="clear" w:color="auto" w:fill="FFFFFF"/>
          </w:tcPr>
          <w:p w14:paraId="26A77C03" w14:textId="6F89DA7D" w:rsidR="00325D79" w:rsidRPr="002C2D28" w:rsidRDefault="00325D79" w:rsidP="00325D79">
            <w:pPr>
              <w:jc w:val="both"/>
              <w:rPr>
                <w:rFonts w:ascii="ITC Avant Garde" w:eastAsia="Times New Roman" w:hAnsi="ITC Avant Garde"/>
                <w:color w:val="000000"/>
                <w:sz w:val="20"/>
                <w:szCs w:val="20"/>
                <w:lang w:eastAsia="es-MX"/>
              </w:rPr>
            </w:pPr>
            <w:r>
              <w:rPr>
                <w:rFonts w:ascii="ITC Avant Garde" w:hAnsi="ITC Avant Garde"/>
                <w:b/>
                <w:sz w:val="20"/>
                <w:szCs w:val="20"/>
              </w:rPr>
              <w:t>Favor de indicar la(s)</w:t>
            </w:r>
            <w:r w:rsidRPr="002C2D28">
              <w:rPr>
                <w:rFonts w:ascii="ITC Avant Garde" w:hAnsi="ITC Avant Garde"/>
                <w:b/>
                <w:sz w:val="20"/>
                <w:szCs w:val="20"/>
              </w:rPr>
              <w:t xml:space="preserve"> propuesta</w:t>
            </w:r>
            <w:r>
              <w:rPr>
                <w:rFonts w:ascii="ITC Avant Garde" w:hAnsi="ITC Avant Garde"/>
                <w:b/>
                <w:sz w:val="20"/>
                <w:szCs w:val="20"/>
              </w:rPr>
              <w:t>(s)</w:t>
            </w:r>
            <w:r w:rsidRPr="002C2D28">
              <w:rPr>
                <w:rFonts w:ascii="ITC Avant Garde" w:hAnsi="ITC Avant Garde"/>
                <w:b/>
                <w:sz w:val="20"/>
                <w:szCs w:val="20"/>
              </w:rPr>
              <w:t xml:space="preserve"> específica</w:t>
            </w:r>
            <w:r>
              <w:rPr>
                <w:rFonts w:ascii="ITC Avant Garde" w:hAnsi="ITC Avant Garde"/>
                <w:b/>
                <w:sz w:val="20"/>
                <w:szCs w:val="20"/>
              </w:rPr>
              <w:t>(s)</w:t>
            </w:r>
            <w:r w:rsidRPr="002C2D28">
              <w:rPr>
                <w:rFonts w:ascii="ITC Avant Garde" w:hAnsi="ITC Avant Garde"/>
                <w:b/>
                <w:sz w:val="20"/>
                <w:szCs w:val="20"/>
              </w:rPr>
              <w:t xml:space="preserve"> </w:t>
            </w:r>
            <w:r>
              <w:rPr>
                <w:rFonts w:ascii="ITC Avant Garde" w:hAnsi="ITC Avant Garde"/>
                <w:b/>
                <w:sz w:val="20"/>
                <w:szCs w:val="20"/>
              </w:rPr>
              <w:t>para la supresión, modificación o adición de</w:t>
            </w:r>
            <w:r w:rsidRPr="002C2D28">
              <w:rPr>
                <w:rFonts w:ascii="ITC Avant Garde" w:hAnsi="ITC Avant Garde"/>
                <w:b/>
                <w:sz w:val="20"/>
                <w:szCs w:val="20"/>
              </w:rPr>
              <w:t xml:space="preserve"> las medidas re</w:t>
            </w:r>
            <w:r>
              <w:rPr>
                <w:rFonts w:ascii="ITC Avant Garde" w:hAnsi="ITC Avant Garde"/>
                <w:b/>
                <w:sz w:val="20"/>
                <w:szCs w:val="20"/>
              </w:rPr>
              <w:t>ferentes a Conductas y No Discriminación.</w:t>
            </w:r>
          </w:p>
        </w:tc>
      </w:tr>
      <w:tr w:rsidR="002C2D28" w:rsidRPr="002C2D28" w14:paraId="28F17DA2" w14:textId="77777777" w:rsidTr="00652FBC">
        <w:trPr>
          <w:trHeight w:val="414"/>
        </w:trPr>
        <w:tc>
          <w:tcPr>
            <w:tcW w:w="3047" w:type="dxa"/>
            <w:gridSpan w:val="2"/>
            <w:shd w:val="clear" w:color="auto" w:fill="FFFFFF"/>
            <w:vAlign w:val="center"/>
          </w:tcPr>
          <w:p w14:paraId="6C42752A" w14:textId="77777777" w:rsidR="002C2D28" w:rsidRPr="002C2D28" w:rsidRDefault="002C2D28" w:rsidP="00652FBC">
            <w:pPr>
              <w:jc w:val="center"/>
              <w:rPr>
                <w:rFonts w:ascii="ITC Avant Garde" w:eastAsia="Times New Roman" w:hAnsi="ITC Avant Garde"/>
                <w:color w:val="00000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gridSpan w:val="2"/>
            <w:shd w:val="clear" w:color="auto" w:fill="FFFFFF"/>
            <w:vAlign w:val="center"/>
          </w:tcPr>
          <w:p w14:paraId="4C95C69E"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r w:rsidR="002C2D28" w:rsidRPr="002C2D28" w14:paraId="35264481" w14:textId="77777777" w:rsidTr="00652FBC">
        <w:trPr>
          <w:trHeight w:val="414"/>
        </w:trPr>
        <w:tc>
          <w:tcPr>
            <w:tcW w:w="3047" w:type="dxa"/>
            <w:gridSpan w:val="2"/>
            <w:shd w:val="clear" w:color="auto" w:fill="FFFFFF"/>
            <w:vAlign w:val="center"/>
          </w:tcPr>
          <w:p w14:paraId="536D6859"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[Indique medida]</w:t>
            </w:r>
          </w:p>
        </w:tc>
        <w:tc>
          <w:tcPr>
            <w:tcW w:w="5594" w:type="dxa"/>
            <w:gridSpan w:val="2"/>
            <w:shd w:val="clear" w:color="auto" w:fill="FFFFFF"/>
            <w:vAlign w:val="center"/>
          </w:tcPr>
          <w:p w14:paraId="2748F686" w14:textId="77777777" w:rsidR="002C2D28" w:rsidRPr="002C2D28" w:rsidRDefault="002C2D28" w:rsidP="00652FBC">
            <w:pPr>
              <w:jc w:val="center"/>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[Señale la propuesta]</w:t>
            </w:r>
          </w:p>
        </w:tc>
      </w:tr>
    </w:tbl>
    <w:p w14:paraId="573D7AB9" w14:textId="318C250C" w:rsidR="002C2D28" w:rsidRDefault="002C2D28" w:rsidP="00AB2D19">
      <w:pPr>
        <w:spacing w:after="0"/>
        <w:jc w:val="both"/>
        <w:rPr>
          <w:rFonts w:ascii="ITC Avant Garde" w:hAnsi="ITC Avant Garde"/>
          <w:sz w:val="16"/>
        </w:rPr>
      </w:pPr>
    </w:p>
    <w:p w14:paraId="6875FF98" w14:textId="16BDD7BA" w:rsidR="00DE1B7F" w:rsidRDefault="00DE1B7F" w:rsidP="00AB2D19">
      <w:pPr>
        <w:spacing w:after="0"/>
        <w:jc w:val="both"/>
        <w:rPr>
          <w:rFonts w:ascii="ITC Avant Garde" w:hAnsi="ITC Avant Garde"/>
          <w:sz w:val="16"/>
        </w:rPr>
      </w:pPr>
    </w:p>
    <w:tbl>
      <w:tblPr>
        <w:tblpPr w:leftFromText="141" w:rightFromText="141" w:vertAnchor="text" w:tblpX="147" w:tblpY="108"/>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2765"/>
        <w:gridCol w:w="4321"/>
      </w:tblGrid>
      <w:tr w:rsidR="00DE1B7F" w:rsidRPr="00DE1B7F" w14:paraId="112B4B93" w14:textId="77777777" w:rsidTr="00652FBC">
        <w:trPr>
          <w:trHeight w:val="581"/>
        </w:trPr>
        <w:tc>
          <w:tcPr>
            <w:tcW w:w="8641" w:type="dxa"/>
            <w:gridSpan w:val="3"/>
            <w:shd w:val="clear" w:color="auto" w:fill="D9D9D9"/>
            <w:vAlign w:val="center"/>
            <w:hideMark/>
          </w:tcPr>
          <w:p w14:paraId="6D8E8FB0" w14:textId="5C4652F4" w:rsidR="00DE1B7F" w:rsidRPr="00DE1B7F" w:rsidRDefault="00DE1B7F" w:rsidP="00DE1B7F">
            <w:pPr>
              <w:pStyle w:val="Ttulo2"/>
              <w:rPr>
                <w:color w:val="FFFFFF"/>
              </w:rPr>
            </w:pPr>
            <w:r w:rsidRPr="00DE1B7F">
              <w:rPr>
                <w:color w:val="000000"/>
              </w:rPr>
              <w:t xml:space="preserve">Comentarios, opiniones </w:t>
            </w:r>
            <w:r w:rsidRPr="00DE1B7F">
              <w:t>y aportaciones únicamente sobre medidas que no se encuentren en los grupos anteriores</w:t>
            </w:r>
          </w:p>
        </w:tc>
      </w:tr>
      <w:tr w:rsidR="00DE1B7F" w:rsidRPr="00DE1B7F" w14:paraId="4B172A9B" w14:textId="77777777" w:rsidTr="00652FBC">
        <w:trPr>
          <w:trHeight w:val="249"/>
        </w:trPr>
        <w:tc>
          <w:tcPr>
            <w:tcW w:w="8641" w:type="dxa"/>
            <w:gridSpan w:val="3"/>
            <w:shd w:val="clear" w:color="auto" w:fill="C5E0B3" w:themeFill="accent6" w:themeFillTint="66"/>
            <w:vAlign w:val="center"/>
          </w:tcPr>
          <w:p w14:paraId="44FF0AF6" w14:textId="77777777" w:rsidR="00DE1B7F" w:rsidRPr="00DE1B7F" w:rsidRDefault="00DE1B7F" w:rsidP="00652FBC">
            <w:pPr>
              <w:spacing w:after="0" w:line="276" w:lineRule="auto"/>
              <w:jc w:val="center"/>
              <w:rPr>
                <w:rFonts w:ascii="ITC Avant Garde" w:eastAsia="Times New Roman" w:hAnsi="ITC Avant Garde"/>
                <w:b/>
                <w:color w:val="000000"/>
                <w:sz w:val="20"/>
                <w:szCs w:val="20"/>
                <w:lang w:eastAsia="es-MX"/>
              </w:rPr>
            </w:pPr>
            <w:r w:rsidRPr="00DE1B7F">
              <w:rPr>
                <w:rFonts w:ascii="ITC Avant Garde" w:eastAsia="Times New Roman" w:hAnsi="ITC Avant Garde"/>
                <w:b/>
                <w:color w:val="000000"/>
                <w:sz w:val="20"/>
                <w:szCs w:val="20"/>
                <w:lang w:eastAsia="es-MX"/>
              </w:rPr>
              <w:t>Anexo 1</w:t>
            </w:r>
          </w:p>
          <w:p w14:paraId="075460ED" w14:textId="77777777" w:rsidR="00DE1B7F" w:rsidRPr="00DE1B7F" w:rsidRDefault="00DE1B7F" w:rsidP="00652FBC">
            <w:pPr>
              <w:spacing w:after="0" w:line="276" w:lineRule="auto"/>
              <w:jc w:val="center"/>
              <w:rPr>
                <w:rFonts w:ascii="ITC Avant Garde" w:eastAsia="Times New Roman" w:hAnsi="ITC Avant Garde"/>
                <w:b/>
                <w:color w:val="000000"/>
                <w:sz w:val="20"/>
                <w:szCs w:val="20"/>
                <w:lang w:eastAsia="es-MX"/>
              </w:rPr>
            </w:pPr>
            <w:r w:rsidRPr="00DE1B7F">
              <w:rPr>
                <w:rFonts w:ascii="ITC Avant Garde" w:eastAsia="Times New Roman" w:hAnsi="ITC Avant Garde"/>
                <w:b/>
                <w:color w:val="000000"/>
                <w:sz w:val="20"/>
                <w:szCs w:val="20"/>
                <w:lang w:eastAsia="es-MX"/>
              </w:rPr>
              <w:t>3, 56, 68, 69, 70, 71, 72, 76 y 79</w:t>
            </w:r>
          </w:p>
        </w:tc>
      </w:tr>
      <w:tr w:rsidR="00DE1B7F" w:rsidRPr="00DE1B7F" w14:paraId="6FEC1CF9" w14:textId="77777777" w:rsidTr="00652FBC">
        <w:trPr>
          <w:trHeight w:val="239"/>
        </w:trPr>
        <w:tc>
          <w:tcPr>
            <w:tcW w:w="1555" w:type="dxa"/>
            <w:shd w:val="clear" w:color="auto" w:fill="C5E0B3" w:themeFill="accent6" w:themeFillTint="66"/>
            <w:vAlign w:val="center"/>
          </w:tcPr>
          <w:p w14:paraId="52CA5339" w14:textId="77777777" w:rsidR="00DE1B7F" w:rsidRPr="00DE1B7F" w:rsidRDefault="00DE1B7F" w:rsidP="00652FBC">
            <w:pPr>
              <w:spacing w:after="0" w:line="276" w:lineRule="auto"/>
              <w:jc w:val="center"/>
              <w:rPr>
                <w:rFonts w:ascii="ITC Avant Garde" w:eastAsia="Times New Roman" w:hAnsi="ITC Avant Garde"/>
                <w:b/>
                <w:color w:val="000000"/>
                <w:sz w:val="20"/>
                <w:szCs w:val="20"/>
                <w:lang w:eastAsia="es-MX"/>
              </w:rPr>
            </w:pPr>
            <w:r w:rsidRPr="00DE1B7F">
              <w:rPr>
                <w:rFonts w:ascii="ITC Avant Garde" w:eastAsia="Times New Roman" w:hAnsi="ITC Avant Garde"/>
                <w:b/>
                <w:color w:val="000000"/>
                <w:sz w:val="20"/>
                <w:szCs w:val="20"/>
                <w:lang w:eastAsia="es-MX"/>
              </w:rPr>
              <w:lastRenderedPageBreak/>
              <w:t>Medida</w:t>
            </w:r>
          </w:p>
        </w:tc>
        <w:tc>
          <w:tcPr>
            <w:tcW w:w="7086" w:type="dxa"/>
            <w:gridSpan w:val="2"/>
            <w:shd w:val="clear" w:color="auto" w:fill="C5E0B3" w:themeFill="accent6" w:themeFillTint="66"/>
            <w:vAlign w:val="center"/>
          </w:tcPr>
          <w:p w14:paraId="36E7A685" w14:textId="77777777" w:rsidR="00DE1B7F" w:rsidRPr="00DE1B7F" w:rsidRDefault="00DE1B7F" w:rsidP="00652FBC">
            <w:pPr>
              <w:spacing w:after="0" w:line="276" w:lineRule="auto"/>
              <w:jc w:val="center"/>
              <w:rPr>
                <w:rFonts w:ascii="ITC Avant Garde" w:eastAsia="Times New Roman" w:hAnsi="ITC Avant Garde"/>
                <w:b/>
                <w:color w:val="000000"/>
                <w:sz w:val="20"/>
                <w:szCs w:val="20"/>
                <w:lang w:eastAsia="es-MX"/>
              </w:rPr>
            </w:pPr>
            <w:r w:rsidRPr="00DE1B7F">
              <w:rPr>
                <w:rFonts w:ascii="ITC Avant Garde" w:eastAsia="Times New Roman" w:hAnsi="ITC Avant Garde"/>
                <w:b/>
                <w:color w:val="000000"/>
                <w:sz w:val="20"/>
                <w:szCs w:val="20"/>
                <w:lang w:eastAsia="es-MX"/>
              </w:rPr>
              <w:t>Comentario</w:t>
            </w:r>
          </w:p>
        </w:tc>
      </w:tr>
      <w:tr w:rsidR="00DE1B7F" w:rsidRPr="00DE1B7F" w14:paraId="46344CB4" w14:textId="77777777" w:rsidTr="00652FBC">
        <w:trPr>
          <w:trHeight w:val="414"/>
        </w:trPr>
        <w:tc>
          <w:tcPr>
            <w:tcW w:w="1555" w:type="dxa"/>
            <w:shd w:val="clear" w:color="auto" w:fill="FFFFFF"/>
            <w:vAlign w:val="center"/>
          </w:tcPr>
          <w:p w14:paraId="5020626F" w14:textId="77777777" w:rsidR="00DE1B7F" w:rsidRPr="00DE1B7F" w:rsidRDefault="00DE1B7F" w:rsidP="00652FBC">
            <w:pPr>
              <w:spacing w:after="0" w:line="276" w:lineRule="auto"/>
              <w:jc w:val="center"/>
              <w:rPr>
                <w:rFonts w:ascii="ITC Avant Garde" w:eastAsia="Times New Roman" w:hAnsi="ITC Avant Garde"/>
                <w:bCs/>
                <w:color w:val="000000"/>
                <w:sz w:val="20"/>
                <w:szCs w:val="20"/>
                <w:lang w:eastAsia="es-MX"/>
              </w:rPr>
            </w:pPr>
            <w:r w:rsidRPr="00DE1B7F">
              <w:rPr>
                <w:rFonts w:ascii="ITC Avant Garde" w:eastAsia="Times New Roman" w:hAnsi="ITC Avant Garde"/>
                <w:color w:val="7F7F7F" w:themeColor="text1" w:themeTint="80"/>
                <w:sz w:val="20"/>
                <w:szCs w:val="20"/>
                <w:lang w:eastAsia="es-MX"/>
              </w:rPr>
              <w:t>[Indique número]</w:t>
            </w:r>
            <w:r w:rsidRPr="00DE1B7F">
              <w:rPr>
                <w:rFonts w:ascii="ITC Avant Garde" w:eastAsia="Times New Roman" w:hAnsi="ITC Avant Garde"/>
                <w:bCs/>
                <w:color w:val="000000"/>
                <w:sz w:val="20"/>
                <w:szCs w:val="20"/>
                <w:lang w:eastAsia="es-MX"/>
              </w:rPr>
              <w:t xml:space="preserve"> </w:t>
            </w:r>
          </w:p>
        </w:tc>
        <w:tc>
          <w:tcPr>
            <w:tcW w:w="7086" w:type="dxa"/>
            <w:gridSpan w:val="2"/>
            <w:shd w:val="clear" w:color="auto" w:fill="FFFFFF"/>
            <w:vAlign w:val="center"/>
          </w:tcPr>
          <w:p w14:paraId="056D1E69" w14:textId="77777777" w:rsidR="00DE1B7F" w:rsidRPr="00DE1B7F" w:rsidRDefault="00DE1B7F" w:rsidP="00652FBC">
            <w:pPr>
              <w:spacing w:after="0" w:line="276" w:lineRule="auto"/>
              <w:jc w:val="center"/>
              <w:rPr>
                <w:rFonts w:ascii="ITC Avant Garde" w:eastAsia="Times New Roman" w:hAnsi="ITC Avant Garde"/>
                <w:bCs/>
                <w:color w:val="000000"/>
                <w:sz w:val="20"/>
                <w:szCs w:val="20"/>
                <w:lang w:eastAsia="es-MX"/>
              </w:rPr>
            </w:pPr>
          </w:p>
        </w:tc>
      </w:tr>
      <w:tr w:rsidR="00DE1B7F" w:rsidRPr="00DE1B7F" w14:paraId="15AAD794" w14:textId="77777777" w:rsidTr="00652FBC">
        <w:trPr>
          <w:trHeight w:val="414"/>
        </w:trPr>
        <w:tc>
          <w:tcPr>
            <w:tcW w:w="1555" w:type="dxa"/>
            <w:shd w:val="clear" w:color="auto" w:fill="FFFFFF"/>
          </w:tcPr>
          <w:p w14:paraId="5F6F75D2" w14:textId="77777777" w:rsidR="00DE1B7F" w:rsidRPr="00DE1B7F" w:rsidRDefault="00DE1B7F" w:rsidP="00652FBC">
            <w:pPr>
              <w:spacing w:after="0" w:line="276" w:lineRule="auto"/>
              <w:jc w:val="center"/>
              <w:rPr>
                <w:rFonts w:ascii="ITC Avant Garde" w:hAnsi="ITC Avant Garde"/>
                <w:sz w:val="20"/>
                <w:szCs w:val="20"/>
              </w:rPr>
            </w:pPr>
            <w:r w:rsidRPr="00DE1B7F">
              <w:rPr>
                <w:rFonts w:ascii="ITC Avant Garde" w:eastAsia="Times New Roman" w:hAnsi="ITC Avant Garde"/>
                <w:color w:val="7F7F7F" w:themeColor="text1" w:themeTint="80"/>
                <w:sz w:val="20"/>
                <w:szCs w:val="20"/>
                <w:lang w:eastAsia="es-MX"/>
              </w:rPr>
              <w:t>[Indique número]</w:t>
            </w:r>
            <w:r w:rsidRPr="00DE1B7F">
              <w:rPr>
                <w:rFonts w:ascii="ITC Avant Garde" w:eastAsia="Times New Roman" w:hAnsi="ITC Avant Garde"/>
                <w:bCs/>
                <w:color w:val="000000"/>
                <w:sz w:val="20"/>
                <w:szCs w:val="20"/>
                <w:lang w:eastAsia="es-MX"/>
              </w:rPr>
              <w:t xml:space="preserve"> </w:t>
            </w:r>
          </w:p>
        </w:tc>
        <w:tc>
          <w:tcPr>
            <w:tcW w:w="7086" w:type="dxa"/>
            <w:gridSpan w:val="2"/>
            <w:shd w:val="clear" w:color="auto" w:fill="FFFFFF"/>
          </w:tcPr>
          <w:p w14:paraId="5207F0B9" w14:textId="77777777" w:rsidR="00DE1B7F" w:rsidRPr="00DE1B7F" w:rsidRDefault="00DE1B7F" w:rsidP="00652FBC">
            <w:pPr>
              <w:spacing w:after="0" w:line="276" w:lineRule="auto"/>
              <w:jc w:val="center"/>
              <w:rPr>
                <w:rFonts w:ascii="ITC Avant Garde" w:hAnsi="ITC Avant Garde"/>
                <w:sz w:val="20"/>
                <w:szCs w:val="20"/>
              </w:rPr>
            </w:pPr>
          </w:p>
        </w:tc>
      </w:tr>
      <w:tr w:rsidR="00DE1B7F" w:rsidRPr="00DE1B7F" w14:paraId="05764265" w14:textId="77777777" w:rsidTr="00652FBC">
        <w:trPr>
          <w:trHeight w:val="414"/>
        </w:trPr>
        <w:tc>
          <w:tcPr>
            <w:tcW w:w="4320" w:type="dxa"/>
            <w:gridSpan w:val="2"/>
            <w:shd w:val="clear" w:color="auto" w:fill="FFFFFF"/>
          </w:tcPr>
          <w:p w14:paraId="561D1198" w14:textId="02A253B2" w:rsidR="00DE1B7F" w:rsidRPr="00DE1B7F" w:rsidRDefault="00DE1B7F" w:rsidP="00652FBC">
            <w:pPr>
              <w:spacing w:after="0" w:line="276" w:lineRule="auto"/>
              <w:rPr>
                <w:rFonts w:ascii="ITC Avant Garde" w:eastAsia="Times New Roman" w:hAnsi="ITC Avant Garde"/>
                <w:bCs/>
                <w:color w:val="000000"/>
                <w:sz w:val="20"/>
                <w:szCs w:val="20"/>
                <w:lang w:eastAsia="es-MX"/>
              </w:rPr>
            </w:pPr>
            <w:r w:rsidRPr="00DE1B7F">
              <w:rPr>
                <w:rFonts w:ascii="ITC Avant Garde" w:hAnsi="ITC Avant Garde"/>
                <w:sz w:val="20"/>
                <w:szCs w:val="20"/>
              </w:rPr>
              <w:t>Liste los documentos asociados a los comentarios manifestados:</w:t>
            </w:r>
          </w:p>
        </w:tc>
        <w:tc>
          <w:tcPr>
            <w:tcW w:w="4321" w:type="dxa"/>
            <w:shd w:val="clear" w:color="auto" w:fill="FFFFFF"/>
          </w:tcPr>
          <w:p w14:paraId="3438E357" w14:textId="77777777" w:rsidR="00DE1B7F" w:rsidRPr="00DE1B7F" w:rsidRDefault="00DE1B7F" w:rsidP="00652FBC">
            <w:pPr>
              <w:spacing w:after="0" w:line="276" w:lineRule="auto"/>
              <w:rPr>
                <w:rFonts w:ascii="ITC Avant Garde" w:eastAsia="Times New Roman" w:hAnsi="ITC Avant Garde"/>
                <w:bCs/>
                <w:color w:val="000000"/>
                <w:sz w:val="20"/>
                <w:szCs w:val="20"/>
                <w:lang w:eastAsia="es-MX"/>
              </w:rPr>
            </w:pPr>
            <w:r w:rsidRPr="00DE1B7F">
              <w:rPr>
                <w:rFonts w:ascii="ITC Avant Garde" w:eastAsia="Times New Roman" w:hAnsi="ITC Avant Garde"/>
                <w:color w:val="7F7F7F" w:themeColor="text1" w:themeTint="80"/>
                <w:sz w:val="20"/>
                <w:szCs w:val="20"/>
                <w:lang w:eastAsia="es-MX"/>
              </w:rPr>
              <w:t>[Indique nombre, sección y páginas del documento]</w:t>
            </w:r>
          </w:p>
        </w:tc>
      </w:tr>
      <w:tr w:rsidR="00DE1B7F" w:rsidRPr="00DE1B7F" w14:paraId="296B7EBE" w14:textId="77777777" w:rsidTr="00652FBC">
        <w:trPr>
          <w:trHeight w:val="414"/>
        </w:trPr>
        <w:tc>
          <w:tcPr>
            <w:tcW w:w="4320" w:type="dxa"/>
            <w:gridSpan w:val="2"/>
            <w:shd w:val="clear" w:color="auto" w:fill="FFFFFF"/>
            <w:vAlign w:val="center"/>
          </w:tcPr>
          <w:p w14:paraId="24DDE29A" w14:textId="77777777" w:rsidR="00DE1B7F" w:rsidRPr="00DE1B7F" w:rsidRDefault="00DE1B7F" w:rsidP="00652FBC">
            <w:pPr>
              <w:spacing w:after="0" w:line="276" w:lineRule="auto"/>
              <w:jc w:val="center"/>
              <w:rPr>
                <w:rFonts w:ascii="ITC Avant Garde" w:eastAsia="Times New Roman" w:hAnsi="ITC Avant Garde"/>
                <w:bCs/>
                <w:color w:val="000000"/>
                <w:sz w:val="20"/>
                <w:szCs w:val="20"/>
                <w:lang w:eastAsia="es-MX"/>
              </w:rPr>
            </w:pPr>
          </w:p>
        </w:tc>
        <w:tc>
          <w:tcPr>
            <w:tcW w:w="4321" w:type="dxa"/>
            <w:shd w:val="clear" w:color="auto" w:fill="FFFFFF"/>
            <w:vAlign w:val="center"/>
          </w:tcPr>
          <w:p w14:paraId="6F4AF37A" w14:textId="77777777" w:rsidR="00DE1B7F" w:rsidRPr="00DE1B7F" w:rsidRDefault="00DE1B7F" w:rsidP="00652FBC">
            <w:pPr>
              <w:spacing w:after="0" w:line="276" w:lineRule="auto"/>
              <w:jc w:val="center"/>
              <w:rPr>
                <w:rFonts w:ascii="ITC Avant Garde" w:eastAsia="Times New Roman" w:hAnsi="ITC Avant Garde"/>
                <w:bCs/>
                <w:color w:val="000000"/>
                <w:sz w:val="20"/>
                <w:szCs w:val="20"/>
                <w:lang w:eastAsia="es-MX"/>
              </w:rPr>
            </w:pPr>
          </w:p>
        </w:tc>
      </w:tr>
      <w:tr w:rsidR="00DE1B7F" w:rsidRPr="00DE1B7F" w14:paraId="4C59F5B0" w14:textId="77777777" w:rsidTr="00652FBC">
        <w:trPr>
          <w:trHeight w:val="213"/>
        </w:trPr>
        <w:tc>
          <w:tcPr>
            <w:tcW w:w="8641" w:type="dxa"/>
            <w:gridSpan w:val="3"/>
            <w:shd w:val="clear" w:color="auto" w:fill="C5E0B3" w:themeFill="accent6" w:themeFillTint="66"/>
            <w:vAlign w:val="center"/>
          </w:tcPr>
          <w:p w14:paraId="1BE9F666" w14:textId="77777777" w:rsidR="00DE1B7F" w:rsidRPr="00DE1B7F" w:rsidRDefault="00DE1B7F" w:rsidP="00652FBC">
            <w:pPr>
              <w:spacing w:after="0" w:line="276" w:lineRule="auto"/>
              <w:jc w:val="center"/>
              <w:rPr>
                <w:rFonts w:ascii="ITC Avant Garde" w:eastAsia="Times New Roman" w:hAnsi="ITC Avant Garde"/>
                <w:b/>
                <w:color w:val="000000"/>
                <w:sz w:val="20"/>
                <w:szCs w:val="20"/>
                <w:lang w:eastAsia="es-MX"/>
              </w:rPr>
            </w:pPr>
            <w:r w:rsidRPr="00DE1B7F">
              <w:rPr>
                <w:rFonts w:ascii="ITC Avant Garde" w:eastAsia="Times New Roman" w:hAnsi="ITC Avant Garde"/>
                <w:b/>
                <w:color w:val="000000"/>
                <w:sz w:val="20"/>
                <w:szCs w:val="20"/>
                <w:lang w:eastAsia="es-MX"/>
              </w:rPr>
              <w:t>Anexo 2</w:t>
            </w:r>
          </w:p>
          <w:p w14:paraId="799E6372" w14:textId="77777777" w:rsidR="00DE1B7F" w:rsidRPr="00DE1B7F" w:rsidRDefault="00DE1B7F" w:rsidP="00652FBC">
            <w:pPr>
              <w:spacing w:after="0" w:line="276" w:lineRule="auto"/>
              <w:jc w:val="center"/>
              <w:rPr>
                <w:rFonts w:ascii="ITC Avant Garde" w:eastAsia="Times New Roman" w:hAnsi="ITC Avant Garde"/>
                <w:b/>
                <w:color w:val="000000"/>
                <w:sz w:val="20"/>
                <w:szCs w:val="20"/>
                <w:lang w:eastAsia="es-MX"/>
              </w:rPr>
            </w:pPr>
            <w:r w:rsidRPr="00DE1B7F">
              <w:rPr>
                <w:rFonts w:ascii="ITC Avant Garde" w:eastAsia="Times New Roman" w:hAnsi="ITC Avant Garde"/>
                <w:b/>
                <w:color w:val="000000"/>
                <w:sz w:val="20"/>
                <w:szCs w:val="20"/>
                <w:lang w:eastAsia="es-MX"/>
              </w:rPr>
              <w:t>3, 55, 56, 57, 58, 59, 63, 65 y 70</w:t>
            </w:r>
          </w:p>
        </w:tc>
      </w:tr>
      <w:tr w:rsidR="00DE1B7F" w:rsidRPr="00DE1B7F" w14:paraId="79137687" w14:textId="77777777" w:rsidTr="00652FBC">
        <w:trPr>
          <w:trHeight w:val="204"/>
        </w:trPr>
        <w:tc>
          <w:tcPr>
            <w:tcW w:w="1555" w:type="dxa"/>
            <w:shd w:val="clear" w:color="auto" w:fill="C5E0B3" w:themeFill="accent6" w:themeFillTint="66"/>
            <w:vAlign w:val="center"/>
          </w:tcPr>
          <w:p w14:paraId="323342B8" w14:textId="77777777" w:rsidR="00DE1B7F" w:rsidRPr="00DE1B7F" w:rsidRDefault="00DE1B7F" w:rsidP="00652FBC">
            <w:pPr>
              <w:spacing w:after="0" w:line="276" w:lineRule="auto"/>
              <w:jc w:val="center"/>
              <w:rPr>
                <w:rFonts w:ascii="ITC Avant Garde" w:eastAsia="Times New Roman" w:hAnsi="ITC Avant Garde"/>
                <w:b/>
                <w:color w:val="000000"/>
                <w:sz w:val="20"/>
                <w:szCs w:val="20"/>
                <w:lang w:eastAsia="es-MX"/>
              </w:rPr>
            </w:pPr>
            <w:r w:rsidRPr="00DE1B7F">
              <w:rPr>
                <w:rFonts w:ascii="ITC Avant Garde" w:eastAsia="Times New Roman" w:hAnsi="ITC Avant Garde"/>
                <w:b/>
                <w:color w:val="000000"/>
                <w:sz w:val="20"/>
                <w:szCs w:val="20"/>
                <w:lang w:eastAsia="es-MX"/>
              </w:rPr>
              <w:t>Medida</w:t>
            </w:r>
          </w:p>
        </w:tc>
        <w:tc>
          <w:tcPr>
            <w:tcW w:w="7086" w:type="dxa"/>
            <w:gridSpan w:val="2"/>
            <w:shd w:val="clear" w:color="auto" w:fill="C5E0B3" w:themeFill="accent6" w:themeFillTint="66"/>
            <w:vAlign w:val="center"/>
          </w:tcPr>
          <w:p w14:paraId="73936841" w14:textId="77777777" w:rsidR="00DE1B7F" w:rsidRPr="00DE1B7F" w:rsidRDefault="00DE1B7F" w:rsidP="00652FBC">
            <w:pPr>
              <w:spacing w:after="0" w:line="276" w:lineRule="auto"/>
              <w:jc w:val="center"/>
              <w:rPr>
                <w:rFonts w:ascii="ITC Avant Garde" w:eastAsia="Times New Roman" w:hAnsi="ITC Avant Garde"/>
                <w:b/>
                <w:color w:val="000000"/>
                <w:sz w:val="20"/>
                <w:szCs w:val="20"/>
                <w:lang w:eastAsia="es-MX"/>
              </w:rPr>
            </w:pPr>
            <w:r w:rsidRPr="00DE1B7F">
              <w:rPr>
                <w:rFonts w:ascii="ITC Avant Garde" w:eastAsia="Times New Roman" w:hAnsi="ITC Avant Garde"/>
                <w:b/>
                <w:color w:val="000000"/>
                <w:sz w:val="20"/>
                <w:szCs w:val="20"/>
                <w:lang w:eastAsia="es-MX"/>
              </w:rPr>
              <w:t>Comentario</w:t>
            </w:r>
          </w:p>
        </w:tc>
      </w:tr>
      <w:tr w:rsidR="00DE1B7F" w:rsidRPr="00DE1B7F" w14:paraId="58D68127" w14:textId="77777777" w:rsidTr="00652FBC">
        <w:trPr>
          <w:trHeight w:val="414"/>
        </w:trPr>
        <w:tc>
          <w:tcPr>
            <w:tcW w:w="1555" w:type="dxa"/>
            <w:shd w:val="clear" w:color="auto" w:fill="FFFFFF"/>
            <w:vAlign w:val="center"/>
          </w:tcPr>
          <w:p w14:paraId="7AB70F0D" w14:textId="77777777" w:rsidR="00DE1B7F" w:rsidRPr="00DE1B7F" w:rsidRDefault="00DE1B7F" w:rsidP="00652FBC">
            <w:pPr>
              <w:spacing w:after="0" w:line="276" w:lineRule="auto"/>
              <w:jc w:val="center"/>
              <w:rPr>
                <w:rFonts w:ascii="ITC Avant Garde" w:eastAsia="Times New Roman" w:hAnsi="ITC Avant Garde"/>
                <w:bCs/>
                <w:color w:val="000000"/>
                <w:sz w:val="20"/>
                <w:szCs w:val="20"/>
                <w:lang w:eastAsia="es-MX"/>
              </w:rPr>
            </w:pPr>
            <w:r w:rsidRPr="00DE1B7F">
              <w:rPr>
                <w:rFonts w:ascii="ITC Avant Garde" w:eastAsia="Times New Roman" w:hAnsi="ITC Avant Garde"/>
                <w:color w:val="7F7F7F" w:themeColor="text1" w:themeTint="80"/>
                <w:sz w:val="20"/>
                <w:szCs w:val="20"/>
                <w:lang w:eastAsia="es-MX"/>
              </w:rPr>
              <w:t>[Indique número]</w:t>
            </w:r>
            <w:r w:rsidRPr="00DE1B7F">
              <w:rPr>
                <w:rFonts w:ascii="ITC Avant Garde" w:eastAsia="Times New Roman" w:hAnsi="ITC Avant Garde"/>
                <w:bCs/>
                <w:color w:val="000000"/>
                <w:sz w:val="20"/>
                <w:szCs w:val="20"/>
                <w:lang w:eastAsia="es-MX"/>
              </w:rPr>
              <w:t xml:space="preserve"> </w:t>
            </w:r>
          </w:p>
        </w:tc>
        <w:tc>
          <w:tcPr>
            <w:tcW w:w="7086" w:type="dxa"/>
            <w:gridSpan w:val="2"/>
            <w:shd w:val="clear" w:color="auto" w:fill="FFFFFF"/>
            <w:vAlign w:val="center"/>
          </w:tcPr>
          <w:p w14:paraId="5BC96938" w14:textId="77777777" w:rsidR="00DE1B7F" w:rsidRPr="00DE1B7F" w:rsidRDefault="00DE1B7F" w:rsidP="00652FBC">
            <w:pPr>
              <w:spacing w:after="0" w:line="276" w:lineRule="auto"/>
              <w:jc w:val="center"/>
              <w:rPr>
                <w:rFonts w:ascii="ITC Avant Garde" w:eastAsia="Times New Roman" w:hAnsi="ITC Avant Garde"/>
                <w:bCs/>
                <w:color w:val="000000"/>
                <w:sz w:val="20"/>
                <w:szCs w:val="20"/>
                <w:lang w:eastAsia="es-MX"/>
              </w:rPr>
            </w:pPr>
          </w:p>
        </w:tc>
      </w:tr>
      <w:tr w:rsidR="00DE1B7F" w:rsidRPr="00DE1B7F" w14:paraId="2AD434A0" w14:textId="77777777" w:rsidTr="00652FBC">
        <w:trPr>
          <w:trHeight w:val="414"/>
        </w:trPr>
        <w:tc>
          <w:tcPr>
            <w:tcW w:w="1555" w:type="dxa"/>
            <w:shd w:val="clear" w:color="auto" w:fill="FFFFFF"/>
          </w:tcPr>
          <w:p w14:paraId="3825A004" w14:textId="77777777" w:rsidR="00DE1B7F" w:rsidRPr="00DE1B7F" w:rsidRDefault="00DE1B7F" w:rsidP="00652FBC">
            <w:pPr>
              <w:spacing w:after="0" w:line="276" w:lineRule="auto"/>
              <w:jc w:val="center"/>
              <w:rPr>
                <w:rFonts w:ascii="ITC Avant Garde" w:eastAsia="Times New Roman" w:hAnsi="ITC Avant Garde"/>
                <w:bCs/>
                <w:color w:val="000000"/>
                <w:sz w:val="20"/>
                <w:szCs w:val="20"/>
                <w:lang w:eastAsia="es-MX"/>
              </w:rPr>
            </w:pPr>
            <w:r w:rsidRPr="00DE1B7F">
              <w:rPr>
                <w:rFonts w:ascii="ITC Avant Garde" w:eastAsia="Times New Roman" w:hAnsi="ITC Avant Garde"/>
                <w:color w:val="7F7F7F" w:themeColor="text1" w:themeTint="80"/>
                <w:sz w:val="20"/>
                <w:szCs w:val="20"/>
                <w:lang w:eastAsia="es-MX"/>
              </w:rPr>
              <w:t>[Indique número]</w:t>
            </w:r>
            <w:r w:rsidRPr="00DE1B7F">
              <w:rPr>
                <w:rFonts w:ascii="ITC Avant Garde" w:eastAsia="Times New Roman" w:hAnsi="ITC Avant Garde"/>
                <w:bCs/>
                <w:color w:val="000000"/>
                <w:sz w:val="20"/>
                <w:szCs w:val="20"/>
                <w:lang w:eastAsia="es-MX"/>
              </w:rPr>
              <w:t xml:space="preserve"> </w:t>
            </w:r>
          </w:p>
        </w:tc>
        <w:tc>
          <w:tcPr>
            <w:tcW w:w="7086" w:type="dxa"/>
            <w:gridSpan w:val="2"/>
            <w:shd w:val="clear" w:color="auto" w:fill="FFFFFF"/>
            <w:vAlign w:val="center"/>
          </w:tcPr>
          <w:p w14:paraId="1678940B" w14:textId="77777777" w:rsidR="00DE1B7F" w:rsidRPr="00DE1B7F" w:rsidRDefault="00DE1B7F" w:rsidP="00652FBC">
            <w:pPr>
              <w:spacing w:after="0" w:line="276" w:lineRule="auto"/>
              <w:jc w:val="center"/>
              <w:rPr>
                <w:rFonts w:ascii="ITC Avant Garde" w:eastAsia="Times New Roman" w:hAnsi="ITC Avant Garde"/>
                <w:bCs/>
                <w:color w:val="000000"/>
                <w:sz w:val="20"/>
                <w:szCs w:val="20"/>
                <w:lang w:eastAsia="es-MX"/>
              </w:rPr>
            </w:pPr>
          </w:p>
        </w:tc>
      </w:tr>
      <w:tr w:rsidR="00DE1B7F" w:rsidRPr="00DE1B7F" w14:paraId="5530259E" w14:textId="77777777" w:rsidTr="00652FBC">
        <w:trPr>
          <w:trHeight w:val="414"/>
        </w:trPr>
        <w:tc>
          <w:tcPr>
            <w:tcW w:w="4320" w:type="dxa"/>
            <w:gridSpan w:val="2"/>
            <w:shd w:val="clear" w:color="auto" w:fill="FFFFFF"/>
          </w:tcPr>
          <w:p w14:paraId="29F3B4AB" w14:textId="2871833F" w:rsidR="00DE1B7F" w:rsidRPr="00DE1B7F" w:rsidRDefault="00DE1B7F" w:rsidP="00652FBC">
            <w:pPr>
              <w:spacing w:after="0" w:line="276" w:lineRule="auto"/>
              <w:rPr>
                <w:rFonts w:ascii="ITC Avant Garde" w:eastAsia="Times New Roman" w:hAnsi="ITC Avant Garde"/>
                <w:bCs/>
                <w:color w:val="000000"/>
                <w:sz w:val="20"/>
                <w:szCs w:val="20"/>
                <w:lang w:eastAsia="es-MX"/>
              </w:rPr>
            </w:pPr>
            <w:r w:rsidRPr="00DE1B7F">
              <w:rPr>
                <w:rFonts w:ascii="ITC Avant Garde" w:hAnsi="ITC Avant Garde"/>
                <w:sz w:val="20"/>
                <w:szCs w:val="20"/>
              </w:rPr>
              <w:t>Liste los documentos asociados a los comentarios manifestados:</w:t>
            </w:r>
          </w:p>
        </w:tc>
        <w:tc>
          <w:tcPr>
            <w:tcW w:w="4321" w:type="dxa"/>
            <w:shd w:val="clear" w:color="auto" w:fill="FFFFFF"/>
          </w:tcPr>
          <w:p w14:paraId="0566D619" w14:textId="77777777" w:rsidR="00DE1B7F" w:rsidRPr="00DE1B7F" w:rsidRDefault="00DE1B7F" w:rsidP="00652FBC">
            <w:pPr>
              <w:spacing w:after="0" w:line="276" w:lineRule="auto"/>
              <w:rPr>
                <w:rFonts w:ascii="ITC Avant Garde" w:eastAsia="Times New Roman" w:hAnsi="ITC Avant Garde"/>
                <w:color w:val="7F7F7F" w:themeColor="text1" w:themeTint="80"/>
                <w:sz w:val="20"/>
                <w:szCs w:val="20"/>
                <w:lang w:eastAsia="es-MX"/>
              </w:rPr>
            </w:pPr>
            <w:r w:rsidRPr="00DE1B7F">
              <w:rPr>
                <w:rFonts w:ascii="ITC Avant Garde" w:eastAsia="Times New Roman" w:hAnsi="ITC Avant Garde"/>
                <w:color w:val="7F7F7F" w:themeColor="text1" w:themeTint="80"/>
                <w:sz w:val="20"/>
                <w:szCs w:val="20"/>
                <w:lang w:eastAsia="es-MX"/>
              </w:rPr>
              <w:t>[Indique nombre, sección y páginas del documento]</w:t>
            </w:r>
          </w:p>
        </w:tc>
      </w:tr>
      <w:tr w:rsidR="00DE1B7F" w:rsidRPr="00DE1B7F" w14:paraId="7E6528C9" w14:textId="77777777" w:rsidTr="00652FBC">
        <w:trPr>
          <w:trHeight w:val="414"/>
        </w:trPr>
        <w:tc>
          <w:tcPr>
            <w:tcW w:w="4320" w:type="dxa"/>
            <w:gridSpan w:val="2"/>
            <w:shd w:val="clear" w:color="auto" w:fill="FFFFFF"/>
            <w:vAlign w:val="center"/>
          </w:tcPr>
          <w:p w14:paraId="33200281" w14:textId="77777777" w:rsidR="00DE1B7F" w:rsidRPr="00DE1B7F" w:rsidRDefault="00DE1B7F" w:rsidP="00652FBC">
            <w:pPr>
              <w:spacing w:after="0" w:line="276" w:lineRule="auto"/>
              <w:jc w:val="center"/>
              <w:rPr>
                <w:rFonts w:ascii="ITC Avant Garde" w:eastAsia="Times New Roman" w:hAnsi="ITC Avant Garde"/>
                <w:bCs/>
                <w:color w:val="000000"/>
                <w:sz w:val="20"/>
                <w:szCs w:val="20"/>
                <w:lang w:eastAsia="es-MX"/>
              </w:rPr>
            </w:pPr>
          </w:p>
        </w:tc>
        <w:tc>
          <w:tcPr>
            <w:tcW w:w="4321" w:type="dxa"/>
            <w:shd w:val="clear" w:color="auto" w:fill="FFFFFF"/>
            <w:vAlign w:val="center"/>
          </w:tcPr>
          <w:p w14:paraId="6E0CDC1D" w14:textId="77777777" w:rsidR="00DE1B7F" w:rsidRPr="00DE1B7F" w:rsidRDefault="00DE1B7F" w:rsidP="00652FBC">
            <w:pPr>
              <w:spacing w:after="0" w:line="276" w:lineRule="auto"/>
              <w:jc w:val="center"/>
              <w:rPr>
                <w:rFonts w:ascii="ITC Avant Garde" w:eastAsia="Times New Roman" w:hAnsi="ITC Avant Garde"/>
                <w:bCs/>
                <w:color w:val="000000"/>
                <w:sz w:val="20"/>
                <w:szCs w:val="20"/>
                <w:lang w:eastAsia="es-MX"/>
              </w:rPr>
            </w:pPr>
          </w:p>
        </w:tc>
      </w:tr>
      <w:tr w:rsidR="00DE1B7F" w:rsidRPr="00DE1B7F" w14:paraId="7E01134F" w14:textId="77777777" w:rsidTr="00652FBC">
        <w:trPr>
          <w:trHeight w:val="191"/>
        </w:trPr>
        <w:tc>
          <w:tcPr>
            <w:tcW w:w="8641" w:type="dxa"/>
            <w:gridSpan w:val="3"/>
            <w:shd w:val="clear" w:color="auto" w:fill="C5E0B3" w:themeFill="accent6" w:themeFillTint="66"/>
            <w:vAlign w:val="center"/>
          </w:tcPr>
          <w:p w14:paraId="09DAA8B9" w14:textId="77777777" w:rsidR="00DE1B7F" w:rsidRPr="00DE1B7F" w:rsidRDefault="00DE1B7F" w:rsidP="00652FBC">
            <w:pPr>
              <w:spacing w:after="0" w:line="276" w:lineRule="auto"/>
              <w:jc w:val="center"/>
              <w:rPr>
                <w:rFonts w:ascii="ITC Avant Garde" w:eastAsia="Times New Roman" w:hAnsi="ITC Avant Garde"/>
                <w:b/>
                <w:color w:val="000000"/>
                <w:sz w:val="20"/>
                <w:szCs w:val="20"/>
                <w:lang w:eastAsia="es-MX"/>
              </w:rPr>
            </w:pPr>
            <w:r w:rsidRPr="00DE1B7F">
              <w:rPr>
                <w:rFonts w:ascii="ITC Avant Garde" w:eastAsia="Times New Roman" w:hAnsi="ITC Avant Garde"/>
                <w:b/>
                <w:color w:val="000000"/>
                <w:sz w:val="20"/>
                <w:szCs w:val="20"/>
                <w:lang w:eastAsia="es-MX"/>
              </w:rPr>
              <w:t>Anexo 3</w:t>
            </w:r>
          </w:p>
          <w:p w14:paraId="248784DF" w14:textId="77777777" w:rsidR="00DE1B7F" w:rsidRPr="00DE1B7F" w:rsidRDefault="00DE1B7F" w:rsidP="00652FBC">
            <w:pPr>
              <w:spacing w:after="0" w:line="276" w:lineRule="auto"/>
              <w:jc w:val="center"/>
              <w:rPr>
                <w:rFonts w:ascii="ITC Avant Garde" w:eastAsia="Times New Roman" w:hAnsi="ITC Avant Garde"/>
                <w:b/>
                <w:color w:val="000000"/>
                <w:sz w:val="20"/>
                <w:szCs w:val="20"/>
                <w:lang w:eastAsia="es-MX"/>
              </w:rPr>
            </w:pPr>
            <w:r w:rsidRPr="00DE1B7F">
              <w:rPr>
                <w:rFonts w:ascii="ITC Avant Garde" w:eastAsia="Times New Roman" w:hAnsi="ITC Avant Garde"/>
                <w:b/>
                <w:color w:val="000000"/>
                <w:sz w:val="20"/>
                <w:szCs w:val="20"/>
                <w:lang w:eastAsia="es-MX"/>
              </w:rPr>
              <w:t>3, 22, 23, 24, 40, 44, 45, 46 y 47</w:t>
            </w:r>
          </w:p>
        </w:tc>
      </w:tr>
      <w:tr w:rsidR="00DE1B7F" w:rsidRPr="00DE1B7F" w14:paraId="5FF59224" w14:textId="77777777" w:rsidTr="00652FBC">
        <w:trPr>
          <w:trHeight w:val="323"/>
        </w:trPr>
        <w:tc>
          <w:tcPr>
            <w:tcW w:w="1555" w:type="dxa"/>
            <w:shd w:val="clear" w:color="auto" w:fill="C5E0B3" w:themeFill="accent6" w:themeFillTint="66"/>
            <w:vAlign w:val="center"/>
          </w:tcPr>
          <w:p w14:paraId="0A4EB5AA" w14:textId="77777777" w:rsidR="00DE1B7F" w:rsidRPr="00DE1B7F" w:rsidRDefault="00DE1B7F" w:rsidP="00652FBC">
            <w:pPr>
              <w:spacing w:after="0" w:line="276" w:lineRule="auto"/>
              <w:jc w:val="center"/>
              <w:rPr>
                <w:rFonts w:ascii="ITC Avant Garde" w:eastAsia="Times New Roman" w:hAnsi="ITC Avant Garde"/>
                <w:b/>
                <w:color w:val="000000"/>
                <w:sz w:val="20"/>
                <w:szCs w:val="20"/>
                <w:lang w:eastAsia="es-MX"/>
              </w:rPr>
            </w:pPr>
            <w:r w:rsidRPr="00DE1B7F">
              <w:rPr>
                <w:rFonts w:ascii="ITC Avant Garde" w:eastAsia="Times New Roman" w:hAnsi="ITC Avant Garde"/>
                <w:b/>
                <w:bCs/>
                <w:color w:val="000000"/>
                <w:sz w:val="20"/>
                <w:szCs w:val="20"/>
                <w:lang w:eastAsia="es-MX"/>
              </w:rPr>
              <w:t>Medida</w:t>
            </w:r>
          </w:p>
        </w:tc>
        <w:tc>
          <w:tcPr>
            <w:tcW w:w="7086" w:type="dxa"/>
            <w:gridSpan w:val="2"/>
            <w:shd w:val="clear" w:color="auto" w:fill="C5E0B3" w:themeFill="accent6" w:themeFillTint="66"/>
            <w:vAlign w:val="center"/>
          </w:tcPr>
          <w:p w14:paraId="089BE6E5" w14:textId="77777777" w:rsidR="00DE1B7F" w:rsidRPr="00DE1B7F" w:rsidRDefault="00DE1B7F" w:rsidP="00652FBC">
            <w:pPr>
              <w:spacing w:after="0" w:line="276" w:lineRule="auto"/>
              <w:jc w:val="center"/>
              <w:rPr>
                <w:rFonts w:ascii="ITC Avant Garde" w:eastAsia="Times New Roman" w:hAnsi="ITC Avant Garde"/>
                <w:b/>
                <w:color w:val="000000"/>
                <w:sz w:val="20"/>
                <w:szCs w:val="20"/>
                <w:lang w:eastAsia="es-MX"/>
              </w:rPr>
            </w:pPr>
            <w:r w:rsidRPr="00DE1B7F">
              <w:rPr>
                <w:rFonts w:ascii="ITC Avant Garde" w:eastAsia="Times New Roman" w:hAnsi="ITC Avant Garde"/>
                <w:b/>
                <w:color w:val="000000"/>
                <w:sz w:val="20"/>
                <w:szCs w:val="20"/>
                <w:lang w:eastAsia="es-MX"/>
              </w:rPr>
              <w:t>Comentario</w:t>
            </w:r>
          </w:p>
        </w:tc>
      </w:tr>
      <w:tr w:rsidR="00DE1B7F" w:rsidRPr="00DE1B7F" w14:paraId="60697FAB" w14:textId="77777777" w:rsidTr="00652FBC">
        <w:trPr>
          <w:trHeight w:val="414"/>
        </w:trPr>
        <w:tc>
          <w:tcPr>
            <w:tcW w:w="1555" w:type="dxa"/>
            <w:shd w:val="clear" w:color="auto" w:fill="FFFFFF"/>
          </w:tcPr>
          <w:p w14:paraId="6AF45CB2" w14:textId="77777777" w:rsidR="00DE1B7F" w:rsidRPr="00DE1B7F" w:rsidRDefault="00DE1B7F" w:rsidP="00652FBC">
            <w:pPr>
              <w:spacing w:after="0" w:line="276" w:lineRule="auto"/>
              <w:jc w:val="center"/>
              <w:rPr>
                <w:rFonts w:ascii="ITC Avant Garde" w:eastAsia="Times New Roman" w:hAnsi="ITC Avant Garde"/>
                <w:bCs/>
                <w:color w:val="000000"/>
                <w:sz w:val="20"/>
                <w:szCs w:val="20"/>
                <w:lang w:eastAsia="es-MX"/>
              </w:rPr>
            </w:pPr>
            <w:r w:rsidRPr="00DE1B7F">
              <w:rPr>
                <w:rFonts w:ascii="ITC Avant Garde" w:eastAsia="Times New Roman" w:hAnsi="ITC Avant Garde"/>
                <w:color w:val="7F7F7F" w:themeColor="text1" w:themeTint="80"/>
                <w:sz w:val="20"/>
                <w:szCs w:val="20"/>
                <w:lang w:eastAsia="es-MX"/>
              </w:rPr>
              <w:t>[Indique número]</w:t>
            </w:r>
            <w:r w:rsidRPr="00DE1B7F">
              <w:rPr>
                <w:rFonts w:ascii="ITC Avant Garde" w:hAnsi="ITC Avant Garde"/>
                <w:sz w:val="20"/>
                <w:szCs w:val="20"/>
              </w:rPr>
              <w:t xml:space="preserve"> </w:t>
            </w:r>
          </w:p>
        </w:tc>
        <w:tc>
          <w:tcPr>
            <w:tcW w:w="7086" w:type="dxa"/>
            <w:gridSpan w:val="2"/>
            <w:shd w:val="clear" w:color="auto" w:fill="FFFFFF"/>
            <w:vAlign w:val="center"/>
          </w:tcPr>
          <w:p w14:paraId="3B950EE7" w14:textId="77777777" w:rsidR="00DE1B7F" w:rsidRPr="00DE1B7F" w:rsidRDefault="00DE1B7F" w:rsidP="00652FBC">
            <w:pPr>
              <w:spacing w:after="0" w:line="276" w:lineRule="auto"/>
              <w:jc w:val="center"/>
              <w:rPr>
                <w:rFonts w:ascii="ITC Avant Garde" w:eastAsia="Times New Roman" w:hAnsi="ITC Avant Garde"/>
                <w:bCs/>
                <w:color w:val="000000"/>
                <w:sz w:val="20"/>
                <w:szCs w:val="20"/>
                <w:lang w:eastAsia="es-MX"/>
              </w:rPr>
            </w:pPr>
          </w:p>
        </w:tc>
      </w:tr>
      <w:tr w:rsidR="00DE1B7F" w:rsidRPr="00DE1B7F" w14:paraId="31D7AA45" w14:textId="77777777" w:rsidTr="00652FBC">
        <w:trPr>
          <w:trHeight w:val="414"/>
        </w:trPr>
        <w:tc>
          <w:tcPr>
            <w:tcW w:w="1555" w:type="dxa"/>
            <w:shd w:val="clear" w:color="auto" w:fill="FFFFFF"/>
          </w:tcPr>
          <w:p w14:paraId="4A53B576" w14:textId="77777777" w:rsidR="00DE1B7F" w:rsidRPr="00DE1B7F" w:rsidRDefault="00DE1B7F" w:rsidP="00652FBC">
            <w:pPr>
              <w:spacing w:after="0" w:line="276" w:lineRule="auto"/>
              <w:jc w:val="center"/>
              <w:rPr>
                <w:rFonts w:ascii="ITC Avant Garde" w:eastAsia="Times New Roman" w:hAnsi="ITC Avant Garde"/>
                <w:bCs/>
                <w:color w:val="000000"/>
                <w:sz w:val="20"/>
                <w:szCs w:val="20"/>
                <w:lang w:eastAsia="es-MX"/>
              </w:rPr>
            </w:pPr>
            <w:r w:rsidRPr="00DE1B7F">
              <w:rPr>
                <w:rFonts w:ascii="ITC Avant Garde" w:eastAsia="Times New Roman" w:hAnsi="ITC Avant Garde"/>
                <w:color w:val="7F7F7F" w:themeColor="text1" w:themeTint="80"/>
                <w:sz w:val="20"/>
                <w:szCs w:val="20"/>
                <w:lang w:eastAsia="es-MX"/>
              </w:rPr>
              <w:t>[Indique número]</w:t>
            </w:r>
            <w:r w:rsidRPr="00DE1B7F">
              <w:rPr>
                <w:rFonts w:ascii="ITC Avant Garde" w:hAnsi="ITC Avant Garde"/>
                <w:sz w:val="20"/>
                <w:szCs w:val="20"/>
              </w:rPr>
              <w:t xml:space="preserve"> </w:t>
            </w:r>
          </w:p>
        </w:tc>
        <w:tc>
          <w:tcPr>
            <w:tcW w:w="7086" w:type="dxa"/>
            <w:gridSpan w:val="2"/>
            <w:shd w:val="clear" w:color="auto" w:fill="FFFFFF"/>
            <w:vAlign w:val="center"/>
          </w:tcPr>
          <w:p w14:paraId="086550C1" w14:textId="77777777" w:rsidR="00DE1B7F" w:rsidRPr="00DE1B7F" w:rsidRDefault="00DE1B7F" w:rsidP="00652FBC">
            <w:pPr>
              <w:spacing w:after="0" w:line="276" w:lineRule="auto"/>
              <w:jc w:val="center"/>
              <w:rPr>
                <w:rFonts w:ascii="ITC Avant Garde" w:eastAsia="Times New Roman" w:hAnsi="ITC Avant Garde"/>
                <w:bCs/>
                <w:color w:val="000000"/>
                <w:sz w:val="20"/>
                <w:szCs w:val="20"/>
                <w:lang w:eastAsia="es-MX"/>
              </w:rPr>
            </w:pPr>
          </w:p>
        </w:tc>
      </w:tr>
      <w:tr w:rsidR="00DE1B7F" w:rsidRPr="00DE1B7F" w14:paraId="33DC6327" w14:textId="77777777" w:rsidTr="00652FBC">
        <w:trPr>
          <w:trHeight w:val="414"/>
        </w:trPr>
        <w:tc>
          <w:tcPr>
            <w:tcW w:w="4320" w:type="dxa"/>
            <w:gridSpan w:val="2"/>
            <w:shd w:val="clear" w:color="auto" w:fill="FFFFFF"/>
          </w:tcPr>
          <w:p w14:paraId="39ABEEB6" w14:textId="25C4C87B" w:rsidR="00DE1B7F" w:rsidRPr="00DE1B7F" w:rsidRDefault="00DE1B7F" w:rsidP="00652FBC">
            <w:pPr>
              <w:spacing w:after="0" w:line="276" w:lineRule="auto"/>
              <w:rPr>
                <w:rFonts w:ascii="ITC Avant Garde" w:eastAsia="Times New Roman" w:hAnsi="ITC Avant Garde"/>
                <w:bCs/>
                <w:color w:val="000000"/>
                <w:sz w:val="20"/>
                <w:szCs w:val="20"/>
                <w:lang w:eastAsia="es-MX"/>
              </w:rPr>
            </w:pPr>
            <w:r w:rsidRPr="00DE1B7F">
              <w:rPr>
                <w:rFonts w:ascii="ITC Avant Garde" w:hAnsi="ITC Avant Garde"/>
                <w:sz w:val="20"/>
                <w:szCs w:val="20"/>
              </w:rPr>
              <w:t>Liste los documentos asociados a los comentarios manifestados:</w:t>
            </w:r>
          </w:p>
        </w:tc>
        <w:tc>
          <w:tcPr>
            <w:tcW w:w="4321" w:type="dxa"/>
            <w:shd w:val="clear" w:color="auto" w:fill="FFFFFF"/>
          </w:tcPr>
          <w:p w14:paraId="13F18733" w14:textId="77777777" w:rsidR="00DE1B7F" w:rsidRPr="00DE1B7F" w:rsidRDefault="00DE1B7F" w:rsidP="00652FBC">
            <w:pPr>
              <w:spacing w:after="0" w:line="276" w:lineRule="auto"/>
              <w:rPr>
                <w:rFonts w:ascii="ITC Avant Garde" w:eastAsia="Times New Roman" w:hAnsi="ITC Avant Garde"/>
                <w:bCs/>
                <w:color w:val="000000"/>
                <w:sz w:val="20"/>
                <w:szCs w:val="20"/>
                <w:lang w:eastAsia="es-MX"/>
              </w:rPr>
            </w:pPr>
            <w:r w:rsidRPr="00DE1B7F">
              <w:rPr>
                <w:rFonts w:ascii="ITC Avant Garde" w:eastAsia="Times New Roman" w:hAnsi="ITC Avant Garde"/>
                <w:color w:val="7F7F7F" w:themeColor="text1" w:themeTint="80"/>
                <w:sz w:val="20"/>
                <w:szCs w:val="20"/>
                <w:lang w:eastAsia="es-MX"/>
              </w:rPr>
              <w:t>[Indique nombre, sección y páginas del documento]</w:t>
            </w:r>
          </w:p>
        </w:tc>
      </w:tr>
      <w:tr w:rsidR="00DE1B7F" w:rsidRPr="00DE1B7F" w14:paraId="333F9307" w14:textId="77777777" w:rsidTr="00652FBC">
        <w:trPr>
          <w:trHeight w:val="414"/>
        </w:trPr>
        <w:tc>
          <w:tcPr>
            <w:tcW w:w="4320" w:type="dxa"/>
            <w:gridSpan w:val="2"/>
            <w:shd w:val="clear" w:color="auto" w:fill="FFFFFF"/>
            <w:vAlign w:val="center"/>
          </w:tcPr>
          <w:p w14:paraId="28D4AEC7" w14:textId="77777777" w:rsidR="00DE1B7F" w:rsidRPr="00DE1B7F" w:rsidRDefault="00DE1B7F" w:rsidP="00652FBC">
            <w:pPr>
              <w:spacing w:after="0" w:line="276" w:lineRule="auto"/>
              <w:jc w:val="center"/>
              <w:rPr>
                <w:rFonts w:ascii="ITC Avant Garde" w:eastAsia="Times New Roman" w:hAnsi="ITC Avant Garde"/>
                <w:bCs/>
                <w:color w:val="000000"/>
                <w:sz w:val="20"/>
                <w:szCs w:val="20"/>
                <w:lang w:eastAsia="es-MX"/>
              </w:rPr>
            </w:pPr>
          </w:p>
        </w:tc>
        <w:tc>
          <w:tcPr>
            <w:tcW w:w="4321" w:type="dxa"/>
            <w:shd w:val="clear" w:color="auto" w:fill="FFFFFF"/>
            <w:vAlign w:val="center"/>
          </w:tcPr>
          <w:p w14:paraId="0241D972" w14:textId="77777777" w:rsidR="00DE1B7F" w:rsidRPr="00DE1B7F" w:rsidRDefault="00DE1B7F" w:rsidP="00652FBC">
            <w:pPr>
              <w:spacing w:after="0" w:line="276" w:lineRule="auto"/>
              <w:jc w:val="center"/>
              <w:rPr>
                <w:rFonts w:ascii="ITC Avant Garde" w:eastAsia="Times New Roman" w:hAnsi="ITC Avant Garde"/>
                <w:bCs/>
                <w:color w:val="000000"/>
                <w:sz w:val="20"/>
                <w:szCs w:val="20"/>
                <w:lang w:eastAsia="es-MX"/>
              </w:rPr>
            </w:pPr>
          </w:p>
        </w:tc>
      </w:tr>
      <w:tr w:rsidR="00DE1B7F" w:rsidRPr="00DE1B7F" w14:paraId="5592F5BF" w14:textId="77777777" w:rsidTr="00652FBC">
        <w:trPr>
          <w:trHeight w:val="108"/>
        </w:trPr>
        <w:tc>
          <w:tcPr>
            <w:tcW w:w="8641" w:type="dxa"/>
            <w:gridSpan w:val="3"/>
            <w:shd w:val="clear" w:color="auto" w:fill="C5E0B3"/>
            <w:vAlign w:val="center"/>
          </w:tcPr>
          <w:p w14:paraId="28F83842" w14:textId="77777777" w:rsidR="00DE1B7F" w:rsidRPr="00DE1B7F" w:rsidRDefault="00DE1B7F" w:rsidP="00652FBC">
            <w:pPr>
              <w:spacing w:after="0" w:line="240" w:lineRule="auto"/>
              <w:rPr>
                <w:rFonts w:ascii="ITC Avant Garde" w:eastAsia="Times New Roman" w:hAnsi="ITC Avant Garde"/>
                <w:color w:val="000000"/>
                <w:sz w:val="20"/>
                <w:szCs w:val="20"/>
                <w:lang w:eastAsia="es-MX"/>
              </w:rPr>
            </w:pPr>
            <w:r w:rsidRPr="00DE1B7F">
              <w:rPr>
                <w:rFonts w:ascii="ITC Avant Garde" w:eastAsia="Times New Roman" w:hAnsi="ITC Avant Garde"/>
                <w:b/>
                <w:color w:val="000000"/>
                <w:sz w:val="20"/>
                <w:szCs w:val="20"/>
                <w:lang w:eastAsia="es-MX"/>
              </w:rPr>
              <w:t xml:space="preserve">Nota: </w:t>
            </w:r>
            <w:r w:rsidRPr="00DE1B7F">
              <w:rPr>
                <w:rFonts w:ascii="ITC Avant Garde" w:eastAsia="Times New Roman" w:hAnsi="ITC Avant Garde"/>
                <w:color w:val="000000"/>
                <w:sz w:val="20"/>
                <w:szCs w:val="20"/>
                <w:lang w:eastAsia="es-MX"/>
              </w:rPr>
              <w:t>Favor de añadir cuantas filas considere necesarias indicando el número de medida de conformidad con el anexo al que refiere el comentario</w:t>
            </w:r>
          </w:p>
        </w:tc>
      </w:tr>
    </w:tbl>
    <w:p w14:paraId="0C09C31B" w14:textId="77777777" w:rsidR="00DE1B7F" w:rsidRDefault="00DE1B7F" w:rsidP="00AB2D19">
      <w:pPr>
        <w:spacing w:after="0"/>
        <w:jc w:val="both"/>
        <w:rPr>
          <w:rFonts w:ascii="ITC Avant Garde" w:hAnsi="ITC Avant Garde"/>
          <w:sz w:val="16"/>
        </w:rPr>
      </w:pPr>
    </w:p>
    <w:p w14:paraId="27161F5C" w14:textId="77777777" w:rsidR="00DE1B7F" w:rsidRDefault="00DE1B7F" w:rsidP="00AB2D19">
      <w:pPr>
        <w:spacing w:after="0"/>
        <w:jc w:val="both"/>
        <w:rPr>
          <w:rFonts w:ascii="ITC Avant Garde" w:hAnsi="ITC Avant Garde"/>
          <w:sz w:val="16"/>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357CAA" w:rsidRPr="00670385" w14:paraId="02DD1D7A" w14:textId="77777777" w:rsidTr="0043365D">
        <w:tc>
          <w:tcPr>
            <w:tcW w:w="8647" w:type="dxa"/>
            <w:shd w:val="clear" w:color="auto" w:fill="D9D9D9"/>
          </w:tcPr>
          <w:p w14:paraId="409A8495" w14:textId="77777777" w:rsidR="00357CAA" w:rsidRPr="00357CAA" w:rsidRDefault="00357CAA" w:rsidP="0043365D">
            <w:pPr>
              <w:pStyle w:val="Ttulo2"/>
              <w:ind w:left="744"/>
            </w:pPr>
            <w:r w:rsidRPr="00357CAA">
              <w:t>Comentarios, opiniones y aportaciones generales de la persona participante sobre el asunto en consulta pública</w:t>
            </w:r>
          </w:p>
        </w:tc>
      </w:tr>
      <w:tr w:rsidR="00357CAA" w:rsidRPr="00670385" w14:paraId="008409EA" w14:textId="77777777" w:rsidTr="0043365D">
        <w:tc>
          <w:tcPr>
            <w:tcW w:w="8647" w:type="dxa"/>
            <w:shd w:val="clear" w:color="auto" w:fill="auto"/>
          </w:tcPr>
          <w:p w14:paraId="77C08086" w14:textId="490B9318" w:rsidR="00357CAA" w:rsidRPr="00AD11EE" w:rsidRDefault="00EE422D" w:rsidP="00AD11EE">
            <w:pPr>
              <w:spacing w:after="0" w:line="276" w:lineRule="auto"/>
              <w:rPr>
                <w:rFonts w:ascii="ITC Avant Garde" w:eastAsia="Times New Roman" w:hAnsi="ITC Avant Garde"/>
                <w:color w:val="7F7F7F" w:themeColor="text1" w:themeTint="80"/>
                <w:sz w:val="20"/>
                <w:szCs w:val="20"/>
                <w:lang w:eastAsia="es-MX"/>
              </w:rPr>
            </w:pPr>
            <w:r w:rsidRPr="002C2D28">
              <w:rPr>
                <w:rFonts w:ascii="ITC Avant Garde" w:eastAsia="Times New Roman" w:hAnsi="ITC Avant Garde"/>
                <w:color w:val="7F7F7F" w:themeColor="text1" w:themeTint="80"/>
                <w:sz w:val="20"/>
                <w:szCs w:val="20"/>
                <w:lang w:eastAsia="es-MX"/>
              </w:rPr>
              <w:t>[</w:t>
            </w:r>
            <w:r w:rsidR="00DE1B7F" w:rsidRPr="00AD11EE">
              <w:rPr>
                <w:rFonts w:ascii="ITC Avant Garde" w:eastAsia="Times New Roman" w:hAnsi="ITC Avant Garde"/>
                <w:color w:val="7F7F7F" w:themeColor="text1" w:themeTint="80"/>
                <w:sz w:val="20"/>
                <w:szCs w:val="20"/>
                <w:lang w:eastAsia="es-MX"/>
              </w:rPr>
              <w:t>En caso de entregar un escrito propio, se sugiere contar con un índice conforme a los siguientes temas</w:t>
            </w:r>
            <w:r w:rsidR="007B3952">
              <w:rPr>
                <w:rFonts w:ascii="ITC Avant Garde" w:eastAsia="Times New Roman" w:hAnsi="ITC Avant Garde"/>
                <w:color w:val="7F7F7F" w:themeColor="text1" w:themeTint="80"/>
                <w:sz w:val="20"/>
                <w:szCs w:val="20"/>
                <w:lang w:eastAsia="es-MX"/>
              </w:rPr>
              <w:t>:</w:t>
            </w:r>
          </w:p>
          <w:p w14:paraId="2A141B71" w14:textId="435F5D55" w:rsidR="00DE1B7F" w:rsidRPr="00AD11EE" w:rsidRDefault="00DE1B7F" w:rsidP="00AD11EE">
            <w:pPr>
              <w:spacing w:after="0" w:line="276" w:lineRule="auto"/>
              <w:rPr>
                <w:rFonts w:ascii="ITC Avant Garde" w:eastAsia="Times New Roman" w:hAnsi="ITC Avant Garde"/>
                <w:color w:val="7F7F7F" w:themeColor="text1" w:themeTint="80"/>
                <w:sz w:val="20"/>
                <w:szCs w:val="20"/>
                <w:lang w:eastAsia="es-MX"/>
              </w:rPr>
            </w:pPr>
            <w:r w:rsidRPr="00AD11EE">
              <w:rPr>
                <w:rFonts w:ascii="ITC Avant Garde" w:eastAsia="Times New Roman" w:hAnsi="ITC Avant Garde"/>
                <w:color w:val="7F7F7F" w:themeColor="text1" w:themeTint="80"/>
                <w:sz w:val="20"/>
                <w:szCs w:val="20"/>
                <w:lang w:eastAsia="es-MX"/>
              </w:rPr>
              <w:t>SERVICIOS MÓVILES</w:t>
            </w:r>
          </w:p>
          <w:p w14:paraId="3C8C6FD4" w14:textId="0A7984EB" w:rsidR="00DE1B7F" w:rsidRPr="00AD11EE" w:rsidRDefault="00DE1B7F">
            <w:pPr>
              <w:pStyle w:val="Prrafodelista"/>
              <w:numPr>
                <w:ilvl w:val="0"/>
                <w:numId w:val="14"/>
              </w:numPr>
              <w:spacing w:after="0" w:line="276" w:lineRule="auto"/>
              <w:rPr>
                <w:rFonts w:ascii="ITC Avant Garde" w:eastAsia="Times New Roman" w:hAnsi="ITC Avant Garde"/>
                <w:color w:val="7F7F7F" w:themeColor="text1" w:themeTint="80"/>
                <w:sz w:val="20"/>
                <w:szCs w:val="20"/>
                <w:lang w:eastAsia="es-MX"/>
              </w:rPr>
            </w:pPr>
            <w:r w:rsidRPr="00AD11EE">
              <w:rPr>
                <w:rFonts w:ascii="ITC Avant Garde" w:eastAsia="Times New Roman" w:hAnsi="ITC Avant Garde"/>
                <w:color w:val="7F7F7F" w:themeColor="text1" w:themeTint="80"/>
                <w:sz w:val="20"/>
                <w:szCs w:val="20"/>
                <w:lang w:eastAsia="es-MX"/>
              </w:rPr>
              <w:t>Medidas referentes a Interconexión.</w:t>
            </w:r>
          </w:p>
          <w:p w14:paraId="2D865C41" w14:textId="487A4FAD" w:rsidR="00DE1B7F" w:rsidRPr="00AD11EE" w:rsidRDefault="00DE1B7F">
            <w:pPr>
              <w:pStyle w:val="Prrafodelista"/>
              <w:numPr>
                <w:ilvl w:val="0"/>
                <w:numId w:val="14"/>
              </w:numPr>
              <w:spacing w:after="0" w:line="276" w:lineRule="auto"/>
              <w:rPr>
                <w:rFonts w:ascii="ITC Avant Garde" w:eastAsia="Times New Roman" w:hAnsi="ITC Avant Garde"/>
                <w:color w:val="7F7F7F" w:themeColor="text1" w:themeTint="80"/>
                <w:sz w:val="20"/>
                <w:szCs w:val="20"/>
                <w:lang w:eastAsia="es-MX"/>
              </w:rPr>
            </w:pPr>
            <w:r w:rsidRPr="00AD11EE">
              <w:rPr>
                <w:rFonts w:ascii="ITC Avant Garde" w:eastAsia="Times New Roman" w:hAnsi="ITC Avant Garde"/>
                <w:color w:val="7F7F7F" w:themeColor="text1" w:themeTint="80"/>
                <w:sz w:val="20"/>
                <w:szCs w:val="20"/>
                <w:lang w:eastAsia="es-MX"/>
              </w:rPr>
              <w:t>Medidas referentes a O</w:t>
            </w:r>
            <w:r w:rsidR="00D80FE0">
              <w:rPr>
                <w:rFonts w:ascii="ITC Avant Garde" w:eastAsia="Times New Roman" w:hAnsi="ITC Avant Garde"/>
                <w:color w:val="7F7F7F" w:themeColor="text1" w:themeTint="80"/>
                <w:sz w:val="20"/>
                <w:szCs w:val="20"/>
                <w:lang w:eastAsia="es-MX"/>
              </w:rPr>
              <w:t>MV</w:t>
            </w:r>
            <w:r w:rsidRPr="00AD11EE">
              <w:rPr>
                <w:rFonts w:ascii="ITC Avant Garde" w:eastAsia="Times New Roman" w:hAnsi="ITC Avant Garde"/>
                <w:color w:val="7F7F7F" w:themeColor="text1" w:themeTint="80"/>
                <w:sz w:val="20"/>
                <w:szCs w:val="20"/>
                <w:lang w:eastAsia="es-MX"/>
              </w:rPr>
              <w:t>.</w:t>
            </w:r>
          </w:p>
          <w:p w14:paraId="2140BA79" w14:textId="076F9701" w:rsidR="00DE1B7F" w:rsidRPr="00AD11EE" w:rsidRDefault="00DE1B7F">
            <w:pPr>
              <w:pStyle w:val="Prrafodelista"/>
              <w:numPr>
                <w:ilvl w:val="0"/>
                <w:numId w:val="14"/>
              </w:numPr>
              <w:spacing w:after="0" w:line="276" w:lineRule="auto"/>
              <w:rPr>
                <w:rFonts w:ascii="ITC Avant Garde" w:eastAsia="Times New Roman" w:hAnsi="ITC Avant Garde"/>
                <w:color w:val="7F7F7F" w:themeColor="text1" w:themeTint="80"/>
                <w:sz w:val="20"/>
                <w:szCs w:val="20"/>
                <w:lang w:eastAsia="es-MX"/>
              </w:rPr>
            </w:pPr>
            <w:r w:rsidRPr="00AD11EE">
              <w:rPr>
                <w:rFonts w:ascii="ITC Avant Garde" w:eastAsia="Times New Roman" w:hAnsi="ITC Avant Garde"/>
                <w:color w:val="7F7F7F" w:themeColor="text1" w:themeTint="80"/>
                <w:sz w:val="20"/>
                <w:szCs w:val="20"/>
                <w:lang w:eastAsia="es-MX"/>
              </w:rPr>
              <w:t>Medidas referentes a Usuario Visitante.</w:t>
            </w:r>
          </w:p>
          <w:p w14:paraId="27A5E036" w14:textId="4AA36AC4" w:rsidR="00DE1B7F" w:rsidRPr="00AD11EE" w:rsidRDefault="00DE1B7F">
            <w:pPr>
              <w:pStyle w:val="Prrafodelista"/>
              <w:numPr>
                <w:ilvl w:val="0"/>
                <w:numId w:val="14"/>
              </w:numPr>
              <w:spacing w:after="0" w:line="276" w:lineRule="auto"/>
              <w:rPr>
                <w:rFonts w:ascii="ITC Avant Garde" w:eastAsia="Times New Roman" w:hAnsi="ITC Avant Garde"/>
                <w:color w:val="7F7F7F" w:themeColor="text1" w:themeTint="80"/>
                <w:sz w:val="20"/>
                <w:szCs w:val="20"/>
                <w:lang w:eastAsia="es-MX"/>
              </w:rPr>
            </w:pPr>
            <w:r w:rsidRPr="00AD11EE">
              <w:rPr>
                <w:rFonts w:ascii="ITC Avant Garde" w:eastAsia="Times New Roman" w:hAnsi="ITC Avant Garde"/>
                <w:color w:val="7F7F7F" w:themeColor="text1" w:themeTint="80"/>
                <w:sz w:val="20"/>
                <w:szCs w:val="20"/>
                <w:lang w:eastAsia="es-MX"/>
              </w:rPr>
              <w:t>Medidas referentes a compartición de infraestructura pasiva.</w:t>
            </w:r>
          </w:p>
          <w:p w14:paraId="7A43C83A" w14:textId="04CCD222" w:rsidR="00DE1B7F" w:rsidRPr="00AD11EE" w:rsidRDefault="00DE1B7F">
            <w:pPr>
              <w:pStyle w:val="Prrafodelista"/>
              <w:numPr>
                <w:ilvl w:val="0"/>
                <w:numId w:val="14"/>
              </w:numPr>
              <w:spacing w:after="0" w:line="276" w:lineRule="auto"/>
              <w:rPr>
                <w:rFonts w:ascii="ITC Avant Garde" w:eastAsia="Times New Roman" w:hAnsi="ITC Avant Garde"/>
                <w:color w:val="7F7F7F" w:themeColor="text1" w:themeTint="80"/>
                <w:sz w:val="20"/>
                <w:szCs w:val="20"/>
                <w:lang w:eastAsia="es-MX"/>
              </w:rPr>
            </w:pPr>
            <w:r w:rsidRPr="00AD11EE">
              <w:rPr>
                <w:rFonts w:ascii="ITC Avant Garde" w:eastAsia="Times New Roman" w:hAnsi="ITC Avant Garde"/>
                <w:color w:val="7F7F7F" w:themeColor="text1" w:themeTint="80"/>
                <w:sz w:val="20"/>
                <w:szCs w:val="20"/>
                <w:lang w:eastAsia="es-MX"/>
              </w:rPr>
              <w:lastRenderedPageBreak/>
              <w:t>Medidas referentes a Usuarios finales.</w:t>
            </w:r>
          </w:p>
          <w:p w14:paraId="40A6063E" w14:textId="06277DBC" w:rsidR="00DE1B7F" w:rsidRPr="00AD11EE" w:rsidRDefault="00DE1B7F">
            <w:pPr>
              <w:pStyle w:val="Prrafodelista"/>
              <w:numPr>
                <w:ilvl w:val="0"/>
                <w:numId w:val="14"/>
              </w:numPr>
              <w:spacing w:after="0" w:line="276" w:lineRule="auto"/>
              <w:rPr>
                <w:rFonts w:ascii="ITC Avant Garde" w:eastAsia="Times New Roman" w:hAnsi="ITC Avant Garde"/>
                <w:color w:val="7F7F7F" w:themeColor="text1" w:themeTint="80"/>
                <w:sz w:val="20"/>
                <w:szCs w:val="20"/>
                <w:lang w:eastAsia="es-MX"/>
              </w:rPr>
            </w:pPr>
            <w:r w:rsidRPr="00AD11EE">
              <w:rPr>
                <w:rFonts w:ascii="ITC Avant Garde" w:eastAsia="Times New Roman" w:hAnsi="ITC Avant Garde"/>
                <w:color w:val="7F7F7F" w:themeColor="text1" w:themeTint="80"/>
                <w:sz w:val="20"/>
                <w:szCs w:val="20"/>
                <w:lang w:eastAsia="es-MX"/>
              </w:rPr>
              <w:t>Medidas referentes a Información.</w:t>
            </w:r>
          </w:p>
          <w:p w14:paraId="340F49D3" w14:textId="7B1F64FF" w:rsidR="00DE1B7F" w:rsidRPr="00AD11EE" w:rsidRDefault="00DE1B7F">
            <w:pPr>
              <w:pStyle w:val="Prrafodelista"/>
              <w:numPr>
                <w:ilvl w:val="0"/>
                <w:numId w:val="14"/>
              </w:numPr>
              <w:spacing w:after="0" w:line="276" w:lineRule="auto"/>
              <w:rPr>
                <w:rFonts w:ascii="ITC Avant Garde" w:eastAsia="Times New Roman" w:hAnsi="ITC Avant Garde"/>
                <w:color w:val="7F7F7F" w:themeColor="text1" w:themeTint="80"/>
                <w:sz w:val="20"/>
                <w:szCs w:val="20"/>
                <w:lang w:eastAsia="es-MX"/>
              </w:rPr>
            </w:pPr>
            <w:r w:rsidRPr="00AD11EE">
              <w:rPr>
                <w:rFonts w:ascii="ITC Avant Garde" w:eastAsia="Times New Roman" w:hAnsi="ITC Avant Garde"/>
                <w:color w:val="7F7F7F" w:themeColor="text1" w:themeTint="80"/>
                <w:sz w:val="20"/>
                <w:szCs w:val="20"/>
                <w:lang w:eastAsia="es-MX"/>
              </w:rPr>
              <w:t>Medidas referentes a Conductas y No Discriminación.</w:t>
            </w:r>
          </w:p>
          <w:p w14:paraId="7E7285BE" w14:textId="4F41C3FB" w:rsidR="00DE1B7F" w:rsidRPr="00AD11EE" w:rsidRDefault="00DE1B7F">
            <w:pPr>
              <w:pStyle w:val="Prrafodelista"/>
              <w:numPr>
                <w:ilvl w:val="0"/>
                <w:numId w:val="14"/>
              </w:numPr>
              <w:spacing w:after="0" w:line="276" w:lineRule="auto"/>
              <w:rPr>
                <w:rFonts w:ascii="ITC Avant Garde" w:eastAsia="Times New Roman" w:hAnsi="ITC Avant Garde"/>
                <w:color w:val="7F7F7F" w:themeColor="text1" w:themeTint="80"/>
                <w:sz w:val="20"/>
                <w:szCs w:val="20"/>
                <w:lang w:eastAsia="es-MX"/>
              </w:rPr>
            </w:pPr>
            <w:r w:rsidRPr="00AD11EE">
              <w:rPr>
                <w:rFonts w:ascii="ITC Avant Garde" w:eastAsia="Times New Roman" w:hAnsi="ITC Avant Garde"/>
                <w:color w:val="7F7F7F" w:themeColor="text1" w:themeTint="80"/>
                <w:sz w:val="20"/>
                <w:szCs w:val="20"/>
                <w:lang w:eastAsia="es-MX"/>
              </w:rPr>
              <w:t>Otras medidas.</w:t>
            </w:r>
          </w:p>
          <w:p w14:paraId="29085704" w14:textId="501AF3C7" w:rsidR="00DE1B7F" w:rsidRPr="00AD11EE" w:rsidRDefault="00DE1B7F" w:rsidP="00AD11EE">
            <w:pPr>
              <w:spacing w:after="0" w:line="276" w:lineRule="auto"/>
              <w:rPr>
                <w:rFonts w:ascii="ITC Avant Garde" w:eastAsia="Times New Roman" w:hAnsi="ITC Avant Garde"/>
                <w:color w:val="7F7F7F" w:themeColor="text1" w:themeTint="80"/>
                <w:sz w:val="20"/>
                <w:szCs w:val="20"/>
                <w:lang w:eastAsia="es-MX"/>
              </w:rPr>
            </w:pPr>
            <w:r w:rsidRPr="00AD11EE">
              <w:rPr>
                <w:rFonts w:ascii="ITC Avant Garde" w:eastAsia="Times New Roman" w:hAnsi="ITC Avant Garde"/>
                <w:color w:val="7F7F7F" w:themeColor="text1" w:themeTint="80"/>
                <w:sz w:val="20"/>
                <w:szCs w:val="20"/>
                <w:lang w:eastAsia="es-MX"/>
              </w:rPr>
              <w:t>SERVICIOS FIJOS</w:t>
            </w:r>
          </w:p>
          <w:p w14:paraId="3506EA11" w14:textId="3A1E63CD" w:rsidR="00DE1B7F" w:rsidRPr="00AD11EE" w:rsidRDefault="00DE1B7F">
            <w:pPr>
              <w:pStyle w:val="Prrafodelista"/>
              <w:numPr>
                <w:ilvl w:val="0"/>
                <w:numId w:val="15"/>
              </w:numPr>
              <w:spacing w:after="0" w:line="276" w:lineRule="auto"/>
              <w:rPr>
                <w:rFonts w:ascii="ITC Avant Garde" w:eastAsia="Times New Roman" w:hAnsi="ITC Avant Garde"/>
                <w:color w:val="7F7F7F" w:themeColor="text1" w:themeTint="80"/>
                <w:sz w:val="20"/>
                <w:szCs w:val="20"/>
                <w:lang w:eastAsia="es-MX"/>
              </w:rPr>
            </w:pPr>
            <w:r w:rsidRPr="00AD11EE">
              <w:rPr>
                <w:rFonts w:ascii="ITC Avant Garde" w:eastAsia="Times New Roman" w:hAnsi="ITC Avant Garde"/>
                <w:color w:val="7F7F7F" w:themeColor="text1" w:themeTint="80"/>
                <w:sz w:val="20"/>
                <w:szCs w:val="20"/>
                <w:lang w:eastAsia="es-MX"/>
              </w:rPr>
              <w:t>Medidas referentes a Interconexión.</w:t>
            </w:r>
          </w:p>
          <w:p w14:paraId="3AE793E1" w14:textId="134E78D9" w:rsidR="00DE1B7F" w:rsidRPr="00AD11EE" w:rsidRDefault="00DE1B7F">
            <w:pPr>
              <w:pStyle w:val="Prrafodelista"/>
              <w:numPr>
                <w:ilvl w:val="0"/>
                <w:numId w:val="15"/>
              </w:numPr>
              <w:spacing w:after="0" w:line="276" w:lineRule="auto"/>
              <w:rPr>
                <w:rFonts w:ascii="ITC Avant Garde" w:eastAsia="Times New Roman" w:hAnsi="ITC Avant Garde"/>
                <w:color w:val="7F7F7F" w:themeColor="text1" w:themeTint="80"/>
                <w:sz w:val="20"/>
                <w:szCs w:val="20"/>
                <w:lang w:eastAsia="es-MX"/>
              </w:rPr>
            </w:pPr>
            <w:r w:rsidRPr="00AD11EE">
              <w:rPr>
                <w:rFonts w:ascii="ITC Avant Garde" w:eastAsia="Times New Roman" w:hAnsi="ITC Avant Garde"/>
                <w:color w:val="7F7F7F" w:themeColor="text1" w:themeTint="80"/>
                <w:sz w:val="20"/>
                <w:szCs w:val="20"/>
                <w:lang w:eastAsia="es-MX"/>
              </w:rPr>
              <w:t>Medidas referentes Enlaces Dedicados.</w:t>
            </w:r>
          </w:p>
          <w:p w14:paraId="447ED148" w14:textId="39A037ED" w:rsidR="00AD11EE" w:rsidRPr="00AD11EE" w:rsidRDefault="00AD11EE">
            <w:pPr>
              <w:pStyle w:val="Prrafodelista"/>
              <w:numPr>
                <w:ilvl w:val="0"/>
                <w:numId w:val="15"/>
              </w:numPr>
              <w:spacing w:after="0" w:line="276" w:lineRule="auto"/>
              <w:rPr>
                <w:rFonts w:ascii="ITC Avant Garde" w:eastAsia="Times New Roman" w:hAnsi="ITC Avant Garde"/>
                <w:color w:val="7F7F7F" w:themeColor="text1" w:themeTint="80"/>
                <w:sz w:val="20"/>
                <w:szCs w:val="20"/>
                <w:lang w:eastAsia="es-MX"/>
              </w:rPr>
            </w:pPr>
            <w:r w:rsidRPr="00AD11EE">
              <w:rPr>
                <w:rFonts w:ascii="ITC Avant Garde" w:eastAsia="Times New Roman" w:hAnsi="ITC Avant Garde"/>
                <w:color w:val="7F7F7F" w:themeColor="text1" w:themeTint="80"/>
                <w:sz w:val="20"/>
                <w:szCs w:val="20"/>
                <w:lang w:eastAsia="es-MX"/>
              </w:rPr>
              <w:t>Medidas referentes a compartición de infraestructura pasiva.</w:t>
            </w:r>
          </w:p>
          <w:p w14:paraId="528E51F8" w14:textId="2E0DD8A4" w:rsidR="00AD11EE" w:rsidRPr="00AD11EE" w:rsidRDefault="00AD11EE">
            <w:pPr>
              <w:pStyle w:val="Prrafodelista"/>
              <w:numPr>
                <w:ilvl w:val="0"/>
                <w:numId w:val="15"/>
              </w:numPr>
              <w:spacing w:after="0" w:line="276" w:lineRule="auto"/>
              <w:rPr>
                <w:rFonts w:ascii="ITC Avant Garde" w:eastAsia="Times New Roman" w:hAnsi="ITC Avant Garde"/>
                <w:color w:val="7F7F7F" w:themeColor="text1" w:themeTint="80"/>
                <w:sz w:val="20"/>
                <w:szCs w:val="20"/>
                <w:lang w:eastAsia="es-MX"/>
              </w:rPr>
            </w:pPr>
            <w:r w:rsidRPr="00AD11EE">
              <w:rPr>
                <w:rFonts w:ascii="ITC Avant Garde" w:eastAsia="Times New Roman" w:hAnsi="ITC Avant Garde"/>
                <w:color w:val="7F7F7F" w:themeColor="text1" w:themeTint="80"/>
                <w:sz w:val="20"/>
                <w:szCs w:val="20"/>
                <w:lang w:eastAsia="es-MX"/>
              </w:rPr>
              <w:t>Medidas referentes a Desagregación de la red local.</w:t>
            </w:r>
          </w:p>
          <w:p w14:paraId="643CCB7D" w14:textId="430B4CCA" w:rsidR="00AD11EE" w:rsidRPr="00AD11EE" w:rsidRDefault="00AD11EE">
            <w:pPr>
              <w:pStyle w:val="Prrafodelista"/>
              <w:numPr>
                <w:ilvl w:val="0"/>
                <w:numId w:val="15"/>
              </w:numPr>
              <w:spacing w:after="0" w:line="276" w:lineRule="auto"/>
              <w:rPr>
                <w:rFonts w:ascii="ITC Avant Garde" w:eastAsia="Times New Roman" w:hAnsi="ITC Avant Garde"/>
                <w:color w:val="7F7F7F" w:themeColor="text1" w:themeTint="80"/>
                <w:sz w:val="20"/>
                <w:szCs w:val="20"/>
                <w:lang w:eastAsia="es-MX"/>
              </w:rPr>
            </w:pPr>
            <w:r w:rsidRPr="00AD11EE">
              <w:rPr>
                <w:rFonts w:ascii="ITC Avant Garde" w:eastAsia="Times New Roman" w:hAnsi="ITC Avant Garde"/>
                <w:color w:val="7F7F7F" w:themeColor="text1" w:themeTint="80"/>
                <w:sz w:val="20"/>
                <w:szCs w:val="20"/>
                <w:lang w:eastAsia="es-MX"/>
              </w:rPr>
              <w:t>Medidas referentes a Usuarios finales.</w:t>
            </w:r>
          </w:p>
          <w:p w14:paraId="238DBEAC" w14:textId="23BD7BD1" w:rsidR="00AD11EE" w:rsidRPr="00AD11EE" w:rsidRDefault="00AD11EE">
            <w:pPr>
              <w:pStyle w:val="Prrafodelista"/>
              <w:numPr>
                <w:ilvl w:val="0"/>
                <w:numId w:val="15"/>
              </w:numPr>
              <w:spacing w:after="0" w:line="276" w:lineRule="auto"/>
              <w:rPr>
                <w:rFonts w:ascii="ITC Avant Garde" w:eastAsia="Times New Roman" w:hAnsi="ITC Avant Garde"/>
                <w:color w:val="7F7F7F" w:themeColor="text1" w:themeTint="80"/>
                <w:sz w:val="20"/>
                <w:szCs w:val="20"/>
                <w:lang w:eastAsia="es-MX"/>
              </w:rPr>
            </w:pPr>
            <w:r w:rsidRPr="00AD11EE">
              <w:rPr>
                <w:rFonts w:ascii="ITC Avant Garde" w:eastAsia="Times New Roman" w:hAnsi="ITC Avant Garde"/>
                <w:color w:val="7F7F7F" w:themeColor="text1" w:themeTint="80"/>
                <w:sz w:val="20"/>
                <w:szCs w:val="20"/>
                <w:lang w:eastAsia="es-MX"/>
              </w:rPr>
              <w:t>Medidas referentes a Información.</w:t>
            </w:r>
          </w:p>
          <w:p w14:paraId="3743D4FF" w14:textId="0A4B4CD1" w:rsidR="00AD11EE" w:rsidRPr="00AD11EE" w:rsidRDefault="00AD11EE">
            <w:pPr>
              <w:pStyle w:val="Prrafodelista"/>
              <w:numPr>
                <w:ilvl w:val="0"/>
                <w:numId w:val="15"/>
              </w:numPr>
              <w:spacing w:after="0" w:line="276" w:lineRule="auto"/>
              <w:rPr>
                <w:rFonts w:ascii="ITC Avant Garde" w:eastAsia="Times New Roman" w:hAnsi="ITC Avant Garde"/>
                <w:color w:val="7F7F7F" w:themeColor="text1" w:themeTint="80"/>
                <w:sz w:val="20"/>
                <w:szCs w:val="20"/>
                <w:lang w:eastAsia="es-MX"/>
              </w:rPr>
            </w:pPr>
            <w:r w:rsidRPr="00AD11EE">
              <w:rPr>
                <w:rFonts w:ascii="ITC Avant Garde" w:eastAsia="Times New Roman" w:hAnsi="ITC Avant Garde"/>
                <w:color w:val="7F7F7F" w:themeColor="text1" w:themeTint="80"/>
                <w:sz w:val="20"/>
                <w:szCs w:val="20"/>
                <w:lang w:eastAsia="es-MX"/>
              </w:rPr>
              <w:t>Medidas referentes a Conductas y No Discriminación.</w:t>
            </w:r>
          </w:p>
          <w:p w14:paraId="05CE993D" w14:textId="3B67598D" w:rsidR="00AD11EE" w:rsidRPr="00AD11EE" w:rsidRDefault="00AD11EE">
            <w:pPr>
              <w:pStyle w:val="Prrafodelista"/>
              <w:numPr>
                <w:ilvl w:val="0"/>
                <w:numId w:val="15"/>
              </w:numPr>
              <w:spacing w:after="0" w:line="276" w:lineRule="auto"/>
              <w:rPr>
                <w:rFonts w:ascii="ITC Avant Garde" w:eastAsia="Times New Roman" w:hAnsi="ITC Avant Garde"/>
                <w:color w:val="7F7F7F" w:themeColor="text1" w:themeTint="80"/>
                <w:sz w:val="20"/>
                <w:szCs w:val="20"/>
                <w:lang w:eastAsia="es-MX"/>
              </w:rPr>
            </w:pPr>
            <w:r w:rsidRPr="00AD11EE">
              <w:rPr>
                <w:rFonts w:ascii="ITC Avant Garde" w:eastAsia="Times New Roman" w:hAnsi="ITC Avant Garde"/>
                <w:color w:val="7F7F7F" w:themeColor="text1" w:themeTint="80"/>
                <w:sz w:val="20"/>
                <w:szCs w:val="20"/>
                <w:lang w:eastAsia="es-MX"/>
              </w:rPr>
              <w:t>Otras medidas.</w:t>
            </w:r>
            <w:r w:rsidR="00EE422D" w:rsidRPr="00DE1B7F">
              <w:rPr>
                <w:rFonts w:ascii="ITC Avant Garde" w:eastAsia="Times New Roman" w:hAnsi="ITC Avant Garde"/>
                <w:color w:val="7F7F7F" w:themeColor="text1" w:themeTint="80"/>
                <w:sz w:val="20"/>
                <w:szCs w:val="20"/>
                <w:lang w:eastAsia="es-MX"/>
              </w:rPr>
              <w:t>]</w:t>
            </w:r>
          </w:p>
          <w:p w14:paraId="1CD7F422" w14:textId="77777777" w:rsidR="00AD11EE" w:rsidRPr="00AD11EE" w:rsidRDefault="00AD11EE" w:rsidP="00AD11EE">
            <w:pPr>
              <w:spacing w:after="0" w:line="276" w:lineRule="auto"/>
              <w:rPr>
                <w:rFonts w:ascii="ITC Avant Garde" w:eastAsia="Times New Roman" w:hAnsi="ITC Avant Garde"/>
                <w:color w:val="7F7F7F" w:themeColor="text1" w:themeTint="80"/>
                <w:sz w:val="20"/>
                <w:szCs w:val="20"/>
                <w:lang w:eastAsia="es-MX"/>
              </w:rPr>
            </w:pPr>
          </w:p>
          <w:p w14:paraId="0AB7AA42" w14:textId="77777777" w:rsidR="00AD11EE" w:rsidRPr="00AD11EE" w:rsidRDefault="00AD11EE" w:rsidP="00AD11EE">
            <w:pPr>
              <w:spacing w:after="0" w:line="276" w:lineRule="auto"/>
              <w:rPr>
                <w:rFonts w:ascii="ITC Avant Garde" w:eastAsia="Times New Roman" w:hAnsi="ITC Avant Garde"/>
                <w:color w:val="7F7F7F" w:themeColor="text1" w:themeTint="80"/>
                <w:sz w:val="20"/>
                <w:szCs w:val="20"/>
                <w:lang w:eastAsia="es-MX"/>
              </w:rPr>
            </w:pPr>
          </w:p>
          <w:p w14:paraId="6743C5F3" w14:textId="77777777" w:rsidR="00AD11EE" w:rsidRPr="00AD11EE" w:rsidRDefault="00AD11EE" w:rsidP="00AD11EE">
            <w:pPr>
              <w:spacing w:after="0" w:line="276" w:lineRule="auto"/>
              <w:rPr>
                <w:rFonts w:ascii="ITC Avant Garde" w:eastAsia="Times New Roman" w:hAnsi="ITC Avant Garde"/>
                <w:color w:val="7F7F7F" w:themeColor="text1" w:themeTint="80"/>
                <w:sz w:val="20"/>
                <w:szCs w:val="20"/>
                <w:lang w:eastAsia="es-MX"/>
              </w:rPr>
            </w:pPr>
          </w:p>
          <w:p w14:paraId="6CFE46D6" w14:textId="77777777" w:rsidR="00DE1B7F" w:rsidRPr="00AD11EE" w:rsidRDefault="00DE1B7F" w:rsidP="00AD11EE">
            <w:pPr>
              <w:spacing w:after="0" w:line="276" w:lineRule="auto"/>
              <w:rPr>
                <w:rFonts w:ascii="ITC Avant Garde" w:eastAsia="Times New Roman" w:hAnsi="ITC Avant Garde"/>
                <w:color w:val="7F7F7F" w:themeColor="text1" w:themeTint="80"/>
                <w:sz w:val="20"/>
                <w:szCs w:val="20"/>
                <w:lang w:eastAsia="es-MX"/>
              </w:rPr>
            </w:pPr>
          </w:p>
          <w:p w14:paraId="68DBB77C" w14:textId="77777777" w:rsidR="00DE1B7F" w:rsidRPr="00AD11EE" w:rsidRDefault="00DE1B7F" w:rsidP="00AD11EE">
            <w:pPr>
              <w:spacing w:after="0" w:line="276" w:lineRule="auto"/>
              <w:rPr>
                <w:rFonts w:ascii="ITC Avant Garde" w:eastAsia="Times New Roman" w:hAnsi="ITC Avant Garde"/>
                <w:color w:val="7F7F7F" w:themeColor="text1" w:themeTint="80"/>
                <w:sz w:val="20"/>
                <w:szCs w:val="20"/>
                <w:lang w:eastAsia="es-MX"/>
              </w:rPr>
            </w:pPr>
          </w:p>
          <w:p w14:paraId="6047D052" w14:textId="77777777" w:rsidR="00357CAA" w:rsidRPr="00AD11EE" w:rsidRDefault="00357CAA" w:rsidP="00AD11EE">
            <w:pPr>
              <w:spacing w:after="0" w:line="276" w:lineRule="auto"/>
              <w:rPr>
                <w:rFonts w:ascii="ITC Avant Garde" w:eastAsia="Times New Roman" w:hAnsi="ITC Avant Garde"/>
                <w:color w:val="7F7F7F" w:themeColor="text1" w:themeTint="80"/>
                <w:sz w:val="20"/>
                <w:szCs w:val="20"/>
                <w:lang w:eastAsia="es-MX"/>
              </w:rPr>
            </w:pPr>
          </w:p>
          <w:p w14:paraId="3E0FD5A6" w14:textId="77777777" w:rsidR="00357CAA" w:rsidRPr="00AD11EE" w:rsidRDefault="00357CAA" w:rsidP="00AD11EE">
            <w:pPr>
              <w:spacing w:after="0" w:line="276" w:lineRule="auto"/>
              <w:rPr>
                <w:rFonts w:ascii="ITC Avant Garde" w:eastAsia="Times New Roman" w:hAnsi="ITC Avant Garde"/>
                <w:color w:val="7F7F7F" w:themeColor="text1" w:themeTint="80"/>
                <w:sz w:val="20"/>
                <w:szCs w:val="20"/>
                <w:lang w:eastAsia="es-MX"/>
              </w:rPr>
            </w:pPr>
          </w:p>
        </w:tc>
      </w:tr>
      <w:tr w:rsidR="00357CAA" w:rsidRPr="00670385" w14:paraId="2BF00B13" w14:textId="77777777" w:rsidTr="0043365D">
        <w:tc>
          <w:tcPr>
            <w:tcW w:w="8647" w:type="dxa"/>
            <w:shd w:val="clear" w:color="auto" w:fill="C5E0B3"/>
          </w:tcPr>
          <w:p w14:paraId="647D09DB" w14:textId="77777777" w:rsidR="00357CAA" w:rsidRPr="00670385" w:rsidRDefault="00357CAA" w:rsidP="008734F1">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lastRenderedPageBreak/>
              <w:t xml:space="preserve">Nota: </w:t>
            </w:r>
            <w:r w:rsidRPr="00670385">
              <w:rPr>
                <w:rFonts w:ascii="ITC Avant Garde" w:eastAsia="Times New Roman" w:hAnsi="ITC Avant Garde"/>
                <w:color w:val="000000"/>
                <w:sz w:val="12"/>
                <w:szCs w:val="12"/>
                <w:lang w:eastAsia="es-MX"/>
              </w:rPr>
              <w:t>añadir cuantas filas considere necesarias.</w:t>
            </w:r>
          </w:p>
        </w:tc>
      </w:tr>
    </w:tbl>
    <w:p w14:paraId="22FF8B94" w14:textId="77777777" w:rsidR="00357CAA" w:rsidRPr="00F36A5D" w:rsidRDefault="00357CAA" w:rsidP="00AB2D19">
      <w:pPr>
        <w:spacing w:after="0"/>
        <w:jc w:val="both"/>
        <w:rPr>
          <w:rFonts w:ascii="ITC Avant Garde" w:hAnsi="ITC Avant Garde"/>
          <w:sz w:val="16"/>
        </w:rPr>
      </w:pPr>
    </w:p>
    <w:sectPr w:rsidR="00357CAA" w:rsidRPr="00F36A5D" w:rsidSect="0086154B">
      <w:headerReference w:type="default" r:id="rId22"/>
      <w:footerReference w:type="default" r:id="rId23"/>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17A5" w14:textId="77777777" w:rsidR="00AE67D9" w:rsidRDefault="00AE67D9" w:rsidP="0038199D">
      <w:pPr>
        <w:spacing w:after="0" w:line="240" w:lineRule="auto"/>
      </w:pPr>
      <w:r>
        <w:separator/>
      </w:r>
    </w:p>
  </w:endnote>
  <w:endnote w:type="continuationSeparator" w:id="0">
    <w:p w14:paraId="1E7FE329" w14:textId="77777777" w:rsidR="00AE67D9" w:rsidRDefault="00AE67D9" w:rsidP="0038199D">
      <w:pPr>
        <w:spacing w:after="0" w:line="240" w:lineRule="auto"/>
      </w:pPr>
      <w:r>
        <w:continuationSeparator/>
      </w:r>
    </w:p>
  </w:endnote>
  <w:endnote w:type="continuationNotice" w:id="1">
    <w:p w14:paraId="78095569" w14:textId="77777777" w:rsidR="00AE67D9" w:rsidRDefault="00AE67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AC7D" w14:textId="1B859ADC" w:rsidR="00271E75" w:rsidRPr="00DF5B3F" w:rsidRDefault="00271E75">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Pr="00C82970">
      <w:rPr>
        <w:rFonts w:ascii="ITC Avant Garde" w:hAnsi="ITC Avant Garde"/>
        <w:noProof/>
        <w:color w:val="323E4F"/>
        <w:sz w:val="14"/>
        <w:szCs w:val="24"/>
        <w:lang w:val="es-ES"/>
      </w:rPr>
      <w:t>7</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Pr="00C82970">
      <w:rPr>
        <w:rFonts w:ascii="ITC Avant Garde" w:hAnsi="ITC Avant Garde"/>
        <w:noProof/>
        <w:color w:val="323E4F"/>
        <w:sz w:val="14"/>
        <w:szCs w:val="24"/>
        <w:lang w:val="es-ES"/>
      </w:rPr>
      <w:t>8</w:t>
    </w:r>
    <w:r w:rsidRPr="00DF5B3F">
      <w:rPr>
        <w:rFonts w:ascii="ITC Avant Garde" w:hAnsi="ITC Avant Garde"/>
        <w:color w:val="323E4F"/>
        <w:sz w:val="14"/>
        <w:szCs w:val="24"/>
      </w:rPr>
      <w:fldChar w:fldCharType="end"/>
    </w:r>
  </w:p>
  <w:p w14:paraId="6C8E0542" w14:textId="77777777" w:rsidR="00271E75" w:rsidRDefault="00271E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D27D" w14:textId="77777777" w:rsidR="00AE67D9" w:rsidRDefault="00AE67D9" w:rsidP="0038199D">
      <w:pPr>
        <w:spacing w:after="0" w:line="240" w:lineRule="auto"/>
      </w:pPr>
      <w:r>
        <w:separator/>
      </w:r>
    </w:p>
  </w:footnote>
  <w:footnote w:type="continuationSeparator" w:id="0">
    <w:p w14:paraId="72C569CB" w14:textId="77777777" w:rsidR="00AE67D9" w:rsidRDefault="00AE67D9" w:rsidP="0038199D">
      <w:pPr>
        <w:spacing w:after="0" w:line="240" w:lineRule="auto"/>
      </w:pPr>
      <w:r>
        <w:continuationSeparator/>
      </w:r>
    </w:p>
  </w:footnote>
  <w:footnote w:type="continuationNotice" w:id="1">
    <w:p w14:paraId="1D3B392A" w14:textId="77777777" w:rsidR="00AE67D9" w:rsidRDefault="00AE67D9">
      <w:pPr>
        <w:spacing w:after="0" w:line="240" w:lineRule="auto"/>
      </w:pPr>
    </w:p>
  </w:footnote>
  <w:footnote w:id="2">
    <w:p w14:paraId="4A404D85" w14:textId="14BB62E6" w:rsidR="00271E75" w:rsidRPr="0092653E" w:rsidRDefault="00271E75" w:rsidP="00E17493">
      <w:pPr>
        <w:pStyle w:val="Textonotapie"/>
        <w:rPr>
          <w:rFonts w:ascii="ITC Avant Garde" w:hAnsi="ITC Avant Garde"/>
          <w:sz w:val="18"/>
          <w:szCs w:val="18"/>
        </w:rPr>
      </w:pPr>
      <w:r w:rsidRPr="00EA0479">
        <w:rPr>
          <w:rStyle w:val="Refdenotaalpie"/>
          <w:rFonts w:ascii="ITC Avant Garde" w:hAnsi="ITC Avant Garde"/>
          <w:sz w:val="14"/>
          <w:szCs w:val="14"/>
        </w:rPr>
        <w:footnoteRef/>
      </w:r>
      <w:r w:rsidRPr="00EA0479">
        <w:rPr>
          <w:rFonts w:ascii="ITC Avant Garde" w:hAnsi="ITC Avant Garde"/>
          <w:sz w:val="14"/>
          <w:szCs w:val="14"/>
        </w:rPr>
        <w:t xml:space="preserve"> Disponible en: </w:t>
      </w:r>
      <w:hyperlink r:id="rId1" w:history="1">
        <w:r w:rsidRPr="00EA0479">
          <w:rPr>
            <w:rStyle w:val="Hipervnculo"/>
            <w:rFonts w:ascii="ITC Avant Garde" w:hAnsi="ITC Avant Garde"/>
            <w:sz w:val="14"/>
            <w:szCs w:val="14"/>
          </w:rPr>
          <w:t>http://dof.gob.mx/nota_detalle.php?codigo=5512847&amp;fecha=12/02/2018</w:t>
        </w:r>
      </w:hyperlink>
      <w:r w:rsidRPr="0092653E">
        <w:rPr>
          <w:rFonts w:ascii="ITC Avant Garde" w:hAnsi="ITC Avant Garde"/>
          <w:sz w:val="18"/>
          <w:szCs w:val="18"/>
        </w:rPr>
        <w:t xml:space="preserve"> </w:t>
      </w:r>
    </w:p>
  </w:footnote>
  <w:footnote w:id="3">
    <w:p w14:paraId="4056219A" w14:textId="3B7C44F5" w:rsidR="00F30BCE" w:rsidRPr="001F5B68" w:rsidRDefault="00F30BCE" w:rsidP="001F5B68">
      <w:pPr>
        <w:pStyle w:val="Textonotapie"/>
        <w:jc w:val="both"/>
        <w:rPr>
          <w:rFonts w:ascii="ITC Avant Garde" w:hAnsi="ITC Avant Garde"/>
          <w:sz w:val="16"/>
          <w:szCs w:val="16"/>
        </w:rPr>
      </w:pPr>
      <w:r w:rsidRPr="001F5B68">
        <w:rPr>
          <w:rStyle w:val="Refdenotaalpie"/>
          <w:rFonts w:ascii="ITC Avant Garde" w:hAnsi="ITC Avant Garde"/>
          <w:sz w:val="16"/>
          <w:szCs w:val="16"/>
        </w:rPr>
        <w:footnoteRef/>
      </w:r>
      <w:r w:rsidRPr="001F5B68">
        <w:rPr>
          <w:rFonts w:ascii="ITC Avant Garde" w:hAnsi="ITC Avant Garde"/>
          <w:sz w:val="16"/>
          <w:szCs w:val="16"/>
        </w:rPr>
        <w:t xml:space="preserve"> “Decreto por el que se reforman y adicionan diversas disposiciones de los artículos 6o, 7o, 27, 28, 73, 78, 94 y 105 de la Constitución Política de los Estados Unidos Mexicanos, en materia de telecomunicaciones", publicado el once de junio de dos mil trece en el Diario Oficial de la Federación.</w:t>
      </w:r>
    </w:p>
  </w:footnote>
  <w:footnote w:id="4">
    <w:p w14:paraId="2509C7A5" w14:textId="6C3B8910" w:rsidR="00F30BCE" w:rsidRPr="001F5B68" w:rsidRDefault="00F30BCE" w:rsidP="001F5B68">
      <w:pPr>
        <w:pStyle w:val="Textonotapie"/>
        <w:jc w:val="both"/>
        <w:rPr>
          <w:rFonts w:ascii="ITC Avant Garde" w:hAnsi="ITC Avant Garde"/>
          <w:color w:val="0563C1"/>
          <w:sz w:val="16"/>
          <w:szCs w:val="16"/>
          <w:u w:val="single"/>
        </w:rPr>
      </w:pPr>
      <w:r w:rsidRPr="001F5B68">
        <w:rPr>
          <w:rStyle w:val="Refdenotaalpie"/>
          <w:rFonts w:ascii="ITC Avant Garde" w:hAnsi="ITC Avant Garde"/>
          <w:sz w:val="16"/>
          <w:szCs w:val="16"/>
        </w:rPr>
        <w:footnoteRef/>
      </w:r>
      <w:r w:rsidRPr="001F5B68">
        <w:rPr>
          <w:rFonts w:ascii="ITC Avant Garde" w:hAnsi="ITC Avant Garde"/>
          <w:sz w:val="16"/>
          <w:szCs w:val="16"/>
        </w:rPr>
        <w:t xml:space="preserve"> “Resolución mediante la cual el Pleno del Instituto Federal de Telecomunicaciones determina al grupo de interés económico del que forman parte América Móvil, S.A.B. de C.V., Teléfonos de México, S.A.B. de C.V., Teléfonos del Noroeste, S.A. de C. V., Radiomóvil Dipsa, S.A.B. de C. V., Grupo Carso, S.A.B. de C.V., y Grupo Financiero lnbursa, S.A.B. de C.V., como agente económico preponderante en el sector de telecomunicaciones y le impone las medidas necesarias para evitar que se afecte la competencia y la libre concurrencia.” Aprobada mediante Acuerdo P/IFT/EXT/060314/76</w:t>
      </w:r>
      <w:r w:rsidR="00D2761A" w:rsidRPr="001F5B68">
        <w:rPr>
          <w:rFonts w:ascii="ITC Avant Garde" w:hAnsi="ITC Avant Garde"/>
          <w:sz w:val="16"/>
          <w:szCs w:val="16"/>
        </w:rPr>
        <w:t xml:space="preserve">. Disponible en: Disponible en: </w:t>
      </w:r>
      <w:hyperlink r:id="rId2" w:history="1">
        <w:r w:rsidR="00D2761A" w:rsidRPr="001F5B68">
          <w:rPr>
            <w:rStyle w:val="Hipervnculo"/>
            <w:rFonts w:ascii="ITC Avant Garde" w:hAnsi="ITC Avant Garde"/>
            <w:sz w:val="16"/>
            <w:szCs w:val="16"/>
          </w:rPr>
          <w:t>http://www.ift.org.mx/sites/default/files/p_ift_ext_060314_76_version_publica_hoja.pdf</w:t>
        </w:r>
      </w:hyperlink>
    </w:p>
  </w:footnote>
  <w:footnote w:id="5">
    <w:p w14:paraId="68BC954C" w14:textId="2E686D9B" w:rsidR="00F30BCE" w:rsidRPr="001F5B68" w:rsidRDefault="00F30BCE" w:rsidP="001F5B68">
      <w:pPr>
        <w:pStyle w:val="Textonotapie"/>
        <w:jc w:val="both"/>
        <w:rPr>
          <w:rFonts w:ascii="ITC Avant Garde" w:hAnsi="ITC Avant Garde"/>
          <w:sz w:val="16"/>
          <w:szCs w:val="16"/>
        </w:rPr>
      </w:pPr>
      <w:r w:rsidRPr="001F5B68">
        <w:rPr>
          <w:rStyle w:val="Refdenotaalpie"/>
          <w:rFonts w:ascii="ITC Avant Garde" w:hAnsi="ITC Avant Garde"/>
          <w:sz w:val="16"/>
          <w:szCs w:val="16"/>
        </w:rPr>
        <w:footnoteRef/>
      </w:r>
      <w:r w:rsidRPr="001F5B68">
        <w:rPr>
          <w:rFonts w:ascii="ITC Avant Garde" w:hAnsi="ITC Avant Garde"/>
          <w:sz w:val="16"/>
          <w:szCs w:val="16"/>
        </w:rPr>
        <w:t xml:space="preserve"> Medidas Septuagésima del Anexo 1, Quincuagésima Séptima del Anexo 2 y Vigésima Cuarta del Anexo 3 de la Resolución de AEPT.</w:t>
      </w:r>
    </w:p>
  </w:footnote>
  <w:footnote w:id="6">
    <w:p w14:paraId="2E052D1D" w14:textId="23D8B57C" w:rsidR="00D2761A" w:rsidRPr="001F5B68" w:rsidRDefault="00D2761A" w:rsidP="001F5B68">
      <w:pPr>
        <w:pStyle w:val="Textonotapie"/>
        <w:jc w:val="both"/>
        <w:rPr>
          <w:rFonts w:ascii="ITC Avant Garde" w:hAnsi="ITC Avant Garde"/>
          <w:sz w:val="16"/>
          <w:szCs w:val="16"/>
        </w:rPr>
      </w:pPr>
      <w:r w:rsidRPr="001F5B68">
        <w:rPr>
          <w:rStyle w:val="Refdenotaalpie"/>
          <w:rFonts w:ascii="ITC Avant Garde" w:hAnsi="ITC Avant Garde"/>
          <w:sz w:val="16"/>
          <w:szCs w:val="16"/>
        </w:rPr>
        <w:footnoteRef/>
      </w:r>
      <w:r w:rsidRPr="001F5B68">
        <w:rPr>
          <w:rFonts w:ascii="ITC Avant Garde" w:hAnsi="ITC Avant Garde"/>
          <w:sz w:val="16"/>
          <w:szCs w:val="16"/>
        </w:rPr>
        <w:t xml:space="preserve"> </w:t>
      </w:r>
      <w:r w:rsidRPr="001F5B68">
        <w:rPr>
          <w:rFonts w:ascii="ITC Avant Garde" w:eastAsia="Times New Roman" w:hAnsi="ITC Avant Garde"/>
          <w:bCs/>
          <w:color w:val="000000"/>
          <w:sz w:val="16"/>
          <w:szCs w:val="16"/>
          <w:lang w:val="es-ES_tradnl" w:eastAsia="es-MX"/>
        </w:rPr>
        <w:t xml:space="preserve">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aprobada mediante Acuerdo P/IFT/EXT/270217/119 el </w:t>
      </w:r>
      <w:r w:rsidRPr="001F5B68">
        <w:rPr>
          <w:rFonts w:ascii="ITC Avant Garde" w:eastAsia="Times New Roman" w:hAnsi="ITC Avant Garde"/>
          <w:iCs/>
          <w:color w:val="000000"/>
          <w:sz w:val="16"/>
          <w:szCs w:val="16"/>
          <w:lang w:val="es-ES_tradnl" w:eastAsia="es-MX"/>
        </w:rPr>
        <w:t>27 de febrero de 2017.</w:t>
      </w:r>
      <w:r w:rsidR="002843F1" w:rsidRPr="001F5B68">
        <w:rPr>
          <w:rFonts w:ascii="ITC Avant Garde" w:eastAsia="Times New Roman" w:hAnsi="ITC Avant Garde"/>
          <w:iCs/>
          <w:color w:val="000000"/>
          <w:sz w:val="16"/>
          <w:szCs w:val="16"/>
          <w:lang w:val="es-ES_tradnl" w:eastAsia="es-MX"/>
        </w:rPr>
        <w:t xml:space="preserve"> Disponible en: </w:t>
      </w:r>
      <w:r w:rsidR="002843F1" w:rsidRPr="001F5B68">
        <w:rPr>
          <w:rFonts w:ascii="ITC Avant Garde" w:hAnsi="ITC Avant Garde"/>
          <w:sz w:val="16"/>
          <w:szCs w:val="16"/>
        </w:rPr>
        <w:t xml:space="preserve">Disponible en: </w:t>
      </w:r>
      <w:hyperlink r:id="rId3" w:history="1">
        <w:r w:rsidR="002843F1" w:rsidRPr="001F5B68">
          <w:rPr>
            <w:rStyle w:val="Hipervnculo"/>
            <w:rFonts w:ascii="ITC Avant Garde" w:hAnsi="ITC Avant Garde"/>
            <w:sz w:val="16"/>
            <w:szCs w:val="16"/>
          </w:rPr>
          <w:t>http://www.ift.org.mx/sites/default/files/pitfext270217119verpub_1.pdf</w:t>
        </w:r>
      </w:hyperlink>
    </w:p>
  </w:footnote>
  <w:footnote w:id="7">
    <w:p w14:paraId="268F4276" w14:textId="518ECC03" w:rsidR="00DA631A" w:rsidRDefault="00D2761A" w:rsidP="00DA631A">
      <w:pPr>
        <w:pStyle w:val="Textonotapie"/>
        <w:jc w:val="both"/>
      </w:pPr>
      <w:r w:rsidRPr="001F5B68">
        <w:rPr>
          <w:rStyle w:val="Refdenotaalpie"/>
          <w:rFonts w:ascii="ITC Avant Garde" w:hAnsi="ITC Avant Garde"/>
          <w:sz w:val="16"/>
          <w:szCs w:val="16"/>
        </w:rPr>
        <w:footnoteRef/>
      </w:r>
      <w:r w:rsidRPr="001F5B68">
        <w:rPr>
          <w:rFonts w:ascii="ITC Avant Garde" w:hAnsi="ITC Avant Garde"/>
          <w:sz w:val="16"/>
          <w:szCs w:val="16"/>
        </w:rPr>
        <w:t xml:space="preserve"> “</w:t>
      </w:r>
      <w:r w:rsidRPr="001F5B68">
        <w:rPr>
          <w:rFonts w:ascii="ITC Avant Garde" w:eastAsia="Times New Roman" w:hAnsi="ITC Avant Garde"/>
          <w:bCs/>
          <w:color w:val="000000"/>
          <w:sz w:val="16"/>
          <w:szCs w:val="16"/>
          <w:lang w:val="es-ES_tradnl" w:eastAsia="es-MX"/>
        </w:rPr>
        <w:t xml:space="preserve">Resolución mediante la cual el Pleno del Instituto Federal de Telecomunicaciones suprime, modifica y adiciona las medidas impuestas al agente económico preponderante en el sector de telecomunicaciones mediante Acuerdos P/IFT/EXT/060314/76 y P/IFT/EXT/270217/119.”, aprobada mediante Acuerdo P/IFT/021220/488 los días </w:t>
      </w:r>
      <w:r w:rsidRPr="001F5B68">
        <w:rPr>
          <w:rFonts w:ascii="ITC Avant Garde" w:eastAsia="Times New Roman" w:hAnsi="ITC Avant Garde"/>
          <w:iCs/>
          <w:color w:val="000000"/>
          <w:sz w:val="16"/>
          <w:szCs w:val="16"/>
          <w:lang w:val="es-ES_tradnl" w:eastAsia="es-MX"/>
        </w:rPr>
        <w:t>02, 03 y 04 de diciembre de 2020.</w:t>
      </w:r>
      <w:r w:rsidR="002843F1" w:rsidRPr="001F5B68">
        <w:rPr>
          <w:rFonts w:ascii="ITC Avant Garde" w:eastAsia="Times New Roman" w:hAnsi="ITC Avant Garde"/>
          <w:iCs/>
          <w:color w:val="000000"/>
          <w:sz w:val="16"/>
          <w:szCs w:val="16"/>
          <w:lang w:val="es-ES_tradnl" w:eastAsia="es-MX"/>
        </w:rPr>
        <w:t xml:space="preserve"> Disponible en: </w:t>
      </w:r>
      <w:hyperlink r:id="rId4" w:history="1">
        <w:r w:rsidR="00DA631A" w:rsidRPr="00F44356">
          <w:rPr>
            <w:rStyle w:val="Hipervnculo"/>
            <w:rFonts w:ascii="ITC Avant Garde" w:eastAsia="Times New Roman" w:hAnsi="ITC Avant Garde"/>
            <w:iCs/>
            <w:sz w:val="16"/>
            <w:szCs w:val="16"/>
            <w:lang w:val="es-ES_tradnl" w:eastAsia="es-MX"/>
          </w:rPr>
          <w:t>https://www.ift.org.mx/sites/default/files/21_02_22_bienal_2_vp_vf.pdf</w:t>
        </w:r>
      </w:hyperlink>
    </w:p>
  </w:footnote>
  <w:footnote w:id="8">
    <w:p w14:paraId="181EC9D4" w14:textId="77777777" w:rsidR="002C2D28" w:rsidRPr="0092653E" w:rsidRDefault="002C2D28" w:rsidP="0092653E">
      <w:pPr>
        <w:pStyle w:val="Textonotapie"/>
        <w:jc w:val="both"/>
        <w:rPr>
          <w:rFonts w:ascii="ITC Avant Garde" w:hAnsi="ITC Avant Garde"/>
          <w:sz w:val="18"/>
          <w:szCs w:val="18"/>
        </w:rPr>
      </w:pPr>
      <w:r w:rsidRPr="0092653E">
        <w:rPr>
          <w:rStyle w:val="Refdenotaalpie"/>
          <w:rFonts w:ascii="ITC Avant Garde" w:hAnsi="ITC Avant Garde"/>
          <w:sz w:val="18"/>
          <w:szCs w:val="18"/>
        </w:rPr>
        <w:footnoteRef/>
      </w:r>
      <w:r w:rsidRPr="0092653E">
        <w:rPr>
          <w:rFonts w:ascii="ITC Avant Garde" w:hAnsi="ITC Avant Garde"/>
          <w:sz w:val="18"/>
          <w:szCs w:val="18"/>
        </w:rPr>
        <w:t xml:space="preserve"> DECRETO por el que se reforman y adicionan diversas disposiciones de los artículos 6o., 7o., 27, 28, 73, 78, 94 y 105 de la Constitución Política de los Estados Unidos Mexicanos, en materia de telecomunicaciones.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DD3A" w14:textId="0CE72290" w:rsidR="00271E75" w:rsidRPr="007A6974" w:rsidRDefault="00271E75" w:rsidP="00800852">
    <w:pPr>
      <w:pStyle w:val="Encabezado"/>
      <w:tabs>
        <w:tab w:val="clear" w:pos="4419"/>
      </w:tabs>
      <w:rPr>
        <w:rFonts w:ascii="Century Gothic" w:hAnsi="Century Gothic"/>
      </w:rPr>
    </w:pPr>
    <w:r>
      <w:rPr>
        <w:noProof/>
        <w:lang w:eastAsia="es-MX"/>
      </w:rPr>
      <w:drawing>
        <wp:anchor distT="0" distB="762" distL="114300" distR="114300" simplePos="0" relativeHeight="251658240" behindDoc="1" locked="0" layoutInCell="1" allowOverlap="1" wp14:anchorId="0EAECB8D" wp14:editId="62C39199">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D54A813" w14:textId="528437FC" w:rsidR="00271E75" w:rsidRPr="00F36A5D" w:rsidRDefault="007C525F" w:rsidP="004D5EAB">
    <w:pPr>
      <w:pStyle w:val="Encabezado"/>
      <w:ind w:left="3119"/>
      <w:jc w:val="both"/>
      <w:rPr>
        <w:rFonts w:ascii="ITC Avant Garde" w:hAnsi="ITC Avant Garde"/>
        <w:b/>
        <w:sz w:val="20"/>
      </w:rPr>
    </w:pPr>
    <w:r w:rsidRPr="007C525F">
      <w:rPr>
        <w:rFonts w:ascii="ITC Avant Garde" w:hAnsi="ITC Avant Garde"/>
        <w:b/>
        <w:sz w:val="20"/>
      </w:rPr>
      <w:t xml:space="preserve">Consulta </w:t>
    </w:r>
    <w:r w:rsidR="005855BA">
      <w:rPr>
        <w:rFonts w:ascii="ITC Avant Garde" w:hAnsi="ITC Avant Garde"/>
        <w:b/>
        <w:sz w:val="20"/>
      </w:rPr>
      <w:t>P</w:t>
    </w:r>
    <w:r w:rsidRPr="007C525F">
      <w:rPr>
        <w:rFonts w:ascii="ITC Avant Garde" w:hAnsi="ITC Avant Garde"/>
        <w:b/>
        <w:sz w:val="20"/>
      </w:rPr>
      <w:t xml:space="preserve">ública de </w:t>
    </w:r>
    <w:r w:rsidR="005855BA">
      <w:rPr>
        <w:rFonts w:ascii="ITC Avant Garde" w:hAnsi="ITC Avant Garde"/>
        <w:b/>
        <w:sz w:val="20"/>
      </w:rPr>
      <w:t>I</w:t>
    </w:r>
    <w:r w:rsidRPr="00CC538C">
      <w:rPr>
        <w:rFonts w:ascii="ITC Avant Garde" w:hAnsi="ITC Avant Garde"/>
        <w:b/>
        <w:sz w:val="20"/>
      </w:rPr>
      <w:t>ntegración</w:t>
    </w:r>
    <w:r w:rsidRPr="007C525F">
      <w:rPr>
        <w:rFonts w:ascii="ITC Avant Garde" w:hAnsi="ITC Avant Garde"/>
        <w:b/>
        <w:sz w:val="20"/>
      </w:rPr>
      <w:t xml:space="preserve"> sobre</w:t>
    </w:r>
    <w:r w:rsidR="00261F84">
      <w:rPr>
        <w:rFonts w:ascii="ITC Avant Garde" w:hAnsi="ITC Avant Garde"/>
        <w:b/>
        <w:sz w:val="20"/>
      </w:rPr>
      <w:t xml:space="preserve"> </w:t>
    </w:r>
    <w:r w:rsidR="000D37A0">
      <w:rPr>
        <w:rFonts w:ascii="ITC Avant Garde" w:hAnsi="ITC Avant Garde"/>
        <w:b/>
        <w:sz w:val="20"/>
      </w:rPr>
      <w:t xml:space="preserve">el </w:t>
    </w:r>
    <w:r w:rsidR="003E6095">
      <w:rPr>
        <w:rFonts w:ascii="ITC Avant Garde" w:hAnsi="ITC Avant Garde"/>
        <w:b/>
        <w:sz w:val="20"/>
      </w:rPr>
      <w:t>impacto</w:t>
    </w:r>
    <w:r w:rsidR="00261F84">
      <w:rPr>
        <w:rFonts w:ascii="ITC Avant Garde" w:hAnsi="ITC Avant Garde"/>
        <w:b/>
        <w:sz w:val="20"/>
      </w:rPr>
      <w:t xml:space="preserve"> en términos de competencia de l</w:t>
    </w:r>
    <w:r w:rsidR="00394D43">
      <w:rPr>
        <w:rFonts w:ascii="ITC Avant Garde" w:hAnsi="ITC Avant Garde"/>
        <w:b/>
        <w:sz w:val="20"/>
      </w:rPr>
      <w:t>a</w:t>
    </w:r>
    <w:r w:rsidR="00261F84">
      <w:rPr>
        <w:rFonts w:ascii="ITC Avant Garde" w:hAnsi="ITC Avant Garde"/>
        <w:b/>
        <w:sz w:val="20"/>
      </w:rPr>
      <w:t>s medi</w:t>
    </w:r>
    <w:r w:rsidR="00394D43">
      <w:rPr>
        <w:rFonts w:ascii="ITC Avant Garde" w:hAnsi="ITC Avant Garde"/>
        <w:b/>
        <w:sz w:val="20"/>
      </w:rPr>
      <w:t>das</w:t>
    </w:r>
    <w:r w:rsidR="00261F84">
      <w:rPr>
        <w:rFonts w:ascii="ITC Avant Garde" w:hAnsi="ITC Avant Garde"/>
        <w:b/>
        <w:sz w:val="20"/>
      </w:rPr>
      <w:t xml:space="preserve"> impuest</w:t>
    </w:r>
    <w:r w:rsidR="00394D43">
      <w:rPr>
        <w:rFonts w:ascii="ITC Avant Garde" w:hAnsi="ITC Avant Garde"/>
        <w:b/>
        <w:sz w:val="20"/>
      </w:rPr>
      <w:t>a</w:t>
    </w:r>
    <w:r w:rsidR="00261F84">
      <w:rPr>
        <w:rFonts w:ascii="ITC Avant Garde" w:hAnsi="ITC Avant Garde"/>
        <w:b/>
        <w:sz w:val="20"/>
      </w:rPr>
      <w:t xml:space="preserve">s al </w:t>
    </w:r>
    <w:r w:rsidR="001773AD">
      <w:rPr>
        <w:rFonts w:ascii="ITC Avant Garde" w:hAnsi="ITC Avant Garde"/>
        <w:b/>
        <w:sz w:val="20"/>
      </w:rPr>
      <w:t>a</w:t>
    </w:r>
    <w:r w:rsidR="00261F84">
      <w:rPr>
        <w:rFonts w:ascii="ITC Avant Garde" w:hAnsi="ITC Avant Garde"/>
        <w:b/>
        <w:sz w:val="20"/>
      </w:rPr>
      <w:t xml:space="preserve">gente </w:t>
    </w:r>
    <w:r w:rsidR="001773AD">
      <w:rPr>
        <w:rFonts w:ascii="ITC Avant Garde" w:hAnsi="ITC Avant Garde"/>
        <w:b/>
        <w:sz w:val="20"/>
      </w:rPr>
      <w:t>e</w:t>
    </w:r>
    <w:r w:rsidR="00261F84">
      <w:rPr>
        <w:rFonts w:ascii="ITC Avant Garde" w:hAnsi="ITC Avant Garde"/>
        <w:b/>
        <w:sz w:val="20"/>
      </w:rPr>
      <w:t xml:space="preserve">conómico </w:t>
    </w:r>
    <w:r w:rsidR="001773AD">
      <w:rPr>
        <w:rFonts w:ascii="ITC Avant Garde" w:hAnsi="ITC Avant Garde"/>
        <w:b/>
        <w:sz w:val="20"/>
      </w:rPr>
      <w:t>p</w:t>
    </w:r>
    <w:r w:rsidR="00261F84">
      <w:rPr>
        <w:rFonts w:ascii="ITC Avant Garde" w:hAnsi="ITC Avant Garde"/>
        <w:b/>
        <w:sz w:val="20"/>
      </w:rPr>
      <w:t xml:space="preserve">reponderante en el </w:t>
    </w:r>
    <w:r w:rsidR="001773AD">
      <w:rPr>
        <w:rFonts w:ascii="ITC Avant Garde" w:hAnsi="ITC Avant Garde"/>
        <w:b/>
        <w:sz w:val="20"/>
      </w:rPr>
      <w:t>s</w:t>
    </w:r>
    <w:r w:rsidR="00261F84">
      <w:rPr>
        <w:rFonts w:ascii="ITC Avant Garde" w:hAnsi="ITC Avant Garde"/>
        <w:b/>
        <w:sz w:val="20"/>
      </w:rPr>
      <w:t xml:space="preserve">ector de </w:t>
    </w:r>
    <w:r w:rsidR="005D21B6">
      <w:rPr>
        <w:rFonts w:ascii="ITC Avant Garde" w:hAnsi="ITC Avant Garde"/>
        <w:b/>
        <w:sz w:val="20"/>
      </w:rPr>
      <w:t>t</w:t>
    </w:r>
    <w:r w:rsidR="00261F84">
      <w:rPr>
        <w:rFonts w:ascii="ITC Avant Garde" w:hAnsi="ITC Avant Garde"/>
        <w:b/>
        <w:sz w:val="20"/>
      </w:rPr>
      <w:t>elecomunicaciones</w:t>
    </w:r>
  </w:p>
  <w:p w14:paraId="63C0CEF9" w14:textId="77777777" w:rsidR="00271E75" w:rsidRPr="007A6974" w:rsidRDefault="00271E75"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1" behindDoc="0" locked="0" layoutInCell="1" allowOverlap="1" wp14:anchorId="03B58F53" wp14:editId="6748167A">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0646FC" id="Conector recto 2" o:spid="_x0000_s1026" alt="Título: Línea para separar los textos"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91A"/>
    <w:multiLevelType w:val="hybridMultilevel"/>
    <w:tmpl w:val="E87EB962"/>
    <w:lvl w:ilvl="0" w:tplc="7D361FB6">
      <w:start w:val="1"/>
      <w:numFmt w:val="upperRoman"/>
      <w:pStyle w:val="Ttulo2"/>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A5F14C9"/>
    <w:multiLevelType w:val="hybridMultilevel"/>
    <w:tmpl w:val="5532D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391FE2"/>
    <w:multiLevelType w:val="hybridMultilevel"/>
    <w:tmpl w:val="B66E2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BB2D6C"/>
    <w:multiLevelType w:val="hybridMultilevel"/>
    <w:tmpl w:val="A98CD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1A3483"/>
    <w:multiLevelType w:val="hybridMultilevel"/>
    <w:tmpl w:val="8C60E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5915AE"/>
    <w:multiLevelType w:val="hybridMultilevel"/>
    <w:tmpl w:val="F118D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4F55318"/>
    <w:multiLevelType w:val="hybridMultilevel"/>
    <w:tmpl w:val="0666B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C391978"/>
    <w:multiLevelType w:val="hybridMultilevel"/>
    <w:tmpl w:val="67B61E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9C848CF"/>
    <w:multiLevelType w:val="hybridMultilevel"/>
    <w:tmpl w:val="FFE6B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C7E3232"/>
    <w:multiLevelType w:val="hybridMultilevel"/>
    <w:tmpl w:val="DCD8D90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4" w15:restartNumberingAfterBreak="0">
    <w:nsid w:val="7DD82C1E"/>
    <w:multiLevelType w:val="hybridMultilevel"/>
    <w:tmpl w:val="81A40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99696903">
    <w:abstractNumId w:val="9"/>
  </w:num>
  <w:num w:numId="2" w16cid:durableId="299043954">
    <w:abstractNumId w:val="0"/>
  </w:num>
  <w:num w:numId="3" w16cid:durableId="30964340">
    <w:abstractNumId w:val="7"/>
  </w:num>
  <w:num w:numId="4" w16cid:durableId="562913900">
    <w:abstractNumId w:val="15"/>
  </w:num>
  <w:num w:numId="5" w16cid:durableId="1000812466">
    <w:abstractNumId w:val="5"/>
  </w:num>
  <w:num w:numId="6" w16cid:durableId="677346507">
    <w:abstractNumId w:val="3"/>
  </w:num>
  <w:num w:numId="7" w16cid:durableId="1216547887">
    <w:abstractNumId w:val="10"/>
  </w:num>
  <w:num w:numId="8" w16cid:durableId="1551959119">
    <w:abstractNumId w:val="13"/>
  </w:num>
  <w:num w:numId="9" w16cid:durableId="225652294">
    <w:abstractNumId w:val="11"/>
  </w:num>
  <w:num w:numId="10" w16cid:durableId="1647127794">
    <w:abstractNumId w:val="14"/>
  </w:num>
  <w:num w:numId="11" w16cid:durableId="78017568">
    <w:abstractNumId w:val="4"/>
  </w:num>
  <w:num w:numId="12" w16cid:durableId="1258439840">
    <w:abstractNumId w:val="1"/>
  </w:num>
  <w:num w:numId="13" w16cid:durableId="1857426510">
    <w:abstractNumId w:val="6"/>
  </w:num>
  <w:num w:numId="14" w16cid:durableId="159397097">
    <w:abstractNumId w:val="2"/>
  </w:num>
  <w:num w:numId="15" w16cid:durableId="1259145052">
    <w:abstractNumId w:val="12"/>
  </w:num>
  <w:num w:numId="16" w16cid:durableId="671973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D"/>
    <w:rsid w:val="000049D9"/>
    <w:rsid w:val="00004E33"/>
    <w:rsid w:val="000055EA"/>
    <w:rsid w:val="00005D31"/>
    <w:rsid w:val="00005DB7"/>
    <w:rsid w:val="00011C87"/>
    <w:rsid w:val="00014493"/>
    <w:rsid w:val="000149AB"/>
    <w:rsid w:val="00015130"/>
    <w:rsid w:val="0001600D"/>
    <w:rsid w:val="0002271D"/>
    <w:rsid w:val="000237FA"/>
    <w:rsid w:val="00023AF7"/>
    <w:rsid w:val="000253EE"/>
    <w:rsid w:val="00025623"/>
    <w:rsid w:val="00026723"/>
    <w:rsid w:val="00030E6E"/>
    <w:rsid w:val="000324FE"/>
    <w:rsid w:val="0003476F"/>
    <w:rsid w:val="000356DE"/>
    <w:rsid w:val="00036142"/>
    <w:rsid w:val="0003626C"/>
    <w:rsid w:val="00040722"/>
    <w:rsid w:val="00043DCB"/>
    <w:rsid w:val="00051577"/>
    <w:rsid w:val="000549F6"/>
    <w:rsid w:val="000553DD"/>
    <w:rsid w:val="00062C1D"/>
    <w:rsid w:val="00067709"/>
    <w:rsid w:val="0007778B"/>
    <w:rsid w:val="00082D5D"/>
    <w:rsid w:val="0008701D"/>
    <w:rsid w:val="0009088D"/>
    <w:rsid w:val="0009104D"/>
    <w:rsid w:val="00092755"/>
    <w:rsid w:val="000931D8"/>
    <w:rsid w:val="00094041"/>
    <w:rsid w:val="00097B00"/>
    <w:rsid w:val="000A0403"/>
    <w:rsid w:val="000A0CEF"/>
    <w:rsid w:val="000A0F69"/>
    <w:rsid w:val="000A112D"/>
    <w:rsid w:val="000A2363"/>
    <w:rsid w:val="000A3641"/>
    <w:rsid w:val="000A5CFB"/>
    <w:rsid w:val="000A6067"/>
    <w:rsid w:val="000A619B"/>
    <w:rsid w:val="000A6255"/>
    <w:rsid w:val="000B49E0"/>
    <w:rsid w:val="000B5A31"/>
    <w:rsid w:val="000B5C31"/>
    <w:rsid w:val="000B684E"/>
    <w:rsid w:val="000B71C0"/>
    <w:rsid w:val="000C1B54"/>
    <w:rsid w:val="000C1C30"/>
    <w:rsid w:val="000C32F1"/>
    <w:rsid w:val="000C476E"/>
    <w:rsid w:val="000D07E4"/>
    <w:rsid w:val="000D2838"/>
    <w:rsid w:val="000D37A0"/>
    <w:rsid w:val="000D6019"/>
    <w:rsid w:val="000D6674"/>
    <w:rsid w:val="000D7FFA"/>
    <w:rsid w:val="000E0501"/>
    <w:rsid w:val="000E2AF7"/>
    <w:rsid w:val="000E41EA"/>
    <w:rsid w:val="000E41F3"/>
    <w:rsid w:val="000E54B6"/>
    <w:rsid w:val="000E55B0"/>
    <w:rsid w:val="000E727B"/>
    <w:rsid w:val="000E7D0E"/>
    <w:rsid w:val="000F0139"/>
    <w:rsid w:val="00100C9C"/>
    <w:rsid w:val="00102148"/>
    <w:rsid w:val="001022DC"/>
    <w:rsid w:val="00105E55"/>
    <w:rsid w:val="001124B6"/>
    <w:rsid w:val="00112B88"/>
    <w:rsid w:val="0011622B"/>
    <w:rsid w:val="00117324"/>
    <w:rsid w:val="001207EF"/>
    <w:rsid w:val="00120D05"/>
    <w:rsid w:val="00132257"/>
    <w:rsid w:val="001331D8"/>
    <w:rsid w:val="001413ED"/>
    <w:rsid w:val="001449B0"/>
    <w:rsid w:val="00145E17"/>
    <w:rsid w:val="001543EA"/>
    <w:rsid w:val="00156FCD"/>
    <w:rsid w:val="00160352"/>
    <w:rsid w:val="001621F6"/>
    <w:rsid w:val="00164AE9"/>
    <w:rsid w:val="00166A3F"/>
    <w:rsid w:val="00170916"/>
    <w:rsid w:val="00174196"/>
    <w:rsid w:val="00175A93"/>
    <w:rsid w:val="001771F8"/>
    <w:rsid w:val="001773AD"/>
    <w:rsid w:val="00182FC1"/>
    <w:rsid w:val="00184FA4"/>
    <w:rsid w:val="001937D1"/>
    <w:rsid w:val="001947E2"/>
    <w:rsid w:val="001A1DF6"/>
    <w:rsid w:val="001A3C45"/>
    <w:rsid w:val="001A57DB"/>
    <w:rsid w:val="001A5C6A"/>
    <w:rsid w:val="001B1359"/>
    <w:rsid w:val="001B369B"/>
    <w:rsid w:val="001B5184"/>
    <w:rsid w:val="001B537C"/>
    <w:rsid w:val="001B676D"/>
    <w:rsid w:val="001C0864"/>
    <w:rsid w:val="001C11B0"/>
    <w:rsid w:val="001C1A6D"/>
    <w:rsid w:val="001C7102"/>
    <w:rsid w:val="001D07E4"/>
    <w:rsid w:val="001D2868"/>
    <w:rsid w:val="001D4AB1"/>
    <w:rsid w:val="001E0388"/>
    <w:rsid w:val="001E4303"/>
    <w:rsid w:val="001F1F43"/>
    <w:rsid w:val="001F1F79"/>
    <w:rsid w:val="001F5B68"/>
    <w:rsid w:val="001F6CEA"/>
    <w:rsid w:val="0020440A"/>
    <w:rsid w:val="002107F6"/>
    <w:rsid w:val="00211E7C"/>
    <w:rsid w:val="002124FB"/>
    <w:rsid w:val="00217A22"/>
    <w:rsid w:val="00221089"/>
    <w:rsid w:val="00222886"/>
    <w:rsid w:val="00225373"/>
    <w:rsid w:val="002266C2"/>
    <w:rsid w:val="00232A61"/>
    <w:rsid w:val="00242AA4"/>
    <w:rsid w:val="0024358F"/>
    <w:rsid w:val="00246FA5"/>
    <w:rsid w:val="00260C4C"/>
    <w:rsid w:val="00261F84"/>
    <w:rsid w:val="00264F97"/>
    <w:rsid w:val="00266BE0"/>
    <w:rsid w:val="002701F5"/>
    <w:rsid w:val="00271E75"/>
    <w:rsid w:val="00272B83"/>
    <w:rsid w:val="002771ED"/>
    <w:rsid w:val="00280134"/>
    <w:rsid w:val="00280D8D"/>
    <w:rsid w:val="002811C3"/>
    <w:rsid w:val="002823DE"/>
    <w:rsid w:val="002843F1"/>
    <w:rsid w:val="00297840"/>
    <w:rsid w:val="002A0A47"/>
    <w:rsid w:val="002A5F52"/>
    <w:rsid w:val="002A7880"/>
    <w:rsid w:val="002A7E04"/>
    <w:rsid w:val="002A7EC6"/>
    <w:rsid w:val="002B1AD7"/>
    <w:rsid w:val="002B4BB2"/>
    <w:rsid w:val="002B62A4"/>
    <w:rsid w:val="002B63D8"/>
    <w:rsid w:val="002C0D35"/>
    <w:rsid w:val="002C2640"/>
    <w:rsid w:val="002C2D28"/>
    <w:rsid w:val="002C3201"/>
    <w:rsid w:val="002D159F"/>
    <w:rsid w:val="002D17C4"/>
    <w:rsid w:val="002D18DE"/>
    <w:rsid w:val="002D34FE"/>
    <w:rsid w:val="002D57B0"/>
    <w:rsid w:val="002D6946"/>
    <w:rsid w:val="002E6C44"/>
    <w:rsid w:val="002F489E"/>
    <w:rsid w:val="002F678D"/>
    <w:rsid w:val="00301F89"/>
    <w:rsid w:val="00307092"/>
    <w:rsid w:val="0031183C"/>
    <w:rsid w:val="0031327E"/>
    <w:rsid w:val="00315763"/>
    <w:rsid w:val="00316DC1"/>
    <w:rsid w:val="00323B07"/>
    <w:rsid w:val="00323F3A"/>
    <w:rsid w:val="00324DBD"/>
    <w:rsid w:val="00325D79"/>
    <w:rsid w:val="00331DFF"/>
    <w:rsid w:val="00332319"/>
    <w:rsid w:val="0033448A"/>
    <w:rsid w:val="0033496A"/>
    <w:rsid w:val="003353FC"/>
    <w:rsid w:val="00340110"/>
    <w:rsid w:val="0034067D"/>
    <w:rsid w:val="00340A4E"/>
    <w:rsid w:val="00350692"/>
    <w:rsid w:val="00352375"/>
    <w:rsid w:val="003548B4"/>
    <w:rsid w:val="00357CAA"/>
    <w:rsid w:val="00360358"/>
    <w:rsid w:val="00360DFD"/>
    <w:rsid w:val="003613DA"/>
    <w:rsid w:val="00361F92"/>
    <w:rsid w:val="00362C5C"/>
    <w:rsid w:val="00375A83"/>
    <w:rsid w:val="00380392"/>
    <w:rsid w:val="00380AF6"/>
    <w:rsid w:val="00380FDD"/>
    <w:rsid w:val="0038199D"/>
    <w:rsid w:val="00381D5B"/>
    <w:rsid w:val="00390B31"/>
    <w:rsid w:val="00391756"/>
    <w:rsid w:val="00392A09"/>
    <w:rsid w:val="003932AE"/>
    <w:rsid w:val="00393B1D"/>
    <w:rsid w:val="00394200"/>
    <w:rsid w:val="00394D43"/>
    <w:rsid w:val="003A2325"/>
    <w:rsid w:val="003A44D2"/>
    <w:rsid w:val="003A7417"/>
    <w:rsid w:val="003A7C5A"/>
    <w:rsid w:val="003B524B"/>
    <w:rsid w:val="003B6BA1"/>
    <w:rsid w:val="003C0377"/>
    <w:rsid w:val="003C038E"/>
    <w:rsid w:val="003D0DF8"/>
    <w:rsid w:val="003D1364"/>
    <w:rsid w:val="003D1CAC"/>
    <w:rsid w:val="003D2703"/>
    <w:rsid w:val="003D7579"/>
    <w:rsid w:val="003E4BED"/>
    <w:rsid w:val="003E5478"/>
    <w:rsid w:val="003E55FE"/>
    <w:rsid w:val="003E6095"/>
    <w:rsid w:val="003E7D11"/>
    <w:rsid w:val="003F0722"/>
    <w:rsid w:val="003F4DE4"/>
    <w:rsid w:val="003F603E"/>
    <w:rsid w:val="003F7FD3"/>
    <w:rsid w:val="0041087B"/>
    <w:rsid w:val="00410F8E"/>
    <w:rsid w:val="004141B1"/>
    <w:rsid w:val="00420DD3"/>
    <w:rsid w:val="004317BC"/>
    <w:rsid w:val="0043365D"/>
    <w:rsid w:val="0043404E"/>
    <w:rsid w:val="00435168"/>
    <w:rsid w:val="004368BF"/>
    <w:rsid w:val="00440E1A"/>
    <w:rsid w:val="00444217"/>
    <w:rsid w:val="00444EAF"/>
    <w:rsid w:val="0045024C"/>
    <w:rsid w:val="00450FCD"/>
    <w:rsid w:val="004510A1"/>
    <w:rsid w:val="00454377"/>
    <w:rsid w:val="0045595D"/>
    <w:rsid w:val="00460E7A"/>
    <w:rsid w:val="00461A06"/>
    <w:rsid w:val="00463E04"/>
    <w:rsid w:val="004646F0"/>
    <w:rsid w:val="00464849"/>
    <w:rsid w:val="00464AE1"/>
    <w:rsid w:val="0046559B"/>
    <w:rsid w:val="004666A6"/>
    <w:rsid w:val="00474104"/>
    <w:rsid w:val="0047696E"/>
    <w:rsid w:val="004775AE"/>
    <w:rsid w:val="004939AF"/>
    <w:rsid w:val="00494FC1"/>
    <w:rsid w:val="004970C4"/>
    <w:rsid w:val="004A0202"/>
    <w:rsid w:val="004A1FE1"/>
    <w:rsid w:val="004A79E0"/>
    <w:rsid w:val="004B053F"/>
    <w:rsid w:val="004B0CA6"/>
    <w:rsid w:val="004B0FD3"/>
    <w:rsid w:val="004B5044"/>
    <w:rsid w:val="004C1170"/>
    <w:rsid w:val="004C4695"/>
    <w:rsid w:val="004D2FD5"/>
    <w:rsid w:val="004D3BE2"/>
    <w:rsid w:val="004D48A9"/>
    <w:rsid w:val="004D5EAB"/>
    <w:rsid w:val="004D64DD"/>
    <w:rsid w:val="004D7960"/>
    <w:rsid w:val="004E2A3A"/>
    <w:rsid w:val="004E2C4B"/>
    <w:rsid w:val="004E4B70"/>
    <w:rsid w:val="004E5176"/>
    <w:rsid w:val="004F0CF7"/>
    <w:rsid w:val="004F0F70"/>
    <w:rsid w:val="004F17BB"/>
    <w:rsid w:val="004F4C27"/>
    <w:rsid w:val="004F62DC"/>
    <w:rsid w:val="004F7BB5"/>
    <w:rsid w:val="005012E2"/>
    <w:rsid w:val="00501789"/>
    <w:rsid w:val="00501928"/>
    <w:rsid w:val="00502BB2"/>
    <w:rsid w:val="00510155"/>
    <w:rsid w:val="00511FAE"/>
    <w:rsid w:val="00517B43"/>
    <w:rsid w:val="005214C7"/>
    <w:rsid w:val="0052296A"/>
    <w:rsid w:val="00523087"/>
    <w:rsid w:val="0052558F"/>
    <w:rsid w:val="00525AD6"/>
    <w:rsid w:val="005332DC"/>
    <w:rsid w:val="00535E24"/>
    <w:rsid w:val="00536487"/>
    <w:rsid w:val="0053724F"/>
    <w:rsid w:val="00543708"/>
    <w:rsid w:val="00544606"/>
    <w:rsid w:val="00545F79"/>
    <w:rsid w:val="00546B04"/>
    <w:rsid w:val="00546C4E"/>
    <w:rsid w:val="00546F00"/>
    <w:rsid w:val="00551194"/>
    <w:rsid w:val="005520AA"/>
    <w:rsid w:val="00553B51"/>
    <w:rsid w:val="00553C7B"/>
    <w:rsid w:val="00555B10"/>
    <w:rsid w:val="00560477"/>
    <w:rsid w:val="00564A19"/>
    <w:rsid w:val="0056758A"/>
    <w:rsid w:val="00570F3A"/>
    <w:rsid w:val="00575EFD"/>
    <w:rsid w:val="005801A3"/>
    <w:rsid w:val="00582214"/>
    <w:rsid w:val="005837D4"/>
    <w:rsid w:val="00584CB6"/>
    <w:rsid w:val="0058551F"/>
    <w:rsid w:val="005855BA"/>
    <w:rsid w:val="005876C4"/>
    <w:rsid w:val="00595786"/>
    <w:rsid w:val="005A177A"/>
    <w:rsid w:val="005A1A0F"/>
    <w:rsid w:val="005A5671"/>
    <w:rsid w:val="005A5F31"/>
    <w:rsid w:val="005A653C"/>
    <w:rsid w:val="005B0125"/>
    <w:rsid w:val="005B12A5"/>
    <w:rsid w:val="005B2C1D"/>
    <w:rsid w:val="005B3E9A"/>
    <w:rsid w:val="005B7378"/>
    <w:rsid w:val="005C0435"/>
    <w:rsid w:val="005C06DB"/>
    <w:rsid w:val="005C072E"/>
    <w:rsid w:val="005C66A9"/>
    <w:rsid w:val="005C67EA"/>
    <w:rsid w:val="005D1637"/>
    <w:rsid w:val="005D1DEE"/>
    <w:rsid w:val="005D21B6"/>
    <w:rsid w:val="005D2CC9"/>
    <w:rsid w:val="005D3565"/>
    <w:rsid w:val="005D55AB"/>
    <w:rsid w:val="005D622C"/>
    <w:rsid w:val="005D6DB0"/>
    <w:rsid w:val="005E0B50"/>
    <w:rsid w:val="005E55BF"/>
    <w:rsid w:val="005F0265"/>
    <w:rsid w:val="005F2BA4"/>
    <w:rsid w:val="005F4DEC"/>
    <w:rsid w:val="00600500"/>
    <w:rsid w:val="00600DB8"/>
    <w:rsid w:val="006020E6"/>
    <w:rsid w:val="00603B41"/>
    <w:rsid w:val="00605BD9"/>
    <w:rsid w:val="006069B0"/>
    <w:rsid w:val="00612A41"/>
    <w:rsid w:val="006160C9"/>
    <w:rsid w:val="006223B2"/>
    <w:rsid w:val="00623761"/>
    <w:rsid w:val="00623F6F"/>
    <w:rsid w:val="006240BB"/>
    <w:rsid w:val="00625CB1"/>
    <w:rsid w:val="0062657D"/>
    <w:rsid w:val="00626BE6"/>
    <w:rsid w:val="00627B2B"/>
    <w:rsid w:val="00634948"/>
    <w:rsid w:val="0064308C"/>
    <w:rsid w:val="006430BF"/>
    <w:rsid w:val="0065082F"/>
    <w:rsid w:val="00657E2B"/>
    <w:rsid w:val="006601AF"/>
    <w:rsid w:val="0066476F"/>
    <w:rsid w:val="00670385"/>
    <w:rsid w:val="00670A0E"/>
    <w:rsid w:val="00675B67"/>
    <w:rsid w:val="0067607D"/>
    <w:rsid w:val="0067625F"/>
    <w:rsid w:val="006774EA"/>
    <w:rsid w:val="00677839"/>
    <w:rsid w:val="0068054F"/>
    <w:rsid w:val="00683443"/>
    <w:rsid w:val="00686D04"/>
    <w:rsid w:val="00687D65"/>
    <w:rsid w:val="00694AE5"/>
    <w:rsid w:val="006A1D68"/>
    <w:rsid w:val="006A2672"/>
    <w:rsid w:val="006A2F0D"/>
    <w:rsid w:val="006A3CD3"/>
    <w:rsid w:val="006A6D93"/>
    <w:rsid w:val="006B0B12"/>
    <w:rsid w:val="006B50CD"/>
    <w:rsid w:val="006C25ED"/>
    <w:rsid w:val="006C672B"/>
    <w:rsid w:val="006D21D9"/>
    <w:rsid w:val="006E248A"/>
    <w:rsid w:val="006E361A"/>
    <w:rsid w:val="006E48D6"/>
    <w:rsid w:val="006F1AB2"/>
    <w:rsid w:val="006F1CE8"/>
    <w:rsid w:val="006F219A"/>
    <w:rsid w:val="006F5989"/>
    <w:rsid w:val="006F7B29"/>
    <w:rsid w:val="00702727"/>
    <w:rsid w:val="00703850"/>
    <w:rsid w:val="00705CA8"/>
    <w:rsid w:val="00706C40"/>
    <w:rsid w:val="00707E48"/>
    <w:rsid w:val="00714C32"/>
    <w:rsid w:val="007163E5"/>
    <w:rsid w:val="00717244"/>
    <w:rsid w:val="00717B72"/>
    <w:rsid w:val="00720D64"/>
    <w:rsid w:val="0072358F"/>
    <w:rsid w:val="0072603E"/>
    <w:rsid w:val="00726A4C"/>
    <w:rsid w:val="00732143"/>
    <w:rsid w:val="00735DEE"/>
    <w:rsid w:val="0074187C"/>
    <w:rsid w:val="00743BCA"/>
    <w:rsid w:val="007440B2"/>
    <w:rsid w:val="0074626C"/>
    <w:rsid w:val="007473C3"/>
    <w:rsid w:val="007628D0"/>
    <w:rsid w:val="00762996"/>
    <w:rsid w:val="00763495"/>
    <w:rsid w:val="007644BA"/>
    <w:rsid w:val="007712B7"/>
    <w:rsid w:val="00772969"/>
    <w:rsid w:val="0077357C"/>
    <w:rsid w:val="00775562"/>
    <w:rsid w:val="00775F83"/>
    <w:rsid w:val="007843CF"/>
    <w:rsid w:val="00787028"/>
    <w:rsid w:val="0079076D"/>
    <w:rsid w:val="00796743"/>
    <w:rsid w:val="007978CB"/>
    <w:rsid w:val="007A1B7C"/>
    <w:rsid w:val="007A1E11"/>
    <w:rsid w:val="007A2C22"/>
    <w:rsid w:val="007A3BB3"/>
    <w:rsid w:val="007A5394"/>
    <w:rsid w:val="007A6974"/>
    <w:rsid w:val="007A752F"/>
    <w:rsid w:val="007B3952"/>
    <w:rsid w:val="007B40A5"/>
    <w:rsid w:val="007B6347"/>
    <w:rsid w:val="007B703D"/>
    <w:rsid w:val="007C1346"/>
    <w:rsid w:val="007C2ED0"/>
    <w:rsid w:val="007C525F"/>
    <w:rsid w:val="007C53CF"/>
    <w:rsid w:val="007C561D"/>
    <w:rsid w:val="007C6308"/>
    <w:rsid w:val="007D4688"/>
    <w:rsid w:val="007D4A23"/>
    <w:rsid w:val="007D610C"/>
    <w:rsid w:val="007E04FB"/>
    <w:rsid w:val="007E0959"/>
    <w:rsid w:val="007E0EC6"/>
    <w:rsid w:val="007E1B2E"/>
    <w:rsid w:val="007E29E9"/>
    <w:rsid w:val="007E4261"/>
    <w:rsid w:val="007E7B44"/>
    <w:rsid w:val="007F305E"/>
    <w:rsid w:val="007F4DB5"/>
    <w:rsid w:val="007F6983"/>
    <w:rsid w:val="007F732C"/>
    <w:rsid w:val="00800852"/>
    <w:rsid w:val="00804BB7"/>
    <w:rsid w:val="00805E1E"/>
    <w:rsid w:val="00806141"/>
    <w:rsid w:val="00807A65"/>
    <w:rsid w:val="0081738C"/>
    <w:rsid w:val="008200BE"/>
    <w:rsid w:val="00821743"/>
    <w:rsid w:val="008219F6"/>
    <w:rsid w:val="00821F94"/>
    <w:rsid w:val="008222ED"/>
    <w:rsid w:val="00824DB7"/>
    <w:rsid w:val="008271AB"/>
    <w:rsid w:val="00833D48"/>
    <w:rsid w:val="00835F7D"/>
    <w:rsid w:val="008406AA"/>
    <w:rsid w:val="008455AA"/>
    <w:rsid w:val="00854FBE"/>
    <w:rsid w:val="0086154B"/>
    <w:rsid w:val="00861D6A"/>
    <w:rsid w:val="008654B1"/>
    <w:rsid w:val="008658B5"/>
    <w:rsid w:val="00866699"/>
    <w:rsid w:val="008667C7"/>
    <w:rsid w:val="008711D6"/>
    <w:rsid w:val="00873E7E"/>
    <w:rsid w:val="008754B4"/>
    <w:rsid w:val="0087596E"/>
    <w:rsid w:val="00876E3E"/>
    <w:rsid w:val="00876E61"/>
    <w:rsid w:val="008843FB"/>
    <w:rsid w:val="00885864"/>
    <w:rsid w:val="0089041C"/>
    <w:rsid w:val="00893186"/>
    <w:rsid w:val="008A337C"/>
    <w:rsid w:val="008A5565"/>
    <w:rsid w:val="008B15CE"/>
    <w:rsid w:val="008C0CCA"/>
    <w:rsid w:val="008C3BB3"/>
    <w:rsid w:val="008C679D"/>
    <w:rsid w:val="008D106B"/>
    <w:rsid w:val="008D1888"/>
    <w:rsid w:val="008D1C47"/>
    <w:rsid w:val="008D4C7A"/>
    <w:rsid w:val="008D6A1D"/>
    <w:rsid w:val="008E2476"/>
    <w:rsid w:val="008F0D3E"/>
    <w:rsid w:val="008F16D3"/>
    <w:rsid w:val="008F2B1A"/>
    <w:rsid w:val="008F4468"/>
    <w:rsid w:val="008F5E99"/>
    <w:rsid w:val="008F5F75"/>
    <w:rsid w:val="008F63B1"/>
    <w:rsid w:val="00903C94"/>
    <w:rsid w:val="00905C74"/>
    <w:rsid w:val="0091193C"/>
    <w:rsid w:val="00912EF9"/>
    <w:rsid w:val="00913F1B"/>
    <w:rsid w:val="00915CEA"/>
    <w:rsid w:val="009160D3"/>
    <w:rsid w:val="00924E06"/>
    <w:rsid w:val="0092653E"/>
    <w:rsid w:val="00930E29"/>
    <w:rsid w:val="00931546"/>
    <w:rsid w:val="009346DD"/>
    <w:rsid w:val="0094150D"/>
    <w:rsid w:val="00942344"/>
    <w:rsid w:val="009426CC"/>
    <w:rsid w:val="00944B2E"/>
    <w:rsid w:val="00946EFD"/>
    <w:rsid w:val="009555A5"/>
    <w:rsid w:val="00956B99"/>
    <w:rsid w:val="00957DB8"/>
    <w:rsid w:val="009602FF"/>
    <w:rsid w:val="009639AF"/>
    <w:rsid w:val="00966D07"/>
    <w:rsid w:val="00970730"/>
    <w:rsid w:val="009708CD"/>
    <w:rsid w:val="00975C25"/>
    <w:rsid w:val="0098095A"/>
    <w:rsid w:val="00981D2D"/>
    <w:rsid w:val="0098316E"/>
    <w:rsid w:val="009868BF"/>
    <w:rsid w:val="00987672"/>
    <w:rsid w:val="00991CB4"/>
    <w:rsid w:val="0099287E"/>
    <w:rsid w:val="009A208A"/>
    <w:rsid w:val="009A7F3C"/>
    <w:rsid w:val="009B2022"/>
    <w:rsid w:val="009B360E"/>
    <w:rsid w:val="009B3834"/>
    <w:rsid w:val="009B5A35"/>
    <w:rsid w:val="009C0C84"/>
    <w:rsid w:val="009C1B2E"/>
    <w:rsid w:val="009C38E2"/>
    <w:rsid w:val="009C5A1F"/>
    <w:rsid w:val="009C6A6F"/>
    <w:rsid w:val="009C6C17"/>
    <w:rsid w:val="009D0819"/>
    <w:rsid w:val="009D0EF4"/>
    <w:rsid w:val="009D3DDA"/>
    <w:rsid w:val="009D5669"/>
    <w:rsid w:val="009D67A6"/>
    <w:rsid w:val="009E072C"/>
    <w:rsid w:val="009E0AD8"/>
    <w:rsid w:val="009E197F"/>
    <w:rsid w:val="009E42CC"/>
    <w:rsid w:val="009E43A3"/>
    <w:rsid w:val="009F11B7"/>
    <w:rsid w:val="009F7734"/>
    <w:rsid w:val="00A003A6"/>
    <w:rsid w:val="00A00824"/>
    <w:rsid w:val="00A0235F"/>
    <w:rsid w:val="00A023DF"/>
    <w:rsid w:val="00A03F6E"/>
    <w:rsid w:val="00A04017"/>
    <w:rsid w:val="00A078AE"/>
    <w:rsid w:val="00A11685"/>
    <w:rsid w:val="00A11BA0"/>
    <w:rsid w:val="00A12802"/>
    <w:rsid w:val="00A1372C"/>
    <w:rsid w:val="00A20F02"/>
    <w:rsid w:val="00A2374C"/>
    <w:rsid w:val="00A25465"/>
    <w:rsid w:val="00A25B7E"/>
    <w:rsid w:val="00A3221E"/>
    <w:rsid w:val="00A3420E"/>
    <w:rsid w:val="00A344DA"/>
    <w:rsid w:val="00A41AA8"/>
    <w:rsid w:val="00A454F4"/>
    <w:rsid w:val="00A57E13"/>
    <w:rsid w:val="00A60361"/>
    <w:rsid w:val="00A610BA"/>
    <w:rsid w:val="00A614ED"/>
    <w:rsid w:val="00A62E59"/>
    <w:rsid w:val="00A62F73"/>
    <w:rsid w:val="00A63006"/>
    <w:rsid w:val="00A65351"/>
    <w:rsid w:val="00A7050F"/>
    <w:rsid w:val="00A74360"/>
    <w:rsid w:val="00A749B3"/>
    <w:rsid w:val="00A74B5C"/>
    <w:rsid w:val="00A751A5"/>
    <w:rsid w:val="00A75A67"/>
    <w:rsid w:val="00A82080"/>
    <w:rsid w:val="00A84815"/>
    <w:rsid w:val="00A84C80"/>
    <w:rsid w:val="00A85F71"/>
    <w:rsid w:val="00A917C8"/>
    <w:rsid w:val="00A91838"/>
    <w:rsid w:val="00A92B29"/>
    <w:rsid w:val="00A932CC"/>
    <w:rsid w:val="00A95ED3"/>
    <w:rsid w:val="00A96AF4"/>
    <w:rsid w:val="00AA1D52"/>
    <w:rsid w:val="00AA296F"/>
    <w:rsid w:val="00AA4A00"/>
    <w:rsid w:val="00AA643D"/>
    <w:rsid w:val="00AA70C3"/>
    <w:rsid w:val="00AB20E8"/>
    <w:rsid w:val="00AB2D19"/>
    <w:rsid w:val="00AB3B1E"/>
    <w:rsid w:val="00AB454C"/>
    <w:rsid w:val="00AB597A"/>
    <w:rsid w:val="00AB71E9"/>
    <w:rsid w:val="00AC3842"/>
    <w:rsid w:val="00AC59FE"/>
    <w:rsid w:val="00AD0D63"/>
    <w:rsid w:val="00AD11EE"/>
    <w:rsid w:val="00AD1814"/>
    <w:rsid w:val="00AD5147"/>
    <w:rsid w:val="00AD6B57"/>
    <w:rsid w:val="00AE3C2C"/>
    <w:rsid w:val="00AE67D9"/>
    <w:rsid w:val="00AE734C"/>
    <w:rsid w:val="00AE778E"/>
    <w:rsid w:val="00AF0094"/>
    <w:rsid w:val="00AF01FA"/>
    <w:rsid w:val="00AF29F6"/>
    <w:rsid w:val="00AF6EE1"/>
    <w:rsid w:val="00B02079"/>
    <w:rsid w:val="00B05076"/>
    <w:rsid w:val="00B05BD8"/>
    <w:rsid w:val="00B1038A"/>
    <w:rsid w:val="00B107D7"/>
    <w:rsid w:val="00B10B89"/>
    <w:rsid w:val="00B13E6D"/>
    <w:rsid w:val="00B14B27"/>
    <w:rsid w:val="00B16509"/>
    <w:rsid w:val="00B17D0B"/>
    <w:rsid w:val="00B20E15"/>
    <w:rsid w:val="00B21444"/>
    <w:rsid w:val="00B273CC"/>
    <w:rsid w:val="00B3275B"/>
    <w:rsid w:val="00B33980"/>
    <w:rsid w:val="00B404ED"/>
    <w:rsid w:val="00B43230"/>
    <w:rsid w:val="00B44129"/>
    <w:rsid w:val="00B4445C"/>
    <w:rsid w:val="00B50BAB"/>
    <w:rsid w:val="00B533DC"/>
    <w:rsid w:val="00B56FD9"/>
    <w:rsid w:val="00B6657B"/>
    <w:rsid w:val="00B70568"/>
    <w:rsid w:val="00B72399"/>
    <w:rsid w:val="00B73420"/>
    <w:rsid w:val="00B8341D"/>
    <w:rsid w:val="00B859BA"/>
    <w:rsid w:val="00B86143"/>
    <w:rsid w:val="00B875CD"/>
    <w:rsid w:val="00B92F94"/>
    <w:rsid w:val="00B97A10"/>
    <w:rsid w:val="00B97BF9"/>
    <w:rsid w:val="00BA7FC7"/>
    <w:rsid w:val="00BB2031"/>
    <w:rsid w:val="00BB2332"/>
    <w:rsid w:val="00BB25F2"/>
    <w:rsid w:val="00BB33A5"/>
    <w:rsid w:val="00BB5605"/>
    <w:rsid w:val="00BC1094"/>
    <w:rsid w:val="00BC2221"/>
    <w:rsid w:val="00BC3321"/>
    <w:rsid w:val="00BC355E"/>
    <w:rsid w:val="00BC5050"/>
    <w:rsid w:val="00BC5B94"/>
    <w:rsid w:val="00BC68E9"/>
    <w:rsid w:val="00BD1C21"/>
    <w:rsid w:val="00BD3D09"/>
    <w:rsid w:val="00BD3DDA"/>
    <w:rsid w:val="00BE38FF"/>
    <w:rsid w:val="00BE3A25"/>
    <w:rsid w:val="00BF33B5"/>
    <w:rsid w:val="00BF3828"/>
    <w:rsid w:val="00BF5F18"/>
    <w:rsid w:val="00BF7F9F"/>
    <w:rsid w:val="00C05AA3"/>
    <w:rsid w:val="00C11AE3"/>
    <w:rsid w:val="00C12C64"/>
    <w:rsid w:val="00C1692A"/>
    <w:rsid w:val="00C209CD"/>
    <w:rsid w:val="00C216F3"/>
    <w:rsid w:val="00C24AF4"/>
    <w:rsid w:val="00C26242"/>
    <w:rsid w:val="00C30CBF"/>
    <w:rsid w:val="00C32290"/>
    <w:rsid w:val="00C32F03"/>
    <w:rsid w:val="00C3334C"/>
    <w:rsid w:val="00C35A85"/>
    <w:rsid w:val="00C35DB6"/>
    <w:rsid w:val="00C41536"/>
    <w:rsid w:val="00C417F7"/>
    <w:rsid w:val="00C41926"/>
    <w:rsid w:val="00C42DD1"/>
    <w:rsid w:val="00C430C1"/>
    <w:rsid w:val="00C474AE"/>
    <w:rsid w:val="00C510C8"/>
    <w:rsid w:val="00C512C8"/>
    <w:rsid w:val="00C53026"/>
    <w:rsid w:val="00C535AE"/>
    <w:rsid w:val="00C53E35"/>
    <w:rsid w:val="00C56B77"/>
    <w:rsid w:val="00C60ADB"/>
    <w:rsid w:val="00C61A78"/>
    <w:rsid w:val="00C63CEB"/>
    <w:rsid w:val="00C67A95"/>
    <w:rsid w:val="00C72469"/>
    <w:rsid w:val="00C751E9"/>
    <w:rsid w:val="00C80D31"/>
    <w:rsid w:val="00C81F5E"/>
    <w:rsid w:val="00C82970"/>
    <w:rsid w:val="00C83664"/>
    <w:rsid w:val="00C84908"/>
    <w:rsid w:val="00C84BB4"/>
    <w:rsid w:val="00C8622C"/>
    <w:rsid w:val="00C900FF"/>
    <w:rsid w:val="00C91CE4"/>
    <w:rsid w:val="00C935BB"/>
    <w:rsid w:val="00C973EC"/>
    <w:rsid w:val="00CA0951"/>
    <w:rsid w:val="00CA1E20"/>
    <w:rsid w:val="00CA32F5"/>
    <w:rsid w:val="00CA36B0"/>
    <w:rsid w:val="00CA4D5D"/>
    <w:rsid w:val="00CA670F"/>
    <w:rsid w:val="00CB0700"/>
    <w:rsid w:val="00CB1D5D"/>
    <w:rsid w:val="00CB4E48"/>
    <w:rsid w:val="00CB5DC7"/>
    <w:rsid w:val="00CB7035"/>
    <w:rsid w:val="00CB7780"/>
    <w:rsid w:val="00CC2A01"/>
    <w:rsid w:val="00CC382A"/>
    <w:rsid w:val="00CC538C"/>
    <w:rsid w:val="00CC53F7"/>
    <w:rsid w:val="00CD0188"/>
    <w:rsid w:val="00CD426A"/>
    <w:rsid w:val="00CD4835"/>
    <w:rsid w:val="00CD6EC5"/>
    <w:rsid w:val="00CE0836"/>
    <w:rsid w:val="00CE419D"/>
    <w:rsid w:val="00CF05A7"/>
    <w:rsid w:val="00CF3895"/>
    <w:rsid w:val="00CF7018"/>
    <w:rsid w:val="00D02122"/>
    <w:rsid w:val="00D0240E"/>
    <w:rsid w:val="00D06A7E"/>
    <w:rsid w:val="00D10727"/>
    <w:rsid w:val="00D13998"/>
    <w:rsid w:val="00D13CA5"/>
    <w:rsid w:val="00D161DC"/>
    <w:rsid w:val="00D162EC"/>
    <w:rsid w:val="00D226A1"/>
    <w:rsid w:val="00D22B9D"/>
    <w:rsid w:val="00D24036"/>
    <w:rsid w:val="00D26BAF"/>
    <w:rsid w:val="00D2761A"/>
    <w:rsid w:val="00D32A71"/>
    <w:rsid w:val="00D334B0"/>
    <w:rsid w:val="00D34848"/>
    <w:rsid w:val="00D35F1C"/>
    <w:rsid w:val="00D362B6"/>
    <w:rsid w:val="00D41A26"/>
    <w:rsid w:val="00D42A21"/>
    <w:rsid w:val="00D44C48"/>
    <w:rsid w:val="00D472B6"/>
    <w:rsid w:val="00D47A99"/>
    <w:rsid w:val="00D50117"/>
    <w:rsid w:val="00D5096B"/>
    <w:rsid w:val="00D57B94"/>
    <w:rsid w:val="00D60BD2"/>
    <w:rsid w:val="00D620AF"/>
    <w:rsid w:val="00D63A59"/>
    <w:rsid w:val="00D64EAC"/>
    <w:rsid w:val="00D71751"/>
    <w:rsid w:val="00D721C7"/>
    <w:rsid w:val="00D745BF"/>
    <w:rsid w:val="00D76089"/>
    <w:rsid w:val="00D768D7"/>
    <w:rsid w:val="00D777DC"/>
    <w:rsid w:val="00D80FE0"/>
    <w:rsid w:val="00D81FAE"/>
    <w:rsid w:val="00D83C4C"/>
    <w:rsid w:val="00D84343"/>
    <w:rsid w:val="00D84C43"/>
    <w:rsid w:val="00D90A1A"/>
    <w:rsid w:val="00D94F82"/>
    <w:rsid w:val="00D95990"/>
    <w:rsid w:val="00D96838"/>
    <w:rsid w:val="00DA060B"/>
    <w:rsid w:val="00DA5776"/>
    <w:rsid w:val="00DA631A"/>
    <w:rsid w:val="00DB2ACE"/>
    <w:rsid w:val="00DB357E"/>
    <w:rsid w:val="00DC0CC8"/>
    <w:rsid w:val="00DC3C6C"/>
    <w:rsid w:val="00DC510E"/>
    <w:rsid w:val="00DC7F45"/>
    <w:rsid w:val="00DD2558"/>
    <w:rsid w:val="00DD5DBF"/>
    <w:rsid w:val="00DD621D"/>
    <w:rsid w:val="00DE08D1"/>
    <w:rsid w:val="00DE1B7F"/>
    <w:rsid w:val="00DE3F9F"/>
    <w:rsid w:val="00DF154A"/>
    <w:rsid w:val="00DF46B6"/>
    <w:rsid w:val="00DF5B3F"/>
    <w:rsid w:val="00DF5CB5"/>
    <w:rsid w:val="00DF5FFC"/>
    <w:rsid w:val="00E005CD"/>
    <w:rsid w:val="00E00635"/>
    <w:rsid w:val="00E03A8D"/>
    <w:rsid w:val="00E04A07"/>
    <w:rsid w:val="00E051E5"/>
    <w:rsid w:val="00E0525B"/>
    <w:rsid w:val="00E10170"/>
    <w:rsid w:val="00E14B46"/>
    <w:rsid w:val="00E14B83"/>
    <w:rsid w:val="00E161CB"/>
    <w:rsid w:val="00E17493"/>
    <w:rsid w:val="00E23470"/>
    <w:rsid w:val="00E23C25"/>
    <w:rsid w:val="00E24B7E"/>
    <w:rsid w:val="00E24F8F"/>
    <w:rsid w:val="00E27E0A"/>
    <w:rsid w:val="00E32E10"/>
    <w:rsid w:val="00E34C31"/>
    <w:rsid w:val="00E40688"/>
    <w:rsid w:val="00E43784"/>
    <w:rsid w:val="00E44666"/>
    <w:rsid w:val="00E44F67"/>
    <w:rsid w:val="00E4524F"/>
    <w:rsid w:val="00E523F8"/>
    <w:rsid w:val="00E53A00"/>
    <w:rsid w:val="00E53BFF"/>
    <w:rsid w:val="00E57323"/>
    <w:rsid w:val="00E57341"/>
    <w:rsid w:val="00E62A8C"/>
    <w:rsid w:val="00E64007"/>
    <w:rsid w:val="00E65CC5"/>
    <w:rsid w:val="00E71AFE"/>
    <w:rsid w:val="00E7534A"/>
    <w:rsid w:val="00E75FC9"/>
    <w:rsid w:val="00E8218C"/>
    <w:rsid w:val="00E842FA"/>
    <w:rsid w:val="00E84A72"/>
    <w:rsid w:val="00E927ED"/>
    <w:rsid w:val="00E944B2"/>
    <w:rsid w:val="00E94ABF"/>
    <w:rsid w:val="00E9708D"/>
    <w:rsid w:val="00EA0095"/>
    <w:rsid w:val="00EA0479"/>
    <w:rsid w:val="00EA094D"/>
    <w:rsid w:val="00EA6ACC"/>
    <w:rsid w:val="00EA7686"/>
    <w:rsid w:val="00EB04C8"/>
    <w:rsid w:val="00EB1D99"/>
    <w:rsid w:val="00EB22EB"/>
    <w:rsid w:val="00EC0A72"/>
    <w:rsid w:val="00EC144A"/>
    <w:rsid w:val="00EC1B74"/>
    <w:rsid w:val="00EC277F"/>
    <w:rsid w:val="00EC297B"/>
    <w:rsid w:val="00EC32C5"/>
    <w:rsid w:val="00EC505D"/>
    <w:rsid w:val="00ED0227"/>
    <w:rsid w:val="00ED0CAD"/>
    <w:rsid w:val="00ED42B1"/>
    <w:rsid w:val="00ED7239"/>
    <w:rsid w:val="00EE0C46"/>
    <w:rsid w:val="00EE3517"/>
    <w:rsid w:val="00EE422D"/>
    <w:rsid w:val="00EE4BFF"/>
    <w:rsid w:val="00EF1F63"/>
    <w:rsid w:val="00EF340D"/>
    <w:rsid w:val="00EF623C"/>
    <w:rsid w:val="00EF7941"/>
    <w:rsid w:val="00F04E72"/>
    <w:rsid w:val="00F12126"/>
    <w:rsid w:val="00F12555"/>
    <w:rsid w:val="00F13080"/>
    <w:rsid w:val="00F14403"/>
    <w:rsid w:val="00F17CDD"/>
    <w:rsid w:val="00F212B2"/>
    <w:rsid w:val="00F215BA"/>
    <w:rsid w:val="00F222FB"/>
    <w:rsid w:val="00F30BCE"/>
    <w:rsid w:val="00F34942"/>
    <w:rsid w:val="00F35001"/>
    <w:rsid w:val="00F362D7"/>
    <w:rsid w:val="00F36A5D"/>
    <w:rsid w:val="00F411B8"/>
    <w:rsid w:val="00F44904"/>
    <w:rsid w:val="00F45347"/>
    <w:rsid w:val="00F45EB4"/>
    <w:rsid w:val="00F54225"/>
    <w:rsid w:val="00F55269"/>
    <w:rsid w:val="00F552F3"/>
    <w:rsid w:val="00F556F0"/>
    <w:rsid w:val="00F6104F"/>
    <w:rsid w:val="00F62889"/>
    <w:rsid w:val="00F6437C"/>
    <w:rsid w:val="00F65F85"/>
    <w:rsid w:val="00F67857"/>
    <w:rsid w:val="00F70551"/>
    <w:rsid w:val="00F72DD7"/>
    <w:rsid w:val="00F812E3"/>
    <w:rsid w:val="00F81ED8"/>
    <w:rsid w:val="00F84B54"/>
    <w:rsid w:val="00F85C4C"/>
    <w:rsid w:val="00F913F0"/>
    <w:rsid w:val="00F94642"/>
    <w:rsid w:val="00F97305"/>
    <w:rsid w:val="00FA17DF"/>
    <w:rsid w:val="00FA28C2"/>
    <w:rsid w:val="00FA311D"/>
    <w:rsid w:val="00FA6049"/>
    <w:rsid w:val="00FA794B"/>
    <w:rsid w:val="00FB1016"/>
    <w:rsid w:val="00FB2D4B"/>
    <w:rsid w:val="00FB76D1"/>
    <w:rsid w:val="00FC2926"/>
    <w:rsid w:val="00FD07B9"/>
    <w:rsid w:val="00FD10E6"/>
    <w:rsid w:val="00FD1C45"/>
    <w:rsid w:val="00FD29A2"/>
    <w:rsid w:val="00FD35A8"/>
    <w:rsid w:val="00FD4CCC"/>
    <w:rsid w:val="00FD54BA"/>
    <w:rsid w:val="00FD7AA3"/>
    <w:rsid w:val="00FE5B9C"/>
    <w:rsid w:val="00FF656D"/>
    <w:rsid w:val="00FF7A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1C4FE"/>
  <w15:chartTrackingRefBased/>
  <w15:docId w15:val="{D8D9ECBF-E343-4E30-95FA-9886D7C9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3353FC"/>
    <w:pPr>
      <w:spacing w:after="0"/>
      <w:jc w:val="center"/>
      <w:outlineLvl w:val="0"/>
    </w:pPr>
    <w:rPr>
      <w:rFonts w:ascii="ITC Avant Garde" w:hAnsi="ITC Avant Garde"/>
      <w:b/>
    </w:rPr>
  </w:style>
  <w:style w:type="paragraph" w:styleId="Ttulo2">
    <w:name w:val="heading 2"/>
    <w:basedOn w:val="Listavistosa-nfasis11"/>
    <w:next w:val="Normal"/>
    <w:link w:val="Ttulo2Car"/>
    <w:uiPriority w:val="9"/>
    <w:unhideWhenUsed/>
    <w:qFormat/>
    <w:rsid w:val="003353FC"/>
    <w:pPr>
      <w:numPr>
        <w:numId w:val="2"/>
      </w:numPr>
      <w:spacing w:after="0" w:line="240" w:lineRule="auto"/>
      <w:jc w:val="center"/>
      <w:outlineLvl w:val="1"/>
    </w:pPr>
    <w:rPr>
      <w:rFonts w:ascii="ITC Avant Garde" w:eastAsia="Times New Roman" w:hAnsi="ITC Avant Garde"/>
      <w:b/>
      <w:bC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0">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aliases w:val="Numeración 1,Estilo0,CNBV Parrafo1,4 Viñ 1nivel,prueba1,Romano,Romanos,Cuadrícula media 1 - Énfasis 21,Listas,lp1"/>
    <w:basedOn w:val="Normal"/>
    <w:link w:val="PrrafodelistaCar"/>
    <w:uiPriority w:val="34"/>
    <w:qFormat/>
    <w:rsid w:val="00F36A5D"/>
    <w:pPr>
      <w:ind w:left="708"/>
    </w:pPr>
  </w:style>
  <w:style w:type="paragraph" w:styleId="Textonotapie">
    <w:name w:val="footnote text"/>
    <w:aliases w:val="Footnote,Fußnote,FN,fn Car,footnote text Car,Footnotes Car,Footnote ak Car,Texto nota pie Car1,Texto nota pie Car2 Car Car,Texto nota pie Car Car1 Car Car,Texto nota pie Car Car Car Car Car Car Car Car1 Car Car,Footnote referenc,fn"/>
    <w:basedOn w:val="Normal"/>
    <w:link w:val="TextonotapieCar"/>
    <w:uiPriority w:val="99"/>
    <w:unhideWhenUsed/>
    <w:qFormat/>
    <w:rsid w:val="00E17493"/>
    <w:pPr>
      <w:spacing w:after="0" w:line="240" w:lineRule="auto"/>
    </w:pPr>
    <w:rPr>
      <w:sz w:val="20"/>
      <w:szCs w:val="20"/>
    </w:rPr>
  </w:style>
  <w:style w:type="character" w:customStyle="1" w:styleId="TextonotapieCar">
    <w:name w:val="Texto nota pie Car"/>
    <w:aliases w:val="Footnote Car,Fußnote Car,FN Car,fn Car Car,footnote text Car Car,Footnotes Car Car,Footnote ak Car Car,Texto nota pie Car1 Car,Texto nota pie Car2 Car Car Car,Texto nota pie Car Car1 Car Car Car,Footnote referenc Car,fn Car1"/>
    <w:link w:val="Textonotapie"/>
    <w:uiPriority w:val="99"/>
    <w:rsid w:val="00E17493"/>
    <w:rPr>
      <w:lang w:eastAsia="en-US"/>
    </w:rPr>
  </w:style>
  <w:style w:type="character" w:styleId="Refdenotaalpie">
    <w:name w:val="footnote reference"/>
    <w:aliases w:val="Footnote Reference Superscript,Ref,de nota al pie,FC,Appel note de bas de p,referencia nota al pie,Footnote symbol,Texto de nota al pie,Footnotes refss,Appel note de bas de page,fr,o,Style 6,Style 12,(NECG) Footnote Reference"/>
    <w:uiPriority w:val="99"/>
    <w:unhideWhenUsed/>
    <w:qFormat/>
    <w:rsid w:val="00E17493"/>
    <w:rPr>
      <w:vertAlign w:val="superscript"/>
    </w:rPr>
  </w:style>
  <w:style w:type="paragraph" w:customStyle="1" w:styleId="Listavistosa-nfasis11">
    <w:name w:val="Lista vistosa - Énfasis 11"/>
    <w:basedOn w:val="Normal"/>
    <w:uiPriority w:val="34"/>
    <w:qFormat/>
    <w:rsid w:val="000553DD"/>
    <w:pPr>
      <w:ind w:left="720"/>
      <w:contextualSpacing/>
    </w:pPr>
  </w:style>
  <w:style w:type="paragraph" w:styleId="Textonotaalfinal">
    <w:name w:val="endnote text"/>
    <w:basedOn w:val="Normal"/>
    <w:link w:val="TextonotaalfinalCar"/>
    <w:uiPriority w:val="99"/>
    <w:semiHidden/>
    <w:unhideWhenUsed/>
    <w:rsid w:val="00A614ED"/>
    <w:rPr>
      <w:sz w:val="20"/>
      <w:szCs w:val="20"/>
    </w:rPr>
  </w:style>
  <w:style w:type="character" w:customStyle="1" w:styleId="TextonotaalfinalCar">
    <w:name w:val="Texto nota al final Car"/>
    <w:link w:val="Textonotaalfinal"/>
    <w:uiPriority w:val="99"/>
    <w:semiHidden/>
    <w:rsid w:val="00A614ED"/>
    <w:rPr>
      <w:lang w:eastAsia="en-US"/>
    </w:rPr>
  </w:style>
  <w:style w:type="character" w:styleId="Refdenotaalfinal">
    <w:name w:val="endnote reference"/>
    <w:uiPriority w:val="99"/>
    <w:semiHidden/>
    <w:unhideWhenUsed/>
    <w:rsid w:val="00A614ED"/>
    <w:rPr>
      <w:vertAlign w:val="superscript"/>
    </w:rPr>
  </w:style>
  <w:style w:type="character" w:styleId="Hipervnculovisitado">
    <w:name w:val="FollowedHyperlink"/>
    <w:basedOn w:val="Fuentedeprrafopredeter"/>
    <w:uiPriority w:val="99"/>
    <w:semiHidden/>
    <w:unhideWhenUsed/>
    <w:rsid w:val="00957DB8"/>
    <w:rPr>
      <w:color w:val="954F72" w:themeColor="followedHyperlink"/>
      <w:u w:val="single"/>
    </w:rPr>
  </w:style>
  <w:style w:type="character" w:customStyle="1" w:styleId="Ttulo1Car">
    <w:name w:val="Título 1 Car"/>
    <w:basedOn w:val="Fuentedeprrafopredeter"/>
    <w:link w:val="Ttulo1"/>
    <w:uiPriority w:val="9"/>
    <w:rsid w:val="003353FC"/>
    <w:rPr>
      <w:rFonts w:ascii="ITC Avant Garde" w:hAnsi="ITC Avant Garde"/>
      <w:b/>
      <w:sz w:val="22"/>
      <w:szCs w:val="22"/>
      <w:lang w:eastAsia="en-US"/>
    </w:rPr>
  </w:style>
  <w:style w:type="character" w:customStyle="1" w:styleId="Ttulo2Car">
    <w:name w:val="Título 2 Car"/>
    <w:basedOn w:val="Fuentedeprrafopredeter"/>
    <w:link w:val="Ttulo2"/>
    <w:uiPriority w:val="9"/>
    <w:rsid w:val="003353FC"/>
    <w:rPr>
      <w:rFonts w:ascii="ITC Avant Garde" w:eastAsia="Times New Roman" w:hAnsi="ITC Avant Garde"/>
      <w:b/>
      <w:bCs/>
      <w:sz w:val="22"/>
      <w:szCs w:val="22"/>
    </w:rPr>
  </w:style>
  <w:style w:type="character" w:customStyle="1" w:styleId="PrrafodelistaCar">
    <w:name w:val="Párrafo de lista Car"/>
    <w:aliases w:val="Numeración 1 Car,Estilo0 Car,CNBV Parrafo1 Car,4 Viñ 1nivel Car,prueba1 Car,Romano Car,Romanos Car,Cuadrícula media 1 - Énfasis 21 Car,Listas Car,lp1 Car"/>
    <w:link w:val="Prrafodelista"/>
    <w:uiPriority w:val="34"/>
    <w:qFormat/>
    <w:rsid w:val="00C32290"/>
    <w:rPr>
      <w:sz w:val="22"/>
      <w:szCs w:val="22"/>
      <w:lang w:eastAsia="en-US"/>
    </w:rPr>
  </w:style>
  <w:style w:type="character" w:styleId="Mencinsinresolver">
    <w:name w:val="Unresolved Mention"/>
    <w:basedOn w:val="Fuentedeprrafopredeter"/>
    <w:uiPriority w:val="99"/>
    <w:semiHidden/>
    <w:unhideWhenUsed/>
    <w:rsid w:val="006E48D6"/>
    <w:rPr>
      <w:color w:val="605E5C"/>
      <w:shd w:val="clear" w:color="auto" w:fill="E1DFDD"/>
    </w:rPr>
  </w:style>
  <w:style w:type="paragraph" w:styleId="Revisin">
    <w:name w:val="Revision"/>
    <w:hidden/>
    <w:uiPriority w:val="71"/>
    <w:unhideWhenUsed/>
    <w:rsid w:val="00DD621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3625">
      <w:bodyDiv w:val="1"/>
      <w:marLeft w:val="0"/>
      <w:marRight w:val="0"/>
      <w:marTop w:val="0"/>
      <w:marBottom w:val="0"/>
      <w:divBdr>
        <w:top w:val="none" w:sz="0" w:space="0" w:color="auto"/>
        <w:left w:val="none" w:sz="0" w:space="0" w:color="auto"/>
        <w:bottom w:val="none" w:sz="0" w:space="0" w:color="auto"/>
        <w:right w:val="none" w:sz="0" w:space="0" w:color="auto"/>
      </w:divBdr>
    </w:div>
    <w:div w:id="343046923">
      <w:bodyDiv w:val="1"/>
      <w:marLeft w:val="0"/>
      <w:marRight w:val="0"/>
      <w:marTop w:val="0"/>
      <w:marBottom w:val="0"/>
      <w:divBdr>
        <w:top w:val="none" w:sz="0" w:space="0" w:color="auto"/>
        <w:left w:val="none" w:sz="0" w:space="0" w:color="auto"/>
        <w:bottom w:val="none" w:sz="0" w:space="0" w:color="auto"/>
        <w:right w:val="none" w:sz="0" w:space="0" w:color="auto"/>
      </w:divBdr>
    </w:div>
    <w:div w:id="446968455">
      <w:bodyDiv w:val="1"/>
      <w:marLeft w:val="0"/>
      <w:marRight w:val="0"/>
      <w:marTop w:val="0"/>
      <w:marBottom w:val="0"/>
      <w:divBdr>
        <w:top w:val="none" w:sz="0" w:space="0" w:color="auto"/>
        <w:left w:val="none" w:sz="0" w:space="0" w:color="auto"/>
        <w:bottom w:val="none" w:sz="0" w:space="0" w:color="auto"/>
        <w:right w:val="none" w:sz="0" w:space="0" w:color="auto"/>
      </w:divBdr>
    </w:div>
    <w:div w:id="713237067">
      <w:bodyDiv w:val="1"/>
      <w:marLeft w:val="0"/>
      <w:marRight w:val="0"/>
      <w:marTop w:val="0"/>
      <w:marBottom w:val="0"/>
      <w:divBdr>
        <w:top w:val="none" w:sz="0" w:space="0" w:color="auto"/>
        <w:left w:val="none" w:sz="0" w:space="0" w:color="auto"/>
        <w:bottom w:val="none" w:sz="0" w:space="0" w:color="auto"/>
        <w:right w:val="none" w:sz="0" w:space="0" w:color="auto"/>
      </w:divBdr>
    </w:div>
    <w:div w:id="774060068">
      <w:bodyDiv w:val="1"/>
      <w:marLeft w:val="0"/>
      <w:marRight w:val="0"/>
      <w:marTop w:val="0"/>
      <w:marBottom w:val="0"/>
      <w:divBdr>
        <w:top w:val="none" w:sz="0" w:space="0" w:color="auto"/>
        <w:left w:val="none" w:sz="0" w:space="0" w:color="auto"/>
        <w:bottom w:val="none" w:sz="0" w:space="0" w:color="auto"/>
        <w:right w:val="none" w:sz="0" w:space="0" w:color="auto"/>
      </w:divBdr>
    </w:div>
    <w:div w:id="1033919207">
      <w:bodyDiv w:val="1"/>
      <w:marLeft w:val="0"/>
      <w:marRight w:val="0"/>
      <w:marTop w:val="0"/>
      <w:marBottom w:val="0"/>
      <w:divBdr>
        <w:top w:val="none" w:sz="0" w:space="0" w:color="auto"/>
        <w:left w:val="none" w:sz="0" w:space="0" w:color="auto"/>
        <w:bottom w:val="none" w:sz="0" w:space="0" w:color="auto"/>
        <w:right w:val="none" w:sz="0" w:space="0" w:color="auto"/>
      </w:divBdr>
    </w:div>
    <w:div w:id="1065029481">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400204626">
      <w:bodyDiv w:val="1"/>
      <w:marLeft w:val="0"/>
      <w:marRight w:val="0"/>
      <w:marTop w:val="0"/>
      <w:marBottom w:val="0"/>
      <w:divBdr>
        <w:top w:val="none" w:sz="0" w:space="0" w:color="auto"/>
        <w:left w:val="none" w:sz="0" w:space="0" w:color="auto"/>
        <w:bottom w:val="none" w:sz="0" w:space="0" w:color="auto"/>
        <w:right w:val="none" w:sz="0" w:space="0" w:color="auto"/>
      </w:divBdr>
    </w:div>
    <w:div w:id="1455564860">
      <w:bodyDiv w:val="1"/>
      <w:marLeft w:val="0"/>
      <w:marRight w:val="0"/>
      <w:marTop w:val="0"/>
      <w:marBottom w:val="0"/>
      <w:divBdr>
        <w:top w:val="none" w:sz="0" w:space="0" w:color="auto"/>
        <w:left w:val="none" w:sz="0" w:space="0" w:color="auto"/>
        <w:bottom w:val="none" w:sz="0" w:space="0" w:color="auto"/>
        <w:right w:val="none" w:sz="0" w:space="0" w:color="auto"/>
      </w:divBdr>
    </w:div>
    <w:div w:id="1540971608">
      <w:bodyDiv w:val="1"/>
      <w:marLeft w:val="0"/>
      <w:marRight w:val="0"/>
      <w:marTop w:val="0"/>
      <w:marBottom w:val="0"/>
      <w:divBdr>
        <w:top w:val="none" w:sz="0" w:space="0" w:color="auto"/>
        <w:left w:val="none" w:sz="0" w:space="0" w:color="auto"/>
        <w:bottom w:val="none" w:sz="0" w:space="0" w:color="auto"/>
        <w:right w:val="none" w:sz="0" w:space="0" w:color="auto"/>
      </w:divBdr>
    </w:div>
    <w:div w:id="1575166828">
      <w:bodyDiv w:val="1"/>
      <w:marLeft w:val="0"/>
      <w:marRight w:val="0"/>
      <w:marTop w:val="0"/>
      <w:marBottom w:val="0"/>
      <w:divBdr>
        <w:top w:val="none" w:sz="0" w:space="0" w:color="auto"/>
        <w:left w:val="none" w:sz="0" w:space="0" w:color="auto"/>
        <w:bottom w:val="none" w:sz="0" w:space="0" w:color="auto"/>
        <w:right w:val="none" w:sz="0" w:space="0" w:color="auto"/>
      </w:divBdr>
    </w:div>
    <w:div w:id="1779325287">
      <w:bodyDiv w:val="1"/>
      <w:marLeft w:val="0"/>
      <w:marRight w:val="0"/>
      <w:marTop w:val="0"/>
      <w:marBottom w:val="0"/>
      <w:divBdr>
        <w:top w:val="none" w:sz="0" w:space="0" w:color="auto"/>
        <w:left w:val="none" w:sz="0" w:space="0" w:color="auto"/>
        <w:bottom w:val="none" w:sz="0" w:space="0" w:color="auto"/>
        <w:right w:val="none" w:sz="0" w:space="0" w:color="auto"/>
      </w:divBdr>
    </w:div>
    <w:div w:id="1894270239">
      <w:bodyDiv w:val="1"/>
      <w:marLeft w:val="0"/>
      <w:marRight w:val="0"/>
      <w:marTop w:val="0"/>
      <w:marBottom w:val="0"/>
      <w:divBdr>
        <w:top w:val="none" w:sz="0" w:space="0" w:color="auto"/>
        <w:left w:val="none" w:sz="0" w:space="0" w:color="auto"/>
        <w:bottom w:val="none" w:sz="0" w:space="0" w:color="auto"/>
        <w:right w:val="none" w:sz="0" w:space="0" w:color="auto"/>
      </w:divBdr>
    </w:div>
    <w:div w:id="1996445220">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 w:id="2030057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yel.munoz@ift.org.mx" TargetMode="External"/><Relationship Id="rId18" Type="http://schemas.openxmlformats.org/officeDocument/2006/relationships/hyperlink" Target="mailto:unidad.transparencia@ift.org.m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ft.org.mx/sites/default/files/anexo_2_12.pdf"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nai.org.m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hyperlink" Target="https://www.ift.org.mx/sites/default/files/anexo_1_medidas_2014-2017-2020_telecom.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cerabienal.aept@ift.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gustin.garcia@ift.org.m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ft.org.mx/avisos-de-privacid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emi.quiroz@ift.org.m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ift.org.mx/sites/default/files/pitfext270217119verpub_1.pdf" TargetMode="External"/><Relationship Id="rId2" Type="http://schemas.openxmlformats.org/officeDocument/2006/relationships/hyperlink" Target="http://www.ift.org.mx/sites/default/files/p_ift_ext_060314_76_version_publica_hoja.pdf" TargetMode="External"/><Relationship Id="rId1" Type="http://schemas.openxmlformats.org/officeDocument/2006/relationships/hyperlink" Target="http://dof.gob.mx/nota_detalle.php?codigo=5512847&amp;fecha=12/02/2018" TargetMode="External"/><Relationship Id="rId4" Type="http://schemas.openxmlformats.org/officeDocument/2006/relationships/hyperlink" Target="https://www.ift.org.mx/sites/default/files/21_02_22_bienal_2_vp_v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668F8EA0F84D7995D86D2FF88722F7"/>
        <w:category>
          <w:name w:val="General"/>
          <w:gallery w:val="placeholder"/>
        </w:category>
        <w:types>
          <w:type w:val="bbPlcHdr"/>
        </w:types>
        <w:behaviors>
          <w:behavior w:val="content"/>
        </w:behaviors>
        <w:guid w:val="{BFC99D28-EF43-488D-8802-06E3C16157CE}"/>
      </w:docPartPr>
      <w:docPartBody>
        <w:p w:rsidR="00D42487" w:rsidRDefault="00232032" w:rsidP="00232032">
          <w:pPr>
            <w:pStyle w:val="46668F8EA0F84D7995D86D2FF88722F7"/>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32"/>
    <w:rsid w:val="000458BE"/>
    <w:rsid w:val="001354C6"/>
    <w:rsid w:val="001B765F"/>
    <w:rsid w:val="00232032"/>
    <w:rsid w:val="00353B88"/>
    <w:rsid w:val="003B76CA"/>
    <w:rsid w:val="0050461A"/>
    <w:rsid w:val="005E499A"/>
    <w:rsid w:val="00616544"/>
    <w:rsid w:val="006E3B43"/>
    <w:rsid w:val="00720AAA"/>
    <w:rsid w:val="00780A14"/>
    <w:rsid w:val="007C2555"/>
    <w:rsid w:val="008F4B0A"/>
    <w:rsid w:val="009E19AA"/>
    <w:rsid w:val="00A73919"/>
    <w:rsid w:val="00AC687C"/>
    <w:rsid w:val="00B534DB"/>
    <w:rsid w:val="00BC2203"/>
    <w:rsid w:val="00BF3F6A"/>
    <w:rsid w:val="00D42487"/>
    <w:rsid w:val="00D7348D"/>
    <w:rsid w:val="00F24DA8"/>
    <w:rsid w:val="00F63E0D"/>
    <w:rsid w:val="00FB2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32032"/>
  </w:style>
  <w:style w:type="paragraph" w:customStyle="1" w:styleId="46668F8EA0F84D7995D86D2FF88722F7">
    <w:name w:val="46668F8EA0F84D7995D86D2FF88722F7"/>
    <w:rsid w:val="0023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CD5121B912868449A3C5ACBE470BFC5" ma:contentTypeVersion="2" ma:contentTypeDescription="Crear nuevo documento." ma:contentTypeScope="" ma:versionID="2592c275756a7e9db8147c1ad6a05c37">
  <xsd:schema xmlns:xsd="http://www.w3.org/2001/XMLSchema" xmlns:xs="http://www.w3.org/2001/XMLSchema" xmlns:p="http://schemas.microsoft.com/office/2006/metadata/properties" xmlns:ns2="6495ad76-b129-4426-9f15-29f13e1ad190" targetNamespace="http://schemas.microsoft.com/office/2006/metadata/properties" ma:root="true" ma:fieldsID="3ab55f5ffa007d74f190251a470e73a8" ns2:_="">
    <xsd:import namespace="6495ad76-b129-4426-9f15-29f13e1ad1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ad76-b129-4426-9f15-29f13e1ad19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83B9B-D364-4D1B-BA86-D109FE90929F}">
  <ds:schemaRefs>
    <ds:schemaRef ds:uri="http://schemas.microsoft.com/sharepoint/v3/contenttype/forms"/>
  </ds:schemaRefs>
</ds:datastoreItem>
</file>

<file path=customXml/itemProps2.xml><?xml version="1.0" encoding="utf-8"?>
<ds:datastoreItem xmlns:ds="http://schemas.openxmlformats.org/officeDocument/2006/customXml" ds:itemID="{603A5DFE-2009-423F-8AD2-70898EBB3E64}">
  <ds:schemaRefs>
    <ds:schemaRef ds:uri="http://schemas.openxmlformats.org/officeDocument/2006/bibliography"/>
  </ds:schemaRefs>
</ds:datastoreItem>
</file>

<file path=customXml/itemProps3.xml><?xml version="1.0" encoding="utf-8"?>
<ds:datastoreItem xmlns:ds="http://schemas.openxmlformats.org/officeDocument/2006/customXml" ds:itemID="{CD264531-A5F5-4196-9588-84F49F25CAA8}">
  <ds:schemaRefs>
    <ds:schemaRef ds:uri="http://purl.org/dc/dcmitype/"/>
    <ds:schemaRef ds:uri="http://schemas.microsoft.com/office/2006/metadata/properties"/>
    <ds:schemaRef ds:uri="http://purl.org/dc/terms/"/>
    <ds:schemaRef ds:uri="http://www.w3.org/XML/1998/namespace"/>
    <ds:schemaRef ds:uri="6495ad76-b129-4426-9f15-29f13e1ad190"/>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4E4FD867-3169-4429-9271-E57695882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ad76-b129-4426-9f15-29f13e1ad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9780</Words>
  <Characters>53791</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63445</CharactersWithSpaces>
  <SharedDoc>false</SharedDoc>
  <HLinks>
    <vt:vector size="66" baseType="variant">
      <vt:variant>
        <vt:i4>2162780</vt:i4>
      </vt:variant>
      <vt:variant>
        <vt:i4>18</vt:i4>
      </vt:variant>
      <vt:variant>
        <vt:i4>0</vt:i4>
      </vt:variant>
      <vt:variant>
        <vt:i4>5</vt:i4>
      </vt:variant>
      <vt:variant>
        <vt:lpwstr>http://www.ift.org.mx/sites/default/files/anexo_1_medidas_2014-2017_aep_radiodifusion.pdf</vt:lpwstr>
      </vt:variant>
      <vt:variant>
        <vt:lpwstr/>
      </vt: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2949181</vt:i4>
      </vt:variant>
      <vt:variant>
        <vt:i4>9</vt:i4>
      </vt:variant>
      <vt:variant>
        <vt:i4>0</vt:i4>
      </vt:variant>
      <vt:variant>
        <vt:i4>5</vt:i4>
      </vt:variant>
      <vt:variant>
        <vt:lpwstr>http://www.ift.org.mx/sites/default/files/conocenos/pleno/sesiones/acuerdoliga/pift181120437acc.pdf</vt:lpwstr>
      </vt:variant>
      <vt:variant>
        <vt:lpwstr/>
      </vt:variant>
      <vt:variant>
        <vt:i4>8323118</vt:i4>
      </vt:variant>
      <vt:variant>
        <vt:i4>6</vt:i4>
      </vt:variant>
      <vt:variant>
        <vt:i4>0</vt:i4>
      </vt:variant>
      <vt:variant>
        <vt:i4>5</vt:i4>
      </vt:variant>
      <vt:variant>
        <vt:lpwstr>http://www.ift.org.mx/node/9701</vt:lpwstr>
      </vt:variant>
      <vt:variant>
        <vt:lpwstr/>
      </vt:variant>
      <vt:variant>
        <vt:i4>720912</vt:i4>
      </vt:variant>
      <vt:variant>
        <vt:i4>3</vt:i4>
      </vt:variant>
      <vt:variant>
        <vt:i4>0</vt:i4>
      </vt:variant>
      <vt:variant>
        <vt:i4>5</vt:i4>
      </vt:variant>
      <vt:variant>
        <vt:lpwstr>http://www.ift.org.mx/industria/politica-regulatoria/preponderancia-radiodifusion/resolucion-ift-determina-grupos-interes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DCDO-UPR</cp:lastModifiedBy>
  <cp:revision>2</cp:revision>
  <dcterms:created xsi:type="dcterms:W3CDTF">2022-12-19T21:11:00Z</dcterms:created>
  <dcterms:modified xsi:type="dcterms:W3CDTF">2022-12-19T21:11:00Z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0x0101003CD5121B912868449A3C5ACBE470BFC5</vt:lpwstr>
  </property>
</Properties>
</file>