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4F74" w14:textId="6DAA0B60" w:rsidR="00FF0299" w:rsidRPr="00A20ADE" w:rsidRDefault="00BC09A3" w:rsidP="00A20ADE">
      <w:pPr>
        <w:spacing w:after="0" w:line="276" w:lineRule="auto"/>
        <w:ind w:left="0" w:right="0" w:firstLine="0"/>
        <w:rPr>
          <w:rFonts w:ascii="ITC Avant Garde" w:hAnsi="ITC Avant Garde"/>
          <w:b/>
          <w:i/>
        </w:rPr>
      </w:pPr>
      <w:bookmarkStart w:id="0" w:name="_GoBack"/>
      <w:bookmarkEnd w:id="0"/>
      <w:r w:rsidRPr="00A20ADE">
        <w:rPr>
          <w:rFonts w:ascii="ITC Avant Garde" w:eastAsiaTheme="minorHAnsi" w:hAnsi="ITC Avant Garde" w:cstheme="minorBidi"/>
          <w:b/>
          <w:color w:val="auto"/>
          <w:sz w:val="24"/>
          <w:szCs w:val="24"/>
          <w:lang w:eastAsia="en-US"/>
        </w:rPr>
        <w:t>RESPUESTAS GENERALES QUE BRINDA EL INSTITUTO FEDERAL DE TELECOMUNICACIONES A LAS MANIFESTACIONES, OPINIONES, COMENTARIOS Y PROPUESTAS CONCRETAS, PRESENTADAS DURANTE LA CONSULTA PÚBLICA DE</w:t>
      </w:r>
      <w:r w:rsidR="00BB163B" w:rsidRPr="00A20ADE">
        <w:rPr>
          <w:rFonts w:ascii="ITC Avant Garde" w:eastAsiaTheme="minorHAnsi" w:hAnsi="ITC Avant Garde" w:cstheme="minorBidi"/>
          <w:b/>
          <w:color w:val="auto"/>
          <w:sz w:val="24"/>
          <w:szCs w:val="24"/>
          <w:lang w:eastAsia="en-US"/>
        </w:rPr>
        <w:t xml:space="preserve"> </w:t>
      </w:r>
      <w:r w:rsidRPr="00A20ADE">
        <w:rPr>
          <w:rFonts w:ascii="ITC Avant Garde" w:eastAsiaTheme="minorHAnsi" w:hAnsi="ITC Avant Garde" w:cstheme="minorBidi"/>
          <w:b/>
          <w:color w:val="auto"/>
          <w:sz w:val="24"/>
          <w:szCs w:val="24"/>
          <w:lang w:eastAsia="en-US"/>
        </w:rPr>
        <w:t>L</w:t>
      </w:r>
      <w:r w:rsidR="00EB2BB8" w:rsidRPr="00A20ADE">
        <w:rPr>
          <w:rFonts w:ascii="ITC Avant Garde" w:eastAsiaTheme="minorHAnsi" w:hAnsi="ITC Avant Garde" w:cstheme="minorBidi"/>
          <w:b/>
          <w:color w:val="auto"/>
          <w:sz w:val="24"/>
          <w:szCs w:val="24"/>
          <w:lang w:eastAsia="en-US"/>
        </w:rPr>
        <w:t>A</w:t>
      </w:r>
      <w:r w:rsidR="006C321C" w:rsidRPr="00A20ADE">
        <w:rPr>
          <w:rFonts w:ascii="ITC Avant Garde" w:eastAsiaTheme="minorHAnsi" w:hAnsi="ITC Avant Garde" w:cstheme="minorBidi"/>
          <w:b/>
          <w:color w:val="auto"/>
          <w:sz w:val="24"/>
          <w:szCs w:val="24"/>
          <w:lang w:eastAsia="en-US"/>
        </w:rPr>
        <w:t>S</w:t>
      </w:r>
      <w:r w:rsidR="00FF0299" w:rsidRPr="00A20ADE">
        <w:rPr>
          <w:rFonts w:ascii="ITC Avant Garde" w:eastAsiaTheme="minorHAnsi" w:hAnsi="ITC Avant Garde" w:cstheme="minorBidi"/>
          <w:b/>
          <w:color w:val="auto"/>
          <w:sz w:val="24"/>
          <w:szCs w:val="24"/>
          <w:lang w:eastAsia="en-US"/>
        </w:rPr>
        <w:t xml:space="preserve"> </w:t>
      </w:r>
      <w:r w:rsidR="00046E7F" w:rsidRPr="00A20ADE">
        <w:rPr>
          <w:rFonts w:ascii="ITC Avant Garde" w:eastAsiaTheme="minorHAnsi" w:hAnsi="ITC Avant Garde" w:cstheme="minorBidi"/>
          <w:b/>
          <w:i/>
          <w:color w:val="auto"/>
          <w:sz w:val="24"/>
          <w:szCs w:val="24"/>
          <w:lang w:eastAsia="en-US"/>
        </w:rPr>
        <w:t xml:space="preserve">“PROPUESTAS DE OFERTAS </w:t>
      </w:r>
      <w:r w:rsidR="00764ED9" w:rsidRPr="00A20ADE">
        <w:rPr>
          <w:rFonts w:ascii="ITC Avant Garde" w:eastAsiaTheme="minorHAnsi" w:hAnsi="ITC Avant Garde" w:cstheme="minorBidi"/>
          <w:b/>
          <w:i/>
          <w:color w:val="auto"/>
          <w:sz w:val="24"/>
          <w:szCs w:val="24"/>
          <w:lang w:eastAsia="en-US"/>
        </w:rPr>
        <w:t>DE REFERENCIA</w:t>
      </w:r>
      <w:r w:rsidR="00046E7F" w:rsidRPr="00A20ADE">
        <w:rPr>
          <w:rFonts w:ascii="ITC Avant Garde" w:eastAsiaTheme="minorHAnsi" w:hAnsi="ITC Avant Garde" w:cstheme="minorBidi"/>
          <w:b/>
          <w:i/>
          <w:color w:val="auto"/>
          <w:sz w:val="24"/>
          <w:szCs w:val="24"/>
          <w:lang w:eastAsia="en-US"/>
        </w:rPr>
        <w:t xml:space="preserve"> DE LOS SERVICIOS MAYORISTAS DE USUARIO </w:t>
      </w:r>
      <w:r w:rsidR="00764ED9" w:rsidRPr="00A20ADE">
        <w:rPr>
          <w:rFonts w:ascii="ITC Avant Garde" w:eastAsiaTheme="minorHAnsi" w:hAnsi="ITC Avant Garde" w:cstheme="minorBidi"/>
          <w:b/>
          <w:i/>
          <w:color w:val="auto"/>
          <w:sz w:val="24"/>
          <w:szCs w:val="24"/>
          <w:lang w:eastAsia="en-US"/>
        </w:rPr>
        <w:t>VISITANTE; DE</w:t>
      </w:r>
      <w:r w:rsidR="00046E7F" w:rsidRPr="00A20ADE">
        <w:rPr>
          <w:rFonts w:ascii="ITC Avant Garde" w:eastAsiaTheme="minorHAnsi" w:hAnsi="ITC Avant Garde" w:cstheme="minorBidi"/>
          <w:b/>
          <w:i/>
          <w:color w:val="auto"/>
          <w:sz w:val="24"/>
          <w:szCs w:val="24"/>
          <w:lang w:eastAsia="en-US"/>
        </w:rPr>
        <w:t xml:space="preserve"> RE</w:t>
      </w:r>
      <w:r w:rsidR="00764ED9" w:rsidRPr="00A20ADE">
        <w:rPr>
          <w:rFonts w:ascii="ITC Avant Garde" w:eastAsiaTheme="minorHAnsi" w:hAnsi="ITC Avant Garde" w:cstheme="minorBidi"/>
          <w:b/>
          <w:i/>
          <w:color w:val="auto"/>
          <w:sz w:val="24"/>
          <w:szCs w:val="24"/>
          <w:lang w:eastAsia="en-US"/>
        </w:rPr>
        <w:t>VENTA DE SERVICIOS;</w:t>
      </w:r>
      <w:r w:rsidR="00046E7F" w:rsidRPr="00A20ADE">
        <w:rPr>
          <w:rFonts w:ascii="ITC Avant Garde" w:eastAsiaTheme="minorHAnsi" w:hAnsi="ITC Avant Garde" w:cstheme="minorBidi"/>
          <w:b/>
          <w:i/>
          <w:color w:val="auto"/>
          <w:sz w:val="24"/>
          <w:szCs w:val="24"/>
          <w:lang w:eastAsia="en-US"/>
        </w:rPr>
        <w:t xml:space="preserve"> DE ACCESO Y USO COMPARTIDO DE INFRAESTRUCTURA PRESENTADAS POR E</w:t>
      </w:r>
      <w:r w:rsidR="00764ED9" w:rsidRPr="00A20ADE">
        <w:rPr>
          <w:rFonts w:ascii="ITC Avant Garde" w:eastAsiaTheme="minorHAnsi" w:hAnsi="ITC Avant Garde" w:cstheme="minorBidi"/>
          <w:b/>
          <w:i/>
          <w:color w:val="auto"/>
          <w:sz w:val="24"/>
          <w:szCs w:val="24"/>
          <w:lang w:eastAsia="en-US"/>
        </w:rPr>
        <w:t>L AEP</w:t>
      </w:r>
      <w:r w:rsidR="00046E7F" w:rsidRPr="00A20ADE">
        <w:rPr>
          <w:rFonts w:ascii="ITC Avant Garde" w:eastAsiaTheme="minorHAnsi" w:hAnsi="ITC Avant Garde" w:cstheme="minorBidi"/>
          <w:b/>
          <w:i/>
          <w:color w:val="auto"/>
          <w:sz w:val="24"/>
          <w:szCs w:val="24"/>
          <w:lang w:eastAsia="en-US"/>
        </w:rPr>
        <w:t xml:space="preserve"> EN EL SECTOR DE LAS TELECOMUNICACIONES”.</w:t>
      </w:r>
    </w:p>
    <w:p w14:paraId="3807B4DF" w14:textId="77777777" w:rsidR="00BC09A3" w:rsidRPr="00A20ADE" w:rsidRDefault="00BC09A3" w:rsidP="00A20ADE">
      <w:pPr>
        <w:spacing w:after="0" w:line="276" w:lineRule="auto"/>
        <w:ind w:left="0" w:right="0" w:firstLine="0"/>
        <w:rPr>
          <w:rFonts w:ascii="ITC Avant Garde" w:hAnsi="ITC Avant Garde"/>
        </w:rPr>
      </w:pPr>
    </w:p>
    <w:p w14:paraId="0A57018D" w14:textId="7B97A223" w:rsidR="00104F67" w:rsidRPr="00A20ADE" w:rsidRDefault="00104F67" w:rsidP="00A20ADE">
      <w:pPr>
        <w:spacing w:after="0" w:line="276" w:lineRule="auto"/>
        <w:ind w:left="-6" w:hanging="11"/>
        <w:rPr>
          <w:rFonts w:ascii="ITC Avant Garde" w:hAnsi="ITC Avant Garde" w:cs="ITC Avant Garde"/>
        </w:rPr>
      </w:pPr>
      <w:r w:rsidRPr="00A20ADE">
        <w:rPr>
          <w:rFonts w:ascii="ITC Avant Garde" w:hAnsi="ITC Avant Garde" w:cs="ITC Avant Garde"/>
          <w:b/>
        </w:rPr>
        <w:t xml:space="preserve">Fecha de Elaboración del Informe de Consideraciones sobre los comentarios, opiniones y aportaciones recibidos </w:t>
      </w:r>
      <w:r w:rsidR="009A0EF2" w:rsidRPr="00A20ADE">
        <w:rPr>
          <w:rFonts w:ascii="ITC Avant Garde" w:hAnsi="ITC Avant Garde" w:cs="ITC Avant Garde"/>
          <w:b/>
        </w:rPr>
        <w:t>en relación con</w:t>
      </w:r>
      <w:r w:rsidRPr="00A20ADE">
        <w:rPr>
          <w:rFonts w:ascii="ITC Avant Garde" w:hAnsi="ITC Avant Garde" w:cs="ITC Avant Garde"/>
          <w:b/>
        </w:rPr>
        <w:t xml:space="preserve"> la presente Consulta Pública</w:t>
      </w:r>
      <w:r w:rsidRPr="008512DD">
        <w:rPr>
          <w:rFonts w:ascii="ITC Avant Garde" w:hAnsi="ITC Avant Garde" w:cs="ITC Avant Garde"/>
          <w:b/>
        </w:rPr>
        <w:t xml:space="preserve">: </w:t>
      </w:r>
      <w:r w:rsidR="008512DD" w:rsidRPr="008512DD">
        <w:rPr>
          <w:rFonts w:ascii="ITC Avant Garde" w:hAnsi="ITC Avant Garde" w:cs="ITC Avant Garde"/>
        </w:rPr>
        <w:t>23</w:t>
      </w:r>
      <w:r w:rsidR="007D4BEE" w:rsidRPr="008512DD">
        <w:rPr>
          <w:rFonts w:ascii="ITC Avant Garde" w:hAnsi="ITC Avant Garde" w:cs="ITC Avant Garde"/>
        </w:rPr>
        <w:t xml:space="preserve"> de </w:t>
      </w:r>
      <w:r w:rsidR="008512DD" w:rsidRPr="008512DD">
        <w:rPr>
          <w:rFonts w:ascii="ITC Avant Garde" w:hAnsi="ITC Avant Garde" w:cs="ITC Avant Garde"/>
        </w:rPr>
        <w:t>noviembre</w:t>
      </w:r>
      <w:r w:rsidR="00764ED9" w:rsidRPr="008512DD">
        <w:rPr>
          <w:rFonts w:ascii="ITC Avant Garde" w:hAnsi="ITC Avant Garde" w:cs="ITC Avant Garde"/>
        </w:rPr>
        <w:t xml:space="preserve"> del 202</w:t>
      </w:r>
      <w:r w:rsidR="008512DD" w:rsidRPr="008512DD">
        <w:rPr>
          <w:rFonts w:ascii="ITC Avant Garde" w:hAnsi="ITC Avant Garde" w:cs="ITC Avant Garde"/>
        </w:rPr>
        <w:t>2</w:t>
      </w:r>
      <w:r w:rsidRPr="008512DD">
        <w:rPr>
          <w:rFonts w:ascii="ITC Avant Garde" w:hAnsi="ITC Avant Garde" w:cs="ITC Avant Garde"/>
        </w:rPr>
        <w:t>.</w:t>
      </w:r>
    </w:p>
    <w:p w14:paraId="122169D9" w14:textId="7E75A946" w:rsidR="00665D70" w:rsidRPr="00A20ADE" w:rsidRDefault="00665D70" w:rsidP="00A20ADE">
      <w:pPr>
        <w:spacing w:after="0" w:line="276" w:lineRule="auto"/>
        <w:ind w:left="-6" w:hanging="11"/>
        <w:rPr>
          <w:rFonts w:ascii="ITC Avant Garde" w:hAnsi="ITC Avant Garde" w:cs="ITC Avant Garde"/>
        </w:rPr>
      </w:pPr>
    </w:p>
    <w:p w14:paraId="4D4296DD" w14:textId="033421C3" w:rsidR="00665D70" w:rsidRDefault="00665D70" w:rsidP="00A20ADE">
      <w:pPr>
        <w:spacing w:after="0" w:line="276" w:lineRule="auto"/>
        <w:ind w:left="-6" w:hanging="11"/>
        <w:rPr>
          <w:rFonts w:ascii="ITC Avant Garde" w:hAnsi="ITC Avant Garde" w:cs="ITC Avant Garde"/>
          <w:b/>
        </w:rPr>
      </w:pPr>
      <w:r w:rsidRPr="00A20ADE">
        <w:rPr>
          <w:rFonts w:ascii="ITC Avant Garde" w:hAnsi="ITC Avant Garde" w:cs="ITC Avant Garde"/>
          <w:b/>
        </w:rPr>
        <w:t>Descripción de la Consulta Pública:</w:t>
      </w:r>
    </w:p>
    <w:p w14:paraId="01FFF1DD" w14:textId="77777777" w:rsidR="009A0EF2" w:rsidRPr="00A20ADE" w:rsidRDefault="009A0EF2" w:rsidP="00A20ADE">
      <w:pPr>
        <w:spacing w:after="0" w:line="276" w:lineRule="auto"/>
        <w:ind w:left="-6" w:hanging="11"/>
        <w:rPr>
          <w:rFonts w:ascii="ITC Avant Garde" w:hAnsi="ITC Avant Garde" w:cs="ITC Avant Garde"/>
          <w:b/>
        </w:rPr>
      </w:pPr>
    </w:p>
    <w:p w14:paraId="0EA28AA8" w14:textId="59A8EF09" w:rsidR="00665D70" w:rsidRPr="00A20ADE" w:rsidRDefault="002A50FC" w:rsidP="00A20ADE">
      <w:pPr>
        <w:spacing w:after="0" w:line="276" w:lineRule="auto"/>
        <w:ind w:left="-6" w:right="0" w:hanging="11"/>
        <w:rPr>
          <w:rFonts w:ascii="ITC Avant Garde" w:eastAsiaTheme="minorHAnsi" w:hAnsi="ITC Avant Garde" w:cs="ITC Avant Garde"/>
          <w:lang w:eastAsia="en-US"/>
        </w:rPr>
      </w:pPr>
      <w:r w:rsidRPr="00A20ADE">
        <w:rPr>
          <w:rFonts w:ascii="ITC Avant Garde" w:hAnsi="ITC Avant Garde"/>
        </w:rPr>
        <w:t xml:space="preserve">El Instituto Federal de Telecomunicaciones (en lo sucesivo, “Instituto”) </w:t>
      </w:r>
      <w:r w:rsidR="00665D70" w:rsidRPr="00A20ADE">
        <w:rPr>
          <w:rFonts w:ascii="ITC Avant Garde" w:eastAsiaTheme="minorHAnsi" w:hAnsi="ITC Avant Garde" w:cs="ITC Avant Garde"/>
          <w:lang w:eastAsia="en-US"/>
        </w:rPr>
        <w:t>recibió los comentarios, opiniones y aportaciones que se tuvieron con relación al contenido de las</w:t>
      </w:r>
      <w:r w:rsidR="00A14A58" w:rsidRPr="00A20ADE">
        <w:rPr>
          <w:rFonts w:ascii="ITC Avant Garde" w:eastAsiaTheme="minorHAnsi" w:hAnsi="ITC Avant Garde" w:cs="ITC Avant Garde"/>
          <w:lang w:eastAsia="en-US"/>
        </w:rPr>
        <w:t xml:space="preserve"> </w:t>
      </w:r>
      <w:r w:rsidR="008B2ED4" w:rsidRPr="00A20ADE">
        <w:rPr>
          <w:rFonts w:ascii="ITC Avant Garde" w:eastAsiaTheme="minorHAnsi" w:hAnsi="ITC Avant Garde" w:cs="ITC Avant Garde"/>
          <w:b/>
          <w:i/>
          <w:lang w:eastAsia="en-US"/>
        </w:rPr>
        <w:t>“</w:t>
      </w:r>
      <w:r w:rsidR="00B5612B" w:rsidRPr="00091971">
        <w:rPr>
          <w:rFonts w:ascii="ITC Avant Garde" w:eastAsiaTheme="minorHAnsi" w:hAnsi="ITC Avant Garde" w:cstheme="minorBidi"/>
          <w:b/>
          <w:i/>
          <w:iCs/>
          <w:color w:val="auto"/>
          <w:lang w:eastAsia="en-US"/>
        </w:rPr>
        <w:t>Propuestas de Ofertas de Referencia para la prestación de los Servicios Mayoristas de Usuario Visitante; de Reventa de Servicios; de Acceso y Uso Compartido de Infraestructura presentadas por el Agente Económico Preponderante en el sector de las telecomunicaciones</w:t>
      </w:r>
      <w:r w:rsidR="008B2ED4" w:rsidRPr="00A20ADE">
        <w:rPr>
          <w:rFonts w:ascii="ITC Avant Garde" w:eastAsiaTheme="minorHAnsi" w:hAnsi="ITC Avant Garde" w:cs="ITC Avant Garde"/>
          <w:b/>
          <w:i/>
          <w:lang w:eastAsia="en-US"/>
        </w:rPr>
        <w:t>”</w:t>
      </w:r>
      <w:r w:rsidR="00665D70" w:rsidRPr="00A20ADE">
        <w:rPr>
          <w:rFonts w:ascii="ITC Avant Garde" w:eastAsiaTheme="minorHAnsi" w:hAnsi="ITC Avant Garde" w:cs="ITC Avant Garde"/>
          <w:lang w:eastAsia="en-US"/>
        </w:rPr>
        <w:t xml:space="preserve"> (en lo sucesivo, la</w:t>
      </w:r>
      <w:r w:rsidR="00515031" w:rsidRPr="00A20ADE">
        <w:rPr>
          <w:rFonts w:ascii="ITC Avant Garde" w:eastAsiaTheme="minorHAnsi" w:hAnsi="ITC Avant Garde" w:cs="ITC Avant Garde"/>
          <w:lang w:eastAsia="en-US"/>
        </w:rPr>
        <w:t>s</w:t>
      </w:r>
      <w:r w:rsidR="00665D70" w:rsidRPr="00A20ADE">
        <w:rPr>
          <w:rFonts w:ascii="ITC Avant Garde" w:eastAsiaTheme="minorHAnsi" w:hAnsi="ITC Avant Garde" w:cs="ITC Avant Garde"/>
          <w:lang w:eastAsia="en-US"/>
        </w:rPr>
        <w:t xml:space="preserve"> “</w:t>
      </w:r>
      <w:r w:rsidR="00515031" w:rsidRPr="00A20ADE">
        <w:rPr>
          <w:rFonts w:ascii="ITC Avant Garde" w:eastAsiaTheme="minorHAnsi" w:hAnsi="ITC Avant Garde" w:cs="ITC Avant Garde"/>
          <w:lang w:eastAsia="en-US"/>
        </w:rPr>
        <w:t xml:space="preserve">Propuestas de </w:t>
      </w:r>
      <w:r w:rsidR="002C366C" w:rsidRPr="00A20ADE">
        <w:rPr>
          <w:rFonts w:ascii="ITC Avant Garde" w:eastAsiaTheme="minorHAnsi" w:hAnsi="ITC Avant Garde" w:cs="ITC Avant Garde"/>
          <w:lang w:eastAsia="en-US"/>
        </w:rPr>
        <w:t>Oferta</w:t>
      </w:r>
      <w:r w:rsidR="00515031" w:rsidRPr="00A20ADE">
        <w:rPr>
          <w:rFonts w:ascii="ITC Avant Garde" w:eastAsiaTheme="minorHAnsi" w:hAnsi="ITC Avant Garde" w:cs="ITC Avant Garde"/>
          <w:lang w:eastAsia="en-US"/>
        </w:rPr>
        <w:t>s</w:t>
      </w:r>
      <w:r w:rsidR="00665D70" w:rsidRPr="00A20ADE">
        <w:rPr>
          <w:rFonts w:ascii="ITC Avant Garde" w:eastAsiaTheme="minorHAnsi" w:hAnsi="ITC Avant Garde" w:cs="ITC Avant Garde"/>
          <w:lang w:eastAsia="en-US"/>
        </w:rPr>
        <w:t xml:space="preserve">”) materia de la consulta pública de mérito, recibidas durante el periodo comprendido del </w:t>
      </w:r>
      <w:r w:rsidR="00122D92">
        <w:rPr>
          <w:rFonts w:ascii="ITC Avant Garde" w:eastAsiaTheme="minorHAnsi" w:hAnsi="ITC Avant Garde" w:cs="ITC Avant Garde"/>
          <w:lang w:eastAsia="en-US"/>
        </w:rPr>
        <w:t>15</w:t>
      </w:r>
      <w:r w:rsidR="00665D70" w:rsidRPr="00A20ADE">
        <w:rPr>
          <w:rFonts w:ascii="ITC Avant Garde" w:eastAsiaTheme="minorHAnsi" w:hAnsi="ITC Avant Garde" w:cs="ITC Avant Garde"/>
          <w:lang w:eastAsia="en-US"/>
        </w:rPr>
        <w:t xml:space="preserve"> </w:t>
      </w:r>
      <w:r w:rsidR="00F854B2" w:rsidRPr="00A20ADE">
        <w:rPr>
          <w:rFonts w:ascii="ITC Avant Garde" w:eastAsiaTheme="minorHAnsi" w:hAnsi="ITC Avant Garde" w:cs="ITC Avant Garde"/>
          <w:lang w:eastAsia="en-US"/>
        </w:rPr>
        <w:t xml:space="preserve">de agosto al </w:t>
      </w:r>
      <w:r w:rsidR="00122D92">
        <w:rPr>
          <w:rFonts w:ascii="ITC Avant Garde" w:eastAsiaTheme="minorHAnsi" w:hAnsi="ITC Avant Garde" w:cs="ITC Avant Garde"/>
          <w:lang w:eastAsia="en-US"/>
        </w:rPr>
        <w:t>13</w:t>
      </w:r>
      <w:r w:rsidR="002C366C" w:rsidRPr="00A20ADE">
        <w:rPr>
          <w:rFonts w:ascii="ITC Avant Garde" w:eastAsiaTheme="minorHAnsi" w:hAnsi="ITC Avant Garde" w:cs="ITC Avant Garde"/>
          <w:lang w:eastAsia="en-US"/>
        </w:rPr>
        <w:t xml:space="preserve"> de septiembre</w:t>
      </w:r>
      <w:r w:rsidR="00F854B2" w:rsidRPr="00A20ADE">
        <w:rPr>
          <w:rFonts w:ascii="ITC Avant Garde" w:eastAsiaTheme="minorHAnsi" w:hAnsi="ITC Avant Garde" w:cs="ITC Avant Garde"/>
          <w:lang w:eastAsia="en-US"/>
        </w:rPr>
        <w:t xml:space="preserve"> de 202</w:t>
      </w:r>
      <w:r w:rsidR="00122D92">
        <w:rPr>
          <w:rFonts w:ascii="ITC Avant Garde" w:eastAsiaTheme="minorHAnsi" w:hAnsi="ITC Avant Garde" w:cs="ITC Avant Garde"/>
          <w:lang w:eastAsia="en-US"/>
        </w:rPr>
        <w:t>2</w:t>
      </w:r>
      <w:r w:rsidR="00665D70" w:rsidRPr="00A20ADE">
        <w:rPr>
          <w:rFonts w:ascii="ITC Avant Garde" w:eastAsiaTheme="minorHAnsi" w:hAnsi="ITC Avant Garde" w:cs="ITC Avant Garde"/>
          <w:lang w:eastAsia="en-US"/>
        </w:rPr>
        <w:t xml:space="preserve"> a través de la dirección de correo electrónico </w:t>
      </w:r>
      <w:hyperlink r:id="rId8" w:history="1">
        <w:r w:rsidR="002C366C" w:rsidRPr="00A20ADE">
          <w:rPr>
            <w:rFonts w:ascii="ITC Avant Garde" w:eastAsiaTheme="minorHAnsi" w:hAnsi="ITC Avant Garde" w:cs="ITC Avant Garde"/>
            <w:lang w:eastAsia="en-US"/>
          </w:rPr>
          <w:t>ofertas.referencia@ift.org.mx</w:t>
        </w:r>
      </w:hyperlink>
      <w:r w:rsidR="00665D70" w:rsidRPr="00A20ADE">
        <w:rPr>
          <w:rFonts w:ascii="ITC Avant Garde" w:eastAsiaTheme="minorHAnsi" w:hAnsi="ITC Avant Garde" w:cs="ITC Avant Garde"/>
          <w:lang w:eastAsia="en-US"/>
        </w:rPr>
        <w:t>,</w:t>
      </w:r>
      <w:r w:rsidR="00AF285E" w:rsidRPr="00A20ADE">
        <w:rPr>
          <w:rFonts w:ascii="ITC Avant Garde" w:eastAsiaTheme="minorHAnsi" w:hAnsi="ITC Avant Garde" w:cs="ITC Avant Garde"/>
          <w:lang w:eastAsia="en-US"/>
        </w:rPr>
        <w:t xml:space="preserve"> o </w:t>
      </w:r>
      <w:r w:rsidR="00665D70" w:rsidRPr="00A20ADE">
        <w:rPr>
          <w:rFonts w:ascii="ITC Avant Garde" w:eastAsiaTheme="minorHAnsi" w:hAnsi="ITC Avant Garde" w:cs="ITC Avant Garde"/>
          <w:lang w:eastAsia="en-US"/>
        </w:rPr>
        <w:t>bien, mediante escrito presentado en la Oficialía de Partes Común del Instituto ubicada en Insurgentes Sur 1143, colonia Nochebuena, Delegación Benito Juárez, C.P. 03720, Ciudad de México.</w:t>
      </w:r>
    </w:p>
    <w:p w14:paraId="0D3822D8" w14:textId="1CC67CA2" w:rsidR="00A93E0C" w:rsidRPr="00A20ADE" w:rsidRDefault="00A93E0C" w:rsidP="00A20ADE">
      <w:pPr>
        <w:spacing w:after="0" w:line="276" w:lineRule="auto"/>
        <w:ind w:left="-6" w:right="0" w:hanging="11"/>
        <w:rPr>
          <w:rFonts w:ascii="ITC Avant Garde" w:eastAsiaTheme="minorHAnsi" w:hAnsi="ITC Avant Garde" w:cs="ITC Avant Garde"/>
          <w:lang w:eastAsia="en-US"/>
        </w:rPr>
      </w:pPr>
    </w:p>
    <w:p w14:paraId="4778A247" w14:textId="52EE4B5B" w:rsidR="00A93E0C" w:rsidRDefault="00A93E0C" w:rsidP="00A20ADE">
      <w:pPr>
        <w:spacing w:after="0" w:line="276" w:lineRule="auto"/>
        <w:ind w:left="-5"/>
        <w:rPr>
          <w:rFonts w:ascii="ITC Avant Garde" w:hAnsi="ITC Avant Garde" w:cs="ITC Avant Garde"/>
          <w:b/>
        </w:rPr>
      </w:pPr>
      <w:r w:rsidRPr="00A20ADE">
        <w:rPr>
          <w:rFonts w:ascii="ITC Avant Garde" w:hAnsi="ITC Avant Garde" w:cs="ITC Avant Garde"/>
          <w:b/>
        </w:rPr>
        <w:t>Objetivo de la Consulta Pública:</w:t>
      </w:r>
    </w:p>
    <w:p w14:paraId="1ACDC902" w14:textId="77777777" w:rsidR="009A0EF2" w:rsidRPr="00A20ADE" w:rsidRDefault="009A0EF2" w:rsidP="00A20ADE">
      <w:pPr>
        <w:spacing w:after="0" w:line="276" w:lineRule="auto"/>
        <w:ind w:left="-5"/>
        <w:rPr>
          <w:rFonts w:ascii="ITC Avant Garde" w:hAnsi="ITC Avant Garde" w:cs="ITC Avant Garde"/>
          <w:b/>
        </w:rPr>
      </w:pPr>
    </w:p>
    <w:p w14:paraId="20229C35" w14:textId="01D871B7" w:rsidR="002A50FC" w:rsidRPr="00A20ADE" w:rsidRDefault="002A50FC" w:rsidP="00A20ADE">
      <w:pPr>
        <w:spacing w:after="0" w:line="276" w:lineRule="auto"/>
        <w:ind w:left="-5" w:right="0"/>
        <w:rPr>
          <w:rFonts w:ascii="ITC Avant Garde" w:hAnsi="ITC Avant Garde"/>
        </w:rPr>
      </w:pPr>
      <w:r w:rsidRPr="00A20ADE">
        <w:rPr>
          <w:rFonts w:ascii="ITC Avant Garde" w:hAnsi="ITC Avant Garde"/>
        </w:rPr>
        <w:t>El Instituto convencido de la importancia y relevancia de transparentar su proceso de elaboración de nuevas regulaciones, a través de la consulta pública recibió los comentarios, opiniones y aportaciones de cualquier interesado a propósito de las </w:t>
      </w:r>
      <w:r w:rsidR="0020219B" w:rsidRPr="00A20ADE">
        <w:rPr>
          <w:rFonts w:ascii="ITC Avant Garde" w:hAnsi="ITC Avant Garde"/>
        </w:rPr>
        <w:t xml:space="preserve">Propuestas de </w:t>
      </w:r>
      <w:r w:rsidRPr="00A20ADE">
        <w:rPr>
          <w:rFonts w:ascii="ITC Avant Garde" w:hAnsi="ITC Avant Garde"/>
        </w:rPr>
        <w:t>Ofertas, las cuales se proponen con base en lo establecido en los artículos 1, 2, 7, 15, fracción XL y LXIII, 51</w:t>
      </w:r>
      <w:r w:rsidR="00DD112A" w:rsidRPr="00A20ADE">
        <w:rPr>
          <w:rFonts w:ascii="ITC Avant Garde" w:hAnsi="ITC Avant Garde"/>
        </w:rPr>
        <w:t>,</w:t>
      </w:r>
      <w:r w:rsidRPr="00A20ADE">
        <w:rPr>
          <w:rFonts w:ascii="ITC Avant Garde" w:hAnsi="ITC Avant Garde"/>
        </w:rPr>
        <w:t xml:space="preserve"> </w:t>
      </w:r>
      <w:r w:rsidR="00DD112A" w:rsidRPr="00A20ADE">
        <w:rPr>
          <w:rFonts w:ascii="ITC Avant Garde" w:hAnsi="ITC Avant Garde"/>
        </w:rPr>
        <w:t>268 y</w:t>
      </w:r>
      <w:r w:rsidRPr="00A20ADE">
        <w:rPr>
          <w:rFonts w:ascii="ITC Avant Garde" w:hAnsi="ITC Avant Garde"/>
        </w:rPr>
        <w:t xml:space="preserve"> 269 fracción III de la Ley Federal de Telecomunicaciones y Radiodifusión</w:t>
      </w:r>
      <w:r w:rsidR="00096849" w:rsidRPr="00A20ADE">
        <w:rPr>
          <w:rFonts w:ascii="ITC Avant Garde" w:hAnsi="ITC Avant Garde"/>
        </w:rPr>
        <w:t xml:space="preserve"> (en lo sucesivo, la “LFTR”)</w:t>
      </w:r>
      <w:r w:rsidRPr="00A20ADE">
        <w:rPr>
          <w:rFonts w:ascii="ITC Avant Garde" w:hAnsi="ITC Avant Garde"/>
        </w:rPr>
        <w:t xml:space="preserve">, </w:t>
      </w:r>
      <w:r w:rsidR="00EB4547">
        <w:rPr>
          <w:rFonts w:ascii="ITC Avant Garde" w:hAnsi="ITC Avant Garde"/>
        </w:rPr>
        <w:t xml:space="preserve">así como los artículos </w:t>
      </w:r>
      <w:r w:rsidRPr="00A20ADE">
        <w:rPr>
          <w:rFonts w:ascii="ITC Avant Garde" w:hAnsi="ITC Avant Garde"/>
        </w:rPr>
        <w:t xml:space="preserve"> 1, 4, fracción I, 6, fracción XXXVIII y </w:t>
      </w:r>
      <w:r w:rsidR="001F4605" w:rsidRPr="00A20ADE">
        <w:rPr>
          <w:rFonts w:ascii="ITC Avant Garde" w:hAnsi="ITC Avant Garde"/>
        </w:rPr>
        <w:t>25</w:t>
      </w:r>
      <w:r w:rsidRPr="00A20ADE">
        <w:rPr>
          <w:rFonts w:ascii="ITC Avant Garde" w:hAnsi="ITC Avant Garde"/>
        </w:rPr>
        <w:t xml:space="preserve"> fracción </w:t>
      </w:r>
      <w:r w:rsidR="001F4605" w:rsidRPr="00A20ADE">
        <w:rPr>
          <w:rFonts w:ascii="ITC Avant Garde" w:hAnsi="ITC Avant Garde"/>
        </w:rPr>
        <w:t>XI</w:t>
      </w:r>
      <w:r w:rsidRPr="00A20ADE">
        <w:rPr>
          <w:rFonts w:ascii="ITC Avant Garde" w:hAnsi="ITC Avant Garde"/>
        </w:rPr>
        <w:t xml:space="preserve"> del Estatuto Orgánico del Institut</w:t>
      </w:r>
      <w:r w:rsidR="00096849" w:rsidRPr="00A20ADE">
        <w:rPr>
          <w:rFonts w:ascii="ITC Avant Garde" w:hAnsi="ITC Avant Garde"/>
        </w:rPr>
        <w:t>o Federal de Telecomunicaciones, y la “</w:t>
      </w:r>
      <w:r w:rsidR="00096849" w:rsidRPr="00A20ADE">
        <w:rPr>
          <w:rFonts w:ascii="ITC Avant Garde" w:hAnsi="ITC Avant Garde"/>
          <w:i/>
          <w:iCs/>
        </w:rPr>
        <w:t xml:space="preserve">Resolución mediante la cual el Pleno del Instituto Federal de Telecomunicaciones determina al grupo de interés económico del que forman parte América Móvil, S.A.B. de C.V., Teléfonos de México, S.A.B. de C.V., Teléfonos del Noroeste, S.A. de C.V., </w:t>
      </w:r>
      <w:proofErr w:type="spellStart"/>
      <w:r w:rsidR="00096849" w:rsidRPr="00A20ADE">
        <w:rPr>
          <w:rFonts w:ascii="ITC Avant Garde" w:hAnsi="ITC Avant Garde"/>
          <w:i/>
          <w:iCs/>
        </w:rPr>
        <w:t>Radiomóvil</w:t>
      </w:r>
      <w:proofErr w:type="spellEnd"/>
      <w:r w:rsidR="00096849" w:rsidRPr="00A20ADE">
        <w:rPr>
          <w:rFonts w:ascii="ITC Avant Garde" w:hAnsi="ITC Avant Garde"/>
          <w:i/>
          <w:iCs/>
        </w:rPr>
        <w:t xml:space="preserve"> Dipsa, S.A.B. de C. V., Grupo Carso, S.A.B. de C.V., y Grupo Financiero Inbursa, S.A.B. de C.V., como Agente Económico Preponderante en el sector de telecomunicaciones y le impone las </w:t>
      </w:r>
      <w:r w:rsidR="00096849" w:rsidRPr="00A20ADE">
        <w:rPr>
          <w:rFonts w:ascii="ITC Avant Garde" w:hAnsi="ITC Avant Garde"/>
          <w:i/>
          <w:iCs/>
        </w:rPr>
        <w:lastRenderedPageBreak/>
        <w:t>medidas necesarias para evitar que se afecte la competencia y la libre concurrencia</w:t>
      </w:r>
      <w:r w:rsidR="00096849" w:rsidRPr="00A20ADE">
        <w:rPr>
          <w:rFonts w:ascii="ITC Avant Garde" w:hAnsi="ITC Avant Garde"/>
        </w:rPr>
        <w:t>”, aprobada mediante Acuerdo P/IFT/EXT/060314/76, y</w:t>
      </w:r>
      <w:r w:rsidR="00A758C1" w:rsidRPr="00A20ADE">
        <w:rPr>
          <w:rFonts w:ascii="ITC Avant Garde" w:hAnsi="ITC Avant Garde"/>
        </w:rPr>
        <w:t xml:space="preserve"> la</w:t>
      </w:r>
      <w:r w:rsidR="00096849" w:rsidRPr="00A20ADE">
        <w:rPr>
          <w:rFonts w:ascii="ITC Avant Garde" w:hAnsi="ITC Avant Garde"/>
        </w:rPr>
        <w:t xml:space="preserve"> </w:t>
      </w:r>
      <w:r w:rsidR="0066764D" w:rsidRPr="00A20ADE">
        <w:rPr>
          <w:rFonts w:ascii="ITC Avant Garde" w:hAnsi="ITC Avant Garde"/>
        </w:rPr>
        <w:t>“</w:t>
      </w:r>
      <w:r w:rsidR="0066764D" w:rsidRPr="00A20ADE">
        <w:rPr>
          <w:rFonts w:ascii="ITC Avant Garde" w:hAnsi="ITC Avant Garde"/>
          <w:i/>
          <w:iCs/>
        </w:rPr>
        <w:t>Resolución mediante la cual el Pleno del Instituto Federal de Telecomunicaciones suprime, modifica y adiciona las medidas impuestas al Agente Económico Preponderante en el sector de telecomunicaciones mediante acuerdos P/IFT/EXT/060314/76 y P/IFT/EXT/270217/119”</w:t>
      </w:r>
      <w:r w:rsidR="0066764D" w:rsidRPr="00A20ADE">
        <w:rPr>
          <w:rFonts w:ascii="ITC Avant Garde" w:hAnsi="ITC Avant Garde"/>
        </w:rPr>
        <w:t>, aprobada mediante acuerdo P/IFT/021220/488</w:t>
      </w:r>
      <w:r w:rsidR="00096849" w:rsidRPr="00A20ADE">
        <w:rPr>
          <w:rFonts w:ascii="ITC Avant Garde" w:hAnsi="ITC Avant Garde"/>
        </w:rPr>
        <w:t>.</w:t>
      </w:r>
    </w:p>
    <w:p w14:paraId="1A164306" w14:textId="77777777" w:rsidR="002A50FC" w:rsidRPr="00A20ADE" w:rsidRDefault="002A50FC" w:rsidP="00A20ADE">
      <w:pPr>
        <w:spacing w:after="0" w:line="276" w:lineRule="auto"/>
        <w:ind w:left="-5" w:right="0"/>
        <w:rPr>
          <w:rFonts w:ascii="ITC Avant Garde" w:hAnsi="ITC Avant Garde"/>
        </w:rPr>
      </w:pPr>
    </w:p>
    <w:p w14:paraId="6ACF5692" w14:textId="0AA37689" w:rsidR="002A50FC" w:rsidRPr="00A20ADE" w:rsidRDefault="002A50FC" w:rsidP="00A20ADE">
      <w:pPr>
        <w:spacing w:after="0" w:line="276" w:lineRule="auto"/>
        <w:ind w:left="-5" w:right="0"/>
        <w:rPr>
          <w:rFonts w:ascii="ITC Avant Garde" w:hAnsi="ITC Avant Garde"/>
        </w:rPr>
      </w:pPr>
      <w:r w:rsidRPr="00A20ADE">
        <w:rPr>
          <w:rFonts w:ascii="ITC Avant Garde" w:hAnsi="ITC Avant Garde"/>
        </w:rPr>
        <w:t xml:space="preserve">Los objetivos principales de la </w:t>
      </w:r>
      <w:r w:rsidR="00BB2237" w:rsidRPr="00A20ADE">
        <w:rPr>
          <w:rFonts w:ascii="ITC Avant Garde" w:hAnsi="ITC Avant Garde"/>
        </w:rPr>
        <w:t>consulta pública consistieron</w:t>
      </w:r>
      <w:r w:rsidRPr="00A20ADE">
        <w:rPr>
          <w:rFonts w:ascii="ITC Avant Garde" w:hAnsi="ITC Avant Garde"/>
        </w:rPr>
        <w:t xml:space="preserve"> en: i) contar con mayores elementos para determinar las condiciones bajo las cuales</w:t>
      </w:r>
      <w:r w:rsidR="00E37389" w:rsidRPr="00A20ADE">
        <w:rPr>
          <w:rFonts w:ascii="ITC Avant Garde" w:hAnsi="ITC Avant Garde"/>
        </w:rPr>
        <w:t xml:space="preserve"> se deberán aprobar las </w:t>
      </w:r>
      <w:r w:rsidR="001F4605" w:rsidRPr="00A20ADE">
        <w:rPr>
          <w:rFonts w:ascii="ITC Avant Garde" w:hAnsi="ITC Avant Garde"/>
        </w:rPr>
        <w:t xml:space="preserve">Ofertas </w:t>
      </w:r>
      <w:r w:rsidR="00C60FA1" w:rsidRPr="00A20ADE">
        <w:rPr>
          <w:rFonts w:ascii="ITC Avant Garde" w:hAnsi="ITC Avant Garde"/>
        </w:rPr>
        <w:t xml:space="preserve">de </w:t>
      </w:r>
      <w:r w:rsidR="001F4605" w:rsidRPr="00A20ADE">
        <w:rPr>
          <w:rFonts w:ascii="ITC Avant Garde" w:hAnsi="ITC Avant Garde"/>
        </w:rPr>
        <w:t>Referencia</w:t>
      </w:r>
      <w:r w:rsidRPr="00A20ADE">
        <w:rPr>
          <w:rFonts w:ascii="ITC Avant Garde" w:hAnsi="ITC Avant Garde"/>
        </w:rPr>
        <w:t>; </w:t>
      </w:r>
      <w:proofErr w:type="spellStart"/>
      <w:r w:rsidRPr="00A20ADE">
        <w:rPr>
          <w:rFonts w:ascii="ITC Avant Garde" w:hAnsi="ITC Avant Garde"/>
        </w:rPr>
        <w:t>ii</w:t>
      </w:r>
      <w:proofErr w:type="spellEnd"/>
      <w:r w:rsidRPr="00A20ADE">
        <w:rPr>
          <w:rFonts w:ascii="ITC Avant Garde" w:hAnsi="ITC Avant Garde"/>
        </w:rPr>
        <w:t>) favorecer la transparencia y participación ciudadana con el fin de recibir los comentarios</w:t>
      </w:r>
      <w:r w:rsidR="00863E83">
        <w:rPr>
          <w:rFonts w:ascii="ITC Avant Garde" w:hAnsi="ITC Avant Garde"/>
        </w:rPr>
        <w:t>,</w:t>
      </w:r>
      <w:r w:rsidRPr="00A20ADE">
        <w:rPr>
          <w:rFonts w:ascii="ITC Avant Garde" w:hAnsi="ITC Avant Garde"/>
        </w:rPr>
        <w:t xml:space="preserve"> opiniones</w:t>
      </w:r>
      <w:r w:rsidR="00863E83">
        <w:rPr>
          <w:rFonts w:ascii="ITC Avant Garde" w:hAnsi="ITC Avant Garde"/>
        </w:rPr>
        <w:t xml:space="preserve"> y aportaciones de la industria, académicos, analistas, gobierno, ámbito internacional y sociedad en general</w:t>
      </w:r>
      <w:r w:rsidR="00E37389" w:rsidRPr="00A20ADE">
        <w:rPr>
          <w:rFonts w:ascii="ITC Avant Garde" w:hAnsi="ITC Avant Garde"/>
        </w:rPr>
        <w:t xml:space="preserve"> sobre las </w:t>
      </w:r>
      <w:r w:rsidR="001F4605" w:rsidRPr="00A20ADE">
        <w:rPr>
          <w:rFonts w:ascii="ITC Avant Garde" w:hAnsi="ITC Avant Garde"/>
        </w:rPr>
        <w:t>Ofertas de Referencia</w:t>
      </w:r>
      <w:r w:rsidRPr="00A20ADE">
        <w:rPr>
          <w:rFonts w:ascii="ITC Avant Garde" w:hAnsi="ITC Avant Garde"/>
        </w:rPr>
        <w:t>; y </w:t>
      </w:r>
      <w:proofErr w:type="spellStart"/>
      <w:r w:rsidRPr="00A20ADE">
        <w:rPr>
          <w:rFonts w:ascii="ITC Avant Garde" w:hAnsi="ITC Avant Garde"/>
        </w:rPr>
        <w:t>iii</w:t>
      </w:r>
      <w:proofErr w:type="spellEnd"/>
      <w:r w:rsidRPr="00A20ADE">
        <w:rPr>
          <w:rFonts w:ascii="ITC Avant Garde" w:hAnsi="ITC Avant Garde"/>
        </w:rPr>
        <w:t>) establecer las bases para aprobar o modificar las mismas.</w:t>
      </w:r>
    </w:p>
    <w:p w14:paraId="1F5203D6" w14:textId="67E4CCD8" w:rsidR="00632D40" w:rsidRPr="00A20ADE" w:rsidRDefault="00632D40" w:rsidP="00A20ADE">
      <w:pPr>
        <w:spacing w:after="0" w:line="276" w:lineRule="auto"/>
        <w:ind w:left="-5" w:right="0"/>
        <w:rPr>
          <w:rFonts w:ascii="ITC Avant Garde" w:hAnsi="ITC Avant Garde"/>
        </w:rPr>
      </w:pPr>
    </w:p>
    <w:p w14:paraId="291DEE0D" w14:textId="77777777" w:rsidR="00632D40" w:rsidRPr="00A20ADE" w:rsidRDefault="00632D40" w:rsidP="00A20ADE">
      <w:pPr>
        <w:spacing w:after="0" w:line="276" w:lineRule="auto"/>
        <w:ind w:left="-5"/>
        <w:rPr>
          <w:rFonts w:ascii="ITC Avant Garde" w:hAnsi="ITC Avant Garde" w:cs="ITC Avant Garde"/>
          <w:b/>
        </w:rPr>
      </w:pPr>
      <w:r w:rsidRPr="00A20ADE">
        <w:rPr>
          <w:rFonts w:ascii="ITC Avant Garde" w:hAnsi="ITC Avant Garde" w:cs="ITC Avant Garde"/>
          <w:b/>
        </w:rPr>
        <w:t xml:space="preserve">Unidad Administrativa que promueve el proyecto: </w:t>
      </w:r>
      <w:r w:rsidRPr="00A20ADE">
        <w:rPr>
          <w:rFonts w:ascii="ITC Avant Garde" w:hAnsi="ITC Avant Garde" w:cs="ITC Avant Garde"/>
        </w:rPr>
        <w:t>Unidad de Política Regulatoria.</w:t>
      </w:r>
    </w:p>
    <w:p w14:paraId="4C353835" w14:textId="0BB137A4" w:rsidR="00D44461" w:rsidRPr="00A20ADE" w:rsidRDefault="00D44461" w:rsidP="00A20ADE">
      <w:pPr>
        <w:spacing w:after="0" w:line="276" w:lineRule="auto"/>
        <w:ind w:left="0" w:right="0" w:firstLine="0"/>
        <w:jc w:val="left"/>
        <w:rPr>
          <w:rFonts w:ascii="ITC Avant Garde" w:hAnsi="ITC Avant Garde"/>
        </w:rPr>
      </w:pPr>
    </w:p>
    <w:p w14:paraId="7F5CBCD3" w14:textId="77777777" w:rsidR="00504D46" w:rsidRPr="00A20ADE" w:rsidRDefault="00504D46" w:rsidP="00A20ADE">
      <w:pPr>
        <w:spacing w:after="0" w:line="276" w:lineRule="auto"/>
        <w:ind w:left="-6" w:hanging="11"/>
        <w:rPr>
          <w:rFonts w:ascii="ITC Avant Garde" w:hAnsi="ITC Avant Garde" w:cs="ITC Avant Garde"/>
        </w:rPr>
      </w:pPr>
      <w:r w:rsidRPr="00A20ADE">
        <w:rPr>
          <w:rFonts w:ascii="ITC Avant Garde" w:hAnsi="ITC Avant Garde" w:cs="ITC Avant Garde"/>
          <w:b/>
        </w:rPr>
        <w:t>Participantes de la Consulta Pública:</w:t>
      </w:r>
    </w:p>
    <w:p w14:paraId="6268314B" w14:textId="1A309502" w:rsidR="00DD421A" w:rsidRPr="007D0E6E" w:rsidRDefault="00A62960" w:rsidP="00A20ADE">
      <w:pPr>
        <w:spacing w:after="0" w:line="276" w:lineRule="auto"/>
        <w:ind w:left="-5" w:right="0"/>
        <w:rPr>
          <w:rFonts w:ascii="ITC Avant Garde" w:hAnsi="ITC Avant Garde"/>
        </w:rPr>
      </w:pPr>
      <w:r w:rsidRPr="00A20ADE">
        <w:rPr>
          <w:rFonts w:ascii="ITC Avant Garde" w:hAnsi="ITC Avant Garde"/>
        </w:rPr>
        <w:t xml:space="preserve">Durante </w:t>
      </w:r>
      <w:r w:rsidR="00BC09A3" w:rsidRPr="00A20ADE">
        <w:rPr>
          <w:rFonts w:ascii="ITC Avant Garde" w:hAnsi="ITC Avant Garde"/>
        </w:rPr>
        <w:t xml:space="preserve">el </w:t>
      </w:r>
      <w:r w:rsidR="001D50AC" w:rsidRPr="00A20ADE">
        <w:rPr>
          <w:rFonts w:ascii="ITC Avant Garde" w:hAnsi="ITC Avant Garde"/>
        </w:rPr>
        <w:t>periodo</w:t>
      </w:r>
      <w:r w:rsidR="00BC09A3" w:rsidRPr="00A20ADE">
        <w:rPr>
          <w:rFonts w:ascii="ITC Avant Garde" w:hAnsi="ITC Avant Garde"/>
        </w:rPr>
        <w:t xml:space="preserve"> de la consulta pú</w:t>
      </w:r>
      <w:r w:rsidR="00D44461" w:rsidRPr="00A20ADE">
        <w:rPr>
          <w:rFonts w:ascii="ITC Avant Garde" w:hAnsi="ITC Avant Garde"/>
        </w:rPr>
        <w:t>bl</w:t>
      </w:r>
      <w:r w:rsidR="007E006A" w:rsidRPr="00A20ADE">
        <w:rPr>
          <w:rFonts w:ascii="ITC Avant Garde" w:hAnsi="ITC Avant Garde"/>
        </w:rPr>
        <w:t xml:space="preserve">ica de </w:t>
      </w:r>
      <w:r w:rsidR="009A0EF2" w:rsidRPr="00A20ADE">
        <w:rPr>
          <w:rFonts w:ascii="ITC Avant Garde" w:hAnsi="ITC Avant Garde"/>
        </w:rPr>
        <w:t xml:space="preserve">la Propuesta de </w:t>
      </w:r>
      <w:r w:rsidR="009A0EF2" w:rsidRPr="00A20ADE">
        <w:rPr>
          <w:rFonts w:ascii="ITC Avant Garde" w:hAnsi="ITC Avant Garde" w:cs="Arial"/>
          <w:b/>
          <w:i/>
          <w:lang w:val="es-ES_tradnl"/>
        </w:rPr>
        <w:t>Oferta de Referencia para la Prestación del Servicio Mayorista de Usuario Visitante</w:t>
      </w:r>
      <w:r w:rsidR="009A0EF2" w:rsidRPr="00A20ADE">
        <w:rPr>
          <w:rFonts w:ascii="ITC Avant Garde" w:hAnsi="ITC Avant Garde"/>
          <w:b/>
        </w:rPr>
        <w:t xml:space="preserve"> </w:t>
      </w:r>
      <w:r w:rsidR="009A0EF2" w:rsidRPr="00A20ADE">
        <w:rPr>
          <w:rFonts w:ascii="ITC Avant Garde" w:hAnsi="ITC Avant Garde"/>
        </w:rPr>
        <w:t>(en lo sucesivo, la “</w:t>
      </w:r>
      <w:r w:rsidR="009A0EF2" w:rsidRPr="007D0E6E">
        <w:rPr>
          <w:rFonts w:ascii="ITC Avant Garde" w:hAnsi="ITC Avant Garde"/>
        </w:rPr>
        <w:t>Oferta”)</w:t>
      </w:r>
      <w:r w:rsidR="007E006A" w:rsidRPr="007D0E6E">
        <w:rPr>
          <w:rFonts w:ascii="ITC Avant Garde" w:hAnsi="ITC Avant Garde"/>
        </w:rPr>
        <w:t>, se recibi</w:t>
      </w:r>
      <w:r w:rsidR="00411F1A" w:rsidRPr="007D0E6E">
        <w:rPr>
          <w:rFonts w:ascii="ITC Avant Garde" w:hAnsi="ITC Avant Garde"/>
        </w:rPr>
        <w:t>eron</w:t>
      </w:r>
      <w:r w:rsidR="00B9090C" w:rsidRPr="007D0E6E">
        <w:rPr>
          <w:rFonts w:ascii="ITC Avant Garde" w:hAnsi="ITC Avant Garde"/>
        </w:rPr>
        <w:t xml:space="preserve"> </w:t>
      </w:r>
      <w:r w:rsidR="00411F1A" w:rsidRPr="007D0E6E">
        <w:rPr>
          <w:rFonts w:ascii="ITC Avant Garde" w:hAnsi="ITC Avant Garde"/>
        </w:rPr>
        <w:t>3</w:t>
      </w:r>
      <w:r w:rsidR="006751FC" w:rsidRPr="007D0E6E">
        <w:rPr>
          <w:rFonts w:ascii="ITC Avant Garde" w:hAnsi="ITC Avant Garde"/>
        </w:rPr>
        <w:t xml:space="preserve"> </w:t>
      </w:r>
      <w:r w:rsidR="0076085E" w:rsidRPr="007D0E6E">
        <w:rPr>
          <w:rFonts w:ascii="ITC Avant Garde" w:hAnsi="ITC Avant Garde"/>
        </w:rPr>
        <w:t>participaci</w:t>
      </w:r>
      <w:r w:rsidR="00411F1A" w:rsidRPr="007D0E6E">
        <w:rPr>
          <w:rFonts w:ascii="ITC Avant Garde" w:hAnsi="ITC Avant Garde"/>
        </w:rPr>
        <w:t>o</w:t>
      </w:r>
      <w:r w:rsidR="00B9090C" w:rsidRPr="007D0E6E">
        <w:rPr>
          <w:rFonts w:ascii="ITC Avant Garde" w:hAnsi="ITC Avant Garde"/>
        </w:rPr>
        <w:t>n</w:t>
      </w:r>
      <w:r w:rsidR="00411F1A" w:rsidRPr="007D0E6E">
        <w:rPr>
          <w:rFonts w:ascii="ITC Avant Garde" w:hAnsi="ITC Avant Garde"/>
        </w:rPr>
        <w:t>es</w:t>
      </w:r>
      <w:r w:rsidR="00FF0C54" w:rsidRPr="007D0E6E">
        <w:rPr>
          <w:rFonts w:ascii="ITC Avant Garde" w:hAnsi="ITC Avant Garde"/>
        </w:rPr>
        <w:t xml:space="preserve"> </w:t>
      </w:r>
      <w:r w:rsidR="003146CE" w:rsidRPr="007D0E6E">
        <w:rPr>
          <w:rFonts w:ascii="ITC Avant Garde" w:hAnsi="ITC Avant Garde"/>
        </w:rPr>
        <w:t>por parte de la</w:t>
      </w:r>
      <w:r w:rsidR="00411F1A" w:rsidRPr="007D0E6E">
        <w:rPr>
          <w:rFonts w:ascii="ITC Avant Garde" w:hAnsi="ITC Avant Garde"/>
        </w:rPr>
        <w:t>s</w:t>
      </w:r>
      <w:r w:rsidR="003146CE" w:rsidRPr="007D0E6E">
        <w:rPr>
          <w:rFonts w:ascii="ITC Avant Garde" w:hAnsi="ITC Avant Garde"/>
        </w:rPr>
        <w:t xml:space="preserve"> siguiente</w:t>
      </w:r>
      <w:r w:rsidR="00411F1A" w:rsidRPr="007D0E6E">
        <w:rPr>
          <w:rFonts w:ascii="ITC Avant Garde" w:hAnsi="ITC Avant Garde"/>
        </w:rPr>
        <w:t>s</w:t>
      </w:r>
      <w:r w:rsidR="003146CE" w:rsidRPr="007D0E6E">
        <w:rPr>
          <w:rFonts w:ascii="ITC Avant Garde" w:hAnsi="ITC Avant Garde"/>
        </w:rPr>
        <w:t xml:space="preserve"> persona</w:t>
      </w:r>
      <w:r w:rsidR="00411F1A" w:rsidRPr="007D0E6E">
        <w:rPr>
          <w:rFonts w:ascii="ITC Avant Garde" w:hAnsi="ITC Avant Garde"/>
        </w:rPr>
        <w:t>s</w:t>
      </w:r>
      <w:r w:rsidR="003146CE" w:rsidRPr="007D0E6E">
        <w:rPr>
          <w:rFonts w:ascii="ITC Avant Garde" w:hAnsi="ITC Avant Garde"/>
        </w:rPr>
        <w:t xml:space="preserve"> moral</w:t>
      </w:r>
      <w:r w:rsidR="00411F1A" w:rsidRPr="007D0E6E">
        <w:rPr>
          <w:rFonts w:ascii="ITC Avant Garde" w:hAnsi="ITC Avant Garde"/>
        </w:rPr>
        <w:t>es</w:t>
      </w:r>
      <w:r w:rsidR="003146CE" w:rsidRPr="007D0E6E">
        <w:rPr>
          <w:rFonts w:ascii="ITC Avant Garde" w:hAnsi="ITC Avant Garde"/>
        </w:rPr>
        <w:t>:</w:t>
      </w:r>
    </w:p>
    <w:p w14:paraId="30D7AFD0" w14:textId="77777777" w:rsidR="00442091" w:rsidRPr="007D0E6E" w:rsidRDefault="00442091" w:rsidP="00A20ADE">
      <w:pPr>
        <w:spacing w:after="0" w:line="276" w:lineRule="auto"/>
        <w:ind w:left="-5" w:right="0"/>
        <w:rPr>
          <w:rFonts w:ascii="ITC Avant Garde" w:hAnsi="ITC Avant Garde"/>
        </w:rPr>
      </w:pPr>
    </w:p>
    <w:p w14:paraId="04115867" w14:textId="73B6558A" w:rsidR="00A70475" w:rsidRPr="007D0E6E" w:rsidRDefault="00750FF4" w:rsidP="00A20ADE">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r w:rsidRPr="007D0E6E">
        <w:rPr>
          <w:rFonts w:ascii="ITC Avant Garde" w:eastAsiaTheme="minorHAnsi" w:hAnsi="ITC Avant Garde" w:cs="ITC Avant Garde"/>
          <w:lang w:eastAsia="en-US"/>
        </w:rPr>
        <w:t>Pegaso PCS, S.A. de C.V.</w:t>
      </w:r>
      <w:r w:rsidR="00BA7435" w:rsidRPr="007D0E6E">
        <w:rPr>
          <w:rFonts w:ascii="ITC Avant Garde" w:eastAsiaTheme="minorHAnsi" w:hAnsi="ITC Avant Garde" w:cs="ITC Avant Garde"/>
          <w:lang w:eastAsia="en-US"/>
        </w:rPr>
        <w:t xml:space="preserve"> </w:t>
      </w:r>
      <w:r w:rsidR="00FF0299" w:rsidRPr="007D0E6E">
        <w:rPr>
          <w:rFonts w:ascii="ITC Avant Garde" w:hAnsi="ITC Avant Garde"/>
        </w:rPr>
        <w:t>(</w:t>
      </w:r>
      <w:r w:rsidR="00D87CF7" w:rsidRPr="007D0E6E">
        <w:rPr>
          <w:rFonts w:ascii="ITC Avant Garde" w:hAnsi="ITC Avant Garde"/>
        </w:rPr>
        <w:t xml:space="preserve">en lo sucesivo </w:t>
      </w:r>
      <w:r w:rsidR="00FF0299" w:rsidRPr="007D0E6E">
        <w:rPr>
          <w:rFonts w:ascii="ITC Avant Garde" w:hAnsi="ITC Avant Garde"/>
        </w:rPr>
        <w:t>“Telefónica”)</w:t>
      </w:r>
    </w:p>
    <w:p w14:paraId="34FC8153" w14:textId="7F9344BE" w:rsidR="00EC4102" w:rsidRPr="007D0E6E" w:rsidRDefault="00EC4102" w:rsidP="00A20ADE">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proofErr w:type="spellStart"/>
      <w:r w:rsidRPr="007D0E6E">
        <w:rPr>
          <w:rFonts w:ascii="ITC Avant Garde" w:hAnsi="ITC Avant Garde"/>
        </w:rPr>
        <w:t>Merkaris</w:t>
      </w:r>
      <w:proofErr w:type="spellEnd"/>
      <w:r w:rsidRPr="007D0E6E">
        <w:rPr>
          <w:rFonts w:ascii="ITC Avant Garde" w:hAnsi="ITC Avant Garde"/>
        </w:rPr>
        <w:t>, S.C. (en lo sucesivo “</w:t>
      </w:r>
      <w:proofErr w:type="spellStart"/>
      <w:r w:rsidRPr="007D0E6E">
        <w:rPr>
          <w:rFonts w:ascii="ITC Avant Garde" w:hAnsi="ITC Avant Garde"/>
        </w:rPr>
        <w:t>Merkaris</w:t>
      </w:r>
      <w:proofErr w:type="spellEnd"/>
      <w:r w:rsidRPr="007D0E6E">
        <w:rPr>
          <w:rFonts w:ascii="ITC Avant Garde" w:hAnsi="ITC Avant Garde"/>
        </w:rPr>
        <w:t>”)</w:t>
      </w:r>
    </w:p>
    <w:p w14:paraId="4FC12A4E" w14:textId="19E1E364" w:rsidR="00EC4102" w:rsidRPr="007D0E6E" w:rsidRDefault="00EC4102" w:rsidP="00A20ADE">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r w:rsidRPr="007D0E6E">
        <w:rPr>
          <w:rFonts w:ascii="ITC Avant Garde" w:hAnsi="ITC Avant Garde"/>
        </w:rPr>
        <w:t>Cámara Nacional de la Industria Electrónica, de Telecomunicaciones y Tecnologías de la Información (en lo sucesivo “CANIETI”)</w:t>
      </w:r>
    </w:p>
    <w:p w14:paraId="655DBB9A" w14:textId="77777777" w:rsidR="003C7090" w:rsidRPr="007D0E6E" w:rsidRDefault="003C7090" w:rsidP="00A20ADE">
      <w:pPr>
        <w:pStyle w:val="Prrafodelista"/>
        <w:autoSpaceDE w:val="0"/>
        <w:autoSpaceDN w:val="0"/>
        <w:adjustRightInd w:val="0"/>
        <w:spacing w:after="0" w:line="276" w:lineRule="auto"/>
        <w:ind w:right="0" w:firstLine="0"/>
        <w:rPr>
          <w:rFonts w:ascii="ITC Avant Garde" w:eastAsiaTheme="minorHAnsi" w:hAnsi="ITC Avant Garde" w:cs="ITC Avant Garde"/>
          <w:lang w:eastAsia="en-US"/>
        </w:rPr>
      </w:pPr>
    </w:p>
    <w:p w14:paraId="1C638235" w14:textId="59A38937" w:rsidR="0006356F" w:rsidRPr="007D0E6E" w:rsidRDefault="0006356F" w:rsidP="00A20ADE">
      <w:pPr>
        <w:spacing w:after="0" w:line="276" w:lineRule="auto"/>
        <w:ind w:left="-6" w:hanging="11"/>
        <w:rPr>
          <w:rFonts w:ascii="ITC Avant Garde" w:hAnsi="ITC Avant Garde" w:cs="ITC Avant Garde"/>
          <w:b/>
        </w:rPr>
      </w:pPr>
      <w:r w:rsidRPr="007D0E6E">
        <w:rPr>
          <w:rFonts w:ascii="ITC Avant Garde" w:hAnsi="ITC Avant Garde" w:cs="ITC Avant Garde"/>
          <w:b/>
        </w:rPr>
        <w:t>Respuestas y posicionamientos por parte del Instituto:</w:t>
      </w:r>
    </w:p>
    <w:p w14:paraId="71D3E210" w14:textId="77777777" w:rsidR="001F4605" w:rsidRPr="00A20ADE" w:rsidRDefault="001F4605" w:rsidP="00A20ADE">
      <w:pPr>
        <w:spacing w:after="0" w:line="276" w:lineRule="auto"/>
        <w:ind w:left="-6" w:hanging="11"/>
        <w:rPr>
          <w:rFonts w:ascii="ITC Avant Garde" w:hAnsi="ITC Avant Garde" w:cs="ITC Avant Garde"/>
        </w:rPr>
      </w:pPr>
    </w:p>
    <w:p w14:paraId="6D4B1954" w14:textId="6964DD6D" w:rsidR="00352EEF" w:rsidRPr="00A20ADE" w:rsidRDefault="002D64D5" w:rsidP="00A20ADE">
      <w:pPr>
        <w:spacing w:after="0" w:line="276" w:lineRule="auto"/>
        <w:ind w:left="-5" w:right="0"/>
        <w:rPr>
          <w:rFonts w:ascii="ITC Avant Garde" w:hAnsi="ITC Avant Garde"/>
        </w:rPr>
      </w:pPr>
      <w:r w:rsidRPr="00A20ADE">
        <w:rPr>
          <w:rFonts w:ascii="ITC Avant Garde" w:hAnsi="ITC Avant Garde"/>
        </w:rPr>
        <w:t>S</w:t>
      </w:r>
      <w:r w:rsidR="005C2139" w:rsidRPr="00A20ADE">
        <w:rPr>
          <w:rFonts w:ascii="ITC Avant Garde" w:hAnsi="ITC Avant Garde"/>
        </w:rPr>
        <w:t xml:space="preserve">e señala que el orden en </w:t>
      </w:r>
      <w:r w:rsidR="005E75EF" w:rsidRPr="00A20ADE">
        <w:rPr>
          <w:rFonts w:ascii="ITC Avant Garde" w:hAnsi="ITC Avant Garde"/>
        </w:rPr>
        <w:t xml:space="preserve">el </w:t>
      </w:r>
      <w:r w:rsidR="005C2139" w:rsidRPr="00A20ADE">
        <w:rPr>
          <w:rFonts w:ascii="ITC Avant Garde" w:hAnsi="ITC Avant Garde"/>
        </w:rPr>
        <w:t>que son abordados cada uno de los temas y numerales mencionados, obedece primordialmente al orden en que cada uno de éstos aparece</w:t>
      </w:r>
      <w:r w:rsidR="001368EC" w:rsidRPr="00A20ADE">
        <w:rPr>
          <w:rFonts w:ascii="ITC Avant Garde" w:hAnsi="ITC Avant Garde"/>
        </w:rPr>
        <w:t>n</w:t>
      </w:r>
      <w:r w:rsidR="005C2139" w:rsidRPr="00A20ADE">
        <w:rPr>
          <w:rFonts w:ascii="ITC Avant Garde" w:hAnsi="ITC Avant Garde"/>
        </w:rPr>
        <w:t xml:space="preserve"> en</w:t>
      </w:r>
      <w:r w:rsidR="001368EC" w:rsidRPr="00A20ADE">
        <w:rPr>
          <w:rFonts w:ascii="ITC Avant Garde" w:hAnsi="ITC Avant Garde"/>
        </w:rPr>
        <w:t xml:space="preserve"> </w:t>
      </w:r>
      <w:r w:rsidR="00AF285E" w:rsidRPr="00A20ADE">
        <w:rPr>
          <w:rFonts w:ascii="ITC Avant Garde" w:hAnsi="ITC Avant Garde"/>
        </w:rPr>
        <w:t xml:space="preserve">la Propuesta de </w:t>
      </w:r>
      <w:r w:rsidR="00AF285E" w:rsidRPr="00A20ADE">
        <w:rPr>
          <w:rFonts w:ascii="ITC Avant Garde" w:hAnsi="ITC Avant Garde" w:cs="Arial"/>
          <w:b/>
          <w:i/>
          <w:lang w:val="es-ES_tradnl"/>
        </w:rPr>
        <w:t>Oferta de Referencia para la Prestación del Servicio Mayorista de Usuario Visitante</w:t>
      </w:r>
      <w:r w:rsidR="00AF285E" w:rsidRPr="00A20ADE">
        <w:rPr>
          <w:rFonts w:ascii="ITC Avant Garde" w:hAnsi="ITC Avant Garde"/>
          <w:b/>
        </w:rPr>
        <w:t xml:space="preserve"> </w:t>
      </w:r>
      <w:r w:rsidR="00AF285E" w:rsidRPr="00A20ADE">
        <w:rPr>
          <w:rFonts w:ascii="ITC Avant Garde" w:hAnsi="ITC Avant Garde"/>
        </w:rPr>
        <w:t xml:space="preserve">(en lo sucesivo, la “Oferta”) </w:t>
      </w:r>
      <w:r w:rsidR="00A40194" w:rsidRPr="00A20ADE">
        <w:rPr>
          <w:rFonts w:ascii="ITC Avant Garde" w:hAnsi="ITC Avant Garde"/>
        </w:rPr>
        <w:t xml:space="preserve">presentada por </w:t>
      </w:r>
      <w:proofErr w:type="spellStart"/>
      <w:r w:rsidR="00A40194" w:rsidRPr="00A20ADE">
        <w:rPr>
          <w:rFonts w:ascii="ITC Avant Garde" w:hAnsi="ITC Avant Garde"/>
        </w:rPr>
        <w:t>Radiomóvil</w:t>
      </w:r>
      <w:proofErr w:type="spellEnd"/>
      <w:r w:rsidR="00A40194" w:rsidRPr="00A20ADE">
        <w:rPr>
          <w:rFonts w:ascii="ITC Avant Garde" w:hAnsi="ITC Avant Garde"/>
        </w:rPr>
        <w:t xml:space="preserve"> Dipsa, S.A. de C.V., (en lo sucesivo, “Telcel”) integrante del Agente Económico Preponderante (en lo sucesivo, el “AEP”) en el Sector de las Telecomunicaciones.</w:t>
      </w:r>
    </w:p>
    <w:p w14:paraId="1541E9EC" w14:textId="77777777" w:rsidR="00A40194" w:rsidRPr="00A20ADE" w:rsidRDefault="00A40194" w:rsidP="00A20ADE">
      <w:pPr>
        <w:spacing w:after="0" w:line="276" w:lineRule="auto"/>
        <w:ind w:left="-5" w:right="0"/>
        <w:rPr>
          <w:rFonts w:ascii="ITC Avant Garde" w:hAnsi="ITC Avant Garde"/>
          <w:color w:val="auto"/>
        </w:rPr>
      </w:pPr>
    </w:p>
    <w:p w14:paraId="02A781AE" w14:textId="77E4D9D5" w:rsidR="00BC09A3" w:rsidRDefault="00BC09A3" w:rsidP="00A20ADE">
      <w:pPr>
        <w:spacing w:after="0" w:line="276" w:lineRule="auto"/>
        <w:ind w:left="-5" w:right="0"/>
        <w:rPr>
          <w:rFonts w:ascii="ITC Avant Garde" w:hAnsi="ITC Avant Garde"/>
        </w:rPr>
      </w:pPr>
      <w:r w:rsidRPr="00A20ADE">
        <w:rPr>
          <w:rFonts w:ascii="ITC Avant Garde" w:hAnsi="ITC Avant Garde"/>
        </w:rPr>
        <w:t>Por lo anterior, el Instituto emite las siguientes respuestas y con</w:t>
      </w:r>
      <w:r w:rsidR="007B0E47" w:rsidRPr="00A20ADE">
        <w:rPr>
          <w:rFonts w:ascii="ITC Avant Garde" w:hAnsi="ITC Avant Garde"/>
        </w:rPr>
        <w:t>sideraciones para cada una de la</w:t>
      </w:r>
      <w:r w:rsidRPr="00A20ADE">
        <w:rPr>
          <w:rFonts w:ascii="ITC Avant Garde" w:hAnsi="ITC Avant Garde"/>
        </w:rPr>
        <w:t>s</w:t>
      </w:r>
      <w:r w:rsidR="007B0E47" w:rsidRPr="00A20ADE">
        <w:rPr>
          <w:rFonts w:ascii="ITC Avant Garde" w:hAnsi="ITC Avant Garde"/>
        </w:rPr>
        <w:t xml:space="preserve"> participaciones</w:t>
      </w:r>
      <w:r w:rsidR="004B5491" w:rsidRPr="00A20ADE">
        <w:rPr>
          <w:rFonts w:ascii="ITC Avant Garde" w:hAnsi="ITC Avant Garde"/>
        </w:rPr>
        <w:t xml:space="preserve"> recibidas</w:t>
      </w:r>
      <w:r w:rsidRPr="00A20ADE">
        <w:rPr>
          <w:rFonts w:ascii="ITC Avant Garde" w:hAnsi="ITC Avant Garde"/>
        </w:rPr>
        <w:t xml:space="preserve">:  </w:t>
      </w:r>
    </w:p>
    <w:p w14:paraId="2185CB86" w14:textId="24DD92FF" w:rsidR="00411F1A" w:rsidRDefault="00411F1A" w:rsidP="00A20ADE">
      <w:pPr>
        <w:spacing w:after="0" w:line="276" w:lineRule="auto"/>
        <w:ind w:left="-5" w:right="0"/>
        <w:rPr>
          <w:rFonts w:ascii="ITC Avant Garde" w:hAnsi="ITC Avant Garde"/>
        </w:rPr>
      </w:pPr>
    </w:p>
    <w:p w14:paraId="02D98E02" w14:textId="2885237F" w:rsidR="00411F1A" w:rsidRDefault="00411F1A" w:rsidP="00411F1A">
      <w:pPr>
        <w:spacing w:after="0" w:line="276" w:lineRule="auto"/>
        <w:ind w:left="-5" w:right="49"/>
        <w:rPr>
          <w:rFonts w:ascii="ITC Avant Garde" w:hAnsi="ITC Avant Garde"/>
          <w:b/>
          <w:color w:val="auto"/>
          <w:u w:val="single"/>
        </w:rPr>
      </w:pPr>
      <w:r w:rsidRPr="00411F1A">
        <w:rPr>
          <w:rFonts w:ascii="ITC Avant Garde" w:hAnsi="ITC Avant Garde"/>
          <w:b/>
          <w:color w:val="auto"/>
          <w:u w:val="single"/>
        </w:rPr>
        <w:t>A</w:t>
      </w:r>
      <w:r w:rsidR="00DE3808">
        <w:rPr>
          <w:rFonts w:ascii="ITC Avant Garde" w:hAnsi="ITC Avant Garde"/>
          <w:b/>
          <w:color w:val="auto"/>
          <w:u w:val="single"/>
        </w:rPr>
        <w:t>NEXO</w:t>
      </w:r>
      <w:r w:rsidRPr="00411F1A">
        <w:rPr>
          <w:rFonts w:ascii="ITC Avant Garde" w:hAnsi="ITC Avant Garde"/>
          <w:b/>
          <w:color w:val="auto"/>
          <w:u w:val="single"/>
        </w:rPr>
        <w:t xml:space="preserve"> I</w:t>
      </w:r>
    </w:p>
    <w:p w14:paraId="16AF8340" w14:textId="77777777" w:rsidR="00DA4045" w:rsidRPr="00411F1A" w:rsidRDefault="00DA4045" w:rsidP="00411F1A">
      <w:pPr>
        <w:spacing w:after="0" w:line="276" w:lineRule="auto"/>
        <w:ind w:left="-5" w:right="49"/>
        <w:rPr>
          <w:rFonts w:ascii="ITC Avant Garde" w:hAnsi="ITC Avant Garde"/>
          <w:b/>
          <w:color w:val="auto"/>
          <w:u w:val="single"/>
        </w:rPr>
      </w:pPr>
    </w:p>
    <w:p w14:paraId="1BE09F71" w14:textId="2A8767C7" w:rsidR="00411F1A" w:rsidRPr="00A20ADE" w:rsidRDefault="00411F1A" w:rsidP="00411F1A">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79CF1964" w14:textId="59497B24" w:rsidR="00411F1A" w:rsidRDefault="00411F1A" w:rsidP="00411F1A">
      <w:pPr>
        <w:spacing w:after="0" w:line="276" w:lineRule="auto"/>
        <w:ind w:right="0"/>
        <w:rPr>
          <w:rFonts w:ascii="ITC Avant Garde" w:hAnsi="ITC Avant Garde"/>
        </w:rPr>
      </w:pPr>
      <w:r w:rsidRPr="00411F1A">
        <w:rPr>
          <w:rFonts w:ascii="ITC Avant Garde" w:hAnsi="ITC Avant Garde"/>
        </w:rPr>
        <w:lastRenderedPageBreak/>
        <w:t>Solicita que la O</w:t>
      </w:r>
      <w:r>
        <w:rPr>
          <w:rFonts w:ascii="ITC Avant Garde" w:hAnsi="ITC Avant Garde"/>
        </w:rPr>
        <w:t>ferta</w:t>
      </w:r>
      <w:r w:rsidRPr="00411F1A">
        <w:rPr>
          <w:rFonts w:ascii="ITC Avant Garde" w:hAnsi="ITC Avant Garde"/>
        </w:rPr>
        <w:t xml:space="preserve"> permita replicar los servicios minorista</w:t>
      </w:r>
      <w:r>
        <w:rPr>
          <w:rFonts w:ascii="ITC Avant Garde" w:hAnsi="ITC Avant Garde"/>
        </w:rPr>
        <w:t>s</w:t>
      </w:r>
      <w:r w:rsidRPr="00411F1A">
        <w:rPr>
          <w:rFonts w:ascii="ITC Avant Garde" w:hAnsi="ITC Avant Garde"/>
        </w:rPr>
        <w:t xml:space="preserve"> de </w:t>
      </w:r>
      <w:proofErr w:type="spellStart"/>
      <w:r w:rsidRPr="00411F1A">
        <w:rPr>
          <w:rFonts w:ascii="ITC Avant Garde" w:hAnsi="ITC Avant Garde"/>
        </w:rPr>
        <w:t>IoT</w:t>
      </w:r>
      <w:proofErr w:type="spellEnd"/>
      <w:r>
        <w:rPr>
          <w:rFonts w:ascii="ITC Avant Garde" w:hAnsi="ITC Avant Garde"/>
        </w:rPr>
        <w:t xml:space="preserve"> (</w:t>
      </w:r>
      <w:r w:rsidRPr="00411F1A">
        <w:rPr>
          <w:rFonts w:ascii="ITC Avant Garde" w:hAnsi="ITC Avant Garde"/>
          <w:i/>
          <w:iCs/>
        </w:rPr>
        <w:t xml:space="preserve">“Internet </w:t>
      </w:r>
      <w:proofErr w:type="spellStart"/>
      <w:r w:rsidRPr="00411F1A">
        <w:rPr>
          <w:rFonts w:ascii="ITC Avant Garde" w:hAnsi="ITC Avant Garde"/>
          <w:i/>
          <w:iCs/>
        </w:rPr>
        <w:t>of</w:t>
      </w:r>
      <w:proofErr w:type="spellEnd"/>
      <w:r w:rsidRPr="00411F1A">
        <w:rPr>
          <w:rFonts w:ascii="ITC Avant Garde" w:hAnsi="ITC Avant Garde"/>
          <w:i/>
          <w:iCs/>
        </w:rPr>
        <w:t xml:space="preserve"> </w:t>
      </w:r>
      <w:proofErr w:type="spellStart"/>
      <w:r w:rsidRPr="00411F1A">
        <w:rPr>
          <w:rFonts w:ascii="ITC Avant Garde" w:hAnsi="ITC Avant Garde"/>
          <w:i/>
          <w:iCs/>
        </w:rPr>
        <w:t>Things</w:t>
      </w:r>
      <w:proofErr w:type="spellEnd"/>
      <w:r w:rsidRPr="00411F1A">
        <w:rPr>
          <w:rFonts w:ascii="ITC Avant Garde" w:hAnsi="ITC Avant Garde"/>
          <w:i/>
          <w:iCs/>
        </w:rPr>
        <w:t>”</w:t>
      </w:r>
      <w:r>
        <w:rPr>
          <w:rFonts w:ascii="ITC Avant Garde" w:hAnsi="ITC Avant Garde"/>
        </w:rPr>
        <w:t>)</w:t>
      </w:r>
      <w:r w:rsidRPr="00411F1A">
        <w:rPr>
          <w:rFonts w:ascii="ITC Avant Garde" w:hAnsi="ITC Avant Garde"/>
        </w:rPr>
        <w:t xml:space="preserve"> y M2M</w:t>
      </w:r>
      <w:r>
        <w:rPr>
          <w:rFonts w:ascii="ITC Avant Garde" w:hAnsi="ITC Avant Garde"/>
        </w:rPr>
        <w:t xml:space="preserve"> (</w:t>
      </w:r>
      <w:r w:rsidRPr="00411F1A">
        <w:rPr>
          <w:rFonts w:ascii="ITC Avant Garde" w:hAnsi="ITC Avant Garde"/>
          <w:i/>
          <w:iCs/>
        </w:rPr>
        <w:t xml:space="preserve">“Machine </w:t>
      </w:r>
      <w:proofErr w:type="spellStart"/>
      <w:r w:rsidRPr="00411F1A">
        <w:rPr>
          <w:rFonts w:ascii="ITC Avant Garde" w:hAnsi="ITC Avant Garde"/>
          <w:i/>
          <w:iCs/>
        </w:rPr>
        <w:t>to</w:t>
      </w:r>
      <w:proofErr w:type="spellEnd"/>
      <w:r w:rsidRPr="00411F1A">
        <w:rPr>
          <w:rFonts w:ascii="ITC Avant Garde" w:hAnsi="ITC Avant Garde"/>
          <w:i/>
          <w:iCs/>
        </w:rPr>
        <w:t xml:space="preserve"> Machine”</w:t>
      </w:r>
      <w:r>
        <w:rPr>
          <w:rFonts w:ascii="ITC Avant Garde" w:hAnsi="ITC Avant Garde"/>
        </w:rPr>
        <w:t>)</w:t>
      </w:r>
      <w:r w:rsidR="009C2BC1">
        <w:rPr>
          <w:rFonts w:ascii="ITC Avant Garde" w:hAnsi="ITC Avant Garde"/>
        </w:rPr>
        <w:t xml:space="preserve"> del AEP</w:t>
      </w:r>
      <w:r>
        <w:rPr>
          <w:rFonts w:ascii="ITC Avant Garde" w:hAnsi="ITC Avant Garde"/>
        </w:rPr>
        <w:t>; asimismo, solicita que se incluyan las tarifas.</w:t>
      </w:r>
    </w:p>
    <w:p w14:paraId="00DFD091" w14:textId="2550F4B6" w:rsidR="005D19E7" w:rsidRDefault="005D19E7" w:rsidP="00411F1A">
      <w:pPr>
        <w:spacing w:after="0" w:line="276" w:lineRule="auto"/>
        <w:ind w:right="0"/>
        <w:rPr>
          <w:rFonts w:ascii="ITC Avant Garde" w:hAnsi="ITC Avant Garde"/>
        </w:rPr>
      </w:pPr>
    </w:p>
    <w:p w14:paraId="097FD1C7" w14:textId="77777777" w:rsidR="005D19E7" w:rsidRDefault="005D19E7" w:rsidP="005D19E7">
      <w:pPr>
        <w:spacing w:after="0" w:line="276" w:lineRule="auto"/>
        <w:ind w:left="0" w:right="0" w:firstLine="0"/>
        <w:rPr>
          <w:rFonts w:ascii="ITC Avant Garde" w:hAnsi="ITC Avant Garde"/>
          <w:b/>
          <w:color w:val="auto"/>
        </w:rPr>
      </w:pPr>
      <w:r>
        <w:rPr>
          <w:rFonts w:ascii="ITC Avant Garde" w:hAnsi="ITC Avant Garde"/>
          <w:b/>
          <w:color w:val="auto"/>
        </w:rPr>
        <w:t>CANIETI</w:t>
      </w:r>
    </w:p>
    <w:p w14:paraId="079F6CF7" w14:textId="77777777" w:rsidR="005D19E7" w:rsidRPr="00B00584" w:rsidRDefault="005D19E7" w:rsidP="005D19E7">
      <w:pPr>
        <w:spacing w:after="0" w:line="276" w:lineRule="auto"/>
        <w:ind w:left="-5" w:right="0"/>
        <w:rPr>
          <w:rFonts w:ascii="ITC Avant Garde" w:hAnsi="ITC Avant Garde"/>
          <w:color w:val="auto"/>
        </w:rPr>
      </w:pPr>
      <w:r w:rsidRPr="005D19E7">
        <w:rPr>
          <w:rFonts w:ascii="ITC Avant Garde" w:hAnsi="ITC Avant Garde"/>
          <w:color w:val="auto"/>
        </w:rPr>
        <w:t>Menciona que se debe ga</w:t>
      </w:r>
      <w:r>
        <w:rPr>
          <w:rFonts w:ascii="ITC Avant Garde" w:hAnsi="ITC Avant Garde"/>
          <w:color w:val="auto"/>
        </w:rPr>
        <w:t>ra</w:t>
      </w:r>
      <w:r w:rsidRPr="005D19E7">
        <w:rPr>
          <w:rFonts w:ascii="ITC Avant Garde" w:hAnsi="ITC Avant Garde"/>
          <w:color w:val="auto"/>
        </w:rPr>
        <w:t>ntizar la replicabilidad técnica desde el momento que el AEP lanza una nueva tecnología o servicio</w:t>
      </w:r>
      <w:r>
        <w:rPr>
          <w:rFonts w:ascii="ITC Avant Garde" w:hAnsi="ITC Avant Garde"/>
          <w:color w:val="auto"/>
        </w:rPr>
        <w:t>.</w:t>
      </w:r>
      <w:r w:rsidRPr="005D19E7">
        <w:rPr>
          <w:rFonts w:ascii="ITC Avant Garde" w:hAnsi="ITC Avant Garde"/>
          <w:color w:val="auto"/>
        </w:rPr>
        <w:t xml:space="preserve"> </w:t>
      </w:r>
      <w:r>
        <w:rPr>
          <w:rFonts w:ascii="ITC Avant Garde" w:hAnsi="ITC Avant Garde"/>
          <w:color w:val="auto"/>
        </w:rPr>
        <w:t>A</w:t>
      </w:r>
      <w:r w:rsidRPr="005D19E7">
        <w:rPr>
          <w:rFonts w:ascii="ITC Avant Garde" w:hAnsi="ITC Avant Garde"/>
          <w:color w:val="auto"/>
        </w:rPr>
        <w:t>simismo</w:t>
      </w:r>
      <w:r>
        <w:rPr>
          <w:rFonts w:ascii="ITC Avant Garde" w:hAnsi="ITC Avant Garde"/>
          <w:color w:val="auto"/>
        </w:rPr>
        <w:t>,</w:t>
      </w:r>
      <w:r w:rsidRPr="005D19E7">
        <w:rPr>
          <w:rFonts w:ascii="ITC Avant Garde" w:hAnsi="ITC Avant Garde"/>
          <w:color w:val="auto"/>
        </w:rPr>
        <w:t xml:space="preserve"> </w:t>
      </w:r>
      <w:r>
        <w:rPr>
          <w:rFonts w:ascii="ITC Avant Garde" w:hAnsi="ITC Avant Garde"/>
          <w:color w:val="auto"/>
        </w:rPr>
        <w:t>solicita que</w:t>
      </w:r>
      <w:r w:rsidRPr="005D19E7">
        <w:rPr>
          <w:rFonts w:ascii="ITC Avant Garde" w:hAnsi="ITC Avant Garde"/>
          <w:color w:val="auto"/>
        </w:rPr>
        <w:t xml:space="preserve"> se establezcan tarifas y condiciones específicas para </w:t>
      </w:r>
      <w:proofErr w:type="spellStart"/>
      <w:r w:rsidRPr="005D19E7">
        <w:rPr>
          <w:rFonts w:ascii="ITC Avant Garde" w:hAnsi="ITC Avant Garde"/>
          <w:color w:val="auto"/>
        </w:rPr>
        <w:t>IoT</w:t>
      </w:r>
      <w:proofErr w:type="spellEnd"/>
      <w:r w:rsidRPr="005D19E7">
        <w:rPr>
          <w:rFonts w:ascii="ITC Avant Garde" w:hAnsi="ITC Avant Garde"/>
          <w:color w:val="auto"/>
        </w:rPr>
        <w:t xml:space="preserve"> y M2M que permitan su replicabilidad técnica y económica</w:t>
      </w:r>
      <w:r>
        <w:rPr>
          <w:rFonts w:ascii="ITC Avant Garde" w:hAnsi="ITC Avant Garde"/>
          <w:color w:val="auto"/>
        </w:rPr>
        <w:t>.</w:t>
      </w:r>
    </w:p>
    <w:p w14:paraId="241FDBF2" w14:textId="75459260" w:rsidR="00411F1A" w:rsidRDefault="00411F1A" w:rsidP="00411F1A">
      <w:pPr>
        <w:spacing w:after="0" w:line="276" w:lineRule="auto"/>
        <w:ind w:right="0"/>
        <w:rPr>
          <w:rFonts w:ascii="ITC Avant Garde" w:hAnsi="ITC Avant Garde"/>
        </w:rPr>
      </w:pPr>
    </w:p>
    <w:p w14:paraId="6241140B" w14:textId="664AE5FF" w:rsidR="00411F1A" w:rsidRDefault="00411F1A" w:rsidP="00411F1A">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7FCE6851" w14:textId="6FBE52B0" w:rsidR="00BB4CDA" w:rsidRDefault="00411F1A" w:rsidP="00411F1A">
      <w:pPr>
        <w:spacing w:after="0" w:line="276" w:lineRule="auto"/>
        <w:ind w:right="0"/>
        <w:rPr>
          <w:rFonts w:ascii="ITC Avant Garde" w:hAnsi="ITC Avant Garde"/>
        </w:rPr>
      </w:pPr>
      <w:r w:rsidRPr="00411F1A">
        <w:rPr>
          <w:rFonts w:ascii="ITC Avant Garde" w:hAnsi="ITC Avant Garde"/>
        </w:rPr>
        <w:t xml:space="preserve">El numeral 10 </w:t>
      </w:r>
      <w:r w:rsidR="004B2D33">
        <w:rPr>
          <w:rFonts w:ascii="ITC Avant Garde" w:hAnsi="ITC Avant Garde"/>
        </w:rPr>
        <w:t xml:space="preserve">“Funcionalidades o aplicaciones para servicios de datos” </w:t>
      </w:r>
      <w:r w:rsidRPr="00411F1A">
        <w:rPr>
          <w:rFonts w:ascii="ITC Avant Garde" w:hAnsi="ITC Avant Garde"/>
        </w:rPr>
        <w:t xml:space="preserve">del Anexo II </w:t>
      </w:r>
      <w:r>
        <w:rPr>
          <w:rFonts w:ascii="ITC Avant Garde" w:hAnsi="ITC Avant Garde"/>
        </w:rPr>
        <w:t>“</w:t>
      </w:r>
      <w:r w:rsidRPr="00411F1A">
        <w:rPr>
          <w:rFonts w:ascii="ITC Avant Garde" w:hAnsi="ITC Avant Garde"/>
        </w:rPr>
        <w:t>Acuerdos Técnicos</w:t>
      </w:r>
      <w:r>
        <w:rPr>
          <w:rFonts w:ascii="ITC Avant Garde" w:hAnsi="ITC Avant Garde"/>
        </w:rPr>
        <w:t>”</w:t>
      </w:r>
      <w:r w:rsidRPr="00411F1A">
        <w:rPr>
          <w:rFonts w:ascii="ITC Avant Garde" w:hAnsi="ITC Avant Garde"/>
        </w:rPr>
        <w:t xml:space="preserve"> permite la prestación de servicios</w:t>
      </w:r>
      <w:r>
        <w:rPr>
          <w:rFonts w:ascii="ITC Avant Garde" w:hAnsi="ITC Avant Garde"/>
        </w:rPr>
        <w:t xml:space="preserve"> de</w:t>
      </w:r>
      <w:r w:rsidRPr="00411F1A">
        <w:rPr>
          <w:rFonts w:ascii="ITC Avant Garde" w:hAnsi="ITC Avant Garde"/>
        </w:rPr>
        <w:t xml:space="preserve"> </w:t>
      </w:r>
      <w:proofErr w:type="spellStart"/>
      <w:r w:rsidRPr="00411F1A">
        <w:rPr>
          <w:rFonts w:ascii="ITC Avant Garde" w:hAnsi="ITC Avant Garde"/>
        </w:rPr>
        <w:t>IoT</w:t>
      </w:r>
      <w:proofErr w:type="spellEnd"/>
      <w:r w:rsidRPr="00411F1A">
        <w:rPr>
          <w:rFonts w:ascii="ITC Avant Garde" w:hAnsi="ITC Avant Garde"/>
        </w:rPr>
        <w:t xml:space="preserve"> y M2M en la red visitada, privilegiando el acuerdo entre las partes </w:t>
      </w:r>
      <w:r>
        <w:rPr>
          <w:rFonts w:ascii="ITC Avant Garde" w:hAnsi="ITC Avant Garde"/>
        </w:rPr>
        <w:t>debido a</w:t>
      </w:r>
      <w:r w:rsidRPr="00411F1A">
        <w:rPr>
          <w:rFonts w:ascii="ITC Avant Garde" w:hAnsi="ITC Avant Garde"/>
        </w:rPr>
        <w:t xml:space="preserve"> las diversas soluciones que pudieran existir y cuyo consumo de recursos de red como señalización, ancho de banda</w:t>
      </w:r>
      <w:r>
        <w:rPr>
          <w:rFonts w:ascii="ITC Avant Garde" w:hAnsi="ITC Avant Garde"/>
        </w:rPr>
        <w:t xml:space="preserve"> y</w:t>
      </w:r>
      <w:r w:rsidRPr="00411F1A">
        <w:rPr>
          <w:rFonts w:ascii="ITC Avant Garde" w:hAnsi="ITC Avant Garde"/>
        </w:rPr>
        <w:t xml:space="preserve"> actividad es diverso</w:t>
      </w:r>
      <w:r w:rsidR="004B2D33">
        <w:rPr>
          <w:rFonts w:ascii="ITC Avant Garde" w:hAnsi="ITC Avant Garde"/>
        </w:rPr>
        <w:t>.</w:t>
      </w:r>
    </w:p>
    <w:p w14:paraId="7FA43003" w14:textId="6813E0C1" w:rsidR="00BB4CDA" w:rsidRDefault="00BB4CDA" w:rsidP="00411F1A">
      <w:pPr>
        <w:spacing w:after="0" w:line="276" w:lineRule="auto"/>
        <w:ind w:right="0"/>
        <w:rPr>
          <w:rFonts w:ascii="ITC Avant Garde" w:hAnsi="ITC Avant Garde"/>
        </w:rPr>
      </w:pPr>
    </w:p>
    <w:p w14:paraId="5DA239BB" w14:textId="011954A6" w:rsidR="004B2D33" w:rsidRDefault="004B2D33" w:rsidP="00411F1A">
      <w:pPr>
        <w:spacing w:after="0" w:line="276" w:lineRule="auto"/>
        <w:ind w:right="0"/>
        <w:rPr>
          <w:rFonts w:ascii="ITC Avant Garde" w:hAnsi="ITC Avant Garde"/>
        </w:rPr>
      </w:pPr>
      <w:r w:rsidRPr="004B2D33">
        <w:rPr>
          <w:rFonts w:ascii="ITC Avant Garde" w:hAnsi="ITC Avant Garde"/>
        </w:rPr>
        <w:t>Asimismo, respecto a la replicabilidad técnica, se indica que la disposición Cuarta del Anexo Único del Acuerdo de Replicabilidad Técnica</w:t>
      </w:r>
      <w:r>
        <w:rPr>
          <w:rStyle w:val="Refdenotaalpie"/>
          <w:rFonts w:ascii="ITC Avant Garde" w:hAnsi="ITC Avant Garde"/>
        </w:rPr>
        <w:footnoteReference w:id="1"/>
      </w:r>
      <w:r w:rsidRPr="004B2D33">
        <w:rPr>
          <w:rFonts w:ascii="ITC Avant Garde" w:hAnsi="ITC Avant Garde"/>
        </w:rPr>
        <w:t xml:space="preserve"> no considera a la Oferta de Usuario Visitante para la acreditación de la misma.</w:t>
      </w:r>
    </w:p>
    <w:p w14:paraId="7677AC24" w14:textId="77777777" w:rsidR="004B2D33" w:rsidRPr="00823436" w:rsidRDefault="004B2D33" w:rsidP="00823436">
      <w:pPr>
        <w:pStyle w:val="Default"/>
        <w:spacing w:after="100"/>
        <w:ind w:left="567" w:right="612"/>
        <w:jc w:val="both"/>
        <w:rPr>
          <w:rFonts w:ascii="ITC Avant Garde" w:eastAsia="Calibri" w:hAnsi="ITC Avant Garde"/>
          <w:i/>
          <w:color w:val="auto"/>
          <w:sz w:val="18"/>
          <w:szCs w:val="18"/>
        </w:rPr>
      </w:pPr>
    </w:p>
    <w:p w14:paraId="67E44C58" w14:textId="08B9ADAF" w:rsidR="00C72A1E" w:rsidRDefault="00C72A1E" w:rsidP="00A20ADE">
      <w:pPr>
        <w:spacing w:after="0" w:line="276" w:lineRule="auto"/>
        <w:ind w:left="-5" w:right="49"/>
        <w:rPr>
          <w:rFonts w:ascii="ITC Avant Garde" w:hAnsi="ITC Avant Garde"/>
          <w:b/>
          <w:color w:val="auto"/>
          <w:u w:val="single"/>
        </w:rPr>
      </w:pPr>
      <w:r w:rsidRPr="00A20ADE">
        <w:rPr>
          <w:rFonts w:ascii="ITC Avant Garde" w:hAnsi="ITC Avant Garde"/>
          <w:b/>
          <w:color w:val="auto"/>
          <w:u w:val="single"/>
        </w:rPr>
        <w:t>ANEXO II Acuerdo Técnicos</w:t>
      </w:r>
    </w:p>
    <w:p w14:paraId="5648CFCA" w14:textId="77777777" w:rsidR="00DA4045" w:rsidRPr="00A20ADE" w:rsidRDefault="00DA4045" w:rsidP="00A20ADE">
      <w:pPr>
        <w:spacing w:after="0" w:line="276" w:lineRule="auto"/>
        <w:ind w:left="-5" w:right="49"/>
        <w:rPr>
          <w:rFonts w:ascii="ITC Avant Garde" w:hAnsi="ITC Avant Garde"/>
          <w:b/>
          <w:color w:val="auto"/>
          <w:u w:val="single"/>
        </w:rPr>
      </w:pPr>
    </w:p>
    <w:p w14:paraId="3A5C453C" w14:textId="732D439A" w:rsidR="00195BED" w:rsidRPr="00A20ADE" w:rsidRDefault="00195BED" w:rsidP="00A20ADE">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63576C1F" w14:textId="1B860DE5" w:rsidR="00DA6F11" w:rsidRPr="00A20ADE" w:rsidRDefault="00195BED" w:rsidP="00C05302">
      <w:pPr>
        <w:spacing w:after="0" w:line="276" w:lineRule="auto"/>
        <w:ind w:right="0"/>
        <w:rPr>
          <w:rFonts w:ascii="ITC Avant Garde" w:hAnsi="ITC Avant Garde"/>
        </w:rPr>
      </w:pPr>
      <w:r w:rsidRPr="00A20ADE">
        <w:rPr>
          <w:rFonts w:ascii="ITC Avant Garde" w:hAnsi="ITC Avant Garde"/>
        </w:rPr>
        <w:t xml:space="preserve">Indica que </w:t>
      </w:r>
      <w:r w:rsidR="00681E83" w:rsidRPr="00A20ADE">
        <w:rPr>
          <w:rFonts w:ascii="ITC Avant Garde" w:hAnsi="ITC Avant Garde"/>
        </w:rPr>
        <w:t xml:space="preserve">la </w:t>
      </w:r>
      <w:r w:rsidR="00FF6F2F">
        <w:rPr>
          <w:rFonts w:ascii="ITC Avant Garde" w:hAnsi="ITC Avant Garde"/>
        </w:rPr>
        <w:t>O</w:t>
      </w:r>
      <w:r w:rsidR="00681E83" w:rsidRPr="00A20ADE">
        <w:rPr>
          <w:rFonts w:ascii="ITC Avant Garde" w:hAnsi="ITC Avant Garde"/>
        </w:rPr>
        <w:t xml:space="preserve">ferta </w:t>
      </w:r>
      <w:r w:rsidRPr="00A20ADE">
        <w:rPr>
          <w:rFonts w:ascii="ITC Avant Garde" w:hAnsi="ITC Avant Garde"/>
        </w:rPr>
        <w:t>debe inclui</w:t>
      </w:r>
      <w:r w:rsidR="00681E83" w:rsidRPr="00A20ADE">
        <w:rPr>
          <w:rFonts w:ascii="ITC Avant Garde" w:hAnsi="ITC Avant Garde"/>
        </w:rPr>
        <w:t>r</w:t>
      </w:r>
      <w:r w:rsidRPr="00A20ADE">
        <w:rPr>
          <w:rFonts w:ascii="ITC Avant Garde" w:hAnsi="ITC Avant Garde"/>
        </w:rPr>
        <w:t xml:space="preserve"> el </w:t>
      </w:r>
      <w:r w:rsidR="005C4DFF" w:rsidRPr="00A20ADE">
        <w:rPr>
          <w:rFonts w:ascii="ITC Avant Garde" w:hAnsi="ITC Avant Garde"/>
        </w:rPr>
        <w:t>estándar</w:t>
      </w:r>
      <w:r w:rsidRPr="00A20ADE">
        <w:rPr>
          <w:rFonts w:ascii="ITC Avant Garde" w:hAnsi="ITC Avant Garde"/>
        </w:rPr>
        <w:t xml:space="preserve"> MOCN (</w:t>
      </w:r>
      <w:r w:rsidRPr="00A20ADE">
        <w:rPr>
          <w:rFonts w:ascii="ITC Avant Garde" w:hAnsi="ITC Avant Garde"/>
          <w:i/>
        </w:rPr>
        <w:t>“</w:t>
      </w:r>
      <w:proofErr w:type="spellStart"/>
      <w:r w:rsidRPr="00A20ADE">
        <w:rPr>
          <w:rFonts w:ascii="ITC Avant Garde" w:hAnsi="ITC Avant Garde"/>
          <w:i/>
        </w:rPr>
        <w:t>Multiple</w:t>
      </w:r>
      <w:proofErr w:type="spellEnd"/>
      <w:r w:rsidRPr="00A20ADE">
        <w:rPr>
          <w:rFonts w:ascii="ITC Avant Garde" w:hAnsi="ITC Avant Garde"/>
          <w:i/>
        </w:rPr>
        <w:t xml:space="preserve"> </w:t>
      </w:r>
      <w:proofErr w:type="spellStart"/>
      <w:r w:rsidRPr="00A20ADE">
        <w:rPr>
          <w:rFonts w:ascii="ITC Avant Garde" w:hAnsi="ITC Avant Garde"/>
          <w:i/>
        </w:rPr>
        <w:t>Operator</w:t>
      </w:r>
      <w:proofErr w:type="spellEnd"/>
      <w:r w:rsidRPr="00A20ADE">
        <w:rPr>
          <w:rFonts w:ascii="ITC Avant Garde" w:hAnsi="ITC Avant Garde"/>
          <w:i/>
        </w:rPr>
        <w:t xml:space="preserve"> Core Network”</w:t>
      </w:r>
      <w:r w:rsidRPr="00A20ADE">
        <w:rPr>
          <w:rFonts w:ascii="ITC Avant Garde" w:hAnsi="ITC Avant Garde"/>
        </w:rPr>
        <w:t>)</w:t>
      </w:r>
      <w:r w:rsidR="00681E83" w:rsidRPr="00A20ADE">
        <w:rPr>
          <w:rFonts w:ascii="ITC Avant Garde" w:hAnsi="ITC Avant Garde"/>
        </w:rPr>
        <w:t>, además de especificar las distintas opciones de entrega de tráfico en distintos niveles de jerarquía de la red, los puntos de presencia y la agregación de tráfico en el nivel de la red y puntos convenidos</w:t>
      </w:r>
      <w:r w:rsidR="00C05302">
        <w:rPr>
          <w:rFonts w:ascii="ITC Avant Garde" w:hAnsi="ITC Avant Garde"/>
        </w:rPr>
        <w:t>;</w:t>
      </w:r>
      <w:r w:rsidR="007704C9">
        <w:rPr>
          <w:rFonts w:ascii="ITC Avant Garde" w:hAnsi="ITC Avant Garde"/>
        </w:rPr>
        <w:t xml:space="preserve"> asimismo, refiere que se deben establecer tarifas ad</w:t>
      </w:r>
      <w:r w:rsidR="00FF6F2F">
        <w:rPr>
          <w:rFonts w:ascii="ITC Avant Garde" w:hAnsi="ITC Avant Garde"/>
        </w:rPr>
        <w:t>a</w:t>
      </w:r>
      <w:r w:rsidR="007704C9">
        <w:rPr>
          <w:rFonts w:ascii="ITC Avant Garde" w:hAnsi="ITC Avant Garde"/>
        </w:rPr>
        <w:t xml:space="preserve">ptadas </w:t>
      </w:r>
      <w:r w:rsidR="00FF6F2F">
        <w:rPr>
          <w:rFonts w:ascii="ITC Avant Garde" w:hAnsi="ITC Avant Garde"/>
        </w:rPr>
        <w:t xml:space="preserve">conforme </w:t>
      </w:r>
      <w:r w:rsidR="007704C9">
        <w:rPr>
          <w:rFonts w:ascii="ITC Avant Garde" w:hAnsi="ITC Avant Garde"/>
        </w:rPr>
        <w:t>a</w:t>
      </w:r>
      <w:r w:rsidR="00FF6F2F">
        <w:rPr>
          <w:rFonts w:ascii="ITC Avant Garde" w:hAnsi="ITC Avant Garde"/>
        </w:rPr>
        <w:t xml:space="preserve"> un</w:t>
      </w:r>
      <w:r w:rsidR="007704C9">
        <w:rPr>
          <w:rFonts w:ascii="ITC Avant Garde" w:hAnsi="ITC Avant Garde"/>
        </w:rPr>
        <w:t xml:space="preserve"> menor uso de ciertos elementos de la red del AEP.</w:t>
      </w:r>
    </w:p>
    <w:p w14:paraId="74E094CC" w14:textId="665414FB" w:rsidR="002A7D9F" w:rsidRPr="00A20ADE" w:rsidRDefault="002A7D9F" w:rsidP="00A20ADE">
      <w:pPr>
        <w:spacing w:after="0" w:line="276" w:lineRule="auto"/>
        <w:ind w:right="0"/>
        <w:rPr>
          <w:rFonts w:ascii="ITC Avant Garde" w:hAnsi="ITC Avant Garde"/>
        </w:rPr>
      </w:pPr>
    </w:p>
    <w:p w14:paraId="6AD7A3B7" w14:textId="5525F322" w:rsidR="002A7D9F" w:rsidRDefault="002A7D9F" w:rsidP="00A20ADE">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2BF2E595" w14:textId="3C3FE5DF" w:rsidR="00555209" w:rsidRDefault="00555209" w:rsidP="00A20ADE">
      <w:pPr>
        <w:spacing w:after="0" w:line="276" w:lineRule="auto"/>
        <w:ind w:right="0"/>
        <w:rPr>
          <w:rFonts w:ascii="ITC Avant Garde" w:hAnsi="ITC Avant Garde"/>
        </w:rPr>
      </w:pPr>
      <w:r w:rsidRPr="00A20ADE">
        <w:rPr>
          <w:rFonts w:ascii="ITC Avant Garde" w:hAnsi="ITC Avant Garde"/>
        </w:rPr>
        <w:t>La obligación de prestar el servicio de Usuario Visitante deviene de las medidas asimétricas impuestas al Agente Económico Preponderante (AEP). En el servicio de Usuario Visitante o itinerancia (</w:t>
      </w:r>
      <w:proofErr w:type="spellStart"/>
      <w:r w:rsidRPr="00A20ADE">
        <w:rPr>
          <w:rFonts w:ascii="ITC Avant Garde" w:hAnsi="ITC Avant Garde"/>
        </w:rPr>
        <w:t>roaming</w:t>
      </w:r>
      <w:proofErr w:type="spellEnd"/>
      <w:r w:rsidRPr="00A20ADE">
        <w:rPr>
          <w:rFonts w:ascii="ITC Avant Garde" w:hAnsi="ITC Avant Garde"/>
        </w:rPr>
        <w:t xml:space="preserve">), los usuarios finales del concesionario solicitante acceden a los servicios de telecomunicaciones (voz, datos y mensajes </w:t>
      </w:r>
      <w:r w:rsidRPr="00A20ADE">
        <w:rPr>
          <w:rFonts w:ascii="ITC Avant Garde" w:hAnsi="ITC Avant Garde"/>
        </w:rPr>
        <w:lastRenderedPageBreak/>
        <w:t>cortos) de una red distinta de aquella con quien tiene contratados los servicios. De esta forma, el servicio permite extender la cobertura del concesionario solicitante para que los usuarios finales puedan utilizar sus servicios en una cobertura de una red distinta, de forma temporal. Mientras que el servicio MOCN consiste en la compartición de infraestructura de la red de acceso de radio, por lo que el usuario final se mantiene en todo momento suscrito y haciendo uso de los servicios de telecomunicaciones de su red origen. Por lo anterior, la prestación del servicio MOCN excede el alcance de la oferta de referencia de UV.</w:t>
      </w:r>
    </w:p>
    <w:p w14:paraId="3C2BDED2" w14:textId="59543081" w:rsidR="00555209" w:rsidRDefault="00555209" w:rsidP="00A20ADE">
      <w:pPr>
        <w:spacing w:after="0" w:line="276" w:lineRule="auto"/>
        <w:ind w:right="0"/>
        <w:rPr>
          <w:rFonts w:ascii="ITC Avant Garde" w:hAnsi="ITC Avant Garde"/>
        </w:rPr>
      </w:pPr>
    </w:p>
    <w:p w14:paraId="5989364A" w14:textId="77777777" w:rsidR="00473522" w:rsidRDefault="00473522" w:rsidP="00473522">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7FF4AB91" w14:textId="77777777" w:rsidR="00473522" w:rsidRDefault="00473522" w:rsidP="00473522">
      <w:pPr>
        <w:spacing w:after="0" w:line="276" w:lineRule="auto"/>
        <w:ind w:left="0" w:right="0" w:firstLine="0"/>
        <w:rPr>
          <w:rFonts w:ascii="ITC Avant Garde" w:hAnsi="ITC Avant Garde"/>
          <w:color w:val="auto"/>
        </w:rPr>
      </w:pPr>
      <w:r>
        <w:rPr>
          <w:rFonts w:ascii="ITC Avant Garde" w:hAnsi="ITC Avant Garde"/>
          <w:color w:val="auto"/>
        </w:rPr>
        <w:t>Indica</w:t>
      </w:r>
      <w:r w:rsidRPr="00E60222">
        <w:rPr>
          <w:rFonts w:ascii="ITC Avant Garde" w:hAnsi="ITC Avant Garde"/>
          <w:color w:val="auto"/>
        </w:rPr>
        <w:t xml:space="preserve"> que se debe incluir la tecnología 5G dentro de la </w:t>
      </w:r>
      <w:r>
        <w:rPr>
          <w:rFonts w:ascii="ITC Avant Garde" w:hAnsi="ITC Avant Garde"/>
          <w:color w:val="auto"/>
        </w:rPr>
        <w:t>Oferta</w:t>
      </w:r>
      <w:r w:rsidRPr="00E60222">
        <w:rPr>
          <w:rFonts w:ascii="ITC Avant Garde" w:hAnsi="ITC Avant Garde"/>
          <w:color w:val="auto"/>
        </w:rPr>
        <w:t xml:space="preserve"> debido a que el AEP ya lanzó el servicio de manera comercial a sus</w:t>
      </w:r>
      <w:r>
        <w:rPr>
          <w:rFonts w:ascii="ITC Avant Garde" w:hAnsi="ITC Avant Garde"/>
          <w:color w:val="auto"/>
        </w:rPr>
        <w:t xml:space="preserve"> </w:t>
      </w:r>
      <w:r w:rsidRPr="00E60222">
        <w:rPr>
          <w:rFonts w:ascii="ITC Avant Garde" w:hAnsi="ITC Avant Garde"/>
          <w:color w:val="auto"/>
        </w:rPr>
        <w:t>cliente</w:t>
      </w:r>
      <w:r>
        <w:rPr>
          <w:rFonts w:ascii="ITC Avant Garde" w:hAnsi="ITC Avant Garde"/>
          <w:color w:val="auto"/>
        </w:rPr>
        <w:t>s</w:t>
      </w:r>
      <w:r w:rsidRPr="00E60222">
        <w:rPr>
          <w:rFonts w:ascii="ITC Avant Garde" w:hAnsi="ITC Avant Garde"/>
          <w:color w:val="auto"/>
        </w:rPr>
        <w:t xml:space="preserve">.  </w:t>
      </w:r>
    </w:p>
    <w:p w14:paraId="6866CF16" w14:textId="77777777" w:rsidR="00473522" w:rsidRDefault="00473522" w:rsidP="00473522">
      <w:pPr>
        <w:spacing w:after="0" w:line="276" w:lineRule="auto"/>
        <w:ind w:left="0" w:right="0" w:firstLine="0"/>
        <w:rPr>
          <w:rFonts w:ascii="ITC Avant Garde" w:hAnsi="ITC Avant Garde"/>
          <w:color w:val="auto"/>
        </w:rPr>
      </w:pPr>
    </w:p>
    <w:p w14:paraId="4B23711C" w14:textId="42586195" w:rsidR="00473522" w:rsidRDefault="00473522" w:rsidP="00473522">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29B70B27" w14:textId="77777777" w:rsidR="00473522" w:rsidRDefault="00473522" w:rsidP="00473522">
      <w:pPr>
        <w:spacing w:after="0" w:line="276" w:lineRule="auto"/>
        <w:ind w:left="0" w:right="0" w:firstLine="0"/>
        <w:rPr>
          <w:rFonts w:ascii="ITC Avant Garde" w:hAnsi="ITC Avant Garde"/>
          <w:color w:val="auto"/>
        </w:rPr>
      </w:pPr>
      <w:r w:rsidRPr="00072F66">
        <w:rPr>
          <w:rFonts w:ascii="ITC Avant Garde" w:hAnsi="ITC Avant Garde"/>
          <w:color w:val="auto"/>
        </w:rPr>
        <w:t xml:space="preserve">La Oferta </w:t>
      </w:r>
      <w:r>
        <w:rPr>
          <w:rFonts w:ascii="ITC Avant Garde" w:hAnsi="ITC Avant Garde"/>
          <w:color w:val="auto"/>
        </w:rPr>
        <w:t>ya</w:t>
      </w:r>
      <w:r w:rsidRPr="00072F66">
        <w:rPr>
          <w:rFonts w:ascii="ITC Avant Garde" w:hAnsi="ITC Avant Garde"/>
          <w:color w:val="auto"/>
        </w:rPr>
        <w:t xml:space="preserve"> incluye la tecnología 5G</w:t>
      </w:r>
      <w:r>
        <w:rPr>
          <w:rFonts w:ascii="ITC Avant Garde" w:hAnsi="ITC Avant Garde"/>
          <w:color w:val="auto"/>
        </w:rPr>
        <w:t xml:space="preserve"> tal como se aprecia en el numeral 8 “Tecnologías Disponibles” del Anexo II Acuerdos Técnicos:</w:t>
      </w:r>
    </w:p>
    <w:p w14:paraId="6E3391AF" w14:textId="77777777" w:rsidR="00473522" w:rsidRDefault="00473522" w:rsidP="00473522">
      <w:pPr>
        <w:spacing w:after="0" w:line="276" w:lineRule="auto"/>
        <w:ind w:left="0" w:right="0" w:firstLine="0"/>
        <w:rPr>
          <w:rFonts w:ascii="ITC Avant Garde" w:hAnsi="ITC Avant Garde"/>
          <w:color w:val="auto"/>
        </w:rPr>
      </w:pPr>
    </w:p>
    <w:p w14:paraId="4B68E175" w14:textId="77777777" w:rsidR="00473522" w:rsidRPr="00072F66" w:rsidRDefault="00473522" w:rsidP="00473522">
      <w:pPr>
        <w:pStyle w:val="Default"/>
        <w:spacing w:after="100"/>
        <w:ind w:left="567" w:right="612"/>
        <w:jc w:val="both"/>
        <w:rPr>
          <w:rFonts w:ascii="ITC Avant Garde" w:eastAsia="Calibri" w:hAnsi="ITC Avant Garde"/>
          <w:i/>
          <w:color w:val="auto"/>
          <w:sz w:val="18"/>
          <w:szCs w:val="18"/>
        </w:rPr>
      </w:pPr>
      <w:r>
        <w:rPr>
          <w:rFonts w:ascii="ITC Avant Garde" w:eastAsia="Calibri" w:hAnsi="ITC Avant Garde"/>
          <w:i/>
          <w:color w:val="auto"/>
          <w:sz w:val="18"/>
          <w:szCs w:val="18"/>
        </w:rPr>
        <w:t xml:space="preserve">“8. </w:t>
      </w:r>
      <w:r w:rsidRPr="00072F66">
        <w:rPr>
          <w:rFonts w:ascii="ITC Avant Garde" w:eastAsia="Calibri" w:hAnsi="ITC Avant Garde"/>
          <w:i/>
          <w:color w:val="auto"/>
          <w:sz w:val="18"/>
          <w:szCs w:val="18"/>
        </w:rPr>
        <w:t>TECNOLOGÍAS DISPONIBLES.</w:t>
      </w:r>
    </w:p>
    <w:p w14:paraId="119E1B26" w14:textId="77777777" w:rsidR="00473522" w:rsidRPr="00072F66" w:rsidRDefault="00473522" w:rsidP="00473522">
      <w:pPr>
        <w:pStyle w:val="Default"/>
        <w:spacing w:after="100"/>
        <w:ind w:left="567" w:right="612"/>
        <w:jc w:val="both"/>
        <w:rPr>
          <w:rFonts w:ascii="ITC Avant Garde" w:eastAsia="Calibri" w:hAnsi="ITC Avant Garde"/>
          <w:i/>
          <w:color w:val="auto"/>
          <w:sz w:val="18"/>
          <w:szCs w:val="18"/>
        </w:rPr>
      </w:pPr>
      <w:r w:rsidRPr="00072F66">
        <w:rPr>
          <w:rFonts w:ascii="ITC Avant Garde" w:eastAsia="Calibri" w:hAnsi="ITC Avant Garde"/>
          <w:i/>
          <w:color w:val="auto"/>
          <w:sz w:val="18"/>
          <w:szCs w:val="18"/>
        </w:rPr>
        <w:t>Telcel cuenta con las siguientes tecnologías disponibles:</w:t>
      </w:r>
    </w:p>
    <w:p w14:paraId="79844BE1" w14:textId="77777777" w:rsidR="00473522" w:rsidRPr="00072F66" w:rsidRDefault="00473522" w:rsidP="00473522">
      <w:pPr>
        <w:pStyle w:val="Default"/>
        <w:numPr>
          <w:ilvl w:val="0"/>
          <w:numId w:val="20"/>
        </w:numPr>
        <w:spacing w:after="100"/>
        <w:ind w:right="612"/>
        <w:jc w:val="both"/>
        <w:rPr>
          <w:rFonts w:ascii="ITC Avant Garde" w:eastAsia="Calibri" w:hAnsi="ITC Avant Garde"/>
          <w:i/>
          <w:color w:val="auto"/>
          <w:sz w:val="18"/>
          <w:szCs w:val="18"/>
          <w:lang w:val="en-US"/>
        </w:rPr>
      </w:pPr>
      <w:r w:rsidRPr="00072F66">
        <w:rPr>
          <w:rFonts w:ascii="ITC Avant Garde" w:eastAsia="Calibri" w:hAnsi="ITC Avant Garde"/>
          <w:i/>
          <w:color w:val="auto"/>
          <w:sz w:val="18"/>
          <w:szCs w:val="18"/>
          <w:lang w:val="en-US"/>
        </w:rPr>
        <w:t>(2G) GSM.</w:t>
      </w:r>
    </w:p>
    <w:p w14:paraId="635FF717" w14:textId="77777777" w:rsidR="00473522" w:rsidRPr="00072F66" w:rsidRDefault="00473522" w:rsidP="00473522">
      <w:pPr>
        <w:pStyle w:val="Default"/>
        <w:numPr>
          <w:ilvl w:val="0"/>
          <w:numId w:val="20"/>
        </w:numPr>
        <w:spacing w:after="100"/>
        <w:ind w:right="612"/>
        <w:jc w:val="both"/>
        <w:rPr>
          <w:rFonts w:ascii="ITC Avant Garde" w:eastAsia="Calibri" w:hAnsi="ITC Avant Garde"/>
          <w:i/>
          <w:color w:val="auto"/>
          <w:sz w:val="18"/>
          <w:szCs w:val="18"/>
          <w:lang w:val="en-US"/>
        </w:rPr>
      </w:pPr>
      <w:r w:rsidRPr="00072F66">
        <w:rPr>
          <w:rFonts w:ascii="ITC Avant Garde" w:eastAsia="Calibri" w:hAnsi="ITC Avant Garde"/>
          <w:i/>
          <w:color w:val="auto"/>
          <w:sz w:val="18"/>
          <w:szCs w:val="18"/>
          <w:lang w:val="en-US"/>
        </w:rPr>
        <w:t>(3G) UMTS.</w:t>
      </w:r>
    </w:p>
    <w:p w14:paraId="73970D09" w14:textId="77777777" w:rsidR="00473522" w:rsidRPr="00072F66" w:rsidRDefault="00473522" w:rsidP="00473522">
      <w:pPr>
        <w:pStyle w:val="Default"/>
        <w:numPr>
          <w:ilvl w:val="0"/>
          <w:numId w:val="20"/>
        </w:numPr>
        <w:spacing w:after="100"/>
        <w:ind w:right="612"/>
        <w:jc w:val="both"/>
        <w:rPr>
          <w:rFonts w:ascii="ITC Avant Garde" w:eastAsia="Calibri" w:hAnsi="ITC Avant Garde"/>
          <w:i/>
          <w:color w:val="auto"/>
          <w:sz w:val="18"/>
          <w:szCs w:val="18"/>
          <w:lang w:val="en-US"/>
        </w:rPr>
      </w:pPr>
      <w:r w:rsidRPr="00072F66">
        <w:rPr>
          <w:rFonts w:ascii="ITC Avant Garde" w:eastAsia="Calibri" w:hAnsi="ITC Avant Garde"/>
          <w:i/>
          <w:color w:val="auto"/>
          <w:sz w:val="18"/>
          <w:szCs w:val="18"/>
          <w:lang w:val="en-US"/>
        </w:rPr>
        <w:t>(4G/4.5G) LTE.</w:t>
      </w:r>
    </w:p>
    <w:p w14:paraId="04DC10C1" w14:textId="77777777" w:rsidR="00473522" w:rsidRPr="00072F66" w:rsidRDefault="00473522" w:rsidP="00473522">
      <w:pPr>
        <w:pStyle w:val="Default"/>
        <w:numPr>
          <w:ilvl w:val="0"/>
          <w:numId w:val="20"/>
        </w:numPr>
        <w:spacing w:after="100"/>
        <w:ind w:right="612"/>
        <w:jc w:val="both"/>
        <w:rPr>
          <w:rFonts w:ascii="ITC Avant Garde" w:eastAsia="Calibri" w:hAnsi="ITC Avant Garde"/>
          <w:i/>
          <w:color w:val="auto"/>
          <w:sz w:val="18"/>
          <w:szCs w:val="18"/>
          <w:lang w:val="en-US"/>
        </w:rPr>
      </w:pPr>
      <w:r w:rsidRPr="00072F66">
        <w:rPr>
          <w:rFonts w:ascii="ITC Avant Garde" w:eastAsia="Calibri" w:hAnsi="ITC Avant Garde"/>
          <w:i/>
          <w:color w:val="auto"/>
          <w:sz w:val="18"/>
          <w:szCs w:val="18"/>
          <w:lang w:val="en-US"/>
        </w:rPr>
        <w:t>(4G/4.5G) VoLTE.</w:t>
      </w:r>
    </w:p>
    <w:p w14:paraId="097B609B" w14:textId="1383E07B" w:rsidR="00473522" w:rsidRDefault="00473522" w:rsidP="00473522">
      <w:pPr>
        <w:pStyle w:val="Default"/>
        <w:numPr>
          <w:ilvl w:val="0"/>
          <w:numId w:val="20"/>
        </w:numPr>
        <w:spacing w:after="100"/>
        <w:ind w:right="612"/>
        <w:jc w:val="both"/>
        <w:rPr>
          <w:rFonts w:ascii="ITC Avant Garde" w:eastAsia="Calibri" w:hAnsi="ITC Avant Garde"/>
          <w:b/>
          <w:bCs/>
          <w:i/>
          <w:color w:val="auto"/>
          <w:sz w:val="18"/>
          <w:szCs w:val="18"/>
          <w:lang w:val="en-US"/>
        </w:rPr>
      </w:pPr>
      <w:r w:rsidRPr="00473522">
        <w:rPr>
          <w:rFonts w:ascii="ITC Avant Garde" w:eastAsia="Calibri" w:hAnsi="ITC Avant Garde"/>
          <w:b/>
          <w:bCs/>
          <w:i/>
          <w:color w:val="auto"/>
          <w:sz w:val="18"/>
          <w:szCs w:val="18"/>
          <w:lang w:val="en-US"/>
        </w:rPr>
        <w:t>(5G)”</w:t>
      </w:r>
    </w:p>
    <w:p w14:paraId="64956257" w14:textId="77777777" w:rsidR="00A568AE" w:rsidRPr="003207CA" w:rsidRDefault="00A568AE" w:rsidP="00A568AE">
      <w:pPr>
        <w:pStyle w:val="Default"/>
        <w:spacing w:after="100"/>
        <w:ind w:left="927" w:right="612"/>
        <w:jc w:val="right"/>
        <w:rPr>
          <w:rFonts w:ascii="ITC Avant Garde" w:eastAsia="Calibri" w:hAnsi="ITC Avant Garde"/>
          <w:i/>
          <w:color w:val="auto"/>
          <w:sz w:val="18"/>
          <w:szCs w:val="18"/>
        </w:rPr>
      </w:pPr>
      <w:r w:rsidRPr="003207CA">
        <w:rPr>
          <w:rFonts w:ascii="ITC Avant Garde" w:eastAsia="Calibri" w:hAnsi="ITC Avant Garde"/>
          <w:i/>
          <w:color w:val="auto"/>
          <w:sz w:val="18"/>
          <w:szCs w:val="18"/>
        </w:rPr>
        <w:t>Énfasis añadido</w:t>
      </w:r>
    </w:p>
    <w:p w14:paraId="417A3ADB" w14:textId="50949E56" w:rsidR="00571517" w:rsidRDefault="00571517" w:rsidP="00A20ADE">
      <w:pPr>
        <w:spacing w:after="0" w:line="276" w:lineRule="auto"/>
        <w:ind w:right="0"/>
        <w:rPr>
          <w:rFonts w:ascii="ITC Avant Garde" w:hAnsi="ITC Avant Garde"/>
          <w:b/>
          <w:color w:val="auto"/>
          <w:u w:val="single"/>
        </w:rPr>
      </w:pPr>
      <w:proofErr w:type="spellStart"/>
      <w:r w:rsidRPr="00A20ADE">
        <w:rPr>
          <w:rFonts w:ascii="ITC Avant Garde" w:hAnsi="ITC Avant Garde"/>
          <w:b/>
          <w:color w:val="auto"/>
          <w:u w:val="single"/>
        </w:rPr>
        <w:t>Subanexo</w:t>
      </w:r>
      <w:proofErr w:type="spellEnd"/>
      <w:r w:rsidRPr="00A20ADE">
        <w:rPr>
          <w:rFonts w:ascii="ITC Avant Garde" w:hAnsi="ITC Avant Garde"/>
          <w:b/>
          <w:color w:val="auto"/>
          <w:u w:val="single"/>
        </w:rPr>
        <w:t xml:space="preserve"> C. Alta y Baja de Coberturas</w:t>
      </w:r>
    </w:p>
    <w:p w14:paraId="708B3BE1" w14:textId="77777777" w:rsidR="00DA4045" w:rsidRPr="00A20ADE" w:rsidRDefault="00DA4045" w:rsidP="00A20ADE">
      <w:pPr>
        <w:spacing w:after="0" w:line="276" w:lineRule="auto"/>
        <w:ind w:right="0"/>
        <w:rPr>
          <w:rFonts w:ascii="ITC Avant Garde" w:hAnsi="ITC Avant Garde"/>
          <w:b/>
          <w:color w:val="auto"/>
          <w:u w:val="single"/>
        </w:rPr>
      </w:pPr>
    </w:p>
    <w:p w14:paraId="06BF9A00" w14:textId="1E13A853" w:rsidR="00C27A82" w:rsidRPr="00A20ADE" w:rsidRDefault="00C27A82" w:rsidP="00A20ADE">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476F6B4C" w14:textId="3784944E" w:rsidR="006266BE" w:rsidRPr="00A20ADE" w:rsidRDefault="000B6E43" w:rsidP="000B6E43">
      <w:pPr>
        <w:spacing w:after="0" w:line="276" w:lineRule="auto"/>
        <w:ind w:left="-5" w:right="49"/>
        <w:rPr>
          <w:rFonts w:ascii="ITC Avant Garde" w:hAnsi="ITC Avant Garde"/>
          <w:color w:val="auto"/>
        </w:rPr>
      </w:pPr>
      <w:r>
        <w:rPr>
          <w:rFonts w:ascii="ITC Avant Garde" w:hAnsi="ITC Avant Garde"/>
          <w:color w:val="auto"/>
        </w:rPr>
        <w:t>Indica</w:t>
      </w:r>
      <w:r w:rsidR="006266BE" w:rsidRPr="00A20ADE">
        <w:rPr>
          <w:rFonts w:ascii="ITC Avant Garde" w:hAnsi="ITC Avant Garde"/>
          <w:color w:val="auto"/>
        </w:rPr>
        <w:t xml:space="preserve"> que</w:t>
      </w:r>
      <w:r>
        <w:rPr>
          <w:rFonts w:ascii="ITC Avant Garde" w:hAnsi="ITC Avant Garde"/>
          <w:color w:val="auto"/>
        </w:rPr>
        <w:t>,</w:t>
      </w:r>
      <w:r w:rsidR="006266BE" w:rsidRPr="00A20ADE">
        <w:rPr>
          <w:rFonts w:ascii="ITC Avant Garde" w:hAnsi="ITC Avant Garde"/>
          <w:color w:val="auto"/>
        </w:rPr>
        <w:t xml:space="preserve"> para minimizar el tráfico de usuario visitante en zonas donde pueda existir un traslape parcial de cobertura, el AEP debe implementar los mecanismos estandarizados para el traspaso automático de la comunicación para garantizar que se haga el uso mínimo del servicio de usuario visitante cuando existe cobertura de ambas redes. </w:t>
      </w:r>
    </w:p>
    <w:p w14:paraId="18742465" w14:textId="77777777" w:rsidR="006266BE" w:rsidRPr="00A20ADE" w:rsidRDefault="006266BE" w:rsidP="00A20ADE">
      <w:pPr>
        <w:spacing w:after="0" w:line="276" w:lineRule="auto"/>
        <w:ind w:left="-5" w:right="49"/>
        <w:rPr>
          <w:rFonts w:ascii="ITC Avant Garde" w:hAnsi="ITC Avant Garde"/>
          <w:color w:val="auto"/>
        </w:rPr>
      </w:pPr>
    </w:p>
    <w:p w14:paraId="60E85513" w14:textId="438874DA" w:rsidR="00C27A82" w:rsidRDefault="00C27A82" w:rsidP="00A20ADE">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65E32F94" w14:textId="32DF010F" w:rsidR="000B6E43" w:rsidRDefault="000B6E43" w:rsidP="00A20ADE">
      <w:pPr>
        <w:spacing w:after="0" w:line="276" w:lineRule="auto"/>
        <w:ind w:left="-5" w:right="49"/>
        <w:rPr>
          <w:rFonts w:ascii="ITC Avant Garde" w:hAnsi="ITC Avant Garde"/>
          <w:color w:val="auto"/>
        </w:rPr>
      </w:pPr>
      <w:r>
        <w:rPr>
          <w:rFonts w:ascii="ITC Avant Garde" w:hAnsi="ITC Avant Garde"/>
          <w:color w:val="auto"/>
        </w:rPr>
        <w:t xml:space="preserve">La Oferta permite que el concesionario haga uso de herramientas de </w:t>
      </w:r>
      <w:r w:rsidRPr="000B6E43">
        <w:rPr>
          <w:rFonts w:ascii="ITC Avant Garde" w:hAnsi="ITC Avant Garde"/>
          <w:i/>
          <w:iCs/>
          <w:color w:val="auto"/>
        </w:rPr>
        <w:t>“</w:t>
      </w:r>
      <w:proofErr w:type="spellStart"/>
      <w:r w:rsidRPr="000B6E43">
        <w:rPr>
          <w:rFonts w:ascii="ITC Avant Garde" w:hAnsi="ITC Avant Garde"/>
          <w:i/>
          <w:iCs/>
          <w:color w:val="auto"/>
        </w:rPr>
        <w:t>Steering</w:t>
      </w:r>
      <w:proofErr w:type="spellEnd"/>
      <w:r w:rsidRPr="000B6E43">
        <w:rPr>
          <w:rFonts w:ascii="ITC Avant Garde" w:hAnsi="ITC Avant Garde"/>
          <w:i/>
          <w:iCs/>
          <w:color w:val="auto"/>
        </w:rPr>
        <w:t xml:space="preserve"> </w:t>
      </w:r>
      <w:proofErr w:type="spellStart"/>
      <w:r w:rsidRPr="000B6E43">
        <w:rPr>
          <w:rFonts w:ascii="ITC Avant Garde" w:hAnsi="ITC Avant Garde"/>
          <w:i/>
          <w:iCs/>
          <w:color w:val="auto"/>
        </w:rPr>
        <w:t>of</w:t>
      </w:r>
      <w:proofErr w:type="spellEnd"/>
      <w:r w:rsidRPr="000B6E43">
        <w:rPr>
          <w:rFonts w:ascii="ITC Avant Garde" w:hAnsi="ITC Avant Garde"/>
          <w:i/>
          <w:iCs/>
          <w:color w:val="auto"/>
        </w:rPr>
        <w:t xml:space="preserve"> </w:t>
      </w:r>
      <w:proofErr w:type="spellStart"/>
      <w:r w:rsidRPr="000B6E43">
        <w:rPr>
          <w:rFonts w:ascii="ITC Avant Garde" w:hAnsi="ITC Avant Garde"/>
          <w:i/>
          <w:iCs/>
          <w:color w:val="auto"/>
        </w:rPr>
        <w:t>Roaming</w:t>
      </w:r>
      <w:proofErr w:type="spellEnd"/>
      <w:r w:rsidRPr="000B6E43">
        <w:rPr>
          <w:rFonts w:ascii="ITC Avant Garde" w:hAnsi="ITC Avant Garde"/>
          <w:i/>
          <w:iCs/>
          <w:color w:val="auto"/>
        </w:rPr>
        <w:t>”</w:t>
      </w:r>
      <w:r>
        <w:rPr>
          <w:rFonts w:ascii="ITC Avant Garde" w:hAnsi="ITC Avant Garde"/>
          <w:color w:val="auto"/>
        </w:rPr>
        <w:t xml:space="preserve"> para redireccionar el tráfico a su propia red:</w:t>
      </w:r>
    </w:p>
    <w:p w14:paraId="30387863" w14:textId="016F42F0" w:rsidR="000B6E43" w:rsidRDefault="000B6E43" w:rsidP="00A20ADE">
      <w:pPr>
        <w:spacing w:after="0" w:line="276" w:lineRule="auto"/>
        <w:ind w:left="-5" w:right="49"/>
        <w:rPr>
          <w:rFonts w:ascii="ITC Avant Garde" w:hAnsi="ITC Avant Garde"/>
          <w:color w:val="auto"/>
        </w:rPr>
      </w:pPr>
    </w:p>
    <w:p w14:paraId="3EFAE5F0" w14:textId="4E1CDD9F" w:rsidR="000B6E43" w:rsidRDefault="000B6E43" w:rsidP="000B6E43">
      <w:pPr>
        <w:pStyle w:val="Default"/>
        <w:spacing w:after="100"/>
        <w:ind w:left="567" w:right="612"/>
        <w:jc w:val="both"/>
        <w:rPr>
          <w:rFonts w:ascii="ITC Avant Garde" w:eastAsia="Calibri" w:hAnsi="ITC Avant Garde"/>
          <w:i/>
          <w:color w:val="auto"/>
          <w:sz w:val="18"/>
          <w:szCs w:val="18"/>
        </w:rPr>
      </w:pPr>
      <w:r>
        <w:rPr>
          <w:rFonts w:ascii="ITC Avant Garde" w:eastAsia="Calibri" w:hAnsi="ITC Avant Garde"/>
          <w:i/>
          <w:color w:val="auto"/>
          <w:sz w:val="18"/>
          <w:szCs w:val="18"/>
        </w:rPr>
        <w:t xml:space="preserve">“b) </w:t>
      </w:r>
      <w:r w:rsidRPr="000B6E43">
        <w:rPr>
          <w:rFonts w:ascii="ITC Avant Garde" w:eastAsia="Calibri" w:hAnsi="ITC Avant Garde"/>
          <w:i/>
          <w:color w:val="auto"/>
          <w:sz w:val="18"/>
          <w:szCs w:val="18"/>
          <w:u w:val="single"/>
        </w:rPr>
        <w:t xml:space="preserve">Telcel permitirá el uso de herramientas de </w:t>
      </w:r>
      <w:proofErr w:type="spellStart"/>
      <w:r w:rsidRPr="000B6E43">
        <w:rPr>
          <w:rFonts w:ascii="ITC Avant Garde" w:eastAsia="Calibri" w:hAnsi="ITC Avant Garde"/>
          <w:i/>
          <w:color w:val="auto"/>
          <w:sz w:val="18"/>
          <w:szCs w:val="18"/>
          <w:u w:val="single"/>
        </w:rPr>
        <w:t>steering</w:t>
      </w:r>
      <w:proofErr w:type="spellEnd"/>
      <w:r w:rsidRPr="000B6E43">
        <w:rPr>
          <w:rFonts w:ascii="ITC Avant Garde" w:eastAsia="Calibri" w:hAnsi="ITC Avant Garde"/>
          <w:i/>
          <w:color w:val="auto"/>
          <w:sz w:val="18"/>
          <w:szCs w:val="18"/>
          <w:u w:val="single"/>
        </w:rPr>
        <w:t xml:space="preserve"> conforme a los estándares internacionales para que el Concesionario redireccione su tráfico a su Red origen</w:t>
      </w:r>
      <w:r w:rsidRPr="000B6E43">
        <w:rPr>
          <w:rFonts w:ascii="ITC Avant Garde" w:eastAsia="Calibri" w:hAnsi="ITC Avant Garde"/>
          <w:i/>
          <w:color w:val="auto"/>
          <w:sz w:val="18"/>
          <w:szCs w:val="18"/>
        </w:rPr>
        <w:t xml:space="preserve">, por lo cual, el Concesionario tomará las medidas necesarias para evitar el uso excesivo en la señalización. Debido a la naturaleza de la restricción del servicio por LAC, RAC y TAC, el </w:t>
      </w:r>
      <w:r w:rsidRPr="000B6E43">
        <w:rPr>
          <w:rFonts w:ascii="ITC Avant Garde" w:eastAsia="Calibri" w:hAnsi="ITC Avant Garde"/>
          <w:i/>
          <w:color w:val="auto"/>
          <w:sz w:val="18"/>
          <w:szCs w:val="18"/>
        </w:rPr>
        <w:lastRenderedPageBreak/>
        <w:t>Concesionario reconoce que, cualquier direccionamiento de tráfico y/o cambio de cobertura a la propia, involucra la terminación o caída de la sesión de voz y/o datos, por lo cual, Telcel no garantiza la continuidad del servicio en los supuestos mencionados.</w:t>
      </w:r>
      <w:r>
        <w:rPr>
          <w:rFonts w:ascii="ITC Avant Garde" w:eastAsia="Calibri" w:hAnsi="ITC Avant Garde"/>
          <w:i/>
          <w:color w:val="auto"/>
          <w:sz w:val="18"/>
          <w:szCs w:val="18"/>
        </w:rPr>
        <w:t>”</w:t>
      </w:r>
    </w:p>
    <w:p w14:paraId="7044E01F" w14:textId="77777777" w:rsidR="003207CA" w:rsidRPr="00555774" w:rsidRDefault="003207CA" w:rsidP="003207CA">
      <w:pPr>
        <w:pStyle w:val="Default"/>
        <w:spacing w:after="100"/>
        <w:ind w:left="567" w:right="612"/>
        <w:jc w:val="right"/>
        <w:rPr>
          <w:rFonts w:ascii="ITC Avant Garde" w:eastAsia="Calibri" w:hAnsi="ITC Avant Garde"/>
          <w:iCs/>
          <w:color w:val="auto"/>
          <w:sz w:val="18"/>
          <w:szCs w:val="18"/>
        </w:rPr>
      </w:pPr>
      <w:r w:rsidRPr="00555774">
        <w:rPr>
          <w:rFonts w:ascii="ITC Avant Garde" w:eastAsia="Calibri" w:hAnsi="ITC Avant Garde"/>
          <w:iCs/>
          <w:color w:val="auto"/>
          <w:sz w:val="18"/>
          <w:szCs w:val="18"/>
        </w:rPr>
        <w:t>Énfasis añadido</w:t>
      </w:r>
    </w:p>
    <w:p w14:paraId="2CECB37F" w14:textId="0FAECAB5" w:rsidR="00F5006D" w:rsidRDefault="00F5006D" w:rsidP="00A20ADE">
      <w:pPr>
        <w:spacing w:after="0" w:line="276" w:lineRule="auto"/>
        <w:ind w:left="0" w:right="0" w:firstLine="0"/>
        <w:rPr>
          <w:rFonts w:ascii="ITC Avant Garde" w:hAnsi="ITC Avant Garde"/>
          <w:b/>
          <w:color w:val="auto"/>
        </w:rPr>
      </w:pPr>
    </w:p>
    <w:p w14:paraId="31ED9354" w14:textId="6AFD9A41" w:rsidR="00F5006D" w:rsidRPr="00A20ADE" w:rsidRDefault="00F5006D" w:rsidP="00F5006D">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0239D6AF" w14:textId="14009ED9" w:rsidR="00F5006D" w:rsidRDefault="00F5006D" w:rsidP="00F5006D">
      <w:pPr>
        <w:spacing w:after="0" w:line="276" w:lineRule="auto"/>
        <w:ind w:left="-5" w:right="49"/>
        <w:rPr>
          <w:rFonts w:ascii="ITC Avant Garde" w:hAnsi="ITC Avant Garde"/>
          <w:color w:val="auto"/>
        </w:rPr>
      </w:pPr>
      <w:r w:rsidRPr="00A20ADE">
        <w:rPr>
          <w:rFonts w:ascii="ITC Avant Garde" w:hAnsi="ITC Avant Garde"/>
          <w:color w:val="auto"/>
        </w:rPr>
        <w:t>Solicita que la Oferta permita la adaptación del tamaño de las zonas de cobertura de acuerdo con las necesidades de los concesionarios solicitantes (tamaño de LAC, RAC y TAC), debiendo ser posible permitir el nivel de cobertura de un emplazamiento individual</w:t>
      </w:r>
      <w:r>
        <w:rPr>
          <w:rFonts w:ascii="ITC Avant Garde" w:hAnsi="ITC Avant Garde"/>
          <w:color w:val="auto"/>
        </w:rPr>
        <w:t>.</w:t>
      </w:r>
      <w:r w:rsidRPr="00A20ADE">
        <w:rPr>
          <w:rFonts w:ascii="ITC Avant Garde" w:hAnsi="ITC Avant Garde"/>
          <w:color w:val="auto"/>
        </w:rPr>
        <w:t xml:space="preserve"> </w:t>
      </w:r>
    </w:p>
    <w:p w14:paraId="76DA95EA" w14:textId="3AB61CDB" w:rsidR="00C4621A" w:rsidRDefault="00C4621A" w:rsidP="00F5006D">
      <w:pPr>
        <w:spacing w:after="0" w:line="276" w:lineRule="auto"/>
        <w:ind w:left="-5" w:right="49"/>
        <w:rPr>
          <w:rFonts w:ascii="ITC Avant Garde" w:hAnsi="ITC Avant Garde"/>
          <w:color w:val="auto"/>
        </w:rPr>
      </w:pPr>
    </w:p>
    <w:p w14:paraId="31DFB42D" w14:textId="6C9ACEFC" w:rsidR="00C4621A" w:rsidRDefault="00C4621A" w:rsidP="00C4621A">
      <w:pPr>
        <w:spacing w:after="0" w:line="276" w:lineRule="auto"/>
        <w:ind w:left="-5" w:right="49"/>
        <w:rPr>
          <w:rFonts w:ascii="ITC Avant Garde" w:hAnsi="ITC Avant Garde"/>
          <w:color w:val="auto"/>
        </w:rPr>
      </w:pPr>
      <w:r>
        <w:rPr>
          <w:rFonts w:ascii="ITC Avant Garde" w:hAnsi="ITC Avant Garde"/>
          <w:color w:val="auto"/>
        </w:rPr>
        <w:t>Asimismo, señala</w:t>
      </w:r>
      <w:r w:rsidRPr="00A20ADE">
        <w:rPr>
          <w:rFonts w:ascii="ITC Avant Garde" w:hAnsi="ITC Avant Garde"/>
          <w:color w:val="auto"/>
        </w:rPr>
        <w:t xml:space="preserve"> que existe falta de flexibilidad para adaptar el tamaño y la forma de las áreas de servicio conforme a las necesidades del concesionario, lo que implica solapes de cobertura y no permite replicar la cobertura de los ejes carreteros</w:t>
      </w:r>
      <w:r>
        <w:rPr>
          <w:rFonts w:ascii="ITC Avant Garde" w:hAnsi="ITC Avant Garde"/>
          <w:color w:val="auto"/>
        </w:rPr>
        <w:t>.</w:t>
      </w:r>
    </w:p>
    <w:p w14:paraId="42751F46" w14:textId="223D9FD1" w:rsidR="00B17A21" w:rsidRDefault="00B17A21" w:rsidP="00F5006D">
      <w:pPr>
        <w:spacing w:after="0" w:line="276" w:lineRule="auto"/>
        <w:ind w:left="-5" w:right="49"/>
        <w:rPr>
          <w:rFonts w:ascii="ITC Avant Garde" w:hAnsi="ITC Avant Garde"/>
          <w:color w:val="auto"/>
        </w:rPr>
      </w:pPr>
    </w:p>
    <w:p w14:paraId="05ED39F6" w14:textId="77777777" w:rsidR="00B17A21" w:rsidRDefault="00B17A21" w:rsidP="00B17A21">
      <w:pPr>
        <w:spacing w:after="0" w:line="276" w:lineRule="auto"/>
        <w:ind w:left="0" w:right="0" w:firstLine="0"/>
        <w:rPr>
          <w:rFonts w:ascii="ITC Avant Garde" w:hAnsi="ITC Avant Garde"/>
          <w:color w:val="auto"/>
        </w:rPr>
      </w:pPr>
      <w:r w:rsidRPr="00B17A21">
        <w:rPr>
          <w:rFonts w:ascii="ITC Avant Garde" w:hAnsi="ITC Avant Garde"/>
          <w:b/>
          <w:color w:val="auto"/>
        </w:rPr>
        <w:t>CANIETI</w:t>
      </w:r>
    </w:p>
    <w:p w14:paraId="3128D12B" w14:textId="78D555F3" w:rsidR="00B17A21" w:rsidRDefault="00B17A21" w:rsidP="00B17A21">
      <w:pPr>
        <w:spacing w:after="0" w:line="276" w:lineRule="auto"/>
        <w:ind w:left="-5" w:right="49"/>
        <w:rPr>
          <w:rFonts w:ascii="ITC Avant Garde" w:hAnsi="ITC Avant Garde"/>
          <w:color w:val="auto"/>
        </w:rPr>
      </w:pPr>
      <w:r w:rsidRPr="00B17A21">
        <w:rPr>
          <w:rFonts w:ascii="ITC Avant Garde" w:hAnsi="ITC Avant Garde"/>
          <w:color w:val="auto"/>
        </w:rPr>
        <w:t xml:space="preserve">Propone adaptar el tamaño de las zonas de cobertura a las necesidades de los </w:t>
      </w:r>
      <w:r>
        <w:rPr>
          <w:rFonts w:ascii="ITC Avant Garde" w:hAnsi="ITC Avant Garde"/>
          <w:color w:val="auto"/>
        </w:rPr>
        <w:t>concesionarios</w:t>
      </w:r>
      <w:r w:rsidRPr="00B17A21">
        <w:rPr>
          <w:rFonts w:ascii="ITC Avant Garde" w:hAnsi="ITC Avant Garde"/>
          <w:color w:val="auto"/>
        </w:rPr>
        <w:t xml:space="preserve"> y que debería ser una obligación incluida en la Oferta de Refer</w:t>
      </w:r>
      <w:r>
        <w:rPr>
          <w:rFonts w:ascii="ITC Avant Garde" w:hAnsi="ITC Avant Garde"/>
          <w:color w:val="auto"/>
        </w:rPr>
        <w:t>e</w:t>
      </w:r>
      <w:r w:rsidRPr="00B17A21">
        <w:rPr>
          <w:rFonts w:ascii="ITC Avant Garde" w:hAnsi="ITC Avant Garde"/>
          <w:color w:val="auto"/>
        </w:rPr>
        <w:t xml:space="preserve">ncia. </w:t>
      </w:r>
      <w:r>
        <w:rPr>
          <w:rFonts w:ascii="ITC Avant Garde" w:hAnsi="ITC Avant Garde"/>
          <w:color w:val="auto"/>
        </w:rPr>
        <w:t>Asimismo,</w:t>
      </w:r>
      <w:r w:rsidRPr="00B17A21">
        <w:rPr>
          <w:rFonts w:ascii="ITC Avant Garde" w:hAnsi="ITC Avant Garde"/>
          <w:color w:val="auto"/>
        </w:rPr>
        <w:t xml:space="preserve"> </w:t>
      </w:r>
      <w:r>
        <w:rPr>
          <w:rFonts w:ascii="ITC Avant Garde" w:hAnsi="ITC Avant Garde"/>
          <w:color w:val="auto"/>
        </w:rPr>
        <w:t>indica</w:t>
      </w:r>
      <w:r w:rsidRPr="00B17A21">
        <w:rPr>
          <w:rFonts w:ascii="ITC Avant Garde" w:hAnsi="ITC Avant Garde"/>
          <w:color w:val="auto"/>
        </w:rPr>
        <w:t xml:space="preserve"> que se </w:t>
      </w:r>
      <w:r>
        <w:rPr>
          <w:rFonts w:ascii="ITC Avant Garde" w:hAnsi="ITC Avant Garde"/>
          <w:color w:val="auto"/>
        </w:rPr>
        <w:t>debería</w:t>
      </w:r>
      <w:r w:rsidRPr="00B17A21">
        <w:rPr>
          <w:rFonts w:ascii="ITC Avant Garde" w:hAnsi="ITC Avant Garde"/>
          <w:color w:val="auto"/>
        </w:rPr>
        <w:t xml:space="preserve"> poder solicitar el mínimo tamaño posible, hasta el nivel de cobertura de un emplazamiento individual.</w:t>
      </w:r>
    </w:p>
    <w:p w14:paraId="1C31F072" w14:textId="42E20361" w:rsidR="00F5006D" w:rsidRDefault="00F5006D" w:rsidP="00F5006D">
      <w:pPr>
        <w:spacing w:after="0" w:line="276" w:lineRule="auto"/>
        <w:ind w:left="-5" w:right="49"/>
        <w:rPr>
          <w:rFonts w:ascii="ITC Avant Garde" w:hAnsi="ITC Avant Garde"/>
          <w:color w:val="auto"/>
        </w:rPr>
      </w:pPr>
    </w:p>
    <w:p w14:paraId="229F3496" w14:textId="77777777" w:rsidR="00F5006D" w:rsidRDefault="00F5006D" w:rsidP="00F5006D">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346CE45F" w14:textId="6468F1E5" w:rsidR="00F5006D" w:rsidRDefault="00F5006D" w:rsidP="00F5006D">
      <w:pPr>
        <w:spacing w:after="0" w:line="276" w:lineRule="auto"/>
        <w:ind w:left="-5" w:right="49"/>
        <w:rPr>
          <w:rFonts w:ascii="ITC Avant Garde" w:hAnsi="ITC Avant Garde"/>
          <w:color w:val="auto"/>
        </w:rPr>
      </w:pPr>
      <w:r>
        <w:rPr>
          <w:rFonts w:ascii="ITC Avant Garde" w:hAnsi="ITC Avant Garde"/>
          <w:color w:val="auto"/>
        </w:rPr>
        <w:t xml:space="preserve">El </w:t>
      </w:r>
      <w:r w:rsidRPr="00A20ADE">
        <w:rPr>
          <w:rFonts w:ascii="ITC Avant Garde" w:hAnsi="ITC Avant Garde"/>
          <w:color w:val="auto"/>
        </w:rPr>
        <w:t>definir la prestación del servicio a través de niveles de cobertura al nivel de un emplazamiento individual resultaría técnicamente ineficiente</w:t>
      </w:r>
      <w:r>
        <w:rPr>
          <w:rFonts w:ascii="ITC Avant Garde" w:hAnsi="ITC Avant Garde"/>
          <w:color w:val="auto"/>
        </w:rPr>
        <w:t>,</w:t>
      </w:r>
      <w:r w:rsidRPr="00A20ADE">
        <w:rPr>
          <w:rFonts w:ascii="ITC Avant Garde" w:hAnsi="ITC Avant Garde"/>
          <w:color w:val="auto"/>
        </w:rPr>
        <w:t xml:space="preserve"> pudiendo generar señalización excesiva y disminuyendo con ello la calidad del servicio para los usuarios de los concesionarios solicitantes y de Telcel. </w:t>
      </w:r>
    </w:p>
    <w:p w14:paraId="2914C884" w14:textId="1D5D4021" w:rsidR="00037836" w:rsidRDefault="00037836" w:rsidP="00F5006D">
      <w:pPr>
        <w:spacing w:after="0" w:line="276" w:lineRule="auto"/>
        <w:ind w:left="-5" w:right="49"/>
        <w:rPr>
          <w:rFonts w:ascii="ITC Avant Garde" w:hAnsi="ITC Avant Garde"/>
          <w:color w:val="auto"/>
        </w:rPr>
      </w:pPr>
    </w:p>
    <w:p w14:paraId="3788005E" w14:textId="3AF27ED3" w:rsidR="00037836" w:rsidRDefault="00037836" w:rsidP="00037836">
      <w:pPr>
        <w:spacing w:after="0" w:line="276" w:lineRule="auto"/>
        <w:ind w:left="-5" w:right="49"/>
        <w:rPr>
          <w:rFonts w:ascii="ITC Avant Garde" w:hAnsi="ITC Avant Garde"/>
          <w:color w:val="auto"/>
        </w:rPr>
      </w:pPr>
      <w:r w:rsidRPr="00A20ADE">
        <w:rPr>
          <w:rFonts w:ascii="ITC Avant Garde" w:hAnsi="ITC Avant Garde"/>
          <w:color w:val="auto"/>
        </w:rPr>
        <w:t>Además, la Oferta no establece ninguna restricción para solicitar los servicios incluso en aquellas zonas donde exista traslape de cobertura, considerando el uso de herramientas para el redireccionamiento de tráfico entre la red de Telcel y la red del concesionario solicitante, tal como establece el numeral 6.1 del Anexo II.</w:t>
      </w:r>
    </w:p>
    <w:p w14:paraId="03F83A39" w14:textId="65F2A3A5" w:rsidR="00FB6DA8" w:rsidRDefault="00FB6DA8" w:rsidP="00037836">
      <w:pPr>
        <w:spacing w:after="0" w:line="276" w:lineRule="auto"/>
        <w:ind w:left="-5" w:right="49"/>
        <w:rPr>
          <w:rFonts w:ascii="ITC Avant Garde" w:hAnsi="ITC Avant Garde"/>
          <w:color w:val="auto"/>
        </w:rPr>
      </w:pPr>
    </w:p>
    <w:p w14:paraId="08B50882" w14:textId="67E11A61" w:rsidR="00FB6DA8" w:rsidRDefault="00FB6DA8" w:rsidP="00FB6DA8">
      <w:pPr>
        <w:spacing w:after="0" w:line="276" w:lineRule="auto"/>
        <w:ind w:left="-5" w:right="49"/>
        <w:rPr>
          <w:rFonts w:ascii="ITC Avant Garde" w:hAnsi="ITC Avant Garde"/>
          <w:color w:val="auto"/>
        </w:rPr>
      </w:pPr>
      <w:r w:rsidRPr="00667493">
        <w:rPr>
          <w:rFonts w:ascii="ITC Avant Garde" w:hAnsi="ITC Avant Garde"/>
          <w:color w:val="auto"/>
        </w:rPr>
        <w:t xml:space="preserve">Por otra parte, se modificaron los numerales 2 y 3 del </w:t>
      </w:r>
      <w:proofErr w:type="spellStart"/>
      <w:r w:rsidRPr="00667493">
        <w:rPr>
          <w:rFonts w:ascii="ITC Avant Garde" w:hAnsi="ITC Avant Garde"/>
          <w:color w:val="auto"/>
        </w:rPr>
        <w:t>Subanexo</w:t>
      </w:r>
      <w:proofErr w:type="spellEnd"/>
      <w:r w:rsidRPr="00667493">
        <w:rPr>
          <w:rFonts w:ascii="ITC Avant Garde" w:hAnsi="ITC Avant Garde"/>
          <w:color w:val="auto"/>
        </w:rPr>
        <w:t xml:space="preserve"> C Alta y Baja de Coberturas, el Anexo V-A Alta y Baja en LAC, RAC y TAC para el Servicio de la Oferta, el Anexo V-B LAC, RAC y TAC para la prestación de los Servicios de la Oferta, así como el numeral 3 del Anexo IX Procedimiento de Solicitud de Servicios, precisando lo referente al procedimiento y plazos para los casos en que los servicios solicitados por los concesionarios impliquen modificaciones a la estructura de las áreas de servicio de Telcel.</w:t>
      </w:r>
    </w:p>
    <w:p w14:paraId="1062F620" w14:textId="77777777" w:rsidR="00667493" w:rsidRDefault="00667493" w:rsidP="00667493">
      <w:pPr>
        <w:spacing w:after="0" w:line="276" w:lineRule="auto"/>
        <w:ind w:left="-5" w:right="49"/>
        <w:rPr>
          <w:rFonts w:ascii="ITC Avant Garde" w:hAnsi="ITC Avant Garde"/>
          <w:color w:val="auto"/>
        </w:rPr>
      </w:pPr>
    </w:p>
    <w:p w14:paraId="754A2F0D" w14:textId="68A020F9" w:rsidR="00667493" w:rsidRDefault="00667493" w:rsidP="00667493">
      <w:pPr>
        <w:spacing w:after="0" w:line="276" w:lineRule="auto"/>
        <w:ind w:left="-5" w:right="49"/>
        <w:rPr>
          <w:rFonts w:ascii="ITC Avant Garde" w:hAnsi="ITC Avant Garde"/>
          <w:color w:val="auto"/>
        </w:rPr>
      </w:pPr>
      <w:r>
        <w:rPr>
          <w:rFonts w:ascii="ITC Avant Garde" w:hAnsi="ITC Avant Garde"/>
          <w:color w:val="auto"/>
        </w:rPr>
        <w:lastRenderedPageBreak/>
        <w:t>Asimismo, en</w:t>
      </w:r>
      <w:r w:rsidRPr="00A20ADE">
        <w:rPr>
          <w:rFonts w:ascii="ITC Avant Garde" w:hAnsi="ITC Avant Garde"/>
          <w:color w:val="auto"/>
        </w:rPr>
        <w:t xml:space="preserve"> el numeral 3 del </w:t>
      </w:r>
      <w:proofErr w:type="spellStart"/>
      <w:r w:rsidRPr="00A20ADE">
        <w:rPr>
          <w:rFonts w:ascii="ITC Avant Garde" w:hAnsi="ITC Avant Garde"/>
          <w:color w:val="auto"/>
        </w:rPr>
        <w:t>Subanexo</w:t>
      </w:r>
      <w:proofErr w:type="spellEnd"/>
      <w:r w:rsidRPr="00A20ADE">
        <w:rPr>
          <w:rFonts w:ascii="ITC Avant Garde" w:hAnsi="ITC Avant Garde"/>
          <w:color w:val="auto"/>
        </w:rPr>
        <w:t xml:space="preserve"> C</w:t>
      </w:r>
      <w:r>
        <w:rPr>
          <w:rFonts w:ascii="ITC Avant Garde" w:hAnsi="ITC Avant Garde"/>
          <w:color w:val="auto"/>
        </w:rPr>
        <w:t>, se</w:t>
      </w:r>
      <w:r w:rsidRPr="00A20ADE">
        <w:rPr>
          <w:rFonts w:ascii="ITC Avant Garde" w:hAnsi="ITC Avant Garde"/>
          <w:color w:val="auto"/>
        </w:rPr>
        <w:t xml:space="preserve"> establec</w:t>
      </w:r>
      <w:r>
        <w:rPr>
          <w:rFonts w:ascii="ITC Avant Garde" w:hAnsi="ITC Avant Garde"/>
          <w:color w:val="auto"/>
        </w:rPr>
        <w:t>ió</w:t>
      </w:r>
      <w:r w:rsidRPr="00A20ADE">
        <w:rPr>
          <w:rFonts w:ascii="ITC Avant Garde" w:hAnsi="ITC Avant Garde"/>
          <w:color w:val="auto"/>
        </w:rPr>
        <w:t xml:space="preserve"> la obligación de definir las LAC (</w:t>
      </w:r>
      <w:r w:rsidRPr="00A20ADE">
        <w:rPr>
          <w:rFonts w:ascii="ITC Avant Garde" w:hAnsi="ITC Avant Garde"/>
          <w:i/>
          <w:color w:val="auto"/>
        </w:rPr>
        <w:t>“</w:t>
      </w:r>
      <w:proofErr w:type="spellStart"/>
      <w:r w:rsidRPr="00A20ADE">
        <w:rPr>
          <w:rFonts w:ascii="ITC Avant Garde" w:hAnsi="ITC Avant Garde"/>
          <w:i/>
          <w:color w:val="auto"/>
        </w:rPr>
        <w:t>Location</w:t>
      </w:r>
      <w:proofErr w:type="spellEnd"/>
      <w:r w:rsidRPr="00A20ADE">
        <w:rPr>
          <w:rFonts w:ascii="ITC Avant Garde" w:hAnsi="ITC Avant Garde"/>
          <w:i/>
          <w:color w:val="auto"/>
        </w:rPr>
        <w:t xml:space="preserve"> </w:t>
      </w:r>
      <w:proofErr w:type="spellStart"/>
      <w:r w:rsidRPr="00A20ADE">
        <w:rPr>
          <w:rFonts w:ascii="ITC Avant Garde" w:hAnsi="ITC Avant Garde"/>
          <w:i/>
          <w:color w:val="auto"/>
        </w:rPr>
        <w:t>Area</w:t>
      </w:r>
      <w:proofErr w:type="spellEnd"/>
      <w:r w:rsidRPr="00A20ADE">
        <w:rPr>
          <w:rFonts w:ascii="ITC Avant Garde" w:hAnsi="ITC Avant Garde"/>
          <w:i/>
          <w:color w:val="auto"/>
        </w:rPr>
        <w:t xml:space="preserve"> </w:t>
      </w:r>
      <w:proofErr w:type="spellStart"/>
      <w:r w:rsidRPr="00A20ADE">
        <w:rPr>
          <w:rFonts w:ascii="ITC Avant Garde" w:hAnsi="ITC Avant Garde"/>
          <w:i/>
          <w:color w:val="auto"/>
        </w:rPr>
        <w:t>Code</w:t>
      </w:r>
      <w:proofErr w:type="spellEnd"/>
      <w:r w:rsidRPr="00A20ADE">
        <w:rPr>
          <w:rFonts w:ascii="ITC Avant Garde" w:hAnsi="ITC Avant Garde"/>
          <w:i/>
          <w:color w:val="auto"/>
        </w:rPr>
        <w:t>”</w:t>
      </w:r>
      <w:r w:rsidRPr="00A20ADE">
        <w:rPr>
          <w:rFonts w:ascii="ITC Avant Garde" w:hAnsi="ITC Avant Garde"/>
          <w:color w:val="auto"/>
        </w:rPr>
        <w:t>), RAC (</w:t>
      </w:r>
      <w:r w:rsidRPr="00A20ADE">
        <w:rPr>
          <w:rFonts w:ascii="ITC Avant Garde" w:hAnsi="ITC Avant Garde"/>
          <w:i/>
          <w:color w:val="auto"/>
        </w:rPr>
        <w:t>“</w:t>
      </w:r>
      <w:proofErr w:type="spellStart"/>
      <w:r w:rsidRPr="00A20ADE">
        <w:rPr>
          <w:rFonts w:ascii="ITC Avant Garde" w:hAnsi="ITC Avant Garde"/>
          <w:i/>
          <w:color w:val="auto"/>
        </w:rPr>
        <w:t>Routing</w:t>
      </w:r>
      <w:proofErr w:type="spellEnd"/>
      <w:r w:rsidRPr="00A20ADE">
        <w:rPr>
          <w:rFonts w:ascii="ITC Avant Garde" w:hAnsi="ITC Avant Garde"/>
          <w:i/>
          <w:color w:val="auto"/>
        </w:rPr>
        <w:t xml:space="preserve"> </w:t>
      </w:r>
      <w:proofErr w:type="spellStart"/>
      <w:r w:rsidRPr="00A20ADE">
        <w:rPr>
          <w:rFonts w:ascii="ITC Avant Garde" w:hAnsi="ITC Avant Garde"/>
          <w:i/>
          <w:color w:val="auto"/>
        </w:rPr>
        <w:t>Area</w:t>
      </w:r>
      <w:proofErr w:type="spellEnd"/>
      <w:r w:rsidRPr="00A20ADE">
        <w:rPr>
          <w:rFonts w:ascii="ITC Avant Garde" w:hAnsi="ITC Avant Garde"/>
          <w:i/>
          <w:color w:val="auto"/>
        </w:rPr>
        <w:t xml:space="preserve"> </w:t>
      </w:r>
      <w:proofErr w:type="spellStart"/>
      <w:r w:rsidRPr="00A20ADE">
        <w:rPr>
          <w:rFonts w:ascii="ITC Avant Garde" w:hAnsi="ITC Avant Garde"/>
          <w:i/>
          <w:color w:val="auto"/>
        </w:rPr>
        <w:t>Code</w:t>
      </w:r>
      <w:proofErr w:type="spellEnd"/>
      <w:r w:rsidRPr="00A20ADE">
        <w:rPr>
          <w:rFonts w:ascii="ITC Avant Garde" w:hAnsi="ITC Avant Garde"/>
          <w:i/>
          <w:color w:val="auto"/>
        </w:rPr>
        <w:t>”</w:t>
      </w:r>
      <w:r w:rsidRPr="00A20ADE">
        <w:rPr>
          <w:rFonts w:ascii="ITC Avant Garde" w:hAnsi="ITC Avant Garde"/>
          <w:color w:val="auto"/>
        </w:rPr>
        <w:t>) y/o TAC (</w:t>
      </w:r>
      <w:r w:rsidRPr="00A20ADE">
        <w:rPr>
          <w:rFonts w:ascii="ITC Avant Garde" w:hAnsi="ITC Avant Garde"/>
          <w:i/>
          <w:color w:val="auto"/>
        </w:rPr>
        <w:t xml:space="preserve">“Tracking </w:t>
      </w:r>
      <w:proofErr w:type="spellStart"/>
      <w:r w:rsidRPr="00A20ADE">
        <w:rPr>
          <w:rFonts w:ascii="ITC Avant Garde" w:hAnsi="ITC Avant Garde"/>
          <w:i/>
          <w:color w:val="auto"/>
        </w:rPr>
        <w:t>Area</w:t>
      </w:r>
      <w:proofErr w:type="spellEnd"/>
      <w:r w:rsidRPr="00A20ADE">
        <w:rPr>
          <w:rFonts w:ascii="ITC Avant Garde" w:hAnsi="ITC Avant Garde"/>
          <w:i/>
          <w:color w:val="auto"/>
        </w:rPr>
        <w:t xml:space="preserve"> </w:t>
      </w:r>
      <w:proofErr w:type="spellStart"/>
      <w:r w:rsidRPr="00A20ADE">
        <w:rPr>
          <w:rFonts w:ascii="ITC Avant Garde" w:hAnsi="ITC Avant Garde"/>
          <w:i/>
          <w:color w:val="auto"/>
        </w:rPr>
        <w:t>Code</w:t>
      </w:r>
      <w:proofErr w:type="spellEnd"/>
      <w:r w:rsidRPr="00A20ADE">
        <w:rPr>
          <w:rFonts w:ascii="ITC Avant Garde" w:hAnsi="ITC Avant Garde"/>
          <w:i/>
          <w:color w:val="auto"/>
        </w:rPr>
        <w:t>”</w:t>
      </w:r>
      <w:r w:rsidRPr="00A20ADE">
        <w:rPr>
          <w:rFonts w:ascii="ITC Avant Garde" w:hAnsi="ITC Avant Garde"/>
          <w:color w:val="auto"/>
        </w:rPr>
        <w:t>) para la cobertura específica en tramos carreteros</w:t>
      </w:r>
      <w:r>
        <w:rPr>
          <w:rFonts w:ascii="ITC Avant Garde" w:hAnsi="ITC Avant Garde"/>
          <w:color w:val="auto"/>
        </w:rPr>
        <w:t>.</w:t>
      </w:r>
    </w:p>
    <w:p w14:paraId="41BDECD4" w14:textId="2E3368F1" w:rsidR="00DE3808" w:rsidRDefault="00DE3808" w:rsidP="00FB6DA8">
      <w:pPr>
        <w:spacing w:after="0" w:line="276" w:lineRule="auto"/>
        <w:ind w:left="-5" w:right="49"/>
        <w:rPr>
          <w:rFonts w:ascii="ITC Avant Garde" w:hAnsi="ITC Avant Garde"/>
          <w:color w:val="auto"/>
        </w:rPr>
      </w:pPr>
    </w:p>
    <w:p w14:paraId="0290042A" w14:textId="77777777" w:rsidR="00323A57" w:rsidRPr="00A20ADE" w:rsidRDefault="00323A57" w:rsidP="00323A57">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6F25A8C0" w14:textId="1E1EDE25" w:rsidR="00323A57" w:rsidRDefault="00323A57" w:rsidP="00323A57">
      <w:pPr>
        <w:spacing w:after="0" w:line="276" w:lineRule="auto"/>
        <w:ind w:left="-5" w:right="49"/>
        <w:rPr>
          <w:rFonts w:ascii="ITC Avant Garde" w:hAnsi="ITC Avant Garde"/>
          <w:color w:val="auto"/>
        </w:rPr>
      </w:pPr>
      <w:r>
        <w:rPr>
          <w:rFonts w:ascii="ITC Avant Garde" w:hAnsi="ITC Avant Garde"/>
          <w:color w:val="auto"/>
        </w:rPr>
        <w:t>I</w:t>
      </w:r>
      <w:r w:rsidRPr="00A20ADE">
        <w:rPr>
          <w:rFonts w:ascii="ITC Avant Garde" w:hAnsi="ITC Avant Garde"/>
          <w:color w:val="auto"/>
        </w:rPr>
        <w:t>ndica que</w:t>
      </w:r>
      <w:r>
        <w:rPr>
          <w:rFonts w:ascii="ITC Avant Garde" w:hAnsi="ITC Avant Garde"/>
          <w:color w:val="auto"/>
        </w:rPr>
        <w:t>,</w:t>
      </w:r>
      <w:r w:rsidRPr="00A20ADE">
        <w:rPr>
          <w:rFonts w:ascii="ITC Avant Garde" w:hAnsi="ITC Avant Garde"/>
          <w:color w:val="auto"/>
        </w:rPr>
        <w:t xml:space="preserve"> los concesionarios solicitantes deberían poder solicitar una tecnología o servicio en específico del que no disponen de manera desglosada en una determinada zona</w:t>
      </w:r>
      <w:r>
        <w:rPr>
          <w:rFonts w:ascii="ITC Avant Garde" w:hAnsi="ITC Avant Garde"/>
          <w:color w:val="auto"/>
        </w:rPr>
        <w:t>,</w:t>
      </w:r>
      <w:r w:rsidRPr="00A20ADE">
        <w:rPr>
          <w:rFonts w:ascii="ITC Avant Garde" w:hAnsi="ITC Avant Garde"/>
          <w:color w:val="auto"/>
        </w:rPr>
        <w:t xml:space="preserve"> a pesar de disponer de infraestructura de telecomunicaciones o cobertura de un servicio o tecnología distinta a la que demandan. </w:t>
      </w:r>
    </w:p>
    <w:p w14:paraId="213CFB2D" w14:textId="3B7CA223" w:rsidR="001F5AB8" w:rsidRDefault="001F5AB8" w:rsidP="00323A57">
      <w:pPr>
        <w:spacing w:after="0" w:line="276" w:lineRule="auto"/>
        <w:ind w:left="-5" w:right="49"/>
        <w:rPr>
          <w:rFonts w:ascii="ITC Avant Garde" w:hAnsi="ITC Avant Garde"/>
          <w:color w:val="auto"/>
        </w:rPr>
      </w:pPr>
    </w:p>
    <w:p w14:paraId="33A7D698" w14:textId="77777777" w:rsidR="001F5AB8" w:rsidRDefault="001F5AB8" w:rsidP="001F5AB8">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475E19F9" w14:textId="76E42ED2" w:rsidR="009116C7" w:rsidRDefault="009116C7" w:rsidP="009116C7">
      <w:pPr>
        <w:spacing w:after="0" w:line="276" w:lineRule="auto"/>
        <w:ind w:left="-5" w:right="49"/>
        <w:rPr>
          <w:rFonts w:ascii="ITC Avant Garde" w:hAnsi="ITC Avant Garde"/>
          <w:color w:val="auto"/>
        </w:rPr>
      </w:pPr>
      <w:r>
        <w:rPr>
          <w:rFonts w:ascii="ITC Avant Garde" w:hAnsi="ITC Avant Garde"/>
          <w:color w:val="auto"/>
        </w:rPr>
        <w:t>La Medida Vigésima Tercera de las Medidas Móviles establece que, el AEP deberá prestar el Servicio Mayorista de Usuario Visitante a los concesionarios solicitantes, exclusivamente en aquellas zonas de cobertura en las que el concesionario solicitante no cuente con infraestructura o no preste el servicio móvil.</w:t>
      </w:r>
    </w:p>
    <w:p w14:paraId="5FEBC237" w14:textId="77777777" w:rsidR="009116C7" w:rsidRDefault="009116C7" w:rsidP="001F5AB8">
      <w:pPr>
        <w:spacing w:after="0" w:line="276" w:lineRule="auto"/>
        <w:ind w:left="-5" w:right="49"/>
        <w:rPr>
          <w:rFonts w:ascii="ITC Avant Garde" w:hAnsi="ITC Avant Garde"/>
          <w:color w:val="auto"/>
        </w:rPr>
      </w:pPr>
    </w:p>
    <w:p w14:paraId="55E3E3DE" w14:textId="652E217F" w:rsidR="001F5AB8" w:rsidRDefault="009116C7" w:rsidP="001F5AB8">
      <w:pPr>
        <w:spacing w:after="0" w:line="276" w:lineRule="auto"/>
        <w:ind w:left="-5" w:right="49"/>
        <w:rPr>
          <w:rFonts w:ascii="ITC Avant Garde" w:hAnsi="ITC Avant Garde"/>
          <w:color w:val="auto"/>
        </w:rPr>
      </w:pPr>
      <w:r>
        <w:rPr>
          <w:rFonts w:ascii="ITC Avant Garde" w:hAnsi="ITC Avant Garde"/>
          <w:color w:val="auto"/>
        </w:rPr>
        <w:t>Sin embargo, l</w:t>
      </w:r>
      <w:r w:rsidR="001F5AB8" w:rsidRPr="00A20ADE">
        <w:rPr>
          <w:rFonts w:ascii="ITC Avant Garde" w:hAnsi="ITC Avant Garde"/>
          <w:color w:val="auto"/>
        </w:rPr>
        <w:t xml:space="preserve">a </w:t>
      </w:r>
      <w:r w:rsidR="001F5AB8">
        <w:rPr>
          <w:rFonts w:ascii="ITC Avant Garde" w:hAnsi="ITC Avant Garde"/>
          <w:color w:val="auto"/>
        </w:rPr>
        <w:t>O</w:t>
      </w:r>
      <w:r w:rsidR="001F5AB8" w:rsidRPr="00A20ADE">
        <w:rPr>
          <w:rFonts w:ascii="ITC Avant Garde" w:hAnsi="ITC Avant Garde"/>
          <w:color w:val="auto"/>
        </w:rPr>
        <w:t xml:space="preserve">ferta permite que el concesionario pueda utilizar la red de telecomunicaciones de Telcel como soporte en aquellas áreas donde ya brinde el servicio, tal como establece el numeral 1 del </w:t>
      </w:r>
      <w:proofErr w:type="spellStart"/>
      <w:r w:rsidR="001F5AB8" w:rsidRPr="00A20ADE">
        <w:rPr>
          <w:rFonts w:ascii="ITC Avant Garde" w:hAnsi="ITC Avant Garde"/>
          <w:color w:val="auto"/>
        </w:rPr>
        <w:t>Subanexo</w:t>
      </w:r>
      <w:proofErr w:type="spellEnd"/>
      <w:r w:rsidR="001F5AB8" w:rsidRPr="00A20ADE">
        <w:rPr>
          <w:rFonts w:ascii="ITC Avant Garde" w:hAnsi="ITC Avant Garde"/>
          <w:color w:val="auto"/>
        </w:rPr>
        <w:t xml:space="preserve"> C</w:t>
      </w:r>
      <w:r w:rsidR="001F5AB8">
        <w:rPr>
          <w:rFonts w:ascii="ITC Avant Garde" w:hAnsi="ITC Avant Garde"/>
          <w:color w:val="auto"/>
        </w:rPr>
        <w:t>.</w:t>
      </w:r>
    </w:p>
    <w:p w14:paraId="35C7E9D8" w14:textId="353E7F70" w:rsidR="00EF251D" w:rsidRDefault="00EF251D" w:rsidP="001F5AB8">
      <w:pPr>
        <w:spacing w:after="0" w:line="276" w:lineRule="auto"/>
        <w:ind w:left="-5" w:right="49"/>
        <w:rPr>
          <w:rFonts w:ascii="ITC Avant Garde" w:hAnsi="ITC Avant Garde"/>
          <w:color w:val="auto"/>
        </w:rPr>
      </w:pPr>
    </w:p>
    <w:p w14:paraId="39ABA8FB" w14:textId="58338453" w:rsidR="006C3761" w:rsidRDefault="006C3761" w:rsidP="001F5AB8">
      <w:pPr>
        <w:spacing w:after="0" w:line="276" w:lineRule="auto"/>
        <w:ind w:left="-5" w:right="49"/>
        <w:rPr>
          <w:rFonts w:ascii="ITC Avant Garde" w:hAnsi="ITC Avant Garde"/>
          <w:color w:val="auto"/>
        </w:rPr>
      </w:pPr>
      <w:r>
        <w:rPr>
          <w:rFonts w:ascii="ITC Avant Garde" w:hAnsi="ITC Avant Garde"/>
          <w:color w:val="auto"/>
        </w:rPr>
        <w:t>En tal sentido, c</w:t>
      </w:r>
      <w:r w:rsidRPr="006C3761">
        <w:rPr>
          <w:rFonts w:ascii="ITC Avant Garde" w:hAnsi="ITC Avant Garde"/>
          <w:color w:val="auto"/>
        </w:rPr>
        <w:t>uando el concesionario ya tenga infraestructura o preste el servicio móvil en una zona de cobertura, entonces éstos deberán ser considerados como servicios adicionales en cumplimiento a la Medida Vigésima Tercera de las Medidas Móviles</w:t>
      </w:r>
    </w:p>
    <w:p w14:paraId="6A3E9928" w14:textId="77777777" w:rsidR="006C3761" w:rsidRDefault="006C3761" w:rsidP="00EF251D">
      <w:pPr>
        <w:spacing w:after="0" w:line="276" w:lineRule="auto"/>
        <w:ind w:left="-5" w:right="49"/>
        <w:rPr>
          <w:rFonts w:ascii="ITC Avant Garde" w:hAnsi="ITC Avant Garde"/>
          <w:b/>
          <w:color w:val="auto"/>
          <w:u w:val="single"/>
        </w:rPr>
      </w:pPr>
    </w:p>
    <w:p w14:paraId="26005052" w14:textId="487C7919" w:rsidR="00EF251D" w:rsidRPr="00A20ADE" w:rsidRDefault="00EF251D" w:rsidP="00EF251D">
      <w:pPr>
        <w:spacing w:after="0" w:line="276" w:lineRule="auto"/>
        <w:ind w:left="-5" w:right="49"/>
        <w:rPr>
          <w:rFonts w:ascii="ITC Avant Garde" w:hAnsi="ITC Avant Garde"/>
          <w:b/>
          <w:color w:val="auto"/>
          <w:u w:val="single"/>
        </w:rPr>
      </w:pPr>
      <w:r w:rsidRPr="00A20ADE">
        <w:rPr>
          <w:rFonts w:ascii="ITC Avant Garde" w:hAnsi="ITC Avant Garde"/>
          <w:b/>
          <w:color w:val="auto"/>
          <w:u w:val="single"/>
        </w:rPr>
        <w:t>ANEXO A. Precios y Tarifas</w:t>
      </w:r>
    </w:p>
    <w:p w14:paraId="58068CAC" w14:textId="77777777" w:rsidR="00245ADB" w:rsidRDefault="00245ADB" w:rsidP="00EF251D">
      <w:pPr>
        <w:spacing w:after="0" w:line="276" w:lineRule="auto"/>
        <w:ind w:left="0" w:right="0" w:firstLine="0"/>
        <w:rPr>
          <w:rFonts w:ascii="ITC Avant Garde" w:hAnsi="ITC Avant Garde"/>
          <w:b/>
          <w:color w:val="auto"/>
        </w:rPr>
      </w:pPr>
    </w:p>
    <w:p w14:paraId="6BDF262A" w14:textId="5364AB25" w:rsidR="00EF251D" w:rsidRDefault="00EF251D" w:rsidP="00EF251D">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7235160C" w14:textId="4D6F91D3" w:rsidR="00EF251D" w:rsidRDefault="00EF251D" w:rsidP="00EF251D">
      <w:pPr>
        <w:spacing w:after="0" w:line="276" w:lineRule="auto"/>
        <w:ind w:left="-5" w:right="49"/>
        <w:rPr>
          <w:rFonts w:ascii="ITC Avant Garde" w:hAnsi="ITC Avant Garde"/>
          <w:color w:val="auto"/>
        </w:rPr>
      </w:pPr>
      <w:r>
        <w:rPr>
          <w:rFonts w:ascii="ITC Avant Garde" w:hAnsi="ITC Avant Garde"/>
          <w:color w:val="auto"/>
        </w:rPr>
        <w:t>Señala</w:t>
      </w:r>
      <w:r w:rsidRPr="00EF251D">
        <w:rPr>
          <w:rFonts w:ascii="ITC Avant Garde" w:hAnsi="ITC Avant Garde"/>
          <w:color w:val="auto"/>
        </w:rPr>
        <w:t xml:space="preserve"> que se deben establecer</w:t>
      </w:r>
      <w:r>
        <w:rPr>
          <w:rFonts w:ascii="ITC Avant Garde" w:hAnsi="ITC Avant Garde"/>
          <w:color w:val="auto"/>
        </w:rPr>
        <w:t xml:space="preserve"> </w:t>
      </w:r>
      <w:r w:rsidRPr="00EF251D">
        <w:rPr>
          <w:rFonts w:ascii="ITC Avant Garde" w:hAnsi="ITC Avant Garde"/>
          <w:color w:val="auto"/>
        </w:rPr>
        <w:t>tarifas especiales que permitan su replicabilidad</w:t>
      </w:r>
      <w:r>
        <w:rPr>
          <w:rFonts w:ascii="ITC Avant Garde" w:hAnsi="ITC Avant Garde"/>
          <w:color w:val="auto"/>
        </w:rPr>
        <w:t>;</w:t>
      </w:r>
      <w:r w:rsidRPr="00EF251D">
        <w:rPr>
          <w:rFonts w:ascii="ITC Avant Garde" w:hAnsi="ITC Avant Garde"/>
          <w:color w:val="auto"/>
        </w:rPr>
        <w:t xml:space="preserve"> </w:t>
      </w:r>
      <w:r>
        <w:rPr>
          <w:rFonts w:ascii="ITC Avant Garde" w:hAnsi="ITC Avant Garde"/>
          <w:color w:val="auto"/>
        </w:rPr>
        <w:t>además, indica</w:t>
      </w:r>
      <w:r w:rsidRPr="00EF251D">
        <w:rPr>
          <w:rFonts w:ascii="ITC Avant Garde" w:hAnsi="ITC Avant Garde"/>
          <w:color w:val="auto"/>
        </w:rPr>
        <w:t xml:space="preserve"> que </w:t>
      </w:r>
      <w:r>
        <w:rPr>
          <w:rFonts w:ascii="ITC Avant Garde" w:hAnsi="ITC Avant Garde"/>
          <w:color w:val="auto"/>
        </w:rPr>
        <w:t xml:space="preserve">deben </w:t>
      </w:r>
      <w:r w:rsidRPr="00EF251D">
        <w:rPr>
          <w:rFonts w:ascii="ITC Avant Garde" w:hAnsi="ITC Avant Garde"/>
          <w:color w:val="auto"/>
        </w:rPr>
        <w:t xml:space="preserve">incluirse esquemas de pago por capacidad y modalidades </w:t>
      </w:r>
      <w:r w:rsidRPr="00EF251D">
        <w:rPr>
          <w:rFonts w:ascii="ITC Avant Garde" w:hAnsi="ITC Avant Garde"/>
          <w:i/>
          <w:iCs/>
          <w:color w:val="auto"/>
        </w:rPr>
        <w:t>“</w:t>
      </w:r>
      <w:proofErr w:type="spellStart"/>
      <w:r w:rsidRPr="00EF251D">
        <w:rPr>
          <w:rFonts w:ascii="ITC Avant Garde" w:hAnsi="ITC Avant Garde"/>
          <w:i/>
          <w:iCs/>
          <w:color w:val="auto"/>
        </w:rPr>
        <w:t>bulk</w:t>
      </w:r>
      <w:proofErr w:type="spellEnd"/>
      <w:r w:rsidRPr="00EF251D">
        <w:rPr>
          <w:rFonts w:ascii="ITC Avant Garde" w:hAnsi="ITC Avant Garde"/>
          <w:i/>
          <w:iCs/>
          <w:color w:val="auto"/>
        </w:rPr>
        <w:t>”</w:t>
      </w:r>
      <w:r w:rsidRPr="00EF251D">
        <w:rPr>
          <w:rFonts w:ascii="ITC Avant Garde" w:hAnsi="ITC Avant Garde"/>
          <w:color w:val="auto"/>
        </w:rPr>
        <w:t xml:space="preserve"> que aseguren e incentiven el uso del servicio mayorista.</w:t>
      </w:r>
    </w:p>
    <w:p w14:paraId="4C3A2D95" w14:textId="6EF3967A" w:rsidR="00EF251D" w:rsidRDefault="00EF251D" w:rsidP="00EF251D">
      <w:pPr>
        <w:spacing w:after="0" w:line="276" w:lineRule="auto"/>
        <w:ind w:left="-5" w:right="49"/>
        <w:rPr>
          <w:rFonts w:ascii="ITC Avant Garde" w:hAnsi="ITC Avant Garde"/>
          <w:color w:val="auto"/>
        </w:rPr>
      </w:pPr>
    </w:p>
    <w:p w14:paraId="73A63D08" w14:textId="77777777" w:rsidR="00EF251D" w:rsidRPr="00A20ADE" w:rsidRDefault="00EF251D" w:rsidP="00EF251D">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4B805849" w14:textId="366BB1E4" w:rsidR="00EF251D" w:rsidRDefault="008933EC" w:rsidP="00EF251D">
      <w:pPr>
        <w:spacing w:after="0" w:line="276" w:lineRule="auto"/>
        <w:ind w:left="0" w:right="0" w:firstLine="0"/>
        <w:rPr>
          <w:rFonts w:ascii="ITC Avant Garde" w:hAnsi="ITC Avant Garde"/>
          <w:color w:val="auto"/>
        </w:rPr>
      </w:pPr>
      <w:r>
        <w:rPr>
          <w:rFonts w:ascii="ITC Avant Garde" w:hAnsi="ITC Avant Garde"/>
          <w:color w:val="auto"/>
        </w:rPr>
        <w:t>Al respecto, e</w:t>
      </w:r>
      <w:r w:rsidR="00EF251D" w:rsidRPr="00A20ADE">
        <w:rPr>
          <w:rFonts w:ascii="ITC Avant Garde" w:hAnsi="ITC Avant Garde"/>
          <w:color w:val="auto"/>
        </w:rPr>
        <w:t>n términos de la Medida Sexagésima de las Medidas Móviles, Telcel y el concesionario tienen la libertad de negociar las tarifas aplicables independientemente de las establecidas en la Oferta</w:t>
      </w:r>
      <w:r w:rsidR="00EF251D">
        <w:rPr>
          <w:rFonts w:ascii="ITC Avant Garde" w:hAnsi="ITC Avant Garde"/>
          <w:color w:val="auto"/>
        </w:rPr>
        <w:t>.</w:t>
      </w:r>
    </w:p>
    <w:p w14:paraId="63FB0980" w14:textId="6930D059" w:rsidR="00DC5524" w:rsidRDefault="00DC5524" w:rsidP="00EF251D">
      <w:pPr>
        <w:spacing w:after="0" w:line="276" w:lineRule="auto"/>
        <w:ind w:left="0" w:right="0" w:firstLine="0"/>
        <w:rPr>
          <w:rFonts w:ascii="ITC Avant Garde" w:hAnsi="ITC Avant Garde"/>
          <w:color w:val="auto"/>
        </w:rPr>
      </w:pPr>
    </w:p>
    <w:p w14:paraId="10B5D3CE" w14:textId="2170D43D" w:rsidR="006F25C7" w:rsidRDefault="00555774" w:rsidP="00EF251D">
      <w:pPr>
        <w:spacing w:after="0" w:line="276" w:lineRule="auto"/>
        <w:ind w:left="0" w:right="0" w:firstLine="0"/>
        <w:rPr>
          <w:rFonts w:ascii="ITC Avant Garde" w:hAnsi="ITC Avant Garde"/>
          <w:color w:val="auto"/>
        </w:rPr>
      </w:pPr>
      <w:r>
        <w:rPr>
          <w:rFonts w:ascii="ITC Avant Garde" w:hAnsi="ITC Avant Garde"/>
          <w:color w:val="auto"/>
        </w:rPr>
        <w:t>Sobre</w:t>
      </w:r>
      <w:r w:rsidR="006F25C7" w:rsidRPr="008933EC">
        <w:rPr>
          <w:rFonts w:ascii="ITC Avant Garde" w:hAnsi="ITC Avant Garde"/>
          <w:color w:val="auto"/>
        </w:rPr>
        <w:t xml:space="preserve"> la prueba de replicabilidad económica,</w:t>
      </w:r>
      <w:r>
        <w:rPr>
          <w:rFonts w:ascii="ITC Avant Garde" w:hAnsi="ITC Avant Garde"/>
          <w:color w:val="auto"/>
        </w:rPr>
        <w:t xml:space="preserve"> ésta excede el alcance de la Oferta.</w:t>
      </w:r>
    </w:p>
    <w:p w14:paraId="6924514B" w14:textId="1AD70966" w:rsidR="006F25C7" w:rsidRDefault="006F25C7" w:rsidP="00EF251D">
      <w:pPr>
        <w:spacing w:after="0" w:line="276" w:lineRule="auto"/>
        <w:ind w:left="0" w:right="0" w:firstLine="0"/>
        <w:rPr>
          <w:rFonts w:ascii="ITC Avant Garde" w:hAnsi="ITC Avant Garde"/>
          <w:color w:val="auto"/>
        </w:rPr>
      </w:pPr>
    </w:p>
    <w:p w14:paraId="7A826207" w14:textId="77777777" w:rsidR="00405CDF" w:rsidRDefault="00405CDF" w:rsidP="00405CDF">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76F79C8D" w14:textId="0D96FF2D" w:rsidR="00405CDF" w:rsidRDefault="00405CDF" w:rsidP="00405CDF">
      <w:pPr>
        <w:spacing w:after="0" w:line="276" w:lineRule="auto"/>
        <w:ind w:right="0"/>
        <w:rPr>
          <w:rFonts w:ascii="ITC Avant Garde" w:hAnsi="ITC Avant Garde"/>
          <w:color w:val="auto"/>
        </w:rPr>
      </w:pPr>
      <w:r w:rsidRPr="006B5E6C">
        <w:rPr>
          <w:rFonts w:ascii="ITC Avant Garde" w:hAnsi="ITC Avant Garde"/>
          <w:color w:val="auto"/>
        </w:rPr>
        <w:lastRenderedPageBreak/>
        <w:t>Menciona que se deben fijar las tarifas para los próximos años con base en las eficiencias actuales y futuras de la red del AEP, tal y como se ha hecho con los modelos de costos de interconexión para las tarifas de terminación para el periodo 2021 al 2023.</w:t>
      </w:r>
    </w:p>
    <w:p w14:paraId="74C8151F" w14:textId="77777777" w:rsidR="00A91726" w:rsidRDefault="00A91726" w:rsidP="00405CDF">
      <w:pPr>
        <w:spacing w:after="0" w:line="276" w:lineRule="auto"/>
        <w:ind w:right="0"/>
        <w:rPr>
          <w:rFonts w:ascii="ITC Avant Garde" w:hAnsi="ITC Avant Garde"/>
          <w:color w:val="auto"/>
        </w:rPr>
      </w:pPr>
    </w:p>
    <w:p w14:paraId="7E5492F7" w14:textId="77777777" w:rsidR="00A91726" w:rsidRPr="00A91726" w:rsidRDefault="00A91726" w:rsidP="00A91726">
      <w:pPr>
        <w:spacing w:after="0" w:line="276" w:lineRule="auto"/>
        <w:ind w:right="0"/>
        <w:rPr>
          <w:rFonts w:ascii="ITC Avant Garde" w:hAnsi="ITC Avant Garde"/>
          <w:color w:val="auto"/>
        </w:rPr>
      </w:pPr>
      <w:r w:rsidRPr="00A91726">
        <w:rPr>
          <w:rFonts w:ascii="ITC Avant Garde" w:hAnsi="ITC Avant Garde"/>
          <w:color w:val="auto"/>
        </w:rPr>
        <w:t>Refiere que no se ha actualizado el modelo de costos del servicio de usuario visitante desde el 2017, por lo que es necesario que se tenga una referencia anual de los costos, ya que los costos subyacentes actuales frutos de las mejores eficiencias no han sido trasladados por el AEP en sus tarifas.</w:t>
      </w:r>
    </w:p>
    <w:p w14:paraId="143DD0BA" w14:textId="77777777" w:rsidR="00405CDF" w:rsidRDefault="00405CDF" w:rsidP="00405CDF">
      <w:pPr>
        <w:spacing w:after="0" w:line="276" w:lineRule="auto"/>
        <w:ind w:right="0"/>
        <w:rPr>
          <w:rFonts w:ascii="ITC Avant Garde" w:hAnsi="ITC Avant Garde"/>
          <w:color w:val="auto"/>
        </w:rPr>
      </w:pPr>
    </w:p>
    <w:p w14:paraId="227D1AA8" w14:textId="77777777" w:rsidR="00405CDF" w:rsidRDefault="00405CDF" w:rsidP="00405CDF">
      <w:pPr>
        <w:spacing w:after="0" w:line="276" w:lineRule="auto"/>
        <w:ind w:left="0" w:right="0" w:firstLine="0"/>
        <w:rPr>
          <w:rFonts w:ascii="ITC Avant Garde" w:hAnsi="ITC Avant Garde"/>
          <w:b/>
          <w:color w:val="auto"/>
        </w:rPr>
      </w:pPr>
      <w:proofErr w:type="spellStart"/>
      <w:r>
        <w:rPr>
          <w:rFonts w:ascii="ITC Avant Garde" w:hAnsi="ITC Avant Garde"/>
          <w:b/>
          <w:color w:val="auto"/>
        </w:rPr>
        <w:t>Merkaris</w:t>
      </w:r>
      <w:proofErr w:type="spellEnd"/>
    </w:p>
    <w:p w14:paraId="34746384" w14:textId="77777777" w:rsidR="00405CDF" w:rsidRPr="00C92FDF" w:rsidRDefault="00405CDF" w:rsidP="00405CDF">
      <w:pPr>
        <w:spacing w:after="0" w:line="276" w:lineRule="auto"/>
        <w:ind w:left="-5" w:right="0"/>
        <w:rPr>
          <w:rFonts w:ascii="ITC Avant Garde" w:hAnsi="ITC Avant Garde"/>
          <w:color w:val="auto"/>
        </w:rPr>
      </w:pPr>
      <w:r w:rsidRPr="00A2782A">
        <w:rPr>
          <w:rFonts w:ascii="ITC Avant Garde" w:hAnsi="ITC Avant Garde"/>
          <w:color w:val="auto"/>
        </w:rPr>
        <w:t>Menciona que no existe una justificación técnica o econ</w:t>
      </w:r>
      <w:r>
        <w:rPr>
          <w:rFonts w:ascii="ITC Avant Garde" w:hAnsi="ITC Avant Garde"/>
          <w:color w:val="auto"/>
        </w:rPr>
        <w:t>ó</w:t>
      </w:r>
      <w:r w:rsidRPr="00A2782A">
        <w:rPr>
          <w:rFonts w:ascii="ITC Avant Garde" w:hAnsi="ITC Avant Garde"/>
          <w:color w:val="auto"/>
        </w:rPr>
        <w:t xml:space="preserve">mica para la diferencia que existe entre las tarifas de datos del servicio de </w:t>
      </w:r>
      <w:r>
        <w:rPr>
          <w:rFonts w:ascii="ITC Avant Garde" w:hAnsi="ITC Avant Garde"/>
          <w:color w:val="auto"/>
        </w:rPr>
        <w:t>usuario visitante</w:t>
      </w:r>
      <w:r w:rsidRPr="00A2782A">
        <w:rPr>
          <w:rFonts w:ascii="ITC Avant Garde" w:hAnsi="ITC Avant Garde"/>
          <w:color w:val="auto"/>
        </w:rPr>
        <w:t xml:space="preserve"> y el servicio de reventa, por lo que dichas tarifas se deberían de homologar.</w:t>
      </w:r>
    </w:p>
    <w:p w14:paraId="701A998A" w14:textId="77777777" w:rsidR="00405CDF" w:rsidRDefault="00405CDF" w:rsidP="00405CDF">
      <w:pPr>
        <w:spacing w:after="0" w:line="276" w:lineRule="auto"/>
        <w:ind w:right="0"/>
        <w:rPr>
          <w:rFonts w:ascii="ITC Avant Garde" w:hAnsi="ITC Avant Garde"/>
          <w:color w:val="auto"/>
        </w:rPr>
      </w:pPr>
    </w:p>
    <w:p w14:paraId="47813420" w14:textId="77777777" w:rsidR="00405CDF" w:rsidRPr="00A20ADE" w:rsidRDefault="00405CDF" w:rsidP="00405CDF">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42B9862B" w14:textId="766C33FA" w:rsidR="00405CDF" w:rsidRDefault="00405CDF" w:rsidP="00405CDF">
      <w:pPr>
        <w:spacing w:after="0" w:line="276" w:lineRule="auto"/>
        <w:ind w:left="0" w:right="0" w:firstLine="0"/>
        <w:rPr>
          <w:rFonts w:ascii="ITC Avant Garde" w:hAnsi="ITC Avant Garde"/>
          <w:color w:val="auto"/>
        </w:rPr>
      </w:pPr>
      <w:r>
        <w:rPr>
          <w:rFonts w:ascii="ITC Avant Garde" w:hAnsi="ITC Avant Garde"/>
          <w:color w:val="auto"/>
        </w:rPr>
        <w:t>L</w:t>
      </w:r>
      <w:r w:rsidRPr="00A20ADE">
        <w:rPr>
          <w:rFonts w:ascii="ITC Avant Garde" w:hAnsi="ITC Avant Garde"/>
          <w:color w:val="auto"/>
        </w:rPr>
        <w:t>a definición de los esquemas tarifarios y los lineamientos metodológicos para la elaboración del modelo de costos utilizado por el Instituto para determinar las tarifas en caso de desacuerdos excede el alcance de la presente consulta. Además, en términos de la Medida Sexagésima de las Medidas Móviles, Telcel y el concesionario tienen la libertad de negociar las tarifas aplicables</w:t>
      </w:r>
      <w:r w:rsidR="00CB16CC">
        <w:rPr>
          <w:rFonts w:ascii="ITC Avant Garde" w:hAnsi="ITC Avant Garde"/>
          <w:color w:val="auto"/>
        </w:rPr>
        <w:t xml:space="preserve"> y en caso de desacuerdo podrán solicitar la intervención del Instituto, esto</w:t>
      </w:r>
      <w:r w:rsidRPr="00A20ADE">
        <w:rPr>
          <w:rFonts w:ascii="ITC Avant Garde" w:hAnsi="ITC Avant Garde"/>
          <w:color w:val="auto"/>
        </w:rPr>
        <w:t xml:space="preserve"> independientemente de las establecidas en la Oferta</w:t>
      </w:r>
      <w:r>
        <w:rPr>
          <w:rFonts w:ascii="ITC Avant Garde" w:hAnsi="ITC Avant Garde"/>
          <w:color w:val="auto"/>
        </w:rPr>
        <w:t>.</w:t>
      </w:r>
    </w:p>
    <w:p w14:paraId="32B23AB1" w14:textId="77777777" w:rsidR="00405CDF" w:rsidRDefault="00405CDF" w:rsidP="00EF251D">
      <w:pPr>
        <w:spacing w:after="0" w:line="276" w:lineRule="auto"/>
        <w:ind w:left="0" w:right="0" w:firstLine="0"/>
        <w:rPr>
          <w:rFonts w:ascii="ITC Avant Garde" w:hAnsi="ITC Avant Garde"/>
          <w:color w:val="auto"/>
        </w:rPr>
      </w:pPr>
    </w:p>
    <w:p w14:paraId="6E667C71" w14:textId="7681450C" w:rsidR="00DC5524" w:rsidRPr="00A91726" w:rsidRDefault="00DC5524" w:rsidP="00DC5524">
      <w:pPr>
        <w:spacing w:after="0" w:line="276" w:lineRule="auto"/>
        <w:ind w:left="-5" w:right="49"/>
        <w:rPr>
          <w:rFonts w:ascii="ITC Avant Garde" w:hAnsi="ITC Avant Garde"/>
          <w:b/>
          <w:color w:val="auto"/>
        </w:rPr>
      </w:pPr>
      <w:r w:rsidRPr="00A91726">
        <w:rPr>
          <w:rFonts w:ascii="ITC Avant Garde" w:hAnsi="ITC Avant Garde"/>
          <w:b/>
          <w:color w:val="auto"/>
        </w:rPr>
        <w:t>Comentarios Generales</w:t>
      </w:r>
    </w:p>
    <w:p w14:paraId="5842DDC9" w14:textId="7C00F551" w:rsidR="006F25C7" w:rsidRDefault="006F25C7" w:rsidP="00DC5524">
      <w:pPr>
        <w:spacing w:after="0" w:line="276" w:lineRule="auto"/>
        <w:ind w:left="-5" w:right="49"/>
        <w:rPr>
          <w:rFonts w:ascii="ITC Avant Garde" w:hAnsi="ITC Avant Garde"/>
          <w:b/>
          <w:color w:val="auto"/>
          <w:u w:val="single"/>
        </w:rPr>
      </w:pPr>
    </w:p>
    <w:p w14:paraId="4BD0103F" w14:textId="7FDC0D1D" w:rsidR="00A91726" w:rsidRDefault="00A91726" w:rsidP="00DC5524">
      <w:pPr>
        <w:spacing w:after="0" w:line="276" w:lineRule="auto"/>
        <w:ind w:left="-5" w:right="49"/>
        <w:rPr>
          <w:rFonts w:ascii="ITC Avant Garde" w:hAnsi="ITC Avant Garde"/>
          <w:b/>
          <w:color w:val="auto"/>
          <w:u w:val="single"/>
        </w:rPr>
      </w:pPr>
      <w:r>
        <w:rPr>
          <w:rFonts w:ascii="ITC Avant Garde" w:hAnsi="ITC Avant Garde"/>
          <w:b/>
          <w:color w:val="auto"/>
          <w:u w:val="single"/>
        </w:rPr>
        <w:t>Prestación del Servicio Mayorista de Usuario Visitante</w:t>
      </w:r>
    </w:p>
    <w:p w14:paraId="0E9E2A07" w14:textId="77777777" w:rsidR="00A91726" w:rsidRPr="00A20ADE" w:rsidRDefault="00A91726" w:rsidP="00DC5524">
      <w:pPr>
        <w:spacing w:after="0" w:line="276" w:lineRule="auto"/>
        <w:ind w:left="-5" w:right="49"/>
        <w:rPr>
          <w:rFonts w:ascii="ITC Avant Garde" w:hAnsi="ITC Avant Garde"/>
          <w:b/>
          <w:color w:val="auto"/>
          <w:u w:val="single"/>
        </w:rPr>
      </w:pPr>
    </w:p>
    <w:p w14:paraId="6CC0FA6D" w14:textId="77777777" w:rsidR="00DC5524" w:rsidRDefault="00DC5524" w:rsidP="00DC5524">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3B116B55" w14:textId="1AE6DEA3" w:rsidR="00DC5524" w:rsidRDefault="00DC5524" w:rsidP="00DC5524">
      <w:pPr>
        <w:spacing w:after="0" w:line="276" w:lineRule="auto"/>
        <w:ind w:left="-5" w:right="49"/>
        <w:rPr>
          <w:rFonts w:ascii="ITC Avant Garde" w:hAnsi="ITC Avant Garde"/>
          <w:color w:val="auto"/>
        </w:rPr>
      </w:pPr>
      <w:r w:rsidRPr="00A20ADE">
        <w:rPr>
          <w:rFonts w:ascii="ITC Avant Garde" w:hAnsi="ITC Avant Garde"/>
          <w:color w:val="auto"/>
        </w:rPr>
        <w:t>Indica que</w:t>
      </w:r>
      <w:r>
        <w:rPr>
          <w:rFonts w:ascii="ITC Avant Garde" w:hAnsi="ITC Avant Garde"/>
          <w:color w:val="auto"/>
        </w:rPr>
        <w:t>,</w:t>
      </w:r>
      <w:r w:rsidRPr="00A20ADE">
        <w:rPr>
          <w:rFonts w:ascii="ITC Avant Garde" w:hAnsi="ITC Avant Garde"/>
          <w:color w:val="auto"/>
        </w:rPr>
        <w:t xml:space="preserve"> se debe extender </w:t>
      </w:r>
      <w:r w:rsidR="008A4508">
        <w:rPr>
          <w:rFonts w:ascii="ITC Avant Garde" w:hAnsi="ITC Avant Garde"/>
          <w:color w:val="auto"/>
        </w:rPr>
        <w:t xml:space="preserve">indefinidamente la </w:t>
      </w:r>
      <w:r w:rsidRPr="00A20ADE">
        <w:rPr>
          <w:rFonts w:ascii="ITC Avant Garde" w:hAnsi="ITC Avant Garde"/>
          <w:color w:val="auto"/>
        </w:rPr>
        <w:t>temporalidad de la obligación de prestar el servicio de Usuario Visitante mientras persista la figura de la preponderancia</w:t>
      </w:r>
      <w:r>
        <w:rPr>
          <w:rFonts w:ascii="ITC Avant Garde" w:hAnsi="ITC Avant Garde"/>
          <w:color w:val="auto"/>
        </w:rPr>
        <w:t>,</w:t>
      </w:r>
      <w:r w:rsidRPr="00A20ADE">
        <w:rPr>
          <w:rFonts w:ascii="ITC Avant Garde" w:hAnsi="ITC Avant Garde"/>
          <w:color w:val="auto"/>
        </w:rPr>
        <w:t xml:space="preserve"> y hasta en tanto no existan condiciones de competencia en el sector de telecomunicaciones. </w:t>
      </w:r>
    </w:p>
    <w:p w14:paraId="0E96B2ED" w14:textId="465AF9A0" w:rsidR="00F857CA" w:rsidRDefault="00F857CA" w:rsidP="00DC5524">
      <w:pPr>
        <w:spacing w:after="0" w:line="276" w:lineRule="auto"/>
        <w:ind w:left="-5" w:right="49"/>
        <w:rPr>
          <w:rFonts w:ascii="ITC Avant Garde" w:hAnsi="ITC Avant Garde"/>
          <w:color w:val="auto"/>
        </w:rPr>
      </w:pPr>
    </w:p>
    <w:p w14:paraId="1DB0F732" w14:textId="77777777" w:rsidR="00F857CA" w:rsidRDefault="00F857CA" w:rsidP="00F857CA">
      <w:pPr>
        <w:spacing w:after="0" w:line="276" w:lineRule="auto"/>
        <w:ind w:left="0" w:right="0" w:firstLine="0"/>
        <w:rPr>
          <w:rFonts w:ascii="ITC Avant Garde" w:hAnsi="ITC Avant Garde"/>
          <w:b/>
          <w:color w:val="auto"/>
        </w:rPr>
      </w:pPr>
      <w:r>
        <w:rPr>
          <w:rFonts w:ascii="ITC Avant Garde" w:hAnsi="ITC Avant Garde"/>
          <w:b/>
          <w:color w:val="auto"/>
        </w:rPr>
        <w:t>CANIETI</w:t>
      </w:r>
    </w:p>
    <w:p w14:paraId="29080C90" w14:textId="31F729B4" w:rsidR="00F857CA" w:rsidRDefault="00F857CA" w:rsidP="00F857CA">
      <w:pPr>
        <w:spacing w:after="0" w:line="276" w:lineRule="auto"/>
        <w:ind w:left="0" w:right="0" w:firstLine="0"/>
        <w:rPr>
          <w:rFonts w:ascii="ITC Avant Garde" w:hAnsi="ITC Avant Garde"/>
          <w:color w:val="auto"/>
        </w:rPr>
      </w:pPr>
      <w:r w:rsidRPr="00F857CA">
        <w:rPr>
          <w:rFonts w:ascii="ITC Avant Garde" w:hAnsi="ITC Avant Garde"/>
          <w:color w:val="auto"/>
        </w:rPr>
        <w:t>Solicita prolongar la duración máxima del servicio más allá de un plazo espec</w:t>
      </w:r>
      <w:r w:rsidR="00142913">
        <w:rPr>
          <w:rFonts w:ascii="ITC Avant Garde" w:hAnsi="ITC Avant Garde"/>
          <w:color w:val="auto"/>
        </w:rPr>
        <w:t>í</w:t>
      </w:r>
      <w:r w:rsidRPr="00F857CA">
        <w:rPr>
          <w:rFonts w:ascii="ITC Avant Garde" w:hAnsi="ITC Avant Garde"/>
          <w:color w:val="auto"/>
        </w:rPr>
        <w:t xml:space="preserve">fico, debido a que la temporalidad de prestar el servicio de </w:t>
      </w:r>
      <w:r>
        <w:rPr>
          <w:rFonts w:ascii="ITC Avant Garde" w:hAnsi="ITC Avant Garde"/>
          <w:color w:val="auto"/>
        </w:rPr>
        <w:t>usuario visitante</w:t>
      </w:r>
      <w:r w:rsidRPr="00F857CA">
        <w:rPr>
          <w:rFonts w:ascii="ITC Avant Garde" w:hAnsi="ITC Avant Garde"/>
          <w:color w:val="auto"/>
        </w:rPr>
        <w:t xml:space="preserve"> debe extenderse por un plazo indefinido mientras persista la figura de preponderancia y hasta</w:t>
      </w:r>
      <w:r>
        <w:rPr>
          <w:rFonts w:ascii="ITC Avant Garde" w:hAnsi="ITC Avant Garde"/>
          <w:color w:val="auto"/>
        </w:rPr>
        <w:t xml:space="preserve"> </w:t>
      </w:r>
      <w:r w:rsidRPr="00F857CA">
        <w:rPr>
          <w:rFonts w:ascii="ITC Avant Garde" w:hAnsi="ITC Avant Garde"/>
          <w:color w:val="auto"/>
        </w:rPr>
        <w:t>en tanto no existan condiciones de competencia efectiva en el sector de telecomunicaciones</w:t>
      </w:r>
      <w:r>
        <w:rPr>
          <w:rFonts w:ascii="ITC Avant Garde" w:hAnsi="ITC Avant Garde"/>
          <w:color w:val="auto"/>
        </w:rPr>
        <w:t>.</w:t>
      </w:r>
    </w:p>
    <w:p w14:paraId="68BDB001" w14:textId="501613F1" w:rsidR="00C12298" w:rsidRDefault="00C12298" w:rsidP="00F857CA">
      <w:pPr>
        <w:spacing w:after="0" w:line="276" w:lineRule="auto"/>
        <w:ind w:left="0" w:right="0" w:firstLine="0"/>
        <w:rPr>
          <w:rFonts w:ascii="ITC Avant Garde" w:hAnsi="ITC Avant Garde"/>
          <w:color w:val="auto"/>
        </w:rPr>
      </w:pPr>
    </w:p>
    <w:p w14:paraId="1D63D78D" w14:textId="77777777" w:rsidR="00C12298" w:rsidRDefault="00C12298" w:rsidP="00C12298">
      <w:pPr>
        <w:spacing w:after="0" w:line="276" w:lineRule="auto"/>
        <w:ind w:left="0" w:right="0" w:firstLine="0"/>
        <w:rPr>
          <w:rFonts w:ascii="ITC Avant Garde" w:hAnsi="ITC Avant Garde"/>
          <w:b/>
          <w:color w:val="auto"/>
        </w:rPr>
      </w:pPr>
      <w:proofErr w:type="spellStart"/>
      <w:r>
        <w:rPr>
          <w:rFonts w:ascii="ITC Avant Garde" w:hAnsi="ITC Avant Garde"/>
          <w:b/>
          <w:color w:val="auto"/>
        </w:rPr>
        <w:lastRenderedPageBreak/>
        <w:t>Merkaris</w:t>
      </w:r>
      <w:proofErr w:type="spellEnd"/>
    </w:p>
    <w:p w14:paraId="1A50FD7D" w14:textId="2C7B8962" w:rsidR="00C12298" w:rsidRDefault="00C12298" w:rsidP="00C12298">
      <w:pPr>
        <w:spacing w:after="0" w:line="276" w:lineRule="auto"/>
        <w:ind w:left="0" w:right="0" w:firstLine="0"/>
        <w:rPr>
          <w:rFonts w:ascii="ITC Avant Garde" w:hAnsi="ITC Avant Garde"/>
          <w:color w:val="auto"/>
        </w:rPr>
      </w:pPr>
      <w:r w:rsidRPr="00F857CA">
        <w:rPr>
          <w:rFonts w:ascii="ITC Avant Garde" w:hAnsi="ITC Avant Garde"/>
          <w:color w:val="auto"/>
        </w:rPr>
        <w:t>Solicita prolongar la duración máxima del servicio más allá de un plazo espec</w:t>
      </w:r>
      <w:r w:rsidR="00142913">
        <w:rPr>
          <w:rFonts w:ascii="ITC Avant Garde" w:hAnsi="ITC Avant Garde"/>
          <w:color w:val="auto"/>
        </w:rPr>
        <w:t>í</w:t>
      </w:r>
      <w:r w:rsidRPr="00F857CA">
        <w:rPr>
          <w:rFonts w:ascii="ITC Avant Garde" w:hAnsi="ITC Avant Garde"/>
          <w:color w:val="auto"/>
        </w:rPr>
        <w:t>fico,</w:t>
      </w:r>
      <w:r>
        <w:rPr>
          <w:rFonts w:ascii="ITC Avant Garde" w:hAnsi="ITC Avant Garde"/>
          <w:color w:val="auto"/>
        </w:rPr>
        <w:t xml:space="preserve"> </w:t>
      </w:r>
      <w:r w:rsidRPr="00C12298">
        <w:rPr>
          <w:rFonts w:ascii="ITC Avant Garde" w:hAnsi="ITC Avant Garde"/>
          <w:color w:val="auto"/>
        </w:rPr>
        <w:t>al menos hasta que se elimine la elevada concentración del mercado móvil</w:t>
      </w:r>
      <w:r>
        <w:rPr>
          <w:rFonts w:ascii="ITC Avant Garde" w:hAnsi="ITC Avant Garde"/>
          <w:color w:val="auto"/>
        </w:rPr>
        <w:t>.</w:t>
      </w:r>
    </w:p>
    <w:p w14:paraId="2320DC1E" w14:textId="3EA93AC6" w:rsidR="00DC5524" w:rsidRDefault="00DC5524" w:rsidP="00DC5524">
      <w:pPr>
        <w:spacing w:after="0" w:line="276" w:lineRule="auto"/>
        <w:ind w:left="-5" w:right="49"/>
        <w:rPr>
          <w:rFonts w:ascii="ITC Avant Garde" w:hAnsi="ITC Avant Garde"/>
          <w:color w:val="auto"/>
        </w:rPr>
      </w:pPr>
    </w:p>
    <w:p w14:paraId="2FE90AD0" w14:textId="77777777" w:rsidR="00DC5524" w:rsidRPr="00A20ADE" w:rsidRDefault="00DC5524" w:rsidP="00DC5524">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11DC277E" w14:textId="1A524959" w:rsidR="00A47A49" w:rsidRPr="008933EC" w:rsidRDefault="008933EC" w:rsidP="008933EC">
      <w:pPr>
        <w:spacing w:after="0" w:line="276" w:lineRule="auto"/>
        <w:ind w:left="0" w:right="0" w:firstLine="0"/>
        <w:rPr>
          <w:rFonts w:ascii="ITC Avant Garde" w:hAnsi="ITC Avant Garde"/>
          <w:color w:val="auto"/>
        </w:rPr>
      </w:pPr>
      <w:r>
        <w:rPr>
          <w:rFonts w:ascii="ITC Avant Garde" w:hAnsi="ITC Avant Garde"/>
          <w:color w:val="auto"/>
        </w:rPr>
        <w:t>L</w:t>
      </w:r>
      <w:r w:rsidRPr="008933EC">
        <w:rPr>
          <w:rFonts w:ascii="ITC Avant Garde" w:hAnsi="ITC Avant Garde"/>
          <w:color w:val="auto"/>
        </w:rPr>
        <w:t>a modificación a lo establecido en las Medidas Móviles con relación a la obligación del AEP de prestar el Servicio Mayorista de Usuario Visitante, así como lo relacionado con la figura de preponderancia queda fuera del alcance de la presente consulta.</w:t>
      </w:r>
    </w:p>
    <w:p w14:paraId="4D072E9A" w14:textId="37F015B6" w:rsidR="008933EC" w:rsidRDefault="008933EC" w:rsidP="00DC5524">
      <w:pPr>
        <w:spacing w:after="0" w:line="276" w:lineRule="auto"/>
        <w:ind w:left="-5" w:right="49"/>
        <w:rPr>
          <w:rFonts w:ascii="ITC Avant Garde" w:hAnsi="ITC Avant Garde"/>
          <w:color w:val="auto"/>
        </w:rPr>
      </w:pPr>
    </w:p>
    <w:p w14:paraId="107DAA7B" w14:textId="21205D44" w:rsidR="00A91726" w:rsidRPr="00A91726" w:rsidRDefault="00A91726" w:rsidP="00DC5524">
      <w:pPr>
        <w:spacing w:after="0" w:line="276" w:lineRule="auto"/>
        <w:ind w:left="-5" w:right="49"/>
        <w:rPr>
          <w:rFonts w:ascii="ITC Avant Garde" w:hAnsi="ITC Avant Garde"/>
          <w:b/>
          <w:color w:val="auto"/>
          <w:u w:val="single"/>
        </w:rPr>
      </w:pPr>
      <w:r w:rsidRPr="00A91726">
        <w:rPr>
          <w:rFonts w:ascii="ITC Avant Garde" w:hAnsi="ITC Avant Garde"/>
          <w:b/>
          <w:color w:val="auto"/>
          <w:u w:val="single"/>
        </w:rPr>
        <w:t>Indicadores de desempeño</w:t>
      </w:r>
    </w:p>
    <w:p w14:paraId="254CD70A" w14:textId="77777777" w:rsidR="00A91726" w:rsidRDefault="00A91726" w:rsidP="00DC5524">
      <w:pPr>
        <w:spacing w:after="0" w:line="276" w:lineRule="auto"/>
        <w:ind w:left="-5" w:right="49"/>
        <w:rPr>
          <w:rFonts w:ascii="ITC Avant Garde" w:hAnsi="ITC Avant Garde"/>
          <w:color w:val="auto"/>
        </w:rPr>
      </w:pPr>
    </w:p>
    <w:p w14:paraId="7432CF59" w14:textId="77777777" w:rsidR="00A47A49" w:rsidRDefault="00A47A49" w:rsidP="00A47A49">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0D33B2D3" w14:textId="7BB7CD06" w:rsidR="00A47A49" w:rsidRDefault="00A47A49" w:rsidP="00A47A49">
      <w:pPr>
        <w:spacing w:after="0" w:line="276" w:lineRule="auto"/>
        <w:ind w:right="0"/>
        <w:rPr>
          <w:rFonts w:ascii="ITC Avant Garde" w:hAnsi="ITC Avant Garde"/>
          <w:color w:val="auto"/>
        </w:rPr>
      </w:pPr>
      <w:r>
        <w:rPr>
          <w:rFonts w:ascii="ITC Avant Garde" w:hAnsi="ITC Avant Garde"/>
          <w:color w:val="auto"/>
        </w:rPr>
        <w:t>R</w:t>
      </w:r>
      <w:r w:rsidRPr="00A20ADE">
        <w:rPr>
          <w:rFonts w:ascii="ITC Avant Garde" w:hAnsi="ITC Avant Garde"/>
          <w:color w:val="auto"/>
        </w:rPr>
        <w:t>efiere que no existe garantía de que se esté cumpliendo con el principio de equivalencia de insumos en el servicio de usuario visitante, ya que este servicio no tiene establecido indicadores de desempeño que permitan verificar que el AEP no está priorizando su operación frente a los concesionarios</w:t>
      </w:r>
      <w:r>
        <w:rPr>
          <w:rFonts w:ascii="ITC Avant Garde" w:hAnsi="ITC Avant Garde"/>
          <w:color w:val="auto"/>
        </w:rPr>
        <w:t>.</w:t>
      </w:r>
    </w:p>
    <w:p w14:paraId="554148D4" w14:textId="4493CB5A" w:rsidR="00A47A49" w:rsidRDefault="00A47A49" w:rsidP="00A47A49">
      <w:pPr>
        <w:spacing w:after="0" w:line="276" w:lineRule="auto"/>
        <w:ind w:right="0"/>
        <w:rPr>
          <w:rFonts w:ascii="ITC Avant Garde" w:hAnsi="ITC Avant Garde"/>
          <w:color w:val="auto"/>
        </w:rPr>
      </w:pPr>
    </w:p>
    <w:p w14:paraId="44912F43" w14:textId="77777777" w:rsidR="00A47A49" w:rsidRPr="00A20ADE" w:rsidRDefault="00A47A49" w:rsidP="00A47A49">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2149191A" w14:textId="6682A296" w:rsidR="00F55CE7" w:rsidRDefault="00F55CE7" w:rsidP="00F55CE7">
      <w:pPr>
        <w:spacing w:after="0" w:line="276" w:lineRule="auto"/>
        <w:ind w:right="0"/>
        <w:rPr>
          <w:rFonts w:ascii="ITC Avant Garde" w:hAnsi="ITC Avant Garde"/>
          <w:color w:val="auto"/>
        </w:rPr>
      </w:pPr>
      <w:r w:rsidRPr="00A20ADE">
        <w:rPr>
          <w:rFonts w:ascii="ITC Avant Garde" w:hAnsi="ITC Avant Garde"/>
          <w:color w:val="auto"/>
        </w:rPr>
        <w:t>Los indicadores clave de desempeño relacionados con la provisión de los servicios mayoristas regulados se establecen en el “</w:t>
      </w:r>
      <w:r w:rsidR="008933EC" w:rsidRPr="008933EC">
        <w:rPr>
          <w:rFonts w:ascii="ITC Avant Garde" w:hAnsi="ITC Avant Garde"/>
          <w:i/>
          <w:iCs/>
          <w:color w:val="auto"/>
        </w:rPr>
        <w:t>Acuerdo mediante el cual el Pleno del Instituto Federal de Telecomunicaciones emite los Indicadores Clave de Desempeño aplicables al agente económico preponderante en el sector de telecomunicaciones y demás sujetos obligados a las medidas de preponderancia</w:t>
      </w:r>
      <w:r w:rsidRPr="00A20ADE">
        <w:rPr>
          <w:rFonts w:ascii="ITC Avant Garde" w:hAnsi="ITC Avant Garde"/>
          <w:color w:val="auto"/>
        </w:rPr>
        <w:t>”</w:t>
      </w:r>
      <w:r w:rsidR="00405CDF">
        <w:rPr>
          <w:rFonts w:ascii="ITC Avant Garde" w:hAnsi="ITC Avant Garde"/>
          <w:color w:val="auto"/>
        </w:rPr>
        <w:t>,</w:t>
      </w:r>
      <w:r w:rsidRPr="00A20ADE">
        <w:rPr>
          <w:rFonts w:ascii="ITC Avant Garde" w:hAnsi="ITC Avant Garde"/>
          <w:color w:val="auto"/>
        </w:rPr>
        <w:t xml:space="preserve"> por lo que </w:t>
      </w:r>
      <w:r w:rsidR="00405CDF" w:rsidRPr="00A20ADE">
        <w:rPr>
          <w:rFonts w:ascii="ITC Avant Garde" w:hAnsi="ITC Avant Garde"/>
          <w:color w:val="auto"/>
        </w:rPr>
        <w:t>la definición de dichos indicadores excede</w:t>
      </w:r>
      <w:r w:rsidRPr="00A20ADE">
        <w:rPr>
          <w:rFonts w:ascii="ITC Avant Garde" w:hAnsi="ITC Avant Garde"/>
          <w:color w:val="auto"/>
        </w:rPr>
        <w:t xml:space="preserve"> el alcance de la </w:t>
      </w:r>
      <w:r w:rsidR="00405CDF">
        <w:rPr>
          <w:rFonts w:ascii="ITC Avant Garde" w:hAnsi="ITC Avant Garde"/>
          <w:color w:val="auto"/>
        </w:rPr>
        <w:t xml:space="preserve">presente </w:t>
      </w:r>
      <w:r w:rsidRPr="00A20ADE">
        <w:rPr>
          <w:rFonts w:ascii="ITC Avant Garde" w:hAnsi="ITC Avant Garde"/>
          <w:color w:val="auto"/>
        </w:rPr>
        <w:t>consulta pública.</w:t>
      </w:r>
    </w:p>
    <w:p w14:paraId="40D9AD3D" w14:textId="44CC6089" w:rsidR="006B5E6C" w:rsidRDefault="006B5E6C" w:rsidP="00F55CE7">
      <w:pPr>
        <w:spacing w:after="0" w:line="276" w:lineRule="auto"/>
        <w:ind w:right="0"/>
        <w:rPr>
          <w:rFonts w:ascii="ITC Avant Garde" w:hAnsi="ITC Avant Garde"/>
          <w:color w:val="auto"/>
        </w:rPr>
      </w:pPr>
    </w:p>
    <w:p w14:paraId="0532D972" w14:textId="0BC1A3E5" w:rsidR="00A91726" w:rsidRPr="00A91726" w:rsidRDefault="00A91726" w:rsidP="00A91726">
      <w:pPr>
        <w:spacing w:after="0" w:line="276" w:lineRule="auto"/>
        <w:ind w:left="0" w:right="0" w:firstLine="0"/>
        <w:rPr>
          <w:rFonts w:ascii="ITC Avant Garde" w:hAnsi="ITC Avant Garde"/>
          <w:b/>
          <w:color w:val="auto"/>
          <w:u w:val="single"/>
        </w:rPr>
      </w:pPr>
      <w:r w:rsidRPr="00A91726">
        <w:rPr>
          <w:rFonts w:ascii="ITC Avant Garde" w:hAnsi="ITC Avant Garde"/>
          <w:b/>
          <w:color w:val="auto"/>
          <w:u w:val="single"/>
        </w:rPr>
        <w:t>Replicabilidad</w:t>
      </w:r>
    </w:p>
    <w:p w14:paraId="7D45A644" w14:textId="77777777" w:rsidR="00A91726" w:rsidRDefault="00A91726" w:rsidP="00F55CE7">
      <w:pPr>
        <w:spacing w:after="0" w:line="276" w:lineRule="auto"/>
        <w:ind w:right="0"/>
        <w:rPr>
          <w:rFonts w:ascii="ITC Avant Garde" w:hAnsi="ITC Avant Garde"/>
          <w:color w:val="auto"/>
        </w:rPr>
      </w:pPr>
    </w:p>
    <w:p w14:paraId="2C0DC440" w14:textId="77777777" w:rsidR="0083021B" w:rsidRDefault="0083021B" w:rsidP="0083021B">
      <w:pPr>
        <w:spacing w:after="0" w:line="276" w:lineRule="auto"/>
        <w:ind w:left="0" w:right="0" w:firstLine="0"/>
        <w:rPr>
          <w:rFonts w:ascii="ITC Avant Garde" w:hAnsi="ITC Avant Garde"/>
          <w:b/>
          <w:color w:val="auto"/>
        </w:rPr>
      </w:pPr>
      <w:r w:rsidRPr="00A20ADE">
        <w:rPr>
          <w:rFonts w:ascii="ITC Avant Garde" w:hAnsi="ITC Avant Garde"/>
          <w:b/>
          <w:color w:val="auto"/>
        </w:rPr>
        <w:t>Telefónica</w:t>
      </w:r>
    </w:p>
    <w:p w14:paraId="798E30BD" w14:textId="0A80547D" w:rsidR="00E85AA1" w:rsidRDefault="00E85AA1" w:rsidP="006B5E6C">
      <w:pPr>
        <w:spacing w:after="0" w:line="276" w:lineRule="auto"/>
        <w:ind w:left="0" w:right="0" w:firstLine="0"/>
        <w:rPr>
          <w:rFonts w:ascii="ITC Avant Garde" w:hAnsi="ITC Avant Garde"/>
          <w:color w:val="auto"/>
        </w:rPr>
      </w:pPr>
      <w:r w:rsidRPr="00E85AA1">
        <w:rPr>
          <w:rFonts w:ascii="ITC Avant Garde" w:hAnsi="ITC Avant Garde"/>
          <w:color w:val="auto"/>
        </w:rPr>
        <w:t xml:space="preserve">Señala que se deben modificar las medidas relacionadas con la replicabilidad técnica y económica para asegurar que los </w:t>
      </w:r>
      <w:r>
        <w:rPr>
          <w:rFonts w:ascii="ITC Avant Garde" w:hAnsi="ITC Avant Garde"/>
          <w:color w:val="auto"/>
        </w:rPr>
        <w:t>concesionarios</w:t>
      </w:r>
      <w:r w:rsidRPr="00E85AA1">
        <w:rPr>
          <w:rFonts w:ascii="ITC Avant Garde" w:hAnsi="ITC Avant Garde"/>
          <w:color w:val="auto"/>
        </w:rPr>
        <w:t xml:space="preserve"> pueden replicar los servicios y ofertas del AEP mediante el uso del servicio de Usuario Visitante.</w:t>
      </w:r>
    </w:p>
    <w:p w14:paraId="7836035E" w14:textId="4B2C23AF" w:rsidR="00092050" w:rsidRDefault="00092050" w:rsidP="006B5E6C">
      <w:pPr>
        <w:spacing w:after="0" w:line="276" w:lineRule="auto"/>
        <w:ind w:left="0" w:right="0" w:firstLine="0"/>
        <w:rPr>
          <w:rFonts w:ascii="ITC Avant Garde" w:hAnsi="ITC Avant Garde"/>
          <w:color w:val="auto"/>
        </w:rPr>
      </w:pPr>
    </w:p>
    <w:p w14:paraId="7FAFFE61" w14:textId="77777777" w:rsidR="00092050" w:rsidRDefault="00092050" w:rsidP="00092050">
      <w:pPr>
        <w:spacing w:after="0" w:line="276" w:lineRule="auto"/>
        <w:ind w:left="0" w:right="0" w:firstLine="0"/>
        <w:rPr>
          <w:rFonts w:ascii="ITC Avant Garde" w:hAnsi="ITC Avant Garde"/>
          <w:b/>
          <w:color w:val="auto"/>
        </w:rPr>
      </w:pPr>
      <w:r>
        <w:rPr>
          <w:rFonts w:ascii="ITC Avant Garde" w:hAnsi="ITC Avant Garde"/>
          <w:b/>
          <w:color w:val="auto"/>
        </w:rPr>
        <w:t>CANIETI</w:t>
      </w:r>
    </w:p>
    <w:p w14:paraId="1DBED822" w14:textId="0F40082E" w:rsidR="00092050" w:rsidRDefault="00092050" w:rsidP="00092050">
      <w:pPr>
        <w:spacing w:after="0" w:line="276" w:lineRule="auto"/>
        <w:ind w:left="0" w:right="0" w:firstLine="0"/>
        <w:rPr>
          <w:rFonts w:ascii="ITC Avant Garde" w:hAnsi="ITC Avant Garde"/>
          <w:color w:val="auto"/>
        </w:rPr>
      </w:pPr>
      <w:r w:rsidRPr="00092050">
        <w:rPr>
          <w:rFonts w:ascii="ITC Avant Garde" w:hAnsi="ITC Avant Garde"/>
          <w:color w:val="auto"/>
        </w:rPr>
        <w:t xml:space="preserve">Señala que se debe asegurar la replicabilidad económica en el servicio de </w:t>
      </w:r>
      <w:r>
        <w:rPr>
          <w:rFonts w:ascii="ITC Avant Garde" w:hAnsi="ITC Avant Garde"/>
          <w:color w:val="auto"/>
        </w:rPr>
        <w:t>usuario visitante para asegurar que</w:t>
      </w:r>
      <w:r w:rsidRPr="00092050">
        <w:rPr>
          <w:rFonts w:ascii="ITC Avant Garde" w:hAnsi="ITC Avant Garde"/>
          <w:color w:val="auto"/>
        </w:rPr>
        <w:t xml:space="preserve"> sea posible competir eficazmente con el AEP.</w:t>
      </w:r>
    </w:p>
    <w:p w14:paraId="26867D6B" w14:textId="108627E6" w:rsidR="00C92FDF" w:rsidRDefault="00C92FDF" w:rsidP="00092050">
      <w:pPr>
        <w:spacing w:after="0" w:line="276" w:lineRule="auto"/>
        <w:ind w:left="0" w:right="0" w:firstLine="0"/>
        <w:rPr>
          <w:rFonts w:ascii="ITC Avant Garde" w:hAnsi="ITC Avant Garde"/>
          <w:color w:val="auto"/>
        </w:rPr>
      </w:pPr>
    </w:p>
    <w:p w14:paraId="187BA50A" w14:textId="77777777" w:rsidR="00C92FDF" w:rsidRDefault="00C92FDF" w:rsidP="00C92FDF">
      <w:pPr>
        <w:spacing w:after="0" w:line="276" w:lineRule="auto"/>
        <w:ind w:left="0" w:right="0" w:firstLine="0"/>
        <w:rPr>
          <w:rFonts w:ascii="ITC Avant Garde" w:hAnsi="ITC Avant Garde"/>
          <w:b/>
          <w:color w:val="auto"/>
        </w:rPr>
      </w:pPr>
      <w:proofErr w:type="spellStart"/>
      <w:r>
        <w:rPr>
          <w:rFonts w:ascii="ITC Avant Garde" w:hAnsi="ITC Avant Garde"/>
          <w:b/>
          <w:color w:val="auto"/>
        </w:rPr>
        <w:t>Merkaris</w:t>
      </w:r>
      <w:proofErr w:type="spellEnd"/>
    </w:p>
    <w:p w14:paraId="5A77253B" w14:textId="77777777" w:rsidR="00C92FDF" w:rsidRPr="00C92FDF" w:rsidRDefault="00C92FDF" w:rsidP="00C92FDF">
      <w:pPr>
        <w:spacing w:after="0" w:line="276" w:lineRule="auto"/>
        <w:ind w:left="-5" w:right="0"/>
        <w:rPr>
          <w:rFonts w:ascii="ITC Avant Garde" w:hAnsi="ITC Avant Garde"/>
          <w:color w:val="auto"/>
        </w:rPr>
      </w:pPr>
      <w:r>
        <w:rPr>
          <w:rFonts w:ascii="ITC Avant Garde" w:hAnsi="ITC Avant Garde"/>
          <w:color w:val="auto"/>
        </w:rPr>
        <w:t>Señala</w:t>
      </w:r>
      <w:r w:rsidRPr="00C92FDF">
        <w:rPr>
          <w:rFonts w:ascii="ITC Avant Garde" w:hAnsi="ITC Avant Garde"/>
          <w:color w:val="auto"/>
        </w:rPr>
        <w:t xml:space="preserve"> que las pruebas de replicabilidad deber</w:t>
      </w:r>
      <w:r>
        <w:rPr>
          <w:rFonts w:ascii="ITC Avant Garde" w:hAnsi="ITC Avant Garde"/>
          <w:color w:val="auto"/>
        </w:rPr>
        <w:t>í</w:t>
      </w:r>
      <w:r w:rsidRPr="00C92FDF">
        <w:rPr>
          <w:rFonts w:ascii="ITC Avant Garde" w:hAnsi="ITC Avant Garde"/>
          <w:color w:val="auto"/>
        </w:rPr>
        <w:t>an llevarse a cabo de manera individual a cada uno de los planes tarifarios y no mediante una cartera de oferta</w:t>
      </w:r>
      <w:r>
        <w:rPr>
          <w:rFonts w:ascii="ITC Avant Garde" w:hAnsi="ITC Avant Garde"/>
          <w:color w:val="auto"/>
        </w:rPr>
        <w:t>s</w:t>
      </w:r>
      <w:r w:rsidRPr="00C92FDF">
        <w:rPr>
          <w:rFonts w:ascii="ITC Avant Garde" w:hAnsi="ITC Avant Garde"/>
          <w:color w:val="auto"/>
        </w:rPr>
        <w:t xml:space="preserve"> tarifarias</w:t>
      </w:r>
      <w:r>
        <w:rPr>
          <w:rFonts w:ascii="ITC Avant Garde" w:hAnsi="ITC Avant Garde"/>
          <w:color w:val="auto"/>
        </w:rPr>
        <w:t>. Además,</w:t>
      </w:r>
      <w:r w:rsidRPr="00C92FDF">
        <w:rPr>
          <w:rFonts w:ascii="ITC Avant Garde" w:hAnsi="ITC Avant Garde"/>
          <w:color w:val="auto"/>
        </w:rPr>
        <w:t xml:space="preserve"> </w:t>
      </w:r>
      <w:r>
        <w:rPr>
          <w:rFonts w:ascii="ITC Avant Garde" w:hAnsi="ITC Avant Garde"/>
          <w:color w:val="auto"/>
        </w:rPr>
        <w:t>indica</w:t>
      </w:r>
      <w:r w:rsidRPr="00C92FDF">
        <w:rPr>
          <w:rFonts w:ascii="ITC Avant Garde" w:hAnsi="ITC Avant Garde"/>
          <w:color w:val="auto"/>
        </w:rPr>
        <w:t xml:space="preserve"> que dichas pruebas deben realizarse </w:t>
      </w:r>
      <w:proofErr w:type="spellStart"/>
      <w:r w:rsidRPr="00C92FDF">
        <w:rPr>
          <w:rFonts w:ascii="ITC Avant Garde" w:hAnsi="ITC Avant Garde"/>
          <w:color w:val="auto"/>
        </w:rPr>
        <w:t>ex-ante</w:t>
      </w:r>
      <w:proofErr w:type="spellEnd"/>
      <w:r w:rsidRPr="00C92FDF">
        <w:rPr>
          <w:rFonts w:ascii="ITC Avant Garde" w:hAnsi="ITC Avant Garde"/>
          <w:color w:val="auto"/>
        </w:rPr>
        <w:t xml:space="preserve"> y no </w:t>
      </w:r>
      <w:proofErr w:type="spellStart"/>
      <w:r w:rsidRPr="00C92FDF">
        <w:rPr>
          <w:rFonts w:ascii="ITC Avant Garde" w:hAnsi="ITC Avant Garde"/>
          <w:color w:val="auto"/>
        </w:rPr>
        <w:t>ex-post</w:t>
      </w:r>
      <w:proofErr w:type="spellEnd"/>
      <w:r w:rsidRPr="00C92FDF">
        <w:rPr>
          <w:rFonts w:ascii="ITC Avant Garde" w:hAnsi="ITC Avant Garde"/>
          <w:color w:val="auto"/>
        </w:rPr>
        <w:t xml:space="preserve"> a su aplicación, ya que la metodología utilizada por el Instituto no es capaz de </w:t>
      </w:r>
      <w:r w:rsidRPr="00C92FDF">
        <w:rPr>
          <w:rFonts w:ascii="ITC Avant Garde" w:hAnsi="ITC Avant Garde"/>
          <w:color w:val="auto"/>
        </w:rPr>
        <w:lastRenderedPageBreak/>
        <w:t>identificar la práctica del AEP de utilizar un plan tarifario que estrangula márgenes para captar o retener suscriptores.</w:t>
      </w:r>
    </w:p>
    <w:p w14:paraId="349F86F1" w14:textId="6708A829" w:rsidR="00E85AA1" w:rsidRDefault="00E85AA1" w:rsidP="006B5E6C">
      <w:pPr>
        <w:spacing w:after="0" w:line="276" w:lineRule="auto"/>
        <w:ind w:left="0" w:right="0" w:firstLine="0"/>
        <w:rPr>
          <w:rFonts w:ascii="ITC Avant Garde" w:hAnsi="ITC Avant Garde"/>
          <w:color w:val="auto"/>
        </w:rPr>
      </w:pPr>
    </w:p>
    <w:p w14:paraId="67828A58" w14:textId="77777777" w:rsidR="00E85AA1" w:rsidRPr="00A20ADE" w:rsidRDefault="00E85AA1" w:rsidP="00E85AA1">
      <w:pPr>
        <w:spacing w:after="0" w:line="276" w:lineRule="auto"/>
        <w:ind w:left="0" w:right="0" w:firstLine="0"/>
        <w:rPr>
          <w:rFonts w:ascii="ITC Avant Garde" w:hAnsi="ITC Avant Garde"/>
          <w:b/>
          <w:color w:val="auto"/>
        </w:rPr>
      </w:pPr>
      <w:r w:rsidRPr="00A20ADE">
        <w:rPr>
          <w:rFonts w:ascii="ITC Avant Garde" w:hAnsi="ITC Avant Garde"/>
          <w:b/>
          <w:color w:val="auto"/>
        </w:rPr>
        <w:t xml:space="preserve">Consideraciones del Instituto </w:t>
      </w:r>
    </w:p>
    <w:p w14:paraId="72078FFC" w14:textId="76476F4A" w:rsidR="00E85AA1" w:rsidRPr="00A20ADE" w:rsidRDefault="00E85AA1" w:rsidP="00E85AA1">
      <w:pPr>
        <w:spacing w:after="0" w:line="276" w:lineRule="auto"/>
        <w:ind w:right="0"/>
        <w:rPr>
          <w:rFonts w:ascii="ITC Avant Garde" w:hAnsi="ITC Avant Garde"/>
          <w:color w:val="auto"/>
        </w:rPr>
      </w:pPr>
      <w:r>
        <w:rPr>
          <w:rFonts w:ascii="ITC Avant Garde" w:hAnsi="ITC Avant Garde"/>
          <w:color w:val="auto"/>
        </w:rPr>
        <w:t>R</w:t>
      </w:r>
      <w:r w:rsidRPr="00A20ADE">
        <w:rPr>
          <w:rFonts w:ascii="ITC Avant Garde" w:hAnsi="ITC Avant Garde"/>
          <w:color w:val="auto"/>
        </w:rPr>
        <w:t>especto a la replicabilidad técnica, se indica que la disposición Cuarta del Anexo Único del Acuerdo de Replicabilidad Técnica</w:t>
      </w:r>
      <w:r w:rsidRPr="00A20ADE">
        <w:rPr>
          <w:rStyle w:val="Refdenotaalpie"/>
          <w:rFonts w:ascii="ITC Avant Garde" w:hAnsi="ITC Avant Garde"/>
          <w:color w:val="auto"/>
        </w:rPr>
        <w:footnoteReference w:id="2"/>
      </w:r>
      <w:r w:rsidRPr="00A20ADE">
        <w:rPr>
          <w:rFonts w:ascii="ITC Avant Garde" w:hAnsi="ITC Avant Garde"/>
          <w:color w:val="auto"/>
        </w:rPr>
        <w:t xml:space="preserve"> no considera a la Oferta de Usuario Visitante para la acreditación de </w:t>
      </w:r>
      <w:r w:rsidR="00072F66">
        <w:rPr>
          <w:rFonts w:ascii="ITC Avant Garde" w:hAnsi="ITC Avant Garde"/>
          <w:color w:val="auto"/>
        </w:rPr>
        <w:t>ésta</w:t>
      </w:r>
      <w:r>
        <w:rPr>
          <w:rFonts w:ascii="ITC Avant Garde" w:hAnsi="ITC Avant Garde"/>
          <w:color w:val="auto"/>
        </w:rPr>
        <w:t>.</w:t>
      </w:r>
    </w:p>
    <w:p w14:paraId="272BB4E1" w14:textId="77777777" w:rsidR="00E85AA1" w:rsidRPr="00A20ADE" w:rsidRDefault="00E85AA1" w:rsidP="00E85AA1">
      <w:pPr>
        <w:spacing w:after="0" w:line="276" w:lineRule="auto"/>
        <w:ind w:left="0" w:right="0" w:firstLine="0"/>
        <w:rPr>
          <w:rFonts w:ascii="ITC Avant Garde" w:hAnsi="ITC Avant Garde"/>
          <w:color w:val="FF0000"/>
        </w:rPr>
      </w:pPr>
    </w:p>
    <w:p w14:paraId="1D06F082" w14:textId="1A0B2EC7" w:rsidR="00DE3808" w:rsidRPr="00072F66" w:rsidRDefault="00E85AA1" w:rsidP="00C92FDF">
      <w:pPr>
        <w:spacing w:after="0" w:line="276" w:lineRule="auto"/>
        <w:ind w:left="-5" w:right="0"/>
        <w:rPr>
          <w:rFonts w:ascii="ITC Avant Garde" w:hAnsi="ITC Avant Garde"/>
          <w:color w:val="auto"/>
        </w:rPr>
      </w:pPr>
      <w:r w:rsidRPr="00A20ADE">
        <w:rPr>
          <w:rFonts w:ascii="ITC Avant Garde" w:hAnsi="ITC Avant Garde"/>
          <w:color w:val="auto"/>
        </w:rPr>
        <w:t>Por lo referente a la prueba de replicabilidad económica, se señala que la Medida Sexagésima Cuarta de las Medidas Móviles no considera la Oferta de Referencia para la prestación del Se</w:t>
      </w:r>
      <w:r w:rsidRPr="00A20ADE">
        <w:rPr>
          <w:rFonts w:ascii="ITC Avant Garde" w:hAnsi="ITC Avant Garde"/>
        </w:rPr>
        <w:t>rvicio Mayorista de Usuario Visitante como referencia para realizar la validación de replicabilidad económica.</w:t>
      </w:r>
      <w:r w:rsidR="00A91726">
        <w:rPr>
          <w:rFonts w:ascii="ITC Avant Garde" w:hAnsi="ITC Avant Garde"/>
        </w:rPr>
        <w:t xml:space="preserve"> Además, la modificación de las Medidas Móviles excede el alcance del presente proceso.</w:t>
      </w:r>
    </w:p>
    <w:p w14:paraId="0E542EB1" w14:textId="77777777" w:rsidR="00DE3808" w:rsidRPr="00072F66" w:rsidRDefault="00DE3808" w:rsidP="00C92FDF">
      <w:pPr>
        <w:spacing w:after="0" w:line="276" w:lineRule="auto"/>
        <w:ind w:left="-5" w:right="0"/>
        <w:rPr>
          <w:rFonts w:ascii="ITC Avant Garde" w:hAnsi="ITC Avant Garde"/>
          <w:color w:val="auto"/>
        </w:rPr>
      </w:pPr>
    </w:p>
    <w:p w14:paraId="6093083C" w14:textId="77777777" w:rsidR="00DE3808" w:rsidRPr="00072F66" w:rsidRDefault="00DE3808" w:rsidP="00C92FDF">
      <w:pPr>
        <w:spacing w:after="0" w:line="276" w:lineRule="auto"/>
        <w:ind w:left="-5" w:right="0"/>
        <w:rPr>
          <w:rFonts w:ascii="ITC Avant Garde" w:hAnsi="ITC Avant Garde"/>
          <w:color w:val="auto"/>
        </w:rPr>
      </w:pPr>
    </w:p>
    <w:p w14:paraId="42351009" w14:textId="77777777" w:rsidR="00FB6DA8" w:rsidRPr="00072F66" w:rsidRDefault="00FB6DA8" w:rsidP="00C92FDF">
      <w:pPr>
        <w:spacing w:after="0" w:line="276" w:lineRule="auto"/>
        <w:ind w:left="-5" w:right="0"/>
        <w:rPr>
          <w:rFonts w:ascii="ITC Avant Garde" w:hAnsi="ITC Avant Garde"/>
          <w:color w:val="auto"/>
        </w:rPr>
      </w:pPr>
    </w:p>
    <w:p w14:paraId="1D71F31A" w14:textId="77777777" w:rsidR="00037836" w:rsidRPr="00072F66" w:rsidRDefault="00037836" w:rsidP="00C92FDF">
      <w:pPr>
        <w:spacing w:after="0" w:line="276" w:lineRule="auto"/>
        <w:ind w:left="-5" w:right="0"/>
        <w:rPr>
          <w:rFonts w:ascii="ITC Avant Garde" w:hAnsi="ITC Avant Garde"/>
          <w:color w:val="auto"/>
        </w:rPr>
      </w:pPr>
    </w:p>
    <w:p w14:paraId="73A88264" w14:textId="77777777" w:rsidR="00F5006D" w:rsidRPr="00072F66" w:rsidRDefault="00F5006D" w:rsidP="00C92FDF">
      <w:pPr>
        <w:spacing w:after="0" w:line="276" w:lineRule="auto"/>
        <w:ind w:left="-5" w:right="0"/>
        <w:rPr>
          <w:rFonts w:ascii="ITC Avant Garde" w:hAnsi="ITC Avant Garde"/>
          <w:color w:val="auto"/>
        </w:rPr>
      </w:pPr>
    </w:p>
    <w:p w14:paraId="3FA344BD" w14:textId="7590EF55" w:rsidR="00F5006D" w:rsidRPr="00C92FDF" w:rsidRDefault="00F5006D" w:rsidP="00C92FDF">
      <w:pPr>
        <w:spacing w:after="0" w:line="276" w:lineRule="auto"/>
        <w:ind w:left="-5" w:right="0"/>
        <w:rPr>
          <w:rFonts w:ascii="ITC Avant Garde" w:hAnsi="ITC Avant Garde"/>
          <w:color w:val="auto"/>
        </w:rPr>
      </w:pPr>
    </w:p>
    <w:p w14:paraId="543A8690" w14:textId="644937B9" w:rsidR="00F5006D" w:rsidRPr="00072F66" w:rsidRDefault="00F5006D" w:rsidP="00A20ADE">
      <w:pPr>
        <w:spacing w:after="0" w:line="276" w:lineRule="auto"/>
        <w:ind w:left="0" w:right="0" w:firstLine="0"/>
        <w:rPr>
          <w:rFonts w:ascii="ITC Avant Garde" w:hAnsi="ITC Avant Garde"/>
          <w:b/>
          <w:color w:val="auto"/>
        </w:rPr>
      </w:pPr>
    </w:p>
    <w:p w14:paraId="67EBA63F" w14:textId="77777777" w:rsidR="00F5006D" w:rsidRPr="00072F66" w:rsidRDefault="00F5006D" w:rsidP="00A20ADE">
      <w:pPr>
        <w:spacing w:after="0" w:line="276" w:lineRule="auto"/>
        <w:ind w:left="0" w:right="0" w:firstLine="0"/>
        <w:rPr>
          <w:rFonts w:ascii="ITC Avant Garde" w:hAnsi="ITC Avant Garde"/>
          <w:b/>
          <w:color w:val="auto"/>
        </w:rPr>
      </w:pPr>
    </w:p>
    <w:p w14:paraId="77690EEF" w14:textId="77777777" w:rsidR="00B00EF3" w:rsidRPr="00072F66" w:rsidRDefault="00B00EF3" w:rsidP="00B00EF3">
      <w:pPr>
        <w:spacing w:after="0" w:line="276" w:lineRule="auto"/>
        <w:ind w:left="-5" w:right="49"/>
        <w:rPr>
          <w:rFonts w:ascii="ITC Avant Garde" w:hAnsi="ITC Avant Garde"/>
          <w:color w:val="auto"/>
        </w:rPr>
      </w:pPr>
    </w:p>
    <w:sectPr w:rsidR="00B00EF3" w:rsidRPr="00072F66" w:rsidSect="006B068D">
      <w:footerReference w:type="default" r:id="rId9"/>
      <w:pgSz w:w="12240" w:h="15840"/>
      <w:pgMar w:top="1417" w:right="160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8C69F" w14:textId="77777777" w:rsidR="00632CB6" w:rsidRDefault="00632CB6" w:rsidP="00493685">
      <w:pPr>
        <w:spacing w:after="0" w:line="240" w:lineRule="auto"/>
      </w:pPr>
      <w:r>
        <w:separator/>
      </w:r>
    </w:p>
  </w:endnote>
  <w:endnote w:type="continuationSeparator" w:id="0">
    <w:p w14:paraId="31F4F565" w14:textId="77777777" w:rsidR="00632CB6" w:rsidRDefault="00632CB6" w:rsidP="0049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 Garde">
    <w:altName w:val="Century Gothic"/>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927181"/>
      <w:docPartObj>
        <w:docPartGallery w:val="Page Numbers (Bottom of Page)"/>
        <w:docPartUnique/>
      </w:docPartObj>
    </w:sdtPr>
    <w:sdtEndPr/>
    <w:sdtContent>
      <w:p w14:paraId="2C1FCB72" w14:textId="77ABC85F" w:rsidR="00571517" w:rsidRDefault="00571517">
        <w:pPr>
          <w:pStyle w:val="Piedepgina"/>
          <w:jc w:val="right"/>
        </w:pPr>
        <w:r>
          <w:fldChar w:fldCharType="begin"/>
        </w:r>
        <w:r>
          <w:instrText>PAGE   \* MERGEFORMAT</w:instrText>
        </w:r>
        <w:r>
          <w:fldChar w:fldCharType="separate"/>
        </w:r>
        <w:r w:rsidR="00347968" w:rsidRPr="00347968">
          <w:rPr>
            <w:noProof/>
            <w:lang w:val="es-ES"/>
          </w:rPr>
          <w:t>5</w:t>
        </w:r>
        <w:r>
          <w:fldChar w:fldCharType="end"/>
        </w:r>
      </w:p>
    </w:sdtContent>
  </w:sdt>
  <w:p w14:paraId="17CF8DEA" w14:textId="77777777" w:rsidR="00571517" w:rsidRDefault="005715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BB97" w14:textId="77777777" w:rsidR="00632CB6" w:rsidRDefault="00632CB6" w:rsidP="00493685">
      <w:pPr>
        <w:spacing w:after="0" w:line="240" w:lineRule="auto"/>
      </w:pPr>
      <w:r>
        <w:separator/>
      </w:r>
    </w:p>
  </w:footnote>
  <w:footnote w:type="continuationSeparator" w:id="0">
    <w:p w14:paraId="1512B519" w14:textId="77777777" w:rsidR="00632CB6" w:rsidRDefault="00632CB6" w:rsidP="00493685">
      <w:pPr>
        <w:spacing w:after="0" w:line="240" w:lineRule="auto"/>
      </w:pPr>
      <w:r>
        <w:continuationSeparator/>
      </w:r>
    </w:p>
  </w:footnote>
  <w:footnote w:id="1">
    <w:p w14:paraId="43D111A3" w14:textId="6D305A01" w:rsidR="004B2D33" w:rsidRPr="004B2D33" w:rsidRDefault="004B2D33" w:rsidP="00555774">
      <w:pPr>
        <w:pStyle w:val="Ttulo1"/>
        <w:ind w:left="0" w:firstLine="0"/>
        <w:jc w:val="both"/>
      </w:pPr>
      <w:r>
        <w:rPr>
          <w:rStyle w:val="Refdenotaalpie"/>
        </w:rPr>
        <w:footnoteRef/>
      </w:r>
      <w:r>
        <w:t xml:space="preserve"> </w:t>
      </w:r>
      <w:r w:rsidRPr="00D15A93">
        <w:rPr>
          <w:rFonts w:ascii="ITC Avant Garde" w:hAnsi="ITC Avant Garde"/>
          <w:i/>
          <w:sz w:val="16"/>
          <w:szCs w:val="16"/>
        </w:rPr>
        <w:t>“ACUERDO MEDIANTE EL CUAL EL PLENO DEL INSTITUTO FEDERAL DE TELECOMUNICACIONES EMITE LOS ELEMENTOS A ANALIZAR PARA CORROBORAR LA REPLICABILIDAD TÉCNICA DE LAS OFERTAS MINORISTAS DEL AGENTE ECONÓMICO PREPONDERANTE EN EL SECTOR DE TELECOMUNICACIONES A QUE REFIEREN LAS MEDIDAS SEPTUAGÉSIMA SÉPTIMA DEL ANEXO 1, SEXAGÉSIMA SEXTA DEL ANEXO 2 Y CUADRAGÉSIMA OCTAVA DEL ANEXO 3 DE LA RESOLUCIÓN DE FECHA 27 DE FEBRERO DE 2017 APROBADA MEDIANTE ACUERDO P/IFT/EXT/270217/119”</w:t>
      </w:r>
      <w:r w:rsidRPr="00D15A93">
        <w:rPr>
          <w:rFonts w:ascii="ITC Avant Garde" w:hAnsi="ITC Avant Garde"/>
          <w:sz w:val="16"/>
          <w:szCs w:val="16"/>
        </w:rPr>
        <w:t>, aprobado mediante Acuerdo P/IFT/120917/550.</w:t>
      </w:r>
    </w:p>
  </w:footnote>
  <w:footnote w:id="2">
    <w:p w14:paraId="6B26CC0F" w14:textId="72FF54F4" w:rsidR="00E85AA1" w:rsidRPr="001D4D08" w:rsidRDefault="00E85AA1" w:rsidP="00A91726">
      <w:pPr>
        <w:pStyle w:val="Ttulo1"/>
        <w:jc w:val="both"/>
      </w:pPr>
      <w:r w:rsidRPr="001D4D08">
        <w:rPr>
          <w:rStyle w:val="Refdenotaalpie"/>
          <w:rFonts w:ascii="ITC Avant Garde" w:hAnsi="ITC Avant Garde"/>
          <w:sz w:val="16"/>
          <w:szCs w:val="16"/>
        </w:rPr>
        <w:footnoteRef/>
      </w:r>
      <w:r>
        <w:t xml:space="preserve"> </w:t>
      </w:r>
      <w:r w:rsidRPr="00D15A93">
        <w:rPr>
          <w:rFonts w:ascii="ITC Avant Garde" w:hAnsi="ITC Avant Garde"/>
          <w:i/>
          <w:sz w:val="16"/>
          <w:szCs w:val="16"/>
        </w:rPr>
        <w:t>“ACUERDO MEDIANTE EL CUAL EL PLENO DEL INSTITUTO FEDERAL DE TELECOMUNICACIONES EMITE LOS ELEMENTOS A ANALIZAR PARA CORROBORAR LA REPLICABILIDAD TÉCNICA DE LAS OFERTAS MINORISTAS DEL AGENTE ECONÓMICO PREPONDERANTE EN EL SECTOR DE TELECOMUNICACIONES A QUE REFIEREN LAS MEDIDAS SEPTUAGÉSIMA SÉPTIMA DEL ANEXO 1, SEXAGÉSIMA SEXTA DEL ANEXO 2 Y CUADRAGÉSIMA OCTAVA DEL ANEXO 3 DE LA RESOLUCIÓN DE FECHA 27 DE FEBRERO DE 2017 APROBADA MEDIANTE ACUERDO P/IFT/EXT/270217/119”</w:t>
      </w:r>
      <w:r w:rsidRPr="00D15A93">
        <w:rPr>
          <w:rFonts w:ascii="ITC Avant Garde" w:hAnsi="ITC Avant Garde"/>
          <w:sz w:val="16"/>
          <w:szCs w:val="16"/>
        </w:rPr>
        <w:t>, aprobado mediante Acuerdo P/IFT/120917/550.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1BA3160"/>
    <w:lvl w:ilvl="0">
      <w:start w:val="1"/>
      <w:numFmt w:val="bullet"/>
      <w:pStyle w:val="Listaconvietas"/>
      <w:lvlText w:val=""/>
      <w:lvlJc w:val="left"/>
      <w:pPr>
        <w:ind w:left="8506" w:hanging="360"/>
      </w:pPr>
      <w:rPr>
        <w:rFonts w:ascii="Symbol" w:hAnsi="Symbol" w:hint="default"/>
        <w:b w:val="0"/>
        <w:i w:val="0"/>
        <w:sz w:val="20"/>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E63E9"/>
    <w:multiLevelType w:val="hybridMultilevel"/>
    <w:tmpl w:val="140A0EC4"/>
    <w:lvl w:ilvl="0" w:tplc="B90A6DA0">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3" w15:restartNumberingAfterBreak="0">
    <w:nsid w:val="07806A84"/>
    <w:multiLevelType w:val="hybridMultilevel"/>
    <w:tmpl w:val="D5606206"/>
    <w:lvl w:ilvl="0" w:tplc="0930F07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AF603A5"/>
    <w:multiLevelType w:val="hybridMultilevel"/>
    <w:tmpl w:val="C0342D52"/>
    <w:lvl w:ilvl="0" w:tplc="374A897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D8D7154"/>
    <w:multiLevelType w:val="multilevel"/>
    <w:tmpl w:val="419C7916"/>
    <w:lvl w:ilvl="0">
      <w:start w:val="1"/>
      <w:numFmt w:val="decimal"/>
      <w:lvlText w:val="%1."/>
      <w:lvlJc w:val="left"/>
      <w:pPr>
        <w:ind w:left="720" w:hanging="360"/>
      </w:pPr>
      <w:rPr>
        <w:rFonts w:hint="default"/>
        <w:b/>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EB0782A"/>
    <w:multiLevelType w:val="hybridMultilevel"/>
    <w:tmpl w:val="720807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F3FBD"/>
    <w:multiLevelType w:val="hybridMultilevel"/>
    <w:tmpl w:val="53EAA3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1A61741"/>
    <w:multiLevelType w:val="hybridMultilevel"/>
    <w:tmpl w:val="90126C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7E9416C"/>
    <w:multiLevelType w:val="multilevel"/>
    <w:tmpl w:val="12EC62D2"/>
    <w:lvl w:ilvl="0">
      <w:start w:val="5"/>
      <w:numFmt w:val="decimal"/>
      <w:lvlText w:val="%1."/>
      <w:lvlJc w:val="left"/>
      <w:pPr>
        <w:ind w:left="1350" w:hanging="360"/>
      </w:pPr>
      <w:rPr>
        <w:rFonts w:eastAsia="Times New Roman" w:hint="default"/>
        <w:b/>
        <w:color w:val="000000"/>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10" w15:restartNumberingAfterBreak="0">
    <w:nsid w:val="43E03D25"/>
    <w:multiLevelType w:val="hybridMultilevel"/>
    <w:tmpl w:val="EA9610FA"/>
    <w:lvl w:ilvl="0" w:tplc="53287B9C">
      <w:start w:val="3"/>
      <w:numFmt w:val="lowerLetter"/>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F07648"/>
    <w:multiLevelType w:val="hybridMultilevel"/>
    <w:tmpl w:val="17DA67A8"/>
    <w:lvl w:ilvl="0" w:tplc="D7240C52">
      <w:start w:val="1"/>
      <w:numFmt w:val="decimal"/>
      <w:lvlText w:val="%1."/>
      <w:lvlJc w:val="left"/>
      <w:pPr>
        <w:ind w:left="917" w:hanging="360"/>
      </w:pPr>
      <w:rPr>
        <w:rFonts w:hint="default"/>
      </w:rPr>
    </w:lvl>
    <w:lvl w:ilvl="1" w:tplc="080A0019" w:tentative="1">
      <w:start w:val="1"/>
      <w:numFmt w:val="lowerLetter"/>
      <w:lvlText w:val="%2."/>
      <w:lvlJc w:val="left"/>
      <w:pPr>
        <w:ind w:left="1637" w:hanging="360"/>
      </w:pPr>
    </w:lvl>
    <w:lvl w:ilvl="2" w:tplc="080A001B" w:tentative="1">
      <w:start w:val="1"/>
      <w:numFmt w:val="lowerRoman"/>
      <w:lvlText w:val="%3."/>
      <w:lvlJc w:val="right"/>
      <w:pPr>
        <w:ind w:left="2357" w:hanging="180"/>
      </w:pPr>
    </w:lvl>
    <w:lvl w:ilvl="3" w:tplc="080A000F" w:tentative="1">
      <w:start w:val="1"/>
      <w:numFmt w:val="decimal"/>
      <w:lvlText w:val="%4."/>
      <w:lvlJc w:val="left"/>
      <w:pPr>
        <w:ind w:left="3077" w:hanging="360"/>
      </w:pPr>
    </w:lvl>
    <w:lvl w:ilvl="4" w:tplc="080A0019" w:tentative="1">
      <w:start w:val="1"/>
      <w:numFmt w:val="lowerLetter"/>
      <w:lvlText w:val="%5."/>
      <w:lvlJc w:val="left"/>
      <w:pPr>
        <w:ind w:left="3797" w:hanging="360"/>
      </w:pPr>
    </w:lvl>
    <w:lvl w:ilvl="5" w:tplc="080A001B" w:tentative="1">
      <w:start w:val="1"/>
      <w:numFmt w:val="lowerRoman"/>
      <w:lvlText w:val="%6."/>
      <w:lvlJc w:val="right"/>
      <w:pPr>
        <w:ind w:left="4517" w:hanging="180"/>
      </w:pPr>
    </w:lvl>
    <w:lvl w:ilvl="6" w:tplc="080A000F" w:tentative="1">
      <w:start w:val="1"/>
      <w:numFmt w:val="decimal"/>
      <w:lvlText w:val="%7."/>
      <w:lvlJc w:val="left"/>
      <w:pPr>
        <w:ind w:left="5237" w:hanging="360"/>
      </w:pPr>
    </w:lvl>
    <w:lvl w:ilvl="7" w:tplc="080A0019" w:tentative="1">
      <w:start w:val="1"/>
      <w:numFmt w:val="lowerLetter"/>
      <w:lvlText w:val="%8."/>
      <w:lvlJc w:val="left"/>
      <w:pPr>
        <w:ind w:left="5957" w:hanging="360"/>
      </w:pPr>
    </w:lvl>
    <w:lvl w:ilvl="8" w:tplc="080A001B" w:tentative="1">
      <w:start w:val="1"/>
      <w:numFmt w:val="lowerRoman"/>
      <w:lvlText w:val="%9."/>
      <w:lvlJc w:val="right"/>
      <w:pPr>
        <w:ind w:left="6677" w:hanging="180"/>
      </w:pPr>
    </w:lvl>
  </w:abstractNum>
  <w:abstractNum w:abstractNumId="12" w15:restartNumberingAfterBreak="0">
    <w:nsid w:val="55630A5C"/>
    <w:multiLevelType w:val="multilevel"/>
    <w:tmpl w:val="07768C44"/>
    <w:lvl w:ilvl="0">
      <w:start w:val="1"/>
      <w:numFmt w:val="decimal"/>
      <w:lvlText w:val="%1"/>
      <w:lvlJc w:val="left"/>
      <w:pPr>
        <w:ind w:left="480" w:hanging="480"/>
      </w:pPr>
      <w:rPr>
        <w:rFonts w:hint="default"/>
      </w:rPr>
    </w:lvl>
    <w:lvl w:ilvl="1">
      <w:start w:val="5"/>
      <w:numFmt w:val="decimal"/>
      <w:lvlText w:val="%1.%2"/>
      <w:lvlJc w:val="left"/>
      <w:pPr>
        <w:ind w:left="906"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F97515"/>
    <w:multiLevelType w:val="hybridMultilevel"/>
    <w:tmpl w:val="53EAA3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9124C12"/>
    <w:multiLevelType w:val="hybridMultilevel"/>
    <w:tmpl w:val="0F847D2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34804BD"/>
    <w:multiLevelType w:val="multilevel"/>
    <w:tmpl w:val="1C1A79CA"/>
    <w:lvl w:ilvl="0">
      <w:start w:val="2"/>
      <w:numFmt w:val="decimal"/>
      <w:lvlText w:val="%1."/>
      <w:lvlJc w:val="left"/>
      <w:pPr>
        <w:ind w:left="1350" w:hanging="360"/>
      </w:pPr>
      <w:rPr>
        <w:rFonts w:eastAsia="Times New Roman" w:hint="default"/>
        <w:color w:val="000000"/>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6" w15:restartNumberingAfterBreak="0">
    <w:nsid w:val="6EB60DB8"/>
    <w:multiLevelType w:val="hybridMultilevel"/>
    <w:tmpl w:val="D9F89A08"/>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17" w15:restartNumberingAfterBreak="0">
    <w:nsid w:val="720E4AA8"/>
    <w:multiLevelType w:val="hybridMultilevel"/>
    <w:tmpl w:val="A2DC820E"/>
    <w:lvl w:ilvl="0" w:tplc="04090001">
      <w:start w:val="1"/>
      <w:numFmt w:val="bullet"/>
      <w:lvlText w:val=""/>
      <w:lvlJc w:val="left"/>
      <w:pPr>
        <w:ind w:left="720" w:hanging="360"/>
      </w:pPr>
      <w:rPr>
        <w:rFonts w:ascii="Symbol" w:hAnsi="Symbol" w:hint="default"/>
      </w:rPr>
    </w:lvl>
    <w:lvl w:ilvl="1" w:tplc="DE286326">
      <w:start w:val="1"/>
      <w:numFmt w:val="decimal"/>
      <w:lvlText w:val="%2."/>
      <w:lvlJc w:val="left"/>
      <w:pPr>
        <w:ind w:left="1440" w:hanging="360"/>
      </w:pPr>
      <w:rPr>
        <w:rFonts w:hint="default"/>
        <w:b/>
      </w:rPr>
    </w:lvl>
    <w:lvl w:ilvl="2" w:tplc="DB8A00F6">
      <w:start w:val="1"/>
      <w:numFmt w:val="decimal"/>
      <w:lvlText w:val="%3."/>
      <w:lvlJc w:val="left"/>
      <w:pPr>
        <w:ind w:left="2160" w:hanging="360"/>
      </w:pPr>
      <w:rPr>
        <w:rFonts w:hint="default"/>
        <w:b/>
      </w:rPr>
    </w:lvl>
    <w:lvl w:ilvl="3" w:tplc="BDD423AA">
      <w:start w:val="1"/>
      <w:numFmt w:val="lowerLetter"/>
      <w:lvlText w:val="%4)"/>
      <w:lvlJc w:val="left"/>
      <w:pPr>
        <w:ind w:left="192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67EFA"/>
    <w:multiLevelType w:val="hybridMultilevel"/>
    <w:tmpl w:val="579EA4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E96E0E"/>
    <w:multiLevelType w:val="multilevel"/>
    <w:tmpl w:val="A1E66B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0"/>
  </w:num>
  <w:num w:numId="3">
    <w:abstractNumId w:val="1"/>
  </w:num>
  <w:num w:numId="4">
    <w:abstractNumId w:val="6"/>
  </w:num>
  <w:num w:numId="5">
    <w:abstractNumId w:val="2"/>
  </w:num>
  <w:num w:numId="6">
    <w:abstractNumId w:val="4"/>
  </w:num>
  <w:num w:numId="7">
    <w:abstractNumId w:val="16"/>
  </w:num>
  <w:num w:numId="8">
    <w:abstractNumId w:val="15"/>
  </w:num>
  <w:num w:numId="9">
    <w:abstractNumId w:val="17"/>
  </w:num>
  <w:num w:numId="10">
    <w:abstractNumId w:val="13"/>
  </w:num>
  <w:num w:numId="11">
    <w:abstractNumId w:val="10"/>
  </w:num>
  <w:num w:numId="12">
    <w:abstractNumId w:val="9"/>
  </w:num>
  <w:num w:numId="13">
    <w:abstractNumId w:val="7"/>
  </w:num>
  <w:num w:numId="14">
    <w:abstractNumId w:val="19"/>
  </w:num>
  <w:num w:numId="15">
    <w:abstractNumId w:val="11"/>
  </w:num>
  <w:num w:numId="16">
    <w:abstractNumId w:val="12"/>
  </w:num>
  <w:num w:numId="17">
    <w:abstractNumId w:val="8"/>
  </w:num>
  <w:num w:numId="18">
    <w:abstractNumId w:val="14"/>
  </w:num>
  <w:num w:numId="19">
    <w:abstractNumId w:val="5"/>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A3"/>
    <w:rsid w:val="00000654"/>
    <w:rsid w:val="000006E1"/>
    <w:rsid w:val="000020FA"/>
    <w:rsid w:val="00002499"/>
    <w:rsid w:val="000025BB"/>
    <w:rsid w:val="00002981"/>
    <w:rsid w:val="00002ED7"/>
    <w:rsid w:val="00002F50"/>
    <w:rsid w:val="0000372C"/>
    <w:rsid w:val="000044AF"/>
    <w:rsid w:val="000074F3"/>
    <w:rsid w:val="000075FB"/>
    <w:rsid w:val="0000795B"/>
    <w:rsid w:val="00007D66"/>
    <w:rsid w:val="00007DEB"/>
    <w:rsid w:val="00010FAF"/>
    <w:rsid w:val="00011146"/>
    <w:rsid w:val="00011186"/>
    <w:rsid w:val="000117B8"/>
    <w:rsid w:val="000118E7"/>
    <w:rsid w:val="00011B34"/>
    <w:rsid w:val="00011FD2"/>
    <w:rsid w:val="000120B1"/>
    <w:rsid w:val="000121FF"/>
    <w:rsid w:val="0001331B"/>
    <w:rsid w:val="00013BAC"/>
    <w:rsid w:val="000146B8"/>
    <w:rsid w:val="00014926"/>
    <w:rsid w:val="00014D42"/>
    <w:rsid w:val="00015889"/>
    <w:rsid w:val="00015958"/>
    <w:rsid w:val="00015EB9"/>
    <w:rsid w:val="0001660E"/>
    <w:rsid w:val="00017027"/>
    <w:rsid w:val="0002034F"/>
    <w:rsid w:val="00021968"/>
    <w:rsid w:val="00021DD2"/>
    <w:rsid w:val="00021EB5"/>
    <w:rsid w:val="00022BFC"/>
    <w:rsid w:val="00022E01"/>
    <w:rsid w:val="00023182"/>
    <w:rsid w:val="0002377D"/>
    <w:rsid w:val="000239D1"/>
    <w:rsid w:val="00024A0F"/>
    <w:rsid w:val="00024B17"/>
    <w:rsid w:val="000252EF"/>
    <w:rsid w:val="00025C43"/>
    <w:rsid w:val="00025D0F"/>
    <w:rsid w:val="0002608C"/>
    <w:rsid w:val="0002647D"/>
    <w:rsid w:val="00026C88"/>
    <w:rsid w:val="00026F99"/>
    <w:rsid w:val="000271BB"/>
    <w:rsid w:val="00030395"/>
    <w:rsid w:val="00030F3E"/>
    <w:rsid w:val="0003166F"/>
    <w:rsid w:val="000318C7"/>
    <w:rsid w:val="00031A90"/>
    <w:rsid w:val="00033962"/>
    <w:rsid w:val="00034189"/>
    <w:rsid w:val="000346C1"/>
    <w:rsid w:val="00034F2E"/>
    <w:rsid w:val="000363CC"/>
    <w:rsid w:val="00036AD3"/>
    <w:rsid w:val="00036D35"/>
    <w:rsid w:val="00037219"/>
    <w:rsid w:val="00037836"/>
    <w:rsid w:val="00037DC7"/>
    <w:rsid w:val="000400AF"/>
    <w:rsid w:val="0004079A"/>
    <w:rsid w:val="00040829"/>
    <w:rsid w:val="000410EF"/>
    <w:rsid w:val="00041A70"/>
    <w:rsid w:val="000426D2"/>
    <w:rsid w:val="000427ED"/>
    <w:rsid w:val="00044709"/>
    <w:rsid w:val="00045847"/>
    <w:rsid w:val="00045A86"/>
    <w:rsid w:val="00045D23"/>
    <w:rsid w:val="00045FF3"/>
    <w:rsid w:val="0004645C"/>
    <w:rsid w:val="0004667E"/>
    <w:rsid w:val="00046703"/>
    <w:rsid w:val="00046706"/>
    <w:rsid w:val="00046B10"/>
    <w:rsid w:val="00046E7F"/>
    <w:rsid w:val="00047282"/>
    <w:rsid w:val="000475CD"/>
    <w:rsid w:val="000475DB"/>
    <w:rsid w:val="00047749"/>
    <w:rsid w:val="0004775D"/>
    <w:rsid w:val="000479BC"/>
    <w:rsid w:val="00047CE4"/>
    <w:rsid w:val="000500CE"/>
    <w:rsid w:val="00050518"/>
    <w:rsid w:val="00050DEB"/>
    <w:rsid w:val="000513E3"/>
    <w:rsid w:val="00051637"/>
    <w:rsid w:val="00051EE7"/>
    <w:rsid w:val="00051FEC"/>
    <w:rsid w:val="00052A87"/>
    <w:rsid w:val="00052B29"/>
    <w:rsid w:val="00052E60"/>
    <w:rsid w:val="000532AA"/>
    <w:rsid w:val="000534CC"/>
    <w:rsid w:val="00053A43"/>
    <w:rsid w:val="00054404"/>
    <w:rsid w:val="00055671"/>
    <w:rsid w:val="000557B1"/>
    <w:rsid w:val="00056381"/>
    <w:rsid w:val="00056469"/>
    <w:rsid w:val="00056649"/>
    <w:rsid w:val="000569DC"/>
    <w:rsid w:val="00056AF9"/>
    <w:rsid w:val="00056DC9"/>
    <w:rsid w:val="00057EEB"/>
    <w:rsid w:val="00060DDC"/>
    <w:rsid w:val="00060EEF"/>
    <w:rsid w:val="000611EE"/>
    <w:rsid w:val="00062045"/>
    <w:rsid w:val="000624F5"/>
    <w:rsid w:val="000627D7"/>
    <w:rsid w:val="00062BC4"/>
    <w:rsid w:val="0006356F"/>
    <w:rsid w:val="000660A0"/>
    <w:rsid w:val="00066E87"/>
    <w:rsid w:val="00067B66"/>
    <w:rsid w:val="00067CCA"/>
    <w:rsid w:val="00067D53"/>
    <w:rsid w:val="00067F68"/>
    <w:rsid w:val="000702E6"/>
    <w:rsid w:val="0007071B"/>
    <w:rsid w:val="0007113B"/>
    <w:rsid w:val="000713B2"/>
    <w:rsid w:val="00071815"/>
    <w:rsid w:val="00072D92"/>
    <w:rsid w:val="00072DA7"/>
    <w:rsid w:val="00072F66"/>
    <w:rsid w:val="0007404A"/>
    <w:rsid w:val="000740E0"/>
    <w:rsid w:val="00074422"/>
    <w:rsid w:val="00074C2F"/>
    <w:rsid w:val="00075BCA"/>
    <w:rsid w:val="00076180"/>
    <w:rsid w:val="00076D97"/>
    <w:rsid w:val="00076DA6"/>
    <w:rsid w:val="0007752D"/>
    <w:rsid w:val="00077DE8"/>
    <w:rsid w:val="00077E39"/>
    <w:rsid w:val="00080AD0"/>
    <w:rsid w:val="000816D2"/>
    <w:rsid w:val="00081CBE"/>
    <w:rsid w:val="00081DCB"/>
    <w:rsid w:val="00082E6E"/>
    <w:rsid w:val="00083962"/>
    <w:rsid w:val="00084050"/>
    <w:rsid w:val="00084072"/>
    <w:rsid w:val="000842B6"/>
    <w:rsid w:val="00085382"/>
    <w:rsid w:val="00085C21"/>
    <w:rsid w:val="000860A2"/>
    <w:rsid w:val="0008643B"/>
    <w:rsid w:val="000869C7"/>
    <w:rsid w:val="00086FC2"/>
    <w:rsid w:val="0008739D"/>
    <w:rsid w:val="00087545"/>
    <w:rsid w:val="00090469"/>
    <w:rsid w:val="00091B17"/>
    <w:rsid w:val="00091DAF"/>
    <w:rsid w:val="00092050"/>
    <w:rsid w:val="00093566"/>
    <w:rsid w:val="00093D2F"/>
    <w:rsid w:val="0009499D"/>
    <w:rsid w:val="00095187"/>
    <w:rsid w:val="0009533F"/>
    <w:rsid w:val="00095421"/>
    <w:rsid w:val="0009562E"/>
    <w:rsid w:val="000962FD"/>
    <w:rsid w:val="00096849"/>
    <w:rsid w:val="00097866"/>
    <w:rsid w:val="00097AE9"/>
    <w:rsid w:val="00097B7E"/>
    <w:rsid w:val="00097CD0"/>
    <w:rsid w:val="000A0137"/>
    <w:rsid w:val="000A0646"/>
    <w:rsid w:val="000A18EA"/>
    <w:rsid w:val="000A2D8A"/>
    <w:rsid w:val="000A2FE6"/>
    <w:rsid w:val="000A352E"/>
    <w:rsid w:val="000A381D"/>
    <w:rsid w:val="000A3F9A"/>
    <w:rsid w:val="000A4328"/>
    <w:rsid w:val="000A4462"/>
    <w:rsid w:val="000A59DD"/>
    <w:rsid w:val="000A5F65"/>
    <w:rsid w:val="000A631B"/>
    <w:rsid w:val="000A7644"/>
    <w:rsid w:val="000B03AD"/>
    <w:rsid w:val="000B0DDB"/>
    <w:rsid w:val="000B24A7"/>
    <w:rsid w:val="000B2B19"/>
    <w:rsid w:val="000B30D0"/>
    <w:rsid w:val="000B3495"/>
    <w:rsid w:val="000B34D2"/>
    <w:rsid w:val="000B3A7A"/>
    <w:rsid w:val="000B435A"/>
    <w:rsid w:val="000B4616"/>
    <w:rsid w:val="000B4642"/>
    <w:rsid w:val="000B46AC"/>
    <w:rsid w:val="000B46CF"/>
    <w:rsid w:val="000B46EA"/>
    <w:rsid w:val="000B4BB5"/>
    <w:rsid w:val="000B4F36"/>
    <w:rsid w:val="000B53BD"/>
    <w:rsid w:val="000B5810"/>
    <w:rsid w:val="000B5D25"/>
    <w:rsid w:val="000B652D"/>
    <w:rsid w:val="000B6E43"/>
    <w:rsid w:val="000B7A04"/>
    <w:rsid w:val="000C01BA"/>
    <w:rsid w:val="000C04F7"/>
    <w:rsid w:val="000C18A7"/>
    <w:rsid w:val="000C191C"/>
    <w:rsid w:val="000C30F1"/>
    <w:rsid w:val="000C39B2"/>
    <w:rsid w:val="000C436F"/>
    <w:rsid w:val="000C4AA9"/>
    <w:rsid w:val="000C5059"/>
    <w:rsid w:val="000D151D"/>
    <w:rsid w:val="000D1B51"/>
    <w:rsid w:val="000D20BC"/>
    <w:rsid w:val="000D25F9"/>
    <w:rsid w:val="000D2D00"/>
    <w:rsid w:val="000D3E6A"/>
    <w:rsid w:val="000D4068"/>
    <w:rsid w:val="000D4690"/>
    <w:rsid w:val="000D4B7D"/>
    <w:rsid w:val="000D4EC6"/>
    <w:rsid w:val="000D5105"/>
    <w:rsid w:val="000D51FD"/>
    <w:rsid w:val="000D5954"/>
    <w:rsid w:val="000D5F43"/>
    <w:rsid w:val="000D6C71"/>
    <w:rsid w:val="000D6D9E"/>
    <w:rsid w:val="000E014D"/>
    <w:rsid w:val="000E106A"/>
    <w:rsid w:val="000E1EAD"/>
    <w:rsid w:val="000E223D"/>
    <w:rsid w:val="000E23EA"/>
    <w:rsid w:val="000E2576"/>
    <w:rsid w:val="000E2672"/>
    <w:rsid w:val="000E32A8"/>
    <w:rsid w:val="000E353D"/>
    <w:rsid w:val="000E3E0E"/>
    <w:rsid w:val="000E47CD"/>
    <w:rsid w:val="000E5B37"/>
    <w:rsid w:val="000E64F4"/>
    <w:rsid w:val="000E66E7"/>
    <w:rsid w:val="000E6A0C"/>
    <w:rsid w:val="000E6FE7"/>
    <w:rsid w:val="000E7E46"/>
    <w:rsid w:val="000F0D5D"/>
    <w:rsid w:val="000F13C8"/>
    <w:rsid w:val="000F216A"/>
    <w:rsid w:val="000F22F2"/>
    <w:rsid w:val="000F23FD"/>
    <w:rsid w:val="000F25B0"/>
    <w:rsid w:val="000F2A96"/>
    <w:rsid w:val="000F3095"/>
    <w:rsid w:val="000F3283"/>
    <w:rsid w:val="000F347C"/>
    <w:rsid w:val="000F39E4"/>
    <w:rsid w:val="000F4004"/>
    <w:rsid w:val="000F40ED"/>
    <w:rsid w:val="000F43AD"/>
    <w:rsid w:val="000F5C39"/>
    <w:rsid w:val="000F5C83"/>
    <w:rsid w:val="000F6034"/>
    <w:rsid w:val="000F6E14"/>
    <w:rsid w:val="000F77F9"/>
    <w:rsid w:val="000F7BAF"/>
    <w:rsid w:val="000F7DAE"/>
    <w:rsid w:val="001000C0"/>
    <w:rsid w:val="00100519"/>
    <w:rsid w:val="00102408"/>
    <w:rsid w:val="00102828"/>
    <w:rsid w:val="001035CC"/>
    <w:rsid w:val="00104651"/>
    <w:rsid w:val="0010469D"/>
    <w:rsid w:val="00104F67"/>
    <w:rsid w:val="00105207"/>
    <w:rsid w:val="0010577B"/>
    <w:rsid w:val="00105BED"/>
    <w:rsid w:val="00105EBA"/>
    <w:rsid w:val="0010649B"/>
    <w:rsid w:val="00106D8A"/>
    <w:rsid w:val="00107206"/>
    <w:rsid w:val="00107A7F"/>
    <w:rsid w:val="00110D96"/>
    <w:rsid w:val="00110F3C"/>
    <w:rsid w:val="00111F64"/>
    <w:rsid w:val="001121F9"/>
    <w:rsid w:val="00112282"/>
    <w:rsid w:val="00112D38"/>
    <w:rsid w:val="00112DDF"/>
    <w:rsid w:val="00114092"/>
    <w:rsid w:val="0011414C"/>
    <w:rsid w:val="001144FF"/>
    <w:rsid w:val="00114CCB"/>
    <w:rsid w:val="00115579"/>
    <w:rsid w:val="00115FF1"/>
    <w:rsid w:val="00116D92"/>
    <w:rsid w:val="0011794D"/>
    <w:rsid w:val="00121796"/>
    <w:rsid w:val="0012200F"/>
    <w:rsid w:val="001222D3"/>
    <w:rsid w:val="00122BDC"/>
    <w:rsid w:val="00122D92"/>
    <w:rsid w:val="0012302F"/>
    <w:rsid w:val="00123378"/>
    <w:rsid w:val="0012374A"/>
    <w:rsid w:val="001239A7"/>
    <w:rsid w:val="00123CFC"/>
    <w:rsid w:val="001240DD"/>
    <w:rsid w:val="0012443F"/>
    <w:rsid w:val="00124E0A"/>
    <w:rsid w:val="00124E68"/>
    <w:rsid w:val="00124E72"/>
    <w:rsid w:val="0012501E"/>
    <w:rsid w:val="00126E14"/>
    <w:rsid w:val="001275ED"/>
    <w:rsid w:val="00127741"/>
    <w:rsid w:val="0012784A"/>
    <w:rsid w:val="001278C3"/>
    <w:rsid w:val="00127BB4"/>
    <w:rsid w:val="00130481"/>
    <w:rsid w:val="00130DD7"/>
    <w:rsid w:val="00130F75"/>
    <w:rsid w:val="0013172A"/>
    <w:rsid w:val="0013185B"/>
    <w:rsid w:val="001318EA"/>
    <w:rsid w:val="00131916"/>
    <w:rsid w:val="001323BC"/>
    <w:rsid w:val="00132D1A"/>
    <w:rsid w:val="00133669"/>
    <w:rsid w:val="00133A30"/>
    <w:rsid w:val="001352EA"/>
    <w:rsid w:val="00135B8B"/>
    <w:rsid w:val="001368EC"/>
    <w:rsid w:val="00136D1D"/>
    <w:rsid w:val="001378A7"/>
    <w:rsid w:val="0014144B"/>
    <w:rsid w:val="00142913"/>
    <w:rsid w:val="00143024"/>
    <w:rsid w:val="00143996"/>
    <w:rsid w:val="00143A99"/>
    <w:rsid w:val="00145020"/>
    <w:rsid w:val="00145573"/>
    <w:rsid w:val="00145B79"/>
    <w:rsid w:val="00146A15"/>
    <w:rsid w:val="00146AD2"/>
    <w:rsid w:val="001475AC"/>
    <w:rsid w:val="00147EED"/>
    <w:rsid w:val="00151228"/>
    <w:rsid w:val="0015142D"/>
    <w:rsid w:val="0015149B"/>
    <w:rsid w:val="00151B3B"/>
    <w:rsid w:val="001523D2"/>
    <w:rsid w:val="00152517"/>
    <w:rsid w:val="00152D44"/>
    <w:rsid w:val="001532B7"/>
    <w:rsid w:val="001532BB"/>
    <w:rsid w:val="00153AE3"/>
    <w:rsid w:val="00153E95"/>
    <w:rsid w:val="00154285"/>
    <w:rsid w:val="001546E4"/>
    <w:rsid w:val="001549AF"/>
    <w:rsid w:val="00154B61"/>
    <w:rsid w:val="00155155"/>
    <w:rsid w:val="001551A8"/>
    <w:rsid w:val="0015580F"/>
    <w:rsid w:val="00155F3E"/>
    <w:rsid w:val="00156451"/>
    <w:rsid w:val="00156804"/>
    <w:rsid w:val="00157048"/>
    <w:rsid w:val="00157C35"/>
    <w:rsid w:val="00160E90"/>
    <w:rsid w:val="00160F50"/>
    <w:rsid w:val="00162151"/>
    <w:rsid w:val="001632EF"/>
    <w:rsid w:val="001646A0"/>
    <w:rsid w:val="00164F64"/>
    <w:rsid w:val="00166A7B"/>
    <w:rsid w:val="00170BCA"/>
    <w:rsid w:val="00172482"/>
    <w:rsid w:val="00173372"/>
    <w:rsid w:val="00173460"/>
    <w:rsid w:val="00173A99"/>
    <w:rsid w:val="00174C34"/>
    <w:rsid w:val="0017518D"/>
    <w:rsid w:val="0017539B"/>
    <w:rsid w:val="0017613E"/>
    <w:rsid w:val="00176D5A"/>
    <w:rsid w:val="00177681"/>
    <w:rsid w:val="00177B38"/>
    <w:rsid w:val="00180209"/>
    <w:rsid w:val="00180690"/>
    <w:rsid w:val="001813B4"/>
    <w:rsid w:val="00181646"/>
    <w:rsid w:val="001817AE"/>
    <w:rsid w:val="00181847"/>
    <w:rsid w:val="00181965"/>
    <w:rsid w:val="00182545"/>
    <w:rsid w:val="00182EDF"/>
    <w:rsid w:val="0018339C"/>
    <w:rsid w:val="00183694"/>
    <w:rsid w:val="0018389D"/>
    <w:rsid w:val="00184791"/>
    <w:rsid w:val="00184811"/>
    <w:rsid w:val="00184EE0"/>
    <w:rsid w:val="0018652B"/>
    <w:rsid w:val="0018652E"/>
    <w:rsid w:val="0018654C"/>
    <w:rsid w:val="0018673E"/>
    <w:rsid w:val="00186BED"/>
    <w:rsid w:val="0019000D"/>
    <w:rsid w:val="00190066"/>
    <w:rsid w:val="00190D5C"/>
    <w:rsid w:val="0019208E"/>
    <w:rsid w:val="001929AB"/>
    <w:rsid w:val="00192F9F"/>
    <w:rsid w:val="00193042"/>
    <w:rsid w:val="00193095"/>
    <w:rsid w:val="001945D8"/>
    <w:rsid w:val="00194FC8"/>
    <w:rsid w:val="001959A6"/>
    <w:rsid w:val="00195BED"/>
    <w:rsid w:val="00195E3D"/>
    <w:rsid w:val="00196E1F"/>
    <w:rsid w:val="001A0303"/>
    <w:rsid w:val="001A04B7"/>
    <w:rsid w:val="001A0A83"/>
    <w:rsid w:val="001A0E2F"/>
    <w:rsid w:val="001A11A2"/>
    <w:rsid w:val="001A11C5"/>
    <w:rsid w:val="001A16D0"/>
    <w:rsid w:val="001A4642"/>
    <w:rsid w:val="001A48E1"/>
    <w:rsid w:val="001A64F3"/>
    <w:rsid w:val="001A6C30"/>
    <w:rsid w:val="001A6CC9"/>
    <w:rsid w:val="001A6DE0"/>
    <w:rsid w:val="001A7828"/>
    <w:rsid w:val="001A7FCB"/>
    <w:rsid w:val="001B03A4"/>
    <w:rsid w:val="001B0D9E"/>
    <w:rsid w:val="001B2F10"/>
    <w:rsid w:val="001B31B0"/>
    <w:rsid w:val="001B3B3B"/>
    <w:rsid w:val="001B3B8E"/>
    <w:rsid w:val="001B3C65"/>
    <w:rsid w:val="001B4318"/>
    <w:rsid w:val="001B560B"/>
    <w:rsid w:val="001B5AD9"/>
    <w:rsid w:val="001B5F12"/>
    <w:rsid w:val="001B61C6"/>
    <w:rsid w:val="001B6B9D"/>
    <w:rsid w:val="001B78E6"/>
    <w:rsid w:val="001B7B33"/>
    <w:rsid w:val="001B7DD8"/>
    <w:rsid w:val="001C0572"/>
    <w:rsid w:val="001C1979"/>
    <w:rsid w:val="001C1FE5"/>
    <w:rsid w:val="001C24C9"/>
    <w:rsid w:val="001C2B17"/>
    <w:rsid w:val="001C2DE2"/>
    <w:rsid w:val="001C2F8A"/>
    <w:rsid w:val="001C3238"/>
    <w:rsid w:val="001C4228"/>
    <w:rsid w:val="001C4DE6"/>
    <w:rsid w:val="001C5530"/>
    <w:rsid w:val="001C5553"/>
    <w:rsid w:val="001C6AD8"/>
    <w:rsid w:val="001C7D24"/>
    <w:rsid w:val="001D0569"/>
    <w:rsid w:val="001D1731"/>
    <w:rsid w:val="001D1BA6"/>
    <w:rsid w:val="001D1EF0"/>
    <w:rsid w:val="001D1FAF"/>
    <w:rsid w:val="001D2D3A"/>
    <w:rsid w:val="001D2D8A"/>
    <w:rsid w:val="001D476E"/>
    <w:rsid w:val="001D4C66"/>
    <w:rsid w:val="001D4D08"/>
    <w:rsid w:val="001D4F6E"/>
    <w:rsid w:val="001D50AC"/>
    <w:rsid w:val="001D5AEB"/>
    <w:rsid w:val="001D7A9C"/>
    <w:rsid w:val="001E09BF"/>
    <w:rsid w:val="001E0AA4"/>
    <w:rsid w:val="001E0C9C"/>
    <w:rsid w:val="001E0D4E"/>
    <w:rsid w:val="001E1182"/>
    <w:rsid w:val="001E11B3"/>
    <w:rsid w:val="001E20F2"/>
    <w:rsid w:val="001E27D8"/>
    <w:rsid w:val="001E462C"/>
    <w:rsid w:val="001E5E2F"/>
    <w:rsid w:val="001E5E93"/>
    <w:rsid w:val="001E607F"/>
    <w:rsid w:val="001E6314"/>
    <w:rsid w:val="001E635C"/>
    <w:rsid w:val="001E673A"/>
    <w:rsid w:val="001F10C3"/>
    <w:rsid w:val="001F1968"/>
    <w:rsid w:val="001F1BCC"/>
    <w:rsid w:val="001F2635"/>
    <w:rsid w:val="001F33A2"/>
    <w:rsid w:val="001F4098"/>
    <w:rsid w:val="001F4605"/>
    <w:rsid w:val="001F48F6"/>
    <w:rsid w:val="001F4C39"/>
    <w:rsid w:val="001F5AB8"/>
    <w:rsid w:val="001F628F"/>
    <w:rsid w:val="001F78C1"/>
    <w:rsid w:val="002000A2"/>
    <w:rsid w:val="002002F1"/>
    <w:rsid w:val="00201EAD"/>
    <w:rsid w:val="0020202A"/>
    <w:rsid w:val="0020219B"/>
    <w:rsid w:val="00202EFC"/>
    <w:rsid w:val="002038F5"/>
    <w:rsid w:val="00203BF7"/>
    <w:rsid w:val="002041A9"/>
    <w:rsid w:val="0020457B"/>
    <w:rsid w:val="00205399"/>
    <w:rsid w:val="0020547F"/>
    <w:rsid w:val="002056A3"/>
    <w:rsid w:val="00206023"/>
    <w:rsid w:val="00206D64"/>
    <w:rsid w:val="00206DF8"/>
    <w:rsid w:val="00207956"/>
    <w:rsid w:val="00207D97"/>
    <w:rsid w:val="00210065"/>
    <w:rsid w:val="00210148"/>
    <w:rsid w:val="002101FF"/>
    <w:rsid w:val="00210F65"/>
    <w:rsid w:val="002112F4"/>
    <w:rsid w:val="002114C3"/>
    <w:rsid w:val="0021194D"/>
    <w:rsid w:val="0021380F"/>
    <w:rsid w:val="00214A6E"/>
    <w:rsid w:val="00214E2F"/>
    <w:rsid w:val="002157E9"/>
    <w:rsid w:val="0021646E"/>
    <w:rsid w:val="002168E1"/>
    <w:rsid w:val="00216C22"/>
    <w:rsid w:val="002170E6"/>
    <w:rsid w:val="00217892"/>
    <w:rsid w:val="00217E09"/>
    <w:rsid w:val="00217E5D"/>
    <w:rsid w:val="00220623"/>
    <w:rsid w:val="00220AA3"/>
    <w:rsid w:val="002218EB"/>
    <w:rsid w:val="00221F39"/>
    <w:rsid w:val="00222C0C"/>
    <w:rsid w:val="00223ED1"/>
    <w:rsid w:val="002258D1"/>
    <w:rsid w:val="002268D5"/>
    <w:rsid w:val="0022799A"/>
    <w:rsid w:val="00227A48"/>
    <w:rsid w:val="0023025E"/>
    <w:rsid w:val="00231441"/>
    <w:rsid w:val="00231A96"/>
    <w:rsid w:val="00231E1E"/>
    <w:rsid w:val="00232295"/>
    <w:rsid w:val="002340B9"/>
    <w:rsid w:val="00234A35"/>
    <w:rsid w:val="002351B6"/>
    <w:rsid w:val="00237428"/>
    <w:rsid w:val="00237B45"/>
    <w:rsid w:val="00237B6E"/>
    <w:rsid w:val="00240574"/>
    <w:rsid w:val="00241391"/>
    <w:rsid w:val="00241474"/>
    <w:rsid w:val="00242644"/>
    <w:rsid w:val="002427AB"/>
    <w:rsid w:val="00242A75"/>
    <w:rsid w:val="00243709"/>
    <w:rsid w:val="002439E1"/>
    <w:rsid w:val="00243FEA"/>
    <w:rsid w:val="002448ED"/>
    <w:rsid w:val="0024504B"/>
    <w:rsid w:val="00245509"/>
    <w:rsid w:val="00245ADB"/>
    <w:rsid w:val="00247051"/>
    <w:rsid w:val="00247864"/>
    <w:rsid w:val="002506E4"/>
    <w:rsid w:val="00250912"/>
    <w:rsid w:val="00250D0C"/>
    <w:rsid w:val="00250D72"/>
    <w:rsid w:val="00252099"/>
    <w:rsid w:val="00252A34"/>
    <w:rsid w:val="00253DB4"/>
    <w:rsid w:val="00253DED"/>
    <w:rsid w:val="00254B5F"/>
    <w:rsid w:val="00254EC9"/>
    <w:rsid w:val="00254EE8"/>
    <w:rsid w:val="002551C4"/>
    <w:rsid w:val="002561F0"/>
    <w:rsid w:val="002562C4"/>
    <w:rsid w:val="002566F4"/>
    <w:rsid w:val="00256900"/>
    <w:rsid w:val="00256D40"/>
    <w:rsid w:val="00257C25"/>
    <w:rsid w:val="00262859"/>
    <w:rsid w:val="0026320C"/>
    <w:rsid w:val="0026402D"/>
    <w:rsid w:val="00266777"/>
    <w:rsid w:val="002668B7"/>
    <w:rsid w:val="0026755E"/>
    <w:rsid w:val="002702AE"/>
    <w:rsid w:val="002710E0"/>
    <w:rsid w:val="00271552"/>
    <w:rsid w:val="00271A36"/>
    <w:rsid w:val="00271B7F"/>
    <w:rsid w:val="0027218B"/>
    <w:rsid w:val="0027248F"/>
    <w:rsid w:val="002725D4"/>
    <w:rsid w:val="00272D78"/>
    <w:rsid w:val="00272EDE"/>
    <w:rsid w:val="002732E2"/>
    <w:rsid w:val="00273AE5"/>
    <w:rsid w:val="00273B26"/>
    <w:rsid w:val="00273EF6"/>
    <w:rsid w:val="002742E3"/>
    <w:rsid w:val="002746A9"/>
    <w:rsid w:val="002746EB"/>
    <w:rsid w:val="00274CEF"/>
    <w:rsid w:val="00275308"/>
    <w:rsid w:val="00276697"/>
    <w:rsid w:val="00277614"/>
    <w:rsid w:val="00280309"/>
    <w:rsid w:val="00280421"/>
    <w:rsid w:val="00280780"/>
    <w:rsid w:val="00280C75"/>
    <w:rsid w:val="00281DFC"/>
    <w:rsid w:val="0028208B"/>
    <w:rsid w:val="0028353C"/>
    <w:rsid w:val="002847BD"/>
    <w:rsid w:val="00284828"/>
    <w:rsid w:val="0028567D"/>
    <w:rsid w:val="002856EC"/>
    <w:rsid w:val="00285A94"/>
    <w:rsid w:val="0028705A"/>
    <w:rsid w:val="0028789C"/>
    <w:rsid w:val="002878F1"/>
    <w:rsid w:val="002907B0"/>
    <w:rsid w:val="00291A24"/>
    <w:rsid w:val="00291AB7"/>
    <w:rsid w:val="0029262E"/>
    <w:rsid w:val="002928B2"/>
    <w:rsid w:val="00292DCA"/>
    <w:rsid w:val="00293C6A"/>
    <w:rsid w:val="00294DDC"/>
    <w:rsid w:val="00294F88"/>
    <w:rsid w:val="00295195"/>
    <w:rsid w:val="0029526D"/>
    <w:rsid w:val="00295449"/>
    <w:rsid w:val="002959C1"/>
    <w:rsid w:val="00296904"/>
    <w:rsid w:val="00296E04"/>
    <w:rsid w:val="002A0167"/>
    <w:rsid w:val="002A0455"/>
    <w:rsid w:val="002A0831"/>
    <w:rsid w:val="002A1151"/>
    <w:rsid w:val="002A1A41"/>
    <w:rsid w:val="002A355F"/>
    <w:rsid w:val="002A38B3"/>
    <w:rsid w:val="002A3FCE"/>
    <w:rsid w:val="002A41A0"/>
    <w:rsid w:val="002A48BC"/>
    <w:rsid w:val="002A4B71"/>
    <w:rsid w:val="002A50FC"/>
    <w:rsid w:val="002A52F9"/>
    <w:rsid w:val="002A5610"/>
    <w:rsid w:val="002A5B98"/>
    <w:rsid w:val="002A67C9"/>
    <w:rsid w:val="002A70BE"/>
    <w:rsid w:val="002A71BB"/>
    <w:rsid w:val="002A7903"/>
    <w:rsid w:val="002A7B8E"/>
    <w:rsid w:val="002A7D9F"/>
    <w:rsid w:val="002A7E0A"/>
    <w:rsid w:val="002B016A"/>
    <w:rsid w:val="002B0353"/>
    <w:rsid w:val="002B058F"/>
    <w:rsid w:val="002B1C11"/>
    <w:rsid w:val="002B1C47"/>
    <w:rsid w:val="002B1ECF"/>
    <w:rsid w:val="002B2435"/>
    <w:rsid w:val="002B2933"/>
    <w:rsid w:val="002B4812"/>
    <w:rsid w:val="002B5DAC"/>
    <w:rsid w:val="002B64C9"/>
    <w:rsid w:val="002B68FA"/>
    <w:rsid w:val="002B6EEA"/>
    <w:rsid w:val="002B6F88"/>
    <w:rsid w:val="002B7021"/>
    <w:rsid w:val="002B7719"/>
    <w:rsid w:val="002B79B8"/>
    <w:rsid w:val="002B7F7A"/>
    <w:rsid w:val="002C0F11"/>
    <w:rsid w:val="002C14DB"/>
    <w:rsid w:val="002C1740"/>
    <w:rsid w:val="002C21AF"/>
    <w:rsid w:val="002C2F35"/>
    <w:rsid w:val="002C3451"/>
    <w:rsid w:val="002C366C"/>
    <w:rsid w:val="002C375C"/>
    <w:rsid w:val="002C3A95"/>
    <w:rsid w:val="002C3EAC"/>
    <w:rsid w:val="002C433A"/>
    <w:rsid w:val="002C4C54"/>
    <w:rsid w:val="002C50D0"/>
    <w:rsid w:val="002C6703"/>
    <w:rsid w:val="002C6811"/>
    <w:rsid w:val="002C7ECB"/>
    <w:rsid w:val="002C7F0F"/>
    <w:rsid w:val="002D083F"/>
    <w:rsid w:val="002D2268"/>
    <w:rsid w:val="002D2818"/>
    <w:rsid w:val="002D4A1C"/>
    <w:rsid w:val="002D4BE8"/>
    <w:rsid w:val="002D55B8"/>
    <w:rsid w:val="002D5906"/>
    <w:rsid w:val="002D5A80"/>
    <w:rsid w:val="002D5FE4"/>
    <w:rsid w:val="002D6486"/>
    <w:rsid w:val="002D64D5"/>
    <w:rsid w:val="002D75B1"/>
    <w:rsid w:val="002D76C9"/>
    <w:rsid w:val="002D7EAD"/>
    <w:rsid w:val="002E06EC"/>
    <w:rsid w:val="002E07D7"/>
    <w:rsid w:val="002E0860"/>
    <w:rsid w:val="002E09C8"/>
    <w:rsid w:val="002E0CB1"/>
    <w:rsid w:val="002E13D4"/>
    <w:rsid w:val="002E144E"/>
    <w:rsid w:val="002E1DF9"/>
    <w:rsid w:val="002E1EB4"/>
    <w:rsid w:val="002E23A9"/>
    <w:rsid w:val="002E2868"/>
    <w:rsid w:val="002E2B95"/>
    <w:rsid w:val="002E2C9D"/>
    <w:rsid w:val="002E3889"/>
    <w:rsid w:val="002E3CDD"/>
    <w:rsid w:val="002E4014"/>
    <w:rsid w:val="002E45B0"/>
    <w:rsid w:val="002E4DC8"/>
    <w:rsid w:val="002E4F6E"/>
    <w:rsid w:val="002E5677"/>
    <w:rsid w:val="002E615F"/>
    <w:rsid w:val="002E61A3"/>
    <w:rsid w:val="002E62FE"/>
    <w:rsid w:val="002E6853"/>
    <w:rsid w:val="002E6A32"/>
    <w:rsid w:val="002E6DE0"/>
    <w:rsid w:val="002E76F2"/>
    <w:rsid w:val="002F0087"/>
    <w:rsid w:val="002F0471"/>
    <w:rsid w:val="002F06CB"/>
    <w:rsid w:val="002F074E"/>
    <w:rsid w:val="002F1284"/>
    <w:rsid w:val="002F143D"/>
    <w:rsid w:val="002F1CC1"/>
    <w:rsid w:val="002F339F"/>
    <w:rsid w:val="002F3457"/>
    <w:rsid w:val="002F3CB2"/>
    <w:rsid w:val="002F3D01"/>
    <w:rsid w:val="002F4FC7"/>
    <w:rsid w:val="002F6DDF"/>
    <w:rsid w:val="002F71F0"/>
    <w:rsid w:val="002F7BB7"/>
    <w:rsid w:val="002F7D35"/>
    <w:rsid w:val="002F7F2F"/>
    <w:rsid w:val="0030018B"/>
    <w:rsid w:val="003006F2"/>
    <w:rsid w:val="003014DB"/>
    <w:rsid w:val="00301EA8"/>
    <w:rsid w:val="0030210E"/>
    <w:rsid w:val="0030245D"/>
    <w:rsid w:val="003033BB"/>
    <w:rsid w:val="00303986"/>
    <w:rsid w:val="00304815"/>
    <w:rsid w:val="003051CB"/>
    <w:rsid w:val="003053DE"/>
    <w:rsid w:val="0030545A"/>
    <w:rsid w:val="0030587E"/>
    <w:rsid w:val="0030627E"/>
    <w:rsid w:val="00307709"/>
    <w:rsid w:val="00307B3C"/>
    <w:rsid w:val="00307CAA"/>
    <w:rsid w:val="00310917"/>
    <w:rsid w:val="00310A51"/>
    <w:rsid w:val="00311C2C"/>
    <w:rsid w:val="00311C7B"/>
    <w:rsid w:val="003120D8"/>
    <w:rsid w:val="0031216F"/>
    <w:rsid w:val="0031249A"/>
    <w:rsid w:val="00313105"/>
    <w:rsid w:val="003141BE"/>
    <w:rsid w:val="003141D7"/>
    <w:rsid w:val="003146CE"/>
    <w:rsid w:val="00315149"/>
    <w:rsid w:val="003152E6"/>
    <w:rsid w:val="0031565E"/>
    <w:rsid w:val="00315CEB"/>
    <w:rsid w:val="00315E64"/>
    <w:rsid w:val="00315E81"/>
    <w:rsid w:val="00316096"/>
    <w:rsid w:val="0031757D"/>
    <w:rsid w:val="0031766B"/>
    <w:rsid w:val="00317713"/>
    <w:rsid w:val="00317763"/>
    <w:rsid w:val="003203AE"/>
    <w:rsid w:val="003207CA"/>
    <w:rsid w:val="00321D9D"/>
    <w:rsid w:val="00322348"/>
    <w:rsid w:val="003225F8"/>
    <w:rsid w:val="00322EC6"/>
    <w:rsid w:val="00323632"/>
    <w:rsid w:val="0032366D"/>
    <w:rsid w:val="00323A57"/>
    <w:rsid w:val="00323C80"/>
    <w:rsid w:val="00323F4A"/>
    <w:rsid w:val="003243D8"/>
    <w:rsid w:val="00324C88"/>
    <w:rsid w:val="00324E4C"/>
    <w:rsid w:val="00325E77"/>
    <w:rsid w:val="003260DF"/>
    <w:rsid w:val="003265C3"/>
    <w:rsid w:val="00327B44"/>
    <w:rsid w:val="003310CC"/>
    <w:rsid w:val="003328AF"/>
    <w:rsid w:val="00333176"/>
    <w:rsid w:val="00333A7C"/>
    <w:rsid w:val="00333ED4"/>
    <w:rsid w:val="003340CA"/>
    <w:rsid w:val="00334E2D"/>
    <w:rsid w:val="00334E75"/>
    <w:rsid w:val="0033532F"/>
    <w:rsid w:val="00335E1A"/>
    <w:rsid w:val="00335E1C"/>
    <w:rsid w:val="00335F0E"/>
    <w:rsid w:val="00336A1C"/>
    <w:rsid w:val="00336D48"/>
    <w:rsid w:val="0033732E"/>
    <w:rsid w:val="00337D5D"/>
    <w:rsid w:val="00337FD0"/>
    <w:rsid w:val="0034000A"/>
    <w:rsid w:val="00340185"/>
    <w:rsid w:val="0034096C"/>
    <w:rsid w:val="003413AF"/>
    <w:rsid w:val="00341DBC"/>
    <w:rsid w:val="00342A96"/>
    <w:rsid w:val="00342C06"/>
    <w:rsid w:val="00342C6D"/>
    <w:rsid w:val="0034368A"/>
    <w:rsid w:val="00343A4F"/>
    <w:rsid w:val="00343D3E"/>
    <w:rsid w:val="0034423E"/>
    <w:rsid w:val="0034470D"/>
    <w:rsid w:val="00344D7E"/>
    <w:rsid w:val="00344F53"/>
    <w:rsid w:val="00344F58"/>
    <w:rsid w:val="003457A4"/>
    <w:rsid w:val="00345B1C"/>
    <w:rsid w:val="00345D31"/>
    <w:rsid w:val="003461F9"/>
    <w:rsid w:val="00347178"/>
    <w:rsid w:val="00347968"/>
    <w:rsid w:val="00347B01"/>
    <w:rsid w:val="00350010"/>
    <w:rsid w:val="00350666"/>
    <w:rsid w:val="003508B6"/>
    <w:rsid w:val="00350AE0"/>
    <w:rsid w:val="00350D18"/>
    <w:rsid w:val="0035148F"/>
    <w:rsid w:val="00352184"/>
    <w:rsid w:val="00352A0E"/>
    <w:rsid w:val="00352EEF"/>
    <w:rsid w:val="00352FC2"/>
    <w:rsid w:val="003535F8"/>
    <w:rsid w:val="00353B69"/>
    <w:rsid w:val="00354744"/>
    <w:rsid w:val="00354A65"/>
    <w:rsid w:val="00354D78"/>
    <w:rsid w:val="00355E21"/>
    <w:rsid w:val="00355E50"/>
    <w:rsid w:val="00355FE5"/>
    <w:rsid w:val="00356FBC"/>
    <w:rsid w:val="00356FDD"/>
    <w:rsid w:val="00357CEA"/>
    <w:rsid w:val="00357E91"/>
    <w:rsid w:val="003602B7"/>
    <w:rsid w:val="003602F1"/>
    <w:rsid w:val="003605DF"/>
    <w:rsid w:val="003606A1"/>
    <w:rsid w:val="00360BE0"/>
    <w:rsid w:val="00361B88"/>
    <w:rsid w:val="00362618"/>
    <w:rsid w:val="00363C01"/>
    <w:rsid w:val="00363D3E"/>
    <w:rsid w:val="00363E43"/>
    <w:rsid w:val="00365566"/>
    <w:rsid w:val="003665A4"/>
    <w:rsid w:val="00366BD6"/>
    <w:rsid w:val="00366DFE"/>
    <w:rsid w:val="00366E31"/>
    <w:rsid w:val="0036712A"/>
    <w:rsid w:val="00367EF4"/>
    <w:rsid w:val="00370CE1"/>
    <w:rsid w:val="003722E4"/>
    <w:rsid w:val="003726DF"/>
    <w:rsid w:val="0037286C"/>
    <w:rsid w:val="00372EB8"/>
    <w:rsid w:val="00372EE1"/>
    <w:rsid w:val="00373A37"/>
    <w:rsid w:val="00373BE9"/>
    <w:rsid w:val="00373FDF"/>
    <w:rsid w:val="00374DDC"/>
    <w:rsid w:val="00374FA6"/>
    <w:rsid w:val="00374FAA"/>
    <w:rsid w:val="003750A9"/>
    <w:rsid w:val="003761D3"/>
    <w:rsid w:val="00376750"/>
    <w:rsid w:val="00376DD6"/>
    <w:rsid w:val="00377BFA"/>
    <w:rsid w:val="00377DDF"/>
    <w:rsid w:val="00380A58"/>
    <w:rsid w:val="00380C08"/>
    <w:rsid w:val="0038166F"/>
    <w:rsid w:val="00381D83"/>
    <w:rsid w:val="00381FE2"/>
    <w:rsid w:val="00382010"/>
    <w:rsid w:val="0038206F"/>
    <w:rsid w:val="00382F0C"/>
    <w:rsid w:val="0038327C"/>
    <w:rsid w:val="00383F45"/>
    <w:rsid w:val="00384310"/>
    <w:rsid w:val="00384835"/>
    <w:rsid w:val="003849A1"/>
    <w:rsid w:val="00384A18"/>
    <w:rsid w:val="00385389"/>
    <w:rsid w:val="00385529"/>
    <w:rsid w:val="0038564B"/>
    <w:rsid w:val="00385913"/>
    <w:rsid w:val="003861D6"/>
    <w:rsid w:val="00386614"/>
    <w:rsid w:val="0038718B"/>
    <w:rsid w:val="00387FC3"/>
    <w:rsid w:val="0039034F"/>
    <w:rsid w:val="003908B0"/>
    <w:rsid w:val="00390E03"/>
    <w:rsid w:val="00390F37"/>
    <w:rsid w:val="003912EF"/>
    <w:rsid w:val="003918D3"/>
    <w:rsid w:val="00392193"/>
    <w:rsid w:val="0039228A"/>
    <w:rsid w:val="00392711"/>
    <w:rsid w:val="003927A0"/>
    <w:rsid w:val="00392B8C"/>
    <w:rsid w:val="00393DDF"/>
    <w:rsid w:val="00393FEC"/>
    <w:rsid w:val="0039472B"/>
    <w:rsid w:val="00395A83"/>
    <w:rsid w:val="00395AB5"/>
    <w:rsid w:val="00395D87"/>
    <w:rsid w:val="0039790F"/>
    <w:rsid w:val="003A0208"/>
    <w:rsid w:val="003A1610"/>
    <w:rsid w:val="003A17EA"/>
    <w:rsid w:val="003A1ABA"/>
    <w:rsid w:val="003A1D1D"/>
    <w:rsid w:val="003A251C"/>
    <w:rsid w:val="003A3015"/>
    <w:rsid w:val="003A33DA"/>
    <w:rsid w:val="003A3583"/>
    <w:rsid w:val="003A39F1"/>
    <w:rsid w:val="003A4377"/>
    <w:rsid w:val="003A4568"/>
    <w:rsid w:val="003A4D98"/>
    <w:rsid w:val="003A4E43"/>
    <w:rsid w:val="003A4FC9"/>
    <w:rsid w:val="003A60A5"/>
    <w:rsid w:val="003A69F1"/>
    <w:rsid w:val="003A6C45"/>
    <w:rsid w:val="003A6C97"/>
    <w:rsid w:val="003A72B3"/>
    <w:rsid w:val="003A72BF"/>
    <w:rsid w:val="003A7FB4"/>
    <w:rsid w:val="003B07BE"/>
    <w:rsid w:val="003B091D"/>
    <w:rsid w:val="003B2488"/>
    <w:rsid w:val="003B30E0"/>
    <w:rsid w:val="003B3BD8"/>
    <w:rsid w:val="003B4034"/>
    <w:rsid w:val="003B504B"/>
    <w:rsid w:val="003B56CC"/>
    <w:rsid w:val="003B5ACF"/>
    <w:rsid w:val="003B5CF5"/>
    <w:rsid w:val="003B5E47"/>
    <w:rsid w:val="003B6BEE"/>
    <w:rsid w:val="003B7045"/>
    <w:rsid w:val="003B7672"/>
    <w:rsid w:val="003B783E"/>
    <w:rsid w:val="003B7D21"/>
    <w:rsid w:val="003C03B7"/>
    <w:rsid w:val="003C13CC"/>
    <w:rsid w:val="003C1926"/>
    <w:rsid w:val="003C287F"/>
    <w:rsid w:val="003C3A19"/>
    <w:rsid w:val="003C4331"/>
    <w:rsid w:val="003C5374"/>
    <w:rsid w:val="003C5837"/>
    <w:rsid w:val="003C678D"/>
    <w:rsid w:val="003C6815"/>
    <w:rsid w:val="003C6E8E"/>
    <w:rsid w:val="003C7090"/>
    <w:rsid w:val="003C742D"/>
    <w:rsid w:val="003C7BB1"/>
    <w:rsid w:val="003D004D"/>
    <w:rsid w:val="003D07B4"/>
    <w:rsid w:val="003D0922"/>
    <w:rsid w:val="003D0936"/>
    <w:rsid w:val="003D11ED"/>
    <w:rsid w:val="003D1AB8"/>
    <w:rsid w:val="003D1EB1"/>
    <w:rsid w:val="003D1FA8"/>
    <w:rsid w:val="003D203A"/>
    <w:rsid w:val="003D2935"/>
    <w:rsid w:val="003D3458"/>
    <w:rsid w:val="003D3749"/>
    <w:rsid w:val="003D3885"/>
    <w:rsid w:val="003D3886"/>
    <w:rsid w:val="003D3931"/>
    <w:rsid w:val="003D3EA0"/>
    <w:rsid w:val="003D4494"/>
    <w:rsid w:val="003D484F"/>
    <w:rsid w:val="003D4A06"/>
    <w:rsid w:val="003D5155"/>
    <w:rsid w:val="003D5459"/>
    <w:rsid w:val="003D5965"/>
    <w:rsid w:val="003D5CC0"/>
    <w:rsid w:val="003D76A1"/>
    <w:rsid w:val="003D7F08"/>
    <w:rsid w:val="003E0258"/>
    <w:rsid w:val="003E0B47"/>
    <w:rsid w:val="003E0D98"/>
    <w:rsid w:val="003E10D3"/>
    <w:rsid w:val="003E1D25"/>
    <w:rsid w:val="003E1D46"/>
    <w:rsid w:val="003E2252"/>
    <w:rsid w:val="003E28EA"/>
    <w:rsid w:val="003E2BA4"/>
    <w:rsid w:val="003E2D3B"/>
    <w:rsid w:val="003E3AA6"/>
    <w:rsid w:val="003E3E34"/>
    <w:rsid w:val="003E4A67"/>
    <w:rsid w:val="003E500C"/>
    <w:rsid w:val="003E74B1"/>
    <w:rsid w:val="003F031C"/>
    <w:rsid w:val="003F08F6"/>
    <w:rsid w:val="003F0A7E"/>
    <w:rsid w:val="003F25A9"/>
    <w:rsid w:val="003F305C"/>
    <w:rsid w:val="003F3995"/>
    <w:rsid w:val="003F41BC"/>
    <w:rsid w:val="003F59DD"/>
    <w:rsid w:val="003F6159"/>
    <w:rsid w:val="003F62D3"/>
    <w:rsid w:val="003F734F"/>
    <w:rsid w:val="003F7C53"/>
    <w:rsid w:val="003F7F76"/>
    <w:rsid w:val="0040024E"/>
    <w:rsid w:val="00400B78"/>
    <w:rsid w:val="00400E24"/>
    <w:rsid w:val="004012C2"/>
    <w:rsid w:val="0040178A"/>
    <w:rsid w:val="00401C06"/>
    <w:rsid w:val="00401CDC"/>
    <w:rsid w:val="0040203F"/>
    <w:rsid w:val="00402FD6"/>
    <w:rsid w:val="00403461"/>
    <w:rsid w:val="00404E7F"/>
    <w:rsid w:val="004055AD"/>
    <w:rsid w:val="00405674"/>
    <w:rsid w:val="00405A85"/>
    <w:rsid w:val="00405CDF"/>
    <w:rsid w:val="00405F8D"/>
    <w:rsid w:val="00406DAD"/>
    <w:rsid w:val="004072C6"/>
    <w:rsid w:val="00407B24"/>
    <w:rsid w:val="00407EF7"/>
    <w:rsid w:val="004100DF"/>
    <w:rsid w:val="004106BA"/>
    <w:rsid w:val="00410CB3"/>
    <w:rsid w:val="00411D3A"/>
    <w:rsid w:val="00411F1A"/>
    <w:rsid w:val="00412378"/>
    <w:rsid w:val="0041297C"/>
    <w:rsid w:val="00412AEF"/>
    <w:rsid w:val="00412D46"/>
    <w:rsid w:val="00413693"/>
    <w:rsid w:val="0041506B"/>
    <w:rsid w:val="00415934"/>
    <w:rsid w:val="00415C8F"/>
    <w:rsid w:val="004161EA"/>
    <w:rsid w:val="004164AC"/>
    <w:rsid w:val="004171B1"/>
    <w:rsid w:val="004174A4"/>
    <w:rsid w:val="00420047"/>
    <w:rsid w:val="004223DC"/>
    <w:rsid w:val="004225BE"/>
    <w:rsid w:val="00422A14"/>
    <w:rsid w:val="00423252"/>
    <w:rsid w:val="004232D8"/>
    <w:rsid w:val="004245DD"/>
    <w:rsid w:val="00424AB3"/>
    <w:rsid w:val="0042514D"/>
    <w:rsid w:val="00425D07"/>
    <w:rsid w:val="00426811"/>
    <w:rsid w:val="0043012E"/>
    <w:rsid w:val="00430C44"/>
    <w:rsid w:val="00431032"/>
    <w:rsid w:val="004315E5"/>
    <w:rsid w:val="00431F67"/>
    <w:rsid w:val="00431F9F"/>
    <w:rsid w:val="0043268A"/>
    <w:rsid w:val="00432B9B"/>
    <w:rsid w:val="00432C0D"/>
    <w:rsid w:val="00433000"/>
    <w:rsid w:val="004333AD"/>
    <w:rsid w:val="004338C4"/>
    <w:rsid w:val="00435337"/>
    <w:rsid w:val="00435BD5"/>
    <w:rsid w:val="00435D92"/>
    <w:rsid w:val="00436656"/>
    <w:rsid w:val="00436837"/>
    <w:rsid w:val="004377BA"/>
    <w:rsid w:val="00437E58"/>
    <w:rsid w:val="00440430"/>
    <w:rsid w:val="0044160B"/>
    <w:rsid w:val="00441776"/>
    <w:rsid w:val="00441C6C"/>
    <w:rsid w:val="00442091"/>
    <w:rsid w:val="0044348D"/>
    <w:rsid w:val="0044395D"/>
    <w:rsid w:val="00443E15"/>
    <w:rsid w:val="00444990"/>
    <w:rsid w:val="004455B6"/>
    <w:rsid w:val="004455C8"/>
    <w:rsid w:val="004461CF"/>
    <w:rsid w:val="0044659A"/>
    <w:rsid w:val="00446D69"/>
    <w:rsid w:val="004501D8"/>
    <w:rsid w:val="00450526"/>
    <w:rsid w:val="0045196C"/>
    <w:rsid w:val="00451D40"/>
    <w:rsid w:val="00451DA7"/>
    <w:rsid w:val="00452433"/>
    <w:rsid w:val="004560A0"/>
    <w:rsid w:val="00456437"/>
    <w:rsid w:val="004565FA"/>
    <w:rsid w:val="0045679C"/>
    <w:rsid w:val="00456882"/>
    <w:rsid w:val="00456AA1"/>
    <w:rsid w:val="00456B75"/>
    <w:rsid w:val="00456FDA"/>
    <w:rsid w:val="00461905"/>
    <w:rsid w:val="00462304"/>
    <w:rsid w:val="00462311"/>
    <w:rsid w:val="004626A8"/>
    <w:rsid w:val="004639A5"/>
    <w:rsid w:val="00463CD3"/>
    <w:rsid w:val="00463F6E"/>
    <w:rsid w:val="004645FA"/>
    <w:rsid w:val="0046463F"/>
    <w:rsid w:val="00464910"/>
    <w:rsid w:val="00466BB7"/>
    <w:rsid w:val="0047077B"/>
    <w:rsid w:val="004709B2"/>
    <w:rsid w:val="00470BE2"/>
    <w:rsid w:val="0047148D"/>
    <w:rsid w:val="00472630"/>
    <w:rsid w:val="00472780"/>
    <w:rsid w:val="00473522"/>
    <w:rsid w:val="00473857"/>
    <w:rsid w:val="00473DF9"/>
    <w:rsid w:val="00474155"/>
    <w:rsid w:val="00474E85"/>
    <w:rsid w:val="00474EA6"/>
    <w:rsid w:val="0047507D"/>
    <w:rsid w:val="00475107"/>
    <w:rsid w:val="00475645"/>
    <w:rsid w:val="00475994"/>
    <w:rsid w:val="00475E49"/>
    <w:rsid w:val="004763DA"/>
    <w:rsid w:val="00476734"/>
    <w:rsid w:val="00476CDA"/>
    <w:rsid w:val="004772D3"/>
    <w:rsid w:val="004800B2"/>
    <w:rsid w:val="004813BE"/>
    <w:rsid w:val="0048337D"/>
    <w:rsid w:val="004845CC"/>
    <w:rsid w:val="00485214"/>
    <w:rsid w:val="00485452"/>
    <w:rsid w:val="00487615"/>
    <w:rsid w:val="004879FB"/>
    <w:rsid w:val="00487B08"/>
    <w:rsid w:val="00487DF1"/>
    <w:rsid w:val="00487EA4"/>
    <w:rsid w:val="004909E7"/>
    <w:rsid w:val="0049122F"/>
    <w:rsid w:val="004912D6"/>
    <w:rsid w:val="004919B7"/>
    <w:rsid w:val="00492308"/>
    <w:rsid w:val="00493001"/>
    <w:rsid w:val="004930E5"/>
    <w:rsid w:val="00493685"/>
    <w:rsid w:val="00493BA3"/>
    <w:rsid w:val="00494096"/>
    <w:rsid w:val="004953E0"/>
    <w:rsid w:val="00495B56"/>
    <w:rsid w:val="00495C6B"/>
    <w:rsid w:val="004962D3"/>
    <w:rsid w:val="004966B4"/>
    <w:rsid w:val="0049671D"/>
    <w:rsid w:val="0049711A"/>
    <w:rsid w:val="00497632"/>
    <w:rsid w:val="004A089B"/>
    <w:rsid w:val="004A0F1B"/>
    <w:rsid w:val="004A0F43"/>
    <w:rsid w:val="004A2DF1"/>
    <w:rsid w:val="004A30A3"/>
    <w:rsid w:val="004A3202"/>
    <w:rsid w:val="004A4078"/>
    <w:rsid w:val="004A43EB"/>
    <w:rsid w:val="004A4882"/>
    <w:rsid w:val="004A59A7"/>
    <w:rsid w:val="004A624B"/>
    <w:rsid w:val="004A72AC"/>
    <w:rsid w:val="004A73A8"/>
    <w:rsid w:val="004A74D2"/>
    <w:rsid w:val="004B07AC"/>
    <w:rsid w:val="004B07E9"/>
    <w:rsid w:val="004B1E82"/>
    <w:rsid w:val="004B24A5"/>
    <w:rsid w:val="004B2AFF"/>
    <w:rsid w:val="004B2D33"/>
    <w:rsid w:val="004B300D"/>
    <w:rsid w:val="004B4628"/>
    <w:rsid w:val="004B49AE"/>
    <w:rsid w:val="004B504F"/>
    <w:rsid w:val="004B50E4"/>
    <w:rsid w:val="004B5491"/>
    <w:rsid w:val="004B5964"/>
    <w:rsid w:val="004B5BCD"/>
    <w:rsid w:val="004B68CA"/>
    <w:rsid w:val="004B7E72"/>
    <w:rsid w:val="004C04DA"/>
    <w:rsid w:val="004C05D6"/>
    <w:rsid w:val="004C12AE"/>
    <w:rsid w:val="004C29F9"/>
    <w:rsid w:val="004C2EEC"/>
    <w:rsid w:val="004C321C"/>
    <w:rsid w:val="004C338D"/>
    <w:rsid w:val="004C4C20"/>
    <w:rsid w:val="004C51E7"/>
    <w:rsid w:val="004C5977"/>
    <w:rsid w:val="004C65CF"/>
    <w:rsid w:val="004C6BDB"/>
    <w:rsid w:val="004C7048"/>
    <w:rsid w:val="004D021A"/>
    <w:rsid w:val="004D1128"/>
    <w:rsid w:val="004D1155"/>
    <w:rsid w:val="004D15C4"/>
    <w:rsid w:val="004D1923"/>
    <w:rsid w:val="004D1F0C"/>
    <w:rsid w:val="004D317E"/>
    <w:rsid w:val="004D3EA0"/>
    <w:rsid w:val="004D4214"/>
    <w:rsid w:val="004D45ED"/>
    <w:rsid w:val="004D47C9"/>
    <w:rsid w:val="004D50D7"/>
    <w:rsid w:val="004D5451"/>
    <w:rsid w:val="004D5CCF"/>
    <w:rsid w:val="004D5E34"/>
    <w:rsid w:val="004D6A4A"/>
    <w:rsid w:val="004D6D41"/>
    <w:rsid w:val="004D7385"/>
    <w:rsid w:val="004D7623"/>
    <w:rsid w:val="004D7CE3"/>
    <w:rsid w:val="004D7FC7"/>
    <w:rsid w:val="004E0A17"/>
    <w:rsid w:val="004E1B05"/>
    <w:rsid w:val="004E1DFF"/>
    <w:rsid w:val="004E2586"/>
    <w:rsid w:val="004E2828"/>
    <w:rsid w:val="004E361A"/>
    <w:rsid w:val="004E36F1"/>
    <w:rsid w:val="004E48E0"/>
    <w:rsid w:val="004E4B10"/>
    <w:rsid w:val="004E5B94"/>
    <w:rsid w:val="004E5C86"/>
    <w:rsid w:val="004E647C"/>
    <w:rsid w:val="004E6A51"/>
    <w:rsid w:val="004E6AB0"/>
    <w:rsid w:val="004E7363"/>
    <w:rsid w:val="004E7A65"/>
    <w:rsid w:val="004F039B"/>
    <w:rsid w:val="004F0D68"/>
    <w:rsid w:val="004F10CB"/>
    <w:rsid w:val="004F26E3"/>
    <w:rsid w:val="004F3310"/>
    <w:rsid w:val="004F3CD9"/>
    <w:rsid w:val="004F3D93"/>
    <w:rsid w:val="004F42EA"/>
    <w:rsid w:val="004F7124"/>
    <w:rsid w:val="004F7238"/>
    <w:rsid w:val="004F79BB"/>
    <w:rsid w:val="004F7B34"/>
    <w:rsid w:val="004F7CC5"/>
    <w:rsid w:val="00500100"/>
    <w:rsid w:val="00500315"/>
    <w:rsid w:val="0050135A"/>
    <w:rsid w:val="005014C4"/>
    <w:rsid w:val="00501643"/>
    <w:rsid w:val="005016BA"/>
    <w:rsid w:val="00501E30"/>
    <w:rsid w:val="00502674"/>
    <w:rsid w:val="00502743"/>
    <w:rsid w:val="00502CF7"/>
    <w:rsid w:val="00502F82"/>
    <w:rsid w:val="00504D46"/>
    <w:rsid w:val="00504EC8"/>
    <w:rsid w:val="0050524B"/>
    <w:rsid w:val="00505A4C"/>
    <w:rsid w:val="005060F4"/>
    <w:rsid w:val="0050625F"/>
    <w:rsid w:val="00506EC6"/>
    <w:rsid w:val="00507513"/>
    <w:rsid w:val="005078D4"/>
    <w:rsid w:val="00507F62"/>
    <w:rsid w:val="005106BB"/>
    <w:rsid w:val="00511664"/>
    <w:rsid w:val="00512408"/>
    <w:rsid w:val="00512E29"/>
    <w:rsid w:val="00513F54"/>
    <w:rsid w:val="00514765"/>
    <w:rsid w:val="00514928"/>
    <w:rsid w:val="00515031"/>
    <w:rsid w:val="005150F0"/>
    <w:rsid w:val="00515E11"/>
    <w:rsid w:val="00515F51"/>
    <w:rsid w:val="00516C4B"/>
    <w:rsid w:val="005202DF"/>
    <w:rsid w:val="0052134B"/>
    <w:rsid w:val="00522091"/>
    <w:rsid w:val="00522DCF"/>
    <w:rsid w:val="00523100"/>
    <w:rsid w:val="0052352F"/>
    <w:rsid w:val="00523794"/>
    <w:rsid w:val="00524F8A"/>
    <w:rsid w:val="00524FAB"/>
    <w:rsid w:val="005250D6"/>
    <w:rsid w:val="00525677"/>
    <w:rsid w:val="00525CBD"/>
    <w:rsid w:val="00525E2C"/>
    <w:rsid w:val="00526172"/>
    <w:rsid w:val="00526613"/>
    <w:rsid w:val="0053062A"/>
    <w:rsid w:val="00530CDE"/>
    <w:rsid w:val="005312F2"/>
    <w:rsid w:val="00531658"/>
    <w:rsid w:val="005318ED"/>
    <w:rsid w:val="00532911"/>
    <w:rsid w:val="00533C41"/>
    <w:rsid w:val="00533D88"/>
    <w:rsid w:val="0053526B"/>
    <w:rsid w:val="00535898"/>
    <w:rsid w:val="005363AD"/>
    <w:rsid w:val="00536401"/>
    <w:rsid w:val="00536C44"/>
    <w:rsid w:val="00536DFD"/>
    <w:rsid w:val="00536FE3"/>
    <w:rsid w:val="005370D0"/>
    <w:rsid w:val="00537395"/>
    <w:rsid w:val="00537A83"/>
    <w:rsid w:val="00537D0D"/>
    <w:rsid w:val="00540386"/>
    <w:rsid w:val="005405ED"/>
    <w:rsid w:val="00540E23"/>
    <w:rsid w:val="005435BE"/>
    <w:rsid w:val="0054426A"/>
    <w:rsid w:val="005447EE"/>
    <w:rsid w:val="0054498D"/>
    <w:rsid w:val="00544A32"/>
    <w:rsid w:val="00545BC0"/>
    <w:rsid w:val="00545CE7"/>
    <w:rsid w:val="00545F5C"/>
    <w:rsid w:val="005461E1"/>
    <w:rsid w:val="0054641F"/>
    <w:rsid w:val="0054654B"/>
    <w:rsid w:val="00547375"/>
    <w:rsid w:val="005475E3"/>
    <w:rsid w:val="005479B7"/>
    <w:rsid w:val="00547F30"/>
    <w:rsid w:val="00550ED3"/>
    <w:rsid w:val="005514E2"/>
    <w:rsid w:val="0055177F"/>
    <w:rsid w:val="00553673"/>
    <w:rsid w:val="00555209"/>
    <w:rsid w:val="005554BC"/>
    <w:rsid w:val="00555774"/>
    <w:rsid w:val="00555EBB"/>
    <w:rsid w:val="005577EF"/>
    <w:rsid w:val="005600F9"/>
    <w:rsid w:val="0056012C"/>
    <w:rsid w:val="00560132"/>
    <w:rsid w:val="0056039B"/>
    <w:rsid w:val="005606D7"/>
    <w:rsid w:val="00560B50"/>
    <w:rsid w:val="00561C39"/>
    <w:rsid w:val="00561CEC"/>
    <w:rsid w:val="0056244A"/>
    <w:rsid w:val="00562D59"/>
    <w:rsid w:val="00563652"/>
    <w:rsid w:val="00563734"/>
    <w:rsid w:val="005648AB"/>
    <w:rsid w:val="00564B24"/>
    <w:rsid w:val="00564B2E"/>
    <w:rsid w:val="00564F21"/>
    <w:rsid w:val="00565491"/>
    <w:rsid w:val="005661B9"/>
    <w:rsid w:val="00566239"/>
    <w:rsid w:val="00566F61"/>
    <w:rsid w:val="00567260"/>
    <w:rsid w:val="005674D8"/>
    <w:rsid w:val="00570149"/>
    <w:rsid w:val="005701CA"/>
    <w:rsid w:val="00571517"/>
    <w:rsid w:val="00574C37"/>
    <w:rsid w:val="0057502A"/>
    <w:rsid w:val="00575349"/>
    <w:rsid w:val="00575A1F"/>
    <w:rsid w:val="00576029"/>
    <w:rsid w:val="00576E3E"/>
    <w:rsid w:val="005770D2"/>
    <w:rsid w:val="00577FD6"/>
    <w:rsid w:val="00580D17"/>
    <w:rsid w:val="005812E0"/>
    <w:rsid w:val="005814E4"/>
    <w:rsid w:val="0058160F"/>
    <w:rsid w:val="00581CEA"/>
    <w:rsid w:val="00582FE8"/>
    <w:rsid w:val="005831A5"/>
    <w:rsid w:val="0058351D"/>
    <w:rsid w:val="00583623"/>
    <w:rsid w:val="005836B4"/>
    <w:rsid w:val="0058425C"/>
    <w:rsid w:val="005843E9"/>
    <w:rsid w:val="00584F2D"/>
    <w:rsid w:val="0058531C"/>
    <w:rsid w:val="005857DA"/>
    <w:rsid w:val="005857E0"/>
    <w:rsid w:val="00586279"/>
    <w:rsid w:val="0058797B"/>
    <w:rsid w:val="00590CF3"/>
    <w:rsid w:val="00590D4B"/>
    <w:rsid w:val="00591300"/>
    <w:rsid w:val="0059155B"/>
    <w:rsid w:val="005936AD"/>
    <w:rsid w:val="005939A3"/>
    <w:rsid w:val="005945A4"/>
    <w:rsid w:val="005954FA"/>
    <w:rsid w:val="0059556E"/>
    <w:rsid w:val="0059575D"/>
    <w:rsid w:val="005962F2"/>
    <w:rsid w:val="00596C42"/>
    <w:rsid w:val="00597188"/>
    <w:rsid w:val="00597C08"/>
    <w:rsid w:val="00597C71"/>
    <w:rsid w:val="005A0159"/>
    <w:rsid w:val="005A0470"/>
    <w:rsid w:val="005A0F30"/>
    <w:rsid w:val="005A13C3"/>
    <w:rsid w:val="005A156C"/>
    <w:rsid w:val="005A2C79"/>
    <w:rsid w:val="005A2C95"/>
    <w:rsid w:val="005A34FE"/>
    <w:rsid w:val="005A4489"/>
    <w:rsid w:val="005A4824"/>
    <w:rsid w:val="005A4A67"/>
    <w:rsid w:val="005A7600"/>
    <w:rsid w:val="005A7990"/>
    <w:rsid w:val="005A7BB3"/>
    <w:rsid w:val="005A7D7B"/>
    <w:rsid w:val="005A7F25"/>
    <w:rsid w:val="005B0016"/>
    <w:rsid w:val="005B0023"/>
    <w:rsid w:val="005B083D"/>
    <w:rsid w:val="005B0897"/>
    <w:rsid w:val="005B08EA"/>
    <w:rsid w:val="005B0C61"/>
    <w:rsid w:val="005B0CCD"/>
    <w:rsid w:val="005B1077"/>
    <w:rsid w:val="005B265A"/>
    <w:rsid w:val="005B27DE"/>
    <w:rsid w:val="005B2A79"/>
    <w:rsid w:val="005B33CB"/>
    <w:rsid w:val="005B35BE"/>
    <w:rsid w:val="005B36F9"/>
    <w:rsid w:val="005B4724"/>
    <w:rsid w:val="005B4B5E"/>
    <w:rsid w:val="005B5EB5"/>
    <w:rsid w:val="005B5EE4"/>
    <w:rsid w:val="005B78EE"/>
    <w:rsid w:val="005B7955"/>
    <w:rsid w:val="005B7968"/>
    <w:rsid w:val="005C038E"/>
    <w:rsid w:val="005C05E7"/>
    <w:rsid w:val="005C0C70"/>
    <w:rsid w:val="005C0D72"/>
    <w:rsid w:val="005C1E2A"/>
    <w:rsid w:val="005C2139"/>
    <w:rsid w:val="005C2456"/>
    <w:rsid w:val="005C2AF9"/>
    <w:rsid w:val="005C2EA8"/>
    <w:rsid w:val="005C3AC1"/>
    <w:rsid w:val="005C3D3E"/>
    <w:rsid w:val="005C4650"/>
    <w:rsid w:val="005C4B4F"/>
    <w:rsid w:val="005C4DFF"/>
    <w:rsid w:val="005C5B1A"/>
    <w:rsid w:val="005C5DB7"/>
    <w:rsid w:val="005C616B"/>
    <w:rsid w:val="005C63EC"/>
    <w:rsid w:val="005C687D"/>
    <w:rsid w:val="005C6D2D"/>
    <w:rsid w:val="005C6E03"/>
    <w:rsid w:val="005C741B"/>
    <w:rsid w:val="005D0FBC"/>
    <w:rsid w:val="005D1042"/>
    <w:rsid w:val="005D1171"/>
    <w:rsid w:val="005D1252"/>
    <w:rsid w:val="005D1811"/>
    <w:rsid w:val="005D19E7"/>
    <w:rsid w:val="005D200F"/>
    <w:rsid w:val="005D268B"/>
    <w:rsid w:val="005D3A88"/>
    <w:rsid w:val="005D42A4"/>
    <w:rsid w:val="005D46D5"/>
    <w:rsid w:val="005D5FAF"/>
    <w:rsid w:val="005D61A6"/>
    <w:rsid w:val="005D6594"/>
    <w:rsid w:val="005D676C"/>
    <w:rsid w:val="005D7C9B"/>
    <w:rsid w:val="005E1E12"/>
    <w:rsid w:val="005E1FF9"/>
    <w:rsid w:val="005E2651"/>
    <w:rsid w:val="005E29F7"/>
    <w:rsid w:val="005E3815"/>
    <w:rsid w:val="005E3AF7"/>
    <w:rsid w:val="005E3C1B"/>
    <w:rsid w:val="005E4522"/>
    <w:rsid w:val="005E4581"/>
    <w:rsid w:val="005E4764"/>
    <w:rsid w:val="005E4C95"/>
    <w:rsid w:val="005E4F8A"/>
    <w:rsid w:val="005E5080"/>
    <w:rsid w:val="005E5201"/>
    <w:rsid w:val="005E65B8"/>
    <w:rsid w:val="005E66B1"/>
    <w:rsid w:val="005E676D"/>
    <w:rsid w:val="005E6A02"/>
    <w:rsid w:val="005E6E71"/>
    <w:rsid w:val="005E6E8C"/>
    <w:rsid w:val="005E72FC"/>
    <w:rsid w:val="005E75EF"/>
    <w:rsid w:val="005E77D6"/>
    <w:rsid w:val="005F025C"/>
    <w:rsid w:val="005F0618"/>
    <w:rsid w:val="005F0A9E"/>
    <w:rsid w:val="005F0AA6"/>
    <w:rsid w:val="005F0C02"/>
    <w:rsid w:val="005F0ED0"/>
    <w:rsid w:val="005F0F25"/>
    <w:rsid w:val="005F0FAA"/>
    <w:rsid w:val="005F0FBC"/>
    <w:rsid w:val="005F185D"/>
    <w:rsid w:val="005F1E25"/>
    <w:rsid w:val="005F22DA"/>
    <w:rsid w:val="005F2379"/>
    <w:rsid w:val="005F320B"/>
    <w:rsid w:val="005F3955"/>
    <w:rsid w:val="005F3D55"/>
    <w:rsid w:val="005F4323"/>
    <w:rsid w:val="005F4A3A"/>
    <w:rsid w:val="005F5BAC"/>
    <w:rsid w:val="005F5C68"/>
    <w:rsid w:val="005F5E5B"/>
    <w:rsid w:val="005F6234"/>
    <w:rsid w:val="005F7268"/>
    <w:rsid w:val="006007A0"/>
    <w:rsid w:val="00600E31"/>
    <w:rsid w:val="00602665"/>
    <w:rsid w:val="006031BB"/>
    <w:rsid w:val="006041D9"/>
    <w:rsid w:val="006049AB"/>
    <w:rsid w:val="00604C63"/>
    <w:rsid w:val="006051D9"/>
    <w:rsid w:val="0060527B"/>
    <w:rsid w:val="00605E1F"/>
    <w:rsid w:val="00605FEF"/>
    <w:rsid w:val="00606A0F"/>
    <w:rsid w:val="00606B4E"/>
    <w:rsid w:val="00607983"/>
    <w:rsid w:val="00607D53"/>
    <w:rsid w:val="00610396"/>
    <w:rsid w:val="00610611"/>
    <w:rsid w:val="00610D2B"/>
    <w:rsid w:val="00610F9E"/>
    <w:rsid w:val="0061285E"/>
    <w:rsid w:val="00612A1C"/>
    <w:rsid w:val="006136F4"/>
    <w:rsid w:val="00613F1C"/>
    <w:rsid w:val="00614061"/>
    <w:rsid w:val="00614ACF"/>
    <w:rsid w:val="00614D30"/>
    <w:rsid w:val="00614DD3"/>
    <w:rsid w:val="00615291"/>
    <w:rsid w:val="00615805"/>
    <w:rsid w:val="006158C1"/>
    <w:rsid w:val="00616000"/>
    <w:rsid w:val="006160CF"/>
    <w:rsid w:val="006163CD"/>
    <w:rsid w:val="006163D1"/>
    <w:rsid w:val="00616B11"/>
    <w:rsid w:val="00617FA8"/>
    <w:rsid w:val="00621D97"/>
    <w:rsid w:val="00621F81"/>
    <w:rsid w:val="00623045"/>
    <w:rsid w:val="00623633"/>
    <w:rsid w:val="00624558"/>
    <w:rsid w:val="00624F7E"/>
    <w:rsid w:val="006262A8"/>
    <w:rsid w:val="006266BE"/>
    <w:rsid w:val="006270DE"/>
    <w:rsid w:val="006279FF"/>
    <w:rsid w:val="00627BC7"/>
    <w:rsid w:val="00627C5A"/>
    <w:rsid w:val="006300F5"/>
    <w:rsid w:val="00631456"/>
    <w:rsid w:val="0063175E"/>
    <w:rsid w:val="00632CB6"/>
    <w:rsid w:val="00632D40"/>
    <w:rsid w:val="00633749"/>
    <w:rsid w:val="006337F1"/>
    <w:rsid w:val="0063380B"/>
    <w:rsid w:val="00633EEB"/>
    <w:rsid w:val="00634364"/>
    <w:rsid w:val="00634E07"/>
    <w:rsid w:val="00634E5A"/>
    <w:rsid w:val="00635474"/>
    <w:rsid w:val="006359BF"/>
    <w:rsid w:val="00635B8C"/>
    <w:rsid w:val="00635F57"/>
    <w:rsid w:val="00636219"/>
    <w:rsid w:val="00636906"/>
    <w:rsid w:val="006376ED"/>
    <w:rsid w:val="0063797D"/>
    <w:rsid w:val="00637D3F"/>
    <w:rsid w:val="00637E93"/>
    <w:rsid w:val="00640A73"/>
    <w:rsid w:val="00641331"/>
    <w:rsid w:val="00641665"/>
    <w:rsid w:val="00642040"/>
    <w:rsid w:val="00642C04"/>
    <w:rsid w:val="00642C58"/>
    <w:rsid w:val="00642FAD"/>
    <w:rsid w:val="0064323E"/>
    <w:rsid w:val="006432CD"/>
    <w:rsid w:val="00643C5D"/>
    <w:rsid w:val="00644C9C"/>
    <w:rsid w:val="00644DF4"/>
    <w:rsid w:val="00645C6F"/>
    <w:rsid w:val="006469F8"/>
    <w:rsid w:val="0064782E"/>
    <w:rsid w:val="00650096"/>
    <w:rsid w:val="0065066B"/>
    <w:rsid w:val="0065093A"/>
    <w:rsid w:val="00650D31"/>
    <w:rsid w:val="0065133F"/>
    <w:rsid w:val="00651716"/>
    <w:rsid w:val="00651FAB"/>
    <w:rsid w:val="00652EF5"/>
    <w:rsid w:val="006540C9"/>
    <w:rsid w:val="00654894"/>
    <w:rsid w:val="006549C2"/>
    <w:rsid w:val="00654E32"/>
    <w:rsid w:val="006551C8"/>
    <w:rsid w:val="006552AF"/>
    <w:rsid w:val="006554B7"/>
    <w:rsid w:val="006555A3"/>
    <w:rsid w:val="00655A75"/>
    <w:rsid w:val="00655EF8"/>
    <w:rsid w:val="00655F87"/>
    <w:rsid w:val="006569BA"/>
    <w:rsid w:val="00656C6D"/>
    <w:rsid w:val="00656D24"/>
    <w:rsid w:val="006570B7"/>
    <w:rsid w:val="006575A4"/>
    <w:rsid w:val="00657AD5"/>
    <w:rsid w:val="006602DA"/>
    <w:rsid w:val="006610E5"/>
    <w:rsid w:val="00661271"/>
    <w:rsid w:val="006613C5"/>
    <w:rsid w:val="006622E9"/>
    <w:rsid w:val="00662CEF"/>
    <w:rsid w:val="00663000"/>
    <w:rsid w:val="00663DA7"/>
    <w:rsid w:val="00663E31"/>
    <w:rsid w:val="00663E94"/>
    <w:rsid w:val="006641CC"/>
    <w:rsid w:val="006645E3"/>
    <w:rsid w:val="00665A6A"/>
    <w:rsid w:val="00665D70"/>
    <w:rsid w:val="00666B73"/>
    <w:rsid w:val="00667493"/>
    <w:rsid w:val="00667610"/>
    <w:rsid w:val="0066764D"/>
    <w:rsid w:val="00667A94"/>
    <w:rsid w:val="00670617"/>
    <w:rsid w:val="00670B76"/>
    <w:rsid w:val="00671BBC"/>
    <w:rsid w:val="00671EB0"/>
    <w:rsid w:val="00672082"/>
    <w:rsid w:val="006732C7"/>
    <w:rsid w:val="00673CD5"/>
    <w:rsid w:val="00674871"/>
    <w:rsid w:val="006751FC"/>
    <w:rsid w:val="00675895"/>
    <w:rsid w:val="0067601C"/>
    <w:rsid w:val="006761D8"/>
    <w:rsid w:val="006764DC"/>
    <w:rsid w:val="00676584"/>
    <w:rsid w:val="00676C3A"/>
    <w:rsid w:val="006776ED"/>
    <w:rsid w:val="00677A1C"/>
    <w:rsid w:val="00677D20"/>
    <w:rsid w:val="0068006E"/>
    <w:rsid w:val="0068020E"/>
    <w:rsid w:val="006809CB"/>
    <w:rsid w:val="00680C7E"/>
    <w:rsid w:val="00681E83"/>
    <w:rsid w:val="006826E6"/>
    <w:rsid w:val="00682A19"/>
    <w:rsid w:val="00682F41"/>
    <w:rsid w:val="006830C1"/>
    <w:rsid w:val="006835E8"/>
    <w:rsid w:val="00684056"/>
    <w:rsid w:val="006843F9"/>
    <w:rsid w:val="00684BD3"/>
    <w:rsid w:val="00684CCA"/>
    <w:rsid w:val="00685B0F"/>
    <w:rsid w:val="006862B8"/>
    <w:rsid w:val="00686568"/>
    <w:rsid w:val="00687E40"/>
    <w:rsid w:val="00690B0F"/>
    <w:rsid w:val="00691EEB"/>
    <w:rsid w:val="00692297"/>
    <w:rsid w:val="0069247E"/>
    <w:rsid w:val="00693982"/>
    <w:rsid w:val="00693B7A"/>
    <w:rsid w:val="00694303"/>
    <w:rsid w:val="006943B3"/>
    <w:rsid w:val="006948D6"/>
    <w:rsid w:val="00694A02"/>
    <w:rsid w:val="00695418"/>
    <w:rsid w:val="00696EE6"/>
    <w:rsid w:val="00697172"/>
    <w:rsid w:val="006A0378"/>
    <w:rsid w:val="006A08E0"/>
    <w:rsid w:val="006A0EB6"/>
    <w:rsid w:val="006A0F7A"/>
    <w:rsid w:val="006A20A0"/>
    <w:rsid w:val="006A33DE"/>
    <w:rsid w:val="006A3840"/>
    <w:rsid w:val="006A4417"/>
    <w:rsid w:val="006A514E"/>
    <w:rsid w:val="006A5EC2"/>
    <w:rsid w:val="006A5FAF"/>
    <w:rsid w:val="006A7394"/>
    <w:rsid w:val="006A7A64"/>
    <w:rsid w:val="006A7FDE"/>
    <w:rsid w:val="006B02CB"/>
    <w:rsid w:val="006B068D"/>
    <w:rsid w:val="006B0F62"/>
    <w:rsid w:val="006B0FC0"/>
    <w:rsid w:val="006B14BB"/>
    <w:rsid w:val="006B2E67"/>
    <w:rsid w:val="006B32D3"/>
    <w:rsid w:val="006B3AAB"/>
    <w:rsid w:val="006B3B25"/>
    <w:rsid w:val="006B477C"/>
    <w:rsid w:val="006B48C4"/>
    <w:rsid w:val="006B5074"/>
    <w:rsid w:val="006B56ED"/>
    <w:rsid w:val="006B5D28"/>
    <w:rsid w:val="006B5E6B"/>
    <w:rsid w:val="006B5E6C"/>
    <w:rsid w:val="006B68D9"/>
    <w:rsid w:val="006B6E59"/>
    <w:rsid w:val="006B7697"/>
    <w:rsid w:val="006B7994"/>
    <w:rsid w:val="006C04F6"/>
    <w:rsid w:val="006C051A"/>
    <w:rsid w:val="006C06C8"/>
    <w:rsid w:val="006C1381"/>
    <w:rsid w:val="006C152C"/>
    <w:rsid w:val="006C1F2D"/>
    <w:rsid w:val="006C321C"/>
    <w:rsid w:val="006C3761"/>
    <w:rsid w:val="006C47C3"/>
    <w:rsid w:val="006C49A3"/>
    <w:rsid w:val="006C4E80"/>
    <w:rsid w:val="006C5444"/>
    <w:rsid w:val="006C654A"/>
    <w:rsid w:val="006C675A"/>
    <w:rsid w:val="006C70E7"/>
    <w:rsid w:val="006C7F2B"/>
    <w:rsid w:val="006D0499"/>
    <w:rsid w:val="006D0E13"/>
    <w:rsid w:val="006D0FCB"/>
    <w:rsid w:val="006D27BA"/>
    <w:rsid w:val="006D3806"/>
    <w:rsid w:val="006D3E3C"/>
    <w:rsid w:val="006D4083"/>
    <w:rsid w:val="006D435A"/>
    <w:rsid w:val="006D4C22"/>
    <w:rsid w:val="006D5781"/>
    <w:rsid w:val="006D62C4"/>
    <w:rsid w:val="006D6D9E"/>
    <w:rsid w:val="006D704D"/>
    <w:rsid w:val="006D7263"/>
    <w:rsid w:val="006D72D6"/>
    <w:rsid w:val="006D72E7"/>
    <w:rsid w:val="006E0CD7"/>
    <w:rsid w:val="006E1597"/>
    <w:rsid w:val="006E3510"/>
    <w:rsid w:val="006E3C57"/>
    <w:rsid w:val="006E4678"/>
    <w:rsid w:val="006E4C40"/>
    <w:rsid w:val="006E55B8"/>
    <w:rsid w:val="006E5922"/>
    <w:rsid w:val="006E657D"/>
    <w:rsid w:val="006E6CBC"/>
    <w:rsid w:val="006E6F98"/>
    <w:rsid w:val="006E7F30"/>
    <w:rsid w:val="006F0A2E"/>
    <w:rsid w:val="006F1011"/>
    <w:rsid w:val="006F10E4"/>
    <w:rsid w:val="006F25C7"/>
    <w:rsid w:val="006F36C6"/>
    <w:rsid w:val="006F37B1"/>
    <w:rsid w:val="006F3F8F"/>
    <w:rsid w:val="006F40A1"/>
    <w:rsid w:val="006F4A61"/>
    <w:rsid w:val="006F4D51"/>
    <w:rsid w:val="006F50AF"/>
    <w:rsid w:val="006F5CB8"/>
    <w:rsid w:val="006F5FBB"/>
    <w:rsid w:val="006F6416"/>
    <w:rsid w:val="006F6553"/>
    <w:rsid w:val="006F6B4B"/>
    <w:rsid w:val="006F6C3C"/>
    <w:rsid w:val="006F7E03"/>
    <w:rsid w:val="006F7ECF"/>
    <w:rsid w:val="007001E9"/>
    <w:rsid w:val="00700273"/>
    <w:rsid w:val="00700B5E"/>
    <w:rsid w:val="007014FF"/>
    <w:rsid w:val="00701D00"/>
    <w:rsid w:val="00704004"/>
    <w:rsid w:val="00704FB2"/>
    <w:rsid w:val="00705989"/>
    <w:rsid w:val="00706DB4"/>
    <w:rsid w:val="0070751D"/>
    <w:rsid w:val="00710AE8"/>
    <w:rsid w:val="00710D28"/>
    <w:rsid w:val="0071123F"/>
    <w:rsid w:val="00711355"/>
    <w:rsid w:val="007119D3"/>
    <w:rsid w:val="007124C7"/>
    <w:rsid w:val="00712F80"/>
    <w:rsid w:val="00713635"/>
    <w:rsid w:val="00713B6C"/>
    <w:rsid w:val="00713DB7"/>
    <w:rsid w:val="007150CD"/>
    <w:rsid w:val="00715AE9"/>
    <w:rsid w:val="00716400"/>
    <w:rsid w:val="00716890"/>
    <w:rsid w:val="00716B63"/>
    <w:rsid w:val="00717369"/>
    <w:rsid w:val="00720775"/>
    <w:rsid w:val="00721BD9"/>
    <w:rsid w:val="007223FC"/>
    <w:rsid w:val="007227D6"/>
    <w:rsid w:val="007229F6"/>
    <w:rsid w:val="0072389C"/>
    <w:rsid w:val="007238E9"/>
    <w:rsid w:val="00723C8F"/>
    <w:rsid w:val="0072427F"/>
    <w:rsid w:val="00724AC7"/>
    <w:rsid w:val="00726128"/>
    <w:rsid w:val="0072622F"/>
    <w:rsid w:val="00726486"/>
    <w:rsid w:val="0072652F"/>
    <w:rsid w:val="00726896"/>
    <w:rsid w:val="00726B0D"/>
    <w:rsid w:val="0072756C"/>
    <w:rsid w:val="00730458"/>
    <w:rsid w:val="00730E37"/>
    <w:rsid w:val="007310D9"/>
    <w:rsid w:val="00732359"/>
    <w:rsid w:val="0073261A"/>
    <w:rsid w:val="0073333B"/>
    <w:rsid w:val="00733735"/>
    <w:rsid w:val="007343C9"/>
    <w:rsid w:val="00734659"/>
    <w:rsid w:val="00734718"/>
    <w:rsid w:val="00734C32"/>
    <w:rsid w:val="00735E4E"/>
    <w:rsid w:val="00735F36"/>
    <w:rsid w:val="0073766E"/>
    <w:rsid w:val="007378CE"/>
    <w:rsid w:val="00740B17"/>
    <w:rsid w:val="007418D6"/>
    <w:rsid w:val="007433D6"/>
    <w:rsid w:val="00743653"/>
    <w:rsid w:val="00743BE2"/>
    <w:rsid w:val="00743F5F"/>
    <w:rsid w:val="007459F9"/>
    <w:rsid w:val="0074780B"/>
    <w:rsid w:val="00747C82"/>
    <w:rsid w:val="00747D9E"/>
    <w:rsid w:val="00750FF4"/>
    <w:rsid w:val="00751457"/>
    <w:rsid w:val="00751493"/>
    <w:rsid w:val="007516F5"/>
    <w:rsid w:val="00752E32"/>
    <w:rsid w:val="0075329C"/>
    <w:rsid w:val="0075347F"/>
    <w:rsid w:val="00753619"/>
    <w:rsid w:val="007548A1"/>
    <w:rsid w:val="00754CD2"/>
    <w:rsid w:val="00755BCF"/>
    <w:rsid w:val="00755D57"/>
    <w:rsid w:val="00757425"/>
    <w:rsid w:val="00757E44"/>
    <w:rsid w:val="007601EB"/>
    <w:rsid w:val="0076085E"/>
    <w:rsid w:val="00760ACC"/>
    <w:rsid w:val="007614E1"/>
    <w:rsid w:val="00761E50"/>
    <w:rsid w:val="00762E91"/>
    <w:rsid w:val="0076343E"/>
    <w:rsid w:val="00763E6A"/>
    <w:rsid w:val="00764539"/>
    <w:rsid w:val="00764A2C"/>
    <w:rsid w:val="00764D9A"/>
    <w:rsid w:val="00764DD4"/>
    <w:rsid w:val="00764ED9"/>
    <w:rsid w:val="007660DA"/>
    <w:rsid w:val="0076614C"/>
    <w:rsid w:val="00766183"/>
    <w:rsid w:val="00766603"/>
    <w:rsid w:val="007670C5"/>
    <w:rsid w:val="00767491"/>
    <w:rsid w:val="00767B60"/>
    <w:rsid w:val="00767B61"/>
    <w:rsid w:val="00767F7A"/>
    <w:rsid w:val="007702AE"/>
    <w:rsid w:val="007704C9"/>
    <w:rsid w:val="0077051C"/>
    <w:rsid w:val="00771EC4"/>
    <w:rsid w:val="00774037"/>
    <w:rsid w:val="0077410B"/>
    <w:rsid w:val="00774395"/>
    <w:rsid w:val="00774CD6"/>
    <w:rsid w:val="007752B8"/>
    <w:rsid w:val="00776085"/>
    <w:rsid w:val="007767A0"/>
    <w:rsid w:val="00776907"/>
    <w:rsid w:val="00776A94"/>
    <w:rsid w:val="00776DD1"/>
    <w:rsid w:val="00777758"/>
    <w:rsid w:val="00780182"/>
    <w:rsid w:val="0078035D"/>
    <w:rsid w:val="0078141F"/>
    <w:rsid w:val="007816C1"/>
    <w:rsid w:val="0078278F"/>
    <w:rsid w:val="00782DBD"/>
    <w:rsid w:val="00783320"/>
    <w:rsid w:val="00783AAD"/>
    <w:rsid w:val="007840AF"/>
    <w:rsid w:val="00784BFD"/>
    <w:rsid w:val="0078503E"/>
    <w:rsid w:val="00785C21"/>
    <w:rsid w:val="00785D45"/>
    <w:rsid w:val="0078733A"/>
    <w:rsid w:val="00787791"/>
    <w:rsid w:val="0078795A"/>
    <w:rsid w:val="00787CDB"/>
    <w:rsid w:val="00790323"/>
    <w:rsid w:val="007903BD"/>
    <w:rsid w:val="00791328"/>
    <w:rsid w:val="00791C3F"/>
    <w:rsid w:val="00792628"/>
    <w:rsid w:val="00792E3A"/>
    <w:rsid w:val="007930BF"/>
    <w:rsid w:val="0079413F"/>
    <w:rsid w:val="00794527"/>
    <w:rsid w:val="0079473A"/>
    <w:rsid w:val="007947C9"/>
    <w:rsid w:val="00796767"/>
    <w:rsid w:val="00796C3A"/>
    <w:rsid w:val="00797066"/>
    <w:rsid w:val="00797824"/>
    <w:rsid w:val="007A016B"/>
    <w:rsid w:val="007A068D"/>
    <w:rsid w:val="007A0FCA"/>
    <w:rsid w:val="007A17B1"/>
    <w:rsid w:val="007A17E7"/>
    <w:rsid w:val="007A236F"/>
    <w:rsid w:val="007A2802"/>
    <w:rsid w:val="007A29C3"/>
    <w:rsid w:val="007A2C24"/>
    <w:rsid w:val="007A2E8C"/>
    <w:rsid w:val="007A4E67"/>
    <w:rsid w:val="007A688C"/>
    <w:rsid w:val="007A70A3"/>
    <w:rsid w:val="007A70D6"/>
    <w:rsid w:val="007A7764"/>
    <w:rsid w:val="007B0E47"/>
    <w:rsid w:val="007B1555"/>
    <w:rsid w:val="007B1608"/>
    <w:rsid w:val="007B1A17"/>
    <w:rsid w:val="007B31DC"/>
    <w:rsid w:val="007B41C6"/>
    <w:rsid w:val="007B4671"/>
    <w:rsid w:val="007B53A6"/>
    <w:rsid w:val="007B5D3A"/>
    <w:rsid w:val="007B656B"/>
    <w:rsid w:val="007B73AB"/>
    <w:rsid w:val="007B7735"/>
    <w:rsid w:val="007B7E52"/>
    <w:rsid w:val="007C013D"/>
    <w:rsid w:val="007C1E41"/>
    <w:rsid w:val="007C227F"/>
    <w:rsid w:val="007C2B54"/>
    <w:rsid w:val="007C3292"/>
    <w:rsid w:val="007C3939"/>
    <w:rsid w:val="007C3DB5"/>
    <w:rsid w:val="007C40E7"/>
    <w:rsid w:val="007C4BF3"/>
    <w:rsid w:val="007C7179"/>
    <w:rsid w:val="007C763E"/>
    <w:rsid w:val="007D02CE"/>
    <w:rsid w:val="007D05A6"/>
    <w:rsid w:val="007D0E6E"/>
    <w:rsid w:val="007D2650"/>
    <w:rsid w:val="007D26E0"/>
    <w:rsid w:val="007D3019"/>
    <w:rsid w:val="007D36B5"/>
    <w:rsid w:val="007D3FC8"/>
    <w:rsid w:val="007D47D4"/>
    <w:rsid w:val="007D4BEE"/>
    <w:rsid w:val="007D5396"/>
    <w:rsid w:val="007D57EC"/>
    <w:rsid w:val="007D5B30"/>
    <w:rsid w:val="007D5BCF"/>
    <w:rsid w:val="007D6112"/>
    <w:rsid w:val="007D6805"/>
    <w:rsid w:val="007D6886"/>
    <w:rsid w:val="007D6A67"/>
    <w:rsid w:val="007D7377"/>
    <w:rsid w:val="007D75F9"/>
    <w:rsid w:val="007D7A78"/>
    <w:rsid w:val="007E0059"/>
    <w:rsid w:val="007E006A"/>
    <w:rsid w:val="007E0152"/>
    <w:rsid w:val="007E0215"/>
    <w:rsid w:val="007E155B"/>
    <w:rsid w:val="007E17BF"/>
    <w:rsid w:val="007E1C06"/>
    <w:rsid w:val="007E2A9E"/>
    <w:rsid w:val="007E2E74"/>
    <w:rsid w:val="007E35AA"/>
    <w:rsid w:val="007E3BB0"/>
    <w:rsid w:val="007E3E5E"/>
    <w:rsid w:val="007E462F"/>
    <w:rsid w:val="007E5C19"/>
    <w:rsid w:val="007E6191"/>
    <w:rsid w:val="007E6C94"/>
    <w:rsid w:val="007E7C1F"/>
    <w:rsid w:val="007E7FA6"/>
    <w:rsid w:val="007F0C5D"/>
    <w:rsid w:val="007F1DC9"/>
    <w:rsid w:val="007F2C37"/>
    <w:rsid w:val="007F3006"/>
    <w:rsid w:val="007F3A30"/>
    <w:rsid w:val="007F3E0B"/>
    <w:rsid w:val="007F465A"/>
    <w:rsid w:val="007F5FF4"/>
    <w:rsid w:val="007F69AB"/>
    <w:rsid w:val="007F718C"/>
    <w:rsid w:val="008002EB"/>
    <w:rsid w:val="00800C09"/>
    <w:rsid w:val="008015E0"/>
    <w:rsid w:val="00801C97"/>
    <w:rsid w:val="0080206D"/>
    <w:rsid w:val="00802408"/>
    <w:rsid w:val="00802E6D"/>
    <w:rsid w:val="008039B6"/>
    <w:rsid w:val="00803E2F"/>
    <w:rsid w:val="00803E83"/>
    <w:rsid w:val="00804090"/>
    <w:rsid w:val="00804AD4"/>
    <w:rsid w:val="00804E73"/>
    <w:rsid w:val="00804F1A"/>
    <w:rsid w:val="0080577D"/>
    <w:rsid w:val="00805C39"/>
    <w:rsid w:val="008060D0"/>
    <w:rsid w:val="008064E7"/>
    <w:rsid w:val="00806705"/>
    <w:rsid w:val="00807310"/>
    <w:rsid w:val="00810D4F"/>
    <w:rsid w:val="00812E1E"/>
    <w:rsid w:val="008138FB"/>
    <w:rsid w:val="0081408A"/>
    <w:rsid w:val="00814444"/>
    <w:rsid w:val="00815FFB"/>
    <w:rsid w:val="00816448"/>
    <w:rsid w:val="00816AE5"/>
    <w:rsid w:val="00817D79"/>
    <w:rsid w:val="0082015A"/>
    <w:rsid w:val="00820AC6"/>
    <w:rsid w:val="00820B15"/>
    <w:rsid w:val="00820DA5"/>
    <w:rsid w:val="008219CA"/>
    <w:rsid w:val="00822C19"/>
    <w:rsid w:val="00823436"/>
    <w:rsid w:val="0082361D"/>
    <w:rsid w:val="008237D0"/>
    <w:rsid w:val="00823BFA"/>
    <w:rsid w:val="0082414B"/>
    <w:rsid w:val="0082421B"/>
    <w:rsid w:val="0082610F"/>
    <w:rsid w:val="00826115"/>
    <w:rsid w:val="00826397"/>
    <w:rsid w:val="00826B47"/>
    <w:rsid w:val="00827665"/>
    <w:rsid w:val="00827B67"/>
    <w:rsid w:val="00827E0C"/>
    <w:rsid w:val="0083021B"/>
    <w:rsid w:val="00830B1D"/>
    <w:rsid w:val="00830E34"/>
    <w:rsid w:val="00831753"/>
    <w:rsid w:val="00831D5B"/>
    <w:rsid w:val="00831E2A"/>
    <w:rsid w:val="0083233C"/>
    <w:rsid w:val="00832401"/>
    <w:rsid w:val="00832F8B"/>
    <w:rsid w:val="00834593"/>
    <w:rsid w:val="00834706"/>
    <w:rsid w:val="00834CCF"/>
    <w:rsid w:val="00836212"/>
    <w:rsid w:val="00836944"/>
    <w:rsid w:val="00836E2B"/>
    <w:rsid w:val="0083740B"/>
    <w:rsid w:val="00840195"/>
    <w:rsid w:val="00840915"/>
    <w:rsid w:val="008417E5"/>
    <w:rsid w:val="008424E1"/>
    <w:rsid w:val="00842FF0"/>
    <w:rsid w:val="008439D9"/>
    <w:rsid w:val="008442E0"/>
    <w:rsid w:val="008447D0"/>
    <w:rsid w:val="008448ED"/>
    <w:rsid w:val="00844A37"/>
    <w:rsid w:val="00844D8D"/>
    <w:rsid w:val="00844FE2"/>
    <w:rsid w:val="00846CAB"/>
    <w:rsid w:val="00847466"/>
    <w:rsid w:val="008501C8"/>
    <w:rsid w:val="008512D7"/>
    <w:rsid w:val="008512DD"/>
    <w:rsid w:val="0085167E"/>
    <w:rsid w:val="00851D57"/>
    <w:rsid w:val="00851ECA"/>
    <w:rsid w:val="008521D3"/>
    <w:rsid w:val="00852838"/>
    <w:rsid w:val="00854332"/>
    <w:rsid w:val="008543F0"/>
    <w:rsid w:val="0085469A"/>
    <w:rsid w:val="00854B67"/>
    <w:rsid w:val="00854C1E"/>
    <w:rsid w:val="0085515E"/>
    <w:rsid w:val="008554FE"/>
    <w:rsid w:val="008556A5"/>
    <w:rsid w:val="00855769"/>
    <w:rsid w:val="00855878"/>
    <w:rsid w:val="0085613F"/>
    <w:rsid w:val="00856862"/>
    <w:rsid w:val="00856CB3"/>
    <w:rsid w:val="00856FFD"/>
    <w:rsid w:val="00857929"/>
    <w:rsid w:val="00857A19"/>
    <w:rsid w:val="00860EE1"/>
    <w:rsid w:val="00861FA6"/>
    <w:rsid w:val="00862066"/>
    <w:rsid w:val="0086312B"/>
    <w:rsid w:val="0086381D"/>
    <w:rsid w:val="00863E83"/>
    <w:rsid w:val="008641E7"/>
    <w:rsid w:val="008647FC"/>
    <w:rsid w:val="00864990"/>
    <w:rsid w:val="0086569E"/>
    <w:rsid w:val="00865999"/>
    <w:rsid w:val="00867A79"/>
    <w:rsid w:val="00867D37"/>
    <w:rsid w:val="00870E6F"/>
    <w:rsid w:val="00870EBF"/>
    <w:rsid w:val="00871407"/>
    <w:rsid w:val="00871AD5"/>
    <w:rsid w:val="00871D62"/>
    <w:rsid w:val="00871E7C"/>
    <w:rsid w:val="0087208B"/>
    <w:rsid w:val="008729E4"/>
    <w:rsid w:val="0087300A"/>
    <w:rsid w:val="00873543"/>
    <w:rsid w:val="00873ACC"/>
    <w:rsid w:val="008748FB"/>
    <w:rsid w:val="00874B3A"/>
    <w:rsid w:val="00874CBE"/>
    <w:rsid w:val="00875071"/>
    <w:rsid w:val="00875484"/>
    <w:rsid w:val="0087578E"/>
    <w:rsid w:val="008765FF"/>
    <w:rsid w:val="00876737"/>
    <w:rsid w:val="008768C2"/>
    <w:rsid w:val="00880005"/>
    <w:rsid w:val="00880B5A"/>
    <w:rsid w:val="00880F91"/>
    <w:rsid w:val="0088174B"/>
    <w:rsid w:val="00881DA2"/>
    <w:rsid w:val="00882205"/>
    <w:rsid w:val="008832D9"/>
    <w:rsid w:val="00883AA5"/>
    <w:rsid w:val="00884A2C"/>
    <w:rsid w:val="008852F2"/>
    <w:rsid w:val="00885523"/>
    <w:rsid w:val="00885968"/>
    <w:rsid w:val="0088597B"/>
    <w:rsid w:val="00886533"/>
    <w:rsid w:val="00886848"/>
    <w:rsid w:val="008879CF"/>
    <w:rsid w:val="00891335"/>
    <w:rsid w:val="0089180C"/>
    <w:rsid w:val="00891F39"/>
    <w:rsid w:val="00893211"/>
    <w:rsid w:val="008933EC"/>
    <w:rsid w:val="0089372D"/>
    <w:rsid w:val="008938A6"/>
    <w:rsid w:val="00894965"/>
    <w:rsid w:val="008954E4"/>
    <w:rsid w:val="00895A11"/>
    <w:rsid w:val="0089634A"/>
    <w:rsid w:val="0089635F"/>
    <w:rsid w:val="00896C55"/>
    <w:rsid w:val="00896C61"/>
    <w:rsid w:val="00897764"/>
    <w:rsid w:val="00897A87"/>
    <w:rsid w:val="008A02EE"/>
    <w:rsid w:val="008A0801"/>
    <w:rsid w:val="008A1544"/>
    <w:rsid w:val="008A2BCC"/>
    <w:rsid w:val="008A3D8D"/>
    <w:rsid w:val="008A3DDC"/>
    <w:rsid w:val="008A4508"/>
    <w:rsid w:val="008A55D2"/>
    <w:rsid w:val="008A7091"/>
    <w:rsid w:val="008A7DF5"/>
    <w:rsid w:val="008B0AAD"/>
    <w:rsid w:val="008B1648"/>
    <w:rsid w:val="008B1B3B"/>
    <w:rsid w:val="008B2C45"/>
    <w:rsid w:val="008B2ED4"/>
    <w:rsid w:val="008B48DB"/>
    <w:rsid w:val="008B496B"/>
    <w:rsid w:val="008B508B"/>
    <w:rsid w:val="008B5B27"/>
    <w:rsid w:val="008B6125"/>
    <w:rsid w:val="008B74DD"/>
    <w:rsid w:val="008B77C5"/>
    <w:rsid w:val="008B7869"/>
    <w:rsid w:val="008C0079"/>
    <w:rsid w:val="008C0A51"/>
    <w:rsid w:val="008C0C3D"/>
    <w:rsid w:val="008C2218"/>
    <w:rsid w:val="008C295E"/>
    <w:rsid w:val="008C2F28"/>
    <w:rsid w:val="008C36A3"/>
    <w:rsid w:val="008C37E4"/>
    <w:rsid w:val="008C39B0"/>
    <w:rsid w:val="008C3F90"/>
    <w:rsid w:val="008C45F5"/>
    <w:rsid w:val="008C499F"/>
    <w:rsid w:val="008C4BDF"/>
    <w:rsid w:val="008C515C"/>
    <w:rsid w:val="008C58B9"/>
    <w:rsid w:val="008C5B6B"/>
    <w:rsid w:val="008C60A2"/>
    <w:rsid w:val="008C6B6B"/>
    <w:rsid w:val="008C7415"/>
    <w:rsid w:val="008C7439"/>
    <w:rsid w:val="008C79E5"/>
    <w:rsid w:val="008C7C52"/>
    <w:rsid w:val="008D0D0D"/>
    <w:rsid w:val="008D0E3A"/>
    <w:rsid w:val="008D16D0"/>
    <w:rsid w:val="008D2188"/>
    <w:rsid w:val="008D2304"/>
    <w:rsid w:val="008D2482"/>
    <w:rsid w:val="008D2D43"/>
    <w:rsid w:val="008D2FBB"/>
    <w:rsid w:val="008D32D3"/>
    <w:rsid w:val="008D3349"/>
    <w:rsid w:val="008D345A"/>
    <w:rsid w:val="008D36E8"/>
    <w:rsid w:val="008D3E7E"/>
    <w:rsid w:val="008D4388"/>
    <w:rsid w:val="008D45E9"/>
    <w:rsid w:val="008D4EBE"/>
    <w:rsid w:val="008D5D65"/>
    <w:rsid w:val="008D61CE"/>
    <w:rsid w:val="008D6C35"/>
    <w:rsid w:val="008E0250"/>
    <w:rsid w:val="008E058E"/>
    <w:rsid w:val="008E072B"/>
    <w:rsid w:val="008E0FAB"/>
    <w:rsid w:val="008E27D0"/>
    <w:rsid w:val="008E3071"/>
    <w:rsid w:val="008E495F"/>
    <w:rsid w:val="008E5F21"/>
    <w:rsid w:val="008E6A63"/>
    <w:rsid w:val="008E6A7D"/>
    <w:rsid w:val="008E6CF8"/>
    <w:rsid w:val="008E722E"/>
    <w:rsid w:val="008E7CFA"/>
    <w:rsid w:val="008F02D0"/>
    <w:rsid w:val="008F0CC0"/>
    <w:rsid w:val="008F1201"/>
    <w:rsid w:val="008F12C1"/>
    <w:rsid w:val="008F1CCF"/>
    <w:rsid w:val="008F20D8"/>
    <w:rsid w:val="008F21D7"/>
    <w:rsid w:val="008F341F"/>
    <w:rsid w:val="008F370D"/>
    <w:rsid w:val="008F38F4"/>
    <w:rsid w:val="008F4D11"/>
    <w:rsid w:val="008F561E"/>
    <w:rsid w:val="008F5CE9"/>
    <w:rsid w:val="008F6B1D"/>
    <w:rsid w:val="00900D11"/>
    <w:rsid w:val="00900DC6"/>
    <w:rsid w:val="0090287F"/>
    <w:rsid w:val="00902AAC"/>
    <w:rsid w:val="00902DF2"/>
    <w:rsid w:val="00902F38"/>
    <w:rsid w:val="00902FA1"/>
    <w:rsid w:val="00903410"/>
    <w:rsid w:val="0090383A"/>
    <w:rsid w:val="00903EBE"/>
    <w:rsid w:val="009059D8"/>
    <w:rsid w:val="00906176"/>
    <w:rsid w:val="009063DB"/>
    <w:rsid w:val="009074D4"/>
    <w:rsid w:val="00907E56"/>
    <w:rsid w:val="00907E99"/>
    <w:rsid w:val="00907EA3"/>
    <w:rsid w:val="009113E5"/>
    <w:rsid w:val="009116C7"/>
    <w:rsid w:val="00912394"/>
    <w:rsid w:val="00912C69"/>
    <w:rsid w:val="00912D7C"/>
    <w:rsid w:val="0091304E"/>
    <w:rsid w:val="009138DD"/>
    <w:rsid w:val="009139A5"/>
    <w:rsid w:val="0091467C"/>
    <w:rsid w:val="009148AE"/>
    <w:rsid w:val="00914ACD"/>
    <w:rsid w:val="0091524F"/>
    <w:rsid w:val="009153EA"/>
    <w:rsid w:val="009154C0"/>
    <w:rsid w:val="00915EE1"/>
    <w:rsid w:val="00916B7A"/>
    <w:rsid w:val="009176B3"/>
    <w:rsid w:val="009200AF"/>
    <w:rsid w:val="00920590"/>
    <w:rsid w:val="00921FCD"/>
    <w:rsid w:val="00924971"/>
    <w:rsid w:val="00924F5E"/>
    <w:rsid w:val="009252E5"/>
    <w:rsid w:val="00926594"/>
    <w:rsid w:val="0092695B"/>
    <w:rsid w:val="00926A46"/>
    <w:rsid w:val="0092736B"/>
    <w:rsid w:val="00927B1E"/>
    <w:rsid w:val="00930669"/>
    <w:rsid w:val="00930A66"/>
    <w:rsid w:val="00930A91"/>
    <w:rsid w:val="0093160A"/>
    <w:rsid w:val="00931763"/>
    <w:rsid w:val="00931CA2"/>
    <w:rsid w:val="0093237F"/>
    <w:rsid w:val="009328A7"/>
    <w:rsid w:val="00932F92"/>
    <w:rsid w:val="00934541"/>
    <w:rsid w:val="009347D5"/>
    <w:rsid w:val="00935936"/>
    <w:rsid w:val="00935E30"/>
    <w:rsid w:val="00935FFF"/>
    <w:rsid w:val="0093646F"/>
    <w:rsid w:val="00936A93"/>
    <w:rsid w:val="009375E6"/>
    <w:rsid w:val="0094056F"/>
    <w:rsid w:val="0094066A"/>
    <w:rsid w:val="0094115F"/>
    <w:rsid w:val="0094186A"/>
    <w:rsid w:val="009426E6"/>
    <w:rsid w:val="00943E10"/>
    <w:rsid w:val="00944855"/>
    <w:rsid w:val="009448F1"/>
    <w:rsid w:val="00945E65"/>
    <w:rsid w:val="00946D0E"/>
    <w:rsid w:val="0094705A"/>
    <w:rsid w:val="009507AF"/>
    <w:rsid w:val="00950E79"/>
    <w:rsid w:val="0095142F"/>
    <w:rsid w:val="0095184D"/>
    <w:rsid w:val="009529C5"/>
    <w:rsid w:val="00953139"/>
    <w:rsid w:val="009537D9"/>
    <w:rsid w:val="00953C3F"/>
    <w:rsid w:val="0095435A"/>
    <w:rsid w:val="00954FA4"/>
    <w:rsid w:val="0095546E"/>
    <w:rsid w:val="00955B31"/>
    <w:rsid w:val="00955B80"/>
    <w:rsid w:val="00955F59"/>
    <w:rsid w:val="009563C8"/>
    <w:rsid w:val="00957203"/>
    <w:rsid w:val="00957CA8"/>
    <w:rsid w:val="00960C8B"/>
    <w:rsid w:val="00961394"/>
    <w:rsid w:val="00961864"/>
    <w:rsid w:val="009618D8"/>
    <w:rsid w:val="00962056"/>
    <w:rsid w:val="00962B42"/>
    <w:rsid w:val="00962B47"/>
    <w:rsid w:val="009631BF"/>
    <w:rsid w:val="009638A6"/>
    <w:rsid w:val="0096403F"/>
    <w:rsid w:val="00964B4E"/>
    <w:rsid w:val="0096656D"/>
    <w:rsid w:val="009667DE"/>
    <w:rsid w:val="00966D5B"/>
    <w:rsid w:val="00967B50"/>
    <w:rsid w:val="00967EDC"/>
    <w:rsid w:val="009717F0"/>
    <w:rsid w:val="00971B99"/>
    <w:rsid w:val="00971B9B"/>
    <w:rsid w:val="00971E06"/>
    <w:rsid w:val="00972349"/>
    <w:rsid w:val="0097271B"/>
    <w:rsid w:val="0097286D"/>
    <w:rsid w:val="0097305A"/>
    <w:rsid w:val="00973212"/>
    <w:rsid w:val="00973823"/>
    <w:rsid w:val="0097390B"/>
    <w:rsid w:val="00974A8B"/>
    <w:rsid w:val="009756AB"/>
    <w:rsid w:val="0097589E"/>
    <w:rsid w:val="00976729"/>
    <w:rsid w:val="0097686A"/>
    <w:rsid w:val="00980170"/>
    <w:rsid w:val="00981087"/>
    <w:rsid w:val="00981326"/>
    <w:rsid w:val="009818EE"/>
    <w:rsid w:val="00981B05"/>
    <w:rsid w:val="00982047"/>
    <w:rsid w:val="00983BE8"/>
    <w:rsid w:val="00983CD6"/>
    <w:rsid w:val="00983E28"/>
    <w:rsid w:val="00984902"/>
    <w:rsid w:val="009852C8"/>
    <w:rsid w:val="00985F3B"/>
    <w:rsid w:val="00986CA0"/>
    <w:rsid w:val="009873A6"/>
    <w:rsid w:val="00990115"/>
    <w:rsid w:val="0099011B"/>
    <w:rsid w:val="0099177C"/>
    <w:rsid w:val="00991EBE"/>
    <w:rsid w:val="0099207D"/>
    <w:rsid w:val="00992506"/>
    <w:rsid w:val="009928D9"/>
    <w:rsid w:val="009929E5"/>
    <w:rsid w:val="009936C3"/>
    <w:rsid w:val="00993C93"/>
    <w:rsid w:val="00994065"/>
    <w:rsid w:val="00994E04"/>
    <w:rsid w:val="00995304"/>
    <w:rsid w:val="00995BA4"/>
    <w:rsid w:val="00995DC5"/>
    <w:rsid w:val="00996052"/>
    <w:rsid w:val="009966C3"/>
    <w:rsid w:val="00996D6E"/>
    <w:rsid w:val="00996DCE"/>
    <w:rsid w:val="0099759B"/>
    <w:rsid w:val="00997632"/>
    <w:rsid w:val="0099786F"/>
    <w:rsid w:val="00997D3E"/>
    <w:rsid w:val="009A0059"/>
    <w:rsid w:val="009A04FF"/>
    <w:rsid w:val="009A0E59"/>
    <w:rsid w:val="009A0EF2"/>
    <w:rsid w:val="009A1664"/>
    <w:rsid w:val="009A25A4"/>
    <w:rsid w:val="009A2734"/>
    <w:rsid w:val="009A2805"/>
    <w:rsid w:val="009A2CF1"/>
    <w:rsid w:val="009A2E1D"/>
    <w:rsid w:val="009A3EE4"/>
    <w:rsid w:val="009A449F"/>
    <w:rsid w:val="009A4527"/>
    <w:rsid w:val="009A45F7"/>
    <w:rsid w:val="009A4AF0"/>
    <w:rsid w:val="009A5FFB"/>
    <w:rsid w:val="009A608C"/>
    <w:rsid w:val="009A62EA"/>
    <w:rsid w:val="009A65EB"/>
    <w:rsid w:val="009A68E8"/>
    <w:rsid w:val="009B109B"/>
    <w:rsid w:val="009B1302"/>
    <w:rsid w:val="009B136D"/>
    <w:rsid w:val="009B1639"/>
    <w:rsid w:val="009B1E7E"/>
    <w:rsid w:val="009B1F0E"/>
    <w:rsid w:val="009B2680"/>
    <w:rsid w:val="009B2CDB"/>
    <w:rsid w:val="009B5892"/>
    <w:rsid w:val="009B5958"/>
    <w:rsid w:val="009B597F"/>
    <w:rsid w:val="009B63D5"/>
    <w:rsid w:val="009C0B95"/>
    <w:rsid w:val="009C0ECF"/>
    <w:rsid w:val="009C1954"/>
    <w:rsid w:val="009C2177"/>
    <w:rsid w:val="009C231C"/>
    <w:rsid w:val="009C23F0"/>
    <w:rsid w:val="009C2A14"/>
    <w:rsid w:val="009C2BC1"/>
    <w:rsid w:val="009C2C83"/>
    <w:rsid w:val="009C31D6"/>
    <w:rsid w:val="009C3BF9"/>
    <w:rsid w:val="009C4FE5"/>
    <w:rsid w:val="009C61DB"/>
    <w:rsid w:val="009C6451"/>
    <w:rsid w:val="009D07C2"/>
    <w:rsid w:val="009D2C65"/>
    <w:rsid w:val="009D2FB0"/>
    <w:rsid w:val="009D3358"/>
    <w:rsid w:val="009D38AE"/>
    <w:rsid w:val="009D3F05"/>
    <w:rsid w:val="009D5CAD"/>
    <w:rsid w:val="009D637F"/>
    <w:rsid w:val="009D6703"/>
    <w:rsid w:val="009D6713"/>
    <w:rsid w:val="009D6F74"/>
    <w:rsid w:val="009D74EB"/>
    <w:rsid w:val="009D7CC1"/>
    <w:rsid w:val="009D7E51"/>
    <w:rsid w:val="009E04D2"/>
    <w:rsid w:val="009E0A3F"/>
    <w:rsid w:val="009E0D5C"/>
    <w:rsid w:val="009E1C4A"/>
    <w:rsid w:val="009E1C61"/>
    <w:rsid w:val="009E1E06"/>
    <w:rsid w:val="009E20E5"/>
    <w:rsid w:val="009E2317"/>
    <w:rsid w:val="009E3258"/>
    <w:rsid w:val="009E360E"/>
    <w:rsid w:val="009E3733"/>
    <w:rsid w:val="009E3D70"/>
    <w:rsid w:val="009E3D91"/>
    <w:rsid w:val="009E3FCC"/>
    <w:rsid w:val="009E461F"/>
    <w:rsid w:val="009E5744"/>
    <w:rsid w:val="009E6BFE"/>
    <w:rsid w:val="009F034C"/>
    <w:rsid w:val="009F0449"/>
    <w:rsid w:val="009F065A"/>
    <w:rsid w:val="009F10C3"/>
    <w:rsid w:val="009F1151"/>
    <w:rsid w:val="009F12B2"/>
    <w:rsid w:val="009F1314"/>
    <w:rsid w:val="009F15CB"/>
    <w:rsid w:val="009F1AAB"/>
    <w:rsid w:val="009F1ABA"/>
    <w:rsid w:val="009F23F9"/>
    <w:rsid w:val="009F29DF"/>
    <w:rsid w:val="009F5B63"/>
    <w:rsid w:val="009F6D92"/>
    <w:rsid w:val="00A00E27"/>
    <w:rsid w:val="00A013E1"/>
    <w:rsid w:val="00A01693"/>
    <w:rsid w:val="00A01729"/>
    <w:rsid w:val="00A01A50"/>
    <w:rsid w:val="00A01DB4"/>
    <w:rsid w:val="00A0305E"/>
    <w:rsid w:val="00A0354D"/>
    <w:rsid w:val="00A04888"/>
    <w:rsid w:val="00A05D55"/>
    <w:rsid w:val="00A0648D"/>
    <w:rsid w:val="00A07557"/>
    <w:rsid w:val="00A0760D"/>
    <w:rsid w:val="00A1042A"/>
    <w:rsid w:val="00A1047B"/>
    <w:rsid w:val="00A10F85"/>
    <w:rsid w:val="00A1143A"/>
    <w:rsid w:val="00A11E98"/>
    <w:rsid w:val="00A120C0"/>
    <w:rsid w:val="00A121AB"/>
    <w:rsid w:val="00A12761"/>
    <w:rsid w:val="00A1309B"/>
    <w:rsid w:val="00A1309F"/>
    <w:rsid w:val="00A13461"/>
    <w:rsid w:val="00A14A58"/>
    <w:rsid w:val="00A14CB2"/>
    <w:rsid w:val="00A1533A"/>
    <w:rsid w:val="00A208E0"/>
    <w:rsid w:val="00A20ADE"/>
    <w:rsid w:val="00A2258E"/>
    <w:rsid w:val="00A225EE"/>
    <w:rsid w:val="00A22897"/>
    <w:rsid w:val="00A22DFE"/>
    <w:rsid w:val="00A26BC2"/>
    <w:rsid w:val="00A27434"/>
    <w:rsid w:val="00A2782A"/>
    <w:rsid w:val="00A306B4"/>
    <w:rsid w:val="00A317EF"/>
    <w:rsid w:val="00A324D0"/>
    <w:rsid w:val="00A33261"/>
    <w:rsid w:val="00A3353E"/>
    <w:rsid w:val="00A336C6"/>
    <w:rsid w:val="00A345FE"/>
    <w:rsid w:val="00A348D5"/>
    <w:rsid w:val="00A34D2F"/>
    <w:rsid w:val="00A36106"/>
    <w:rsid w:val="00A364E6"/>
    <w:rsid w:val="00A36C1B"/>
    <w:rsid w:val="00A37D5D"/>
    <w:rsid w:val="00A40194"/>
    <w:rsid w:val="00A41457"/>
    <w:rsid w:val="00A42214"/>
    <w:rsid w:val="00A42E4C"/>
    <w:rsid w:val="00A42EA0"/>
    <w:rsid w:val="00A45013"/>
    <w:rsid w:val="00A45CA9"/>
    <w:rsid w:val="00A4663B"/>
    <w:rsid w:val="00A466D2"/>
    <w:rsid w:val="00A46DF5"/>
    <w:rsid w:val="00A47A49"/>
    <w:rsid w:val="00A47D82"/>
    <w:rsid w:val="00A502AB"/>
    <w:rsid w:val="00A5054B"/>
    <w:rsid w:val="00A51210"/>
    <w:rsid w:val="00A51243"/>
    <w:rsid w:val="00A51826"/>
    <w:rsid w:val="00A5203F"/>
    <w:rsid w:val="00A524E1"/>
    <w:rsid w:val="00A526EB"/>
    <w:rsid w:val="00A5321A"/>
    <w:rsid w:val="00A53334"/>
    <w:rsid w:val="00A53AA8"/>
    <w:rsid w:val="00A53E29"/>
    <w:rsid w:val="00A53E48"/>
    <w:rsid w:val="00A54DC4"/>
    <w:rsid w:val="00A5502B"/>
    <w:rsid w:val="00A55BC8"/>
    <w:rsid w:val="00A55E0B"/>
    <w:rsid w:val="00A5684D"/>
    <w:rsid w:val="00A568AE"/>
    <w:rsid w:val="00A569A4"/>
    <w:rsid w:val="00A56EF8"/>
    <w:rsid w:val="00A5713C"/>
    <w:rsid w:val="00A574BC"/>
    <w:rsid w:val="00A57AF8"/>
    <w:rsid w:val="00A61538"/>
    <w:rsid w:val="00A62960"/>
    <w:rsid w:val="00A63102"/>
    <w:rsid w:val="00A647C5"/>
    <w:rsid w:val="00A64C58"/>
    <w:rsid w:val="00A65DB6"/>
    <w:rsid w:val="00A664C2"/>
    <w:rsid w:val="00A66A5E"/>
    <w:rsid w:val="00A66C26"/>
    <w:rsid w:val="00A703D4"/>
    <w:rsid w:val="00A70475"/>
    <w:rsid w:val="00A70B83"/>
    <w:rsid w:val="00A70FC2"/>
    <w:rsid w:val="00A71872"/>
    <w:rsid w:val="00A71AE7"/>
    <w:rsid w:val="00A72068"/>
    <w:rsid w:val="00A7263F"/>
    <w:rsid w:val="00A72EBA"/>
    <w:rsid w:val="00A73A88"/>
    <w:rsid w:val="00A745BA"/>
    <w:rsid w:val="00A747E4"/>
    <w:rsid w:val="00A74CE9"/>
    <w:rsid w:val="00A7534A"/>
    <w:rsid w:val="00A7537A"/>
    <w:rsid w:val="00A758C1"/>
    <w:rsid w:val="00A76128"/>
    <w:rsid w:val="00A81473"/>
    <w:rsid w:val="00A822B1"/>
    <w:rsid w:val="00A82836"/>
    <w:rsid w:val="00A82BD8"/>
    <w:rsid w:val="00A83546"/>
    <w:rsid w:val="00A835AA"/>
    <w:rsid w:val="00A844E9"/>
    <w:rsid w:val="00A849CA"/>
    <w:rsid w:val="00A87B9E"/>
    <w:rsid w:val="00A87DB0"/>
    <w:rsid w:val="00A9003E"/>
    <w:rsid w:val="00A91726"/>
    <w:rsid w:val="00A91A35"/>
    <w:rsid w:val="00A91AF0"/>
    <w:rsid w:val="00A9206A"/>
    <w:rsid w:val="00A92369"/>
    <w:rsid w:val="00A926BE"/>
    <w:rsid w:val="00A9334E"/>
    <w:rsid w:val="00A93C15"/>
    <w:rsid w:val="00A93E0C"/>
    <w:rsid w:val="00A93EF8"/>
    <w:rsid w:val="00A9403F"/>
    <w:rsid w:val="00A944E0"/>
    <w:rsid w:val="00A953BC"/>
    <w:rsid w:val="00A95CCD"/>
    <w:rsid w:val="00A95D52"/>
    <w:rsid w:val="00A95E7C"/>
    <w:rsid w:val="00A964B3"/>
    <w:rsid w:val="00A9664F"/>
    <w:rsid w:val="00A96801"/>
    <w:rsid w:val="00A96B18"/>
    <w:rsid w:val="00A97FEA"/>
    <w:rsid w:val="00AA0013"/>
    <w:rsid w:val="00AA027D"/>
    <w:rsid w:val="00AA02C2"/>
    <w:rsid w:val="00AA04C9"/>
    <w:rsid w:val="00AA0AF4"/>
    <w:rsid w:val="00AA1361"/>
    <w:rsid w:val="00AA144E"/>
    <w:rsid w:val="00AA1E7D"/>
    <w:rsid w:val="00AA27D6"/>
    <w:rsid w:val="00AA3A87"/>
    <w:rsid w:val="00AA46AD"/>
    <w:rsid w:val="00AA472F"/>
    <w:rsid w:val="00AA4A2F"/>
    <w:rsid w:val="00AA59F9"/>
    <w:rsid w:val="00AA5AE6"/>
    <w:rsid w:val="00AA70C4"/>
    <w:rsid w:val="00AB070A"/>
    <w:rsid w:val="00AB0AD1"/>
    <w:rsid w:val="00AB1F30"/>
    <w:rsid w:val="00AB26C9"/>
    <w:rsid w:val="00AB2785"/>
    <w:rsid w:val="00AB2A36"/>
    <w:rsid w:val="00AB3411"/>
    <w:rsid w:val="00AB34D7"/>
    <w:rsid w:val="00AB4179"/>
    <w:rsid w:val="00AB5CA1"/>
    <w:rsid w:val="00AB798D"/>
    <w:rsid w:val="00AC0D2A"/>
    <w:rsid w:val="00AC1A4D"/>
    <w:rsid w:val="00AC200A"/>
    <w:rsid w:val="00AC2531"/>
    <w:rsid w:val="00AC408E"/>
    <w:rsid w:val="00AC478D"/>
    <w:rsid w:val="00AC4ED3"/>
    <w:rsid w:val="00AD02E0"/>
    <w:rsid w:val="00AD067A"/>
    <w:rsid w:val="00AD0C46"/>
    <w:rsid w:val="00AD0F27"/>
    <w:rsid w:val="00AD1CAC"/>
    <w:rsid w:val="00AD2626"/>
    <w:rsid w:val="00AD2744"/>
    <w:rsid w:val="00AD2980"/>
    <w:rsid w:val="00AD2BED"/>
    <w:rsid w:val="00AD2C08"/>
    <w:rsid w:val="00AD2F56"/>
    <w:rsid w:val="00AD3591"/>
    <w:rsid w:val="00AD4311"/>
    <w:rsid w:val="00AD454B"/>
    <w:rsid w:val="00AD6CFA"/>
    <w:rsid w:val="00AD6F5F"/>
    <w:rsid w:val="00AD73C8"/>
    <w:rsid w:val="00AD7834"/>
    <w:rsid w:val="00AE04E4"/>
    <w:rsid w:val="00AE0AB7"/>
    <w:rsid w:val="00AE0B3F"/>
    <w:rsid w:val="00AE0B66"/>
    <w:rsid w:val="00AE1406"/>
    <w:rsid w:val="00AE281E"/>
    <w:rsid w:val="00AE2B57"/>
    <w:rsid w:val="00AE2E25"/>
    <w:rsid w:val="00AE30F9"/>
    <w:rsid w:val="00AE32ED"/>
    <w:rsid w:val="00AE365B"/>
    <w:rsid w:val="00AE397C"/>
    <w:rsid w:val="00AE41C1"/>
    <w:rsid w:val="00AE5A69"/>
    <w:rsid w:val="00AE66E5"/>
    <w:rsid w:val="00AE6827"/>
    <w:rsid w:val="00AE7D04"/>
    <w:rsid w:val="00AE7D0F"/>
    <w:rsid w:val="00AE7D37"/>
    <w:rsid w:val="00AE7FB0"/>
    <w:rsid w:val="00AF130F"/>
    <w:rsid w:val="00AF1380"/>
    <w:rsid w:val="00AF1EAF"/>
    <w:rsid w:val="00AF24D0"/>
    <w:rsid w:val="00AF285E"/>
    <w:rsid w:val="00AF304F"/>
    <w:rsid w:val="00AF37A3"/>
    <w:rsid w:val="00AF426F"/>
    <w:rsid w:val="00AF44E0"/>
    <w:rsid w:val="00AF4DA2"/>
    <w:rsid w:val="00AF586E"/>
    <w:rsid w:val="00AF6871"/>
    <w:rsid w:val="00AF755F"/>
    <w:rsid w:val="00AF761E"/>
    <w:rsid w:val="00AF7983"/>
    <w:rsid w:val="00AF7B16"/>
    <w:rsid w:val="00B00584"/>
    <w:rsid w:val="00B0068D"/>
    <w:rsid w:val="00B00EF3"/>
    <w:rsid w:val="00B01326"/>
    <w:rsid w:val="00B01F26"/>
    <w:rsid w:val="00B02239"/>
    <w:rsid w:val="00B0275D"/>
    <w:rsid w:val="00B02BEC"/>
    <w:rsid w:val="00B0366F"/>
    <w:rsid w:val="00B04081"/>
    <w:rsid w:val="00B04873"/>
    <w:rsid w:val="00B06B3C"/>
    <w:rsid w:val="00B06F5C"/>
    <w:rsid w:val="00B078F1"/>
    <w:rsid w:val="00B07F37"/>
    <w:rsid w:val="00B10774"/>
    <w:rsid w:val="00B10B14"/>
    <w:rsid w:val="00B11E3F"/>
    <w:rsid w:val="00B12419"/>
    <w:rsid w:val="00B12C3E"/>
    <w:rsid w:val="00B13906"/>
    <w:rsid w:val="00B1436A"/>
    <w:rsid w:val="00B14396"/>
    <w:rsid w:val="00B148CC"/>
    <w:rsid w:val="00B15103"/>
    <w:rsid w:val="00B1663C"/>
    <w:rsid w:val="00B16EA0"/>
    <w:rsid w:val="00B16F42"/>
    <w:rsid w:val="00B175EE"/>
    <w:rsid w:val="00B17814"/>
    <w:rsid w:val="00B17A21"/>
    <w:rsid w:val="00B17BB0"/>
    <w:rsid w:val="00B17BF4"/>
    <w:rsid w:val="00B2129A"/>
    <w:rsid w:val="00B215D4"/>
    <w:rsid w:val="00B2180D"/>
    <w:rsid w:val="00B22AB2"/>
    <w:rsid w:val="00B23C45"/>
    <w:rsid w:val="00B2513D"/>
    <w:rsid w:val="00B259DE"/>
    <w:rsid w:val="00B25A82"/>
    <w:rsid w:val="00B25FCD"/>
    <w:rsid w:val="00B26B9C"/>
    <w:rsid w:val="00B270EB"/>
    <w:rsid w:val="00B271E3"/>
    <w:rsid w:val="00B27CA0"/>
    <w:rsid w:val="00B30EB1"/>
    <w:rsid w:val="00B31628"/>
    <w:rsid w:val="00B31A08"/>
    <w:rsid w:val="00B31AE4"/>
    <w:rsid w:val="00B32209"/>
    <w:rsid w:val="00B32D63"/>
    <w:rsid w:val="00B331BD"/>
    <w:rsid w:val="00B343AF"/>
    <w:rsid w:val="00B344A3"/>
    <w:rsid w:val="00B345F4"/>
    <w:rsid w:val="00B346EA"/>
    <w:rsid w:val="00B35083"/>
    <w:rsid w:val="00B351B8"/>
    <w:rsid w:val="00B3529C"/>
    <w:rsid w:val="00B358D9"/>
    <w:rsid w:val="00B367B5"/>
    <w:rsid w:val="00B37455"/>
    <w:rsid w:val="00B37891"/>
    <w:rsid w:val="00B37B41"/>
    <w:rsid w:val="00B400CA"/>
    <w:rsid w:val="00B40AFF"/>
    <w:rsid w:val="00B41A92"/>
    <w:rsid w:val="00B421E5"/>
    <w:rsid w:val="00B4266B"/>
    <w:rsid w:val="00B42840"/>
    <w:rsid w:val="00B42C0C"/>
    <w:rsid w:val="00B43A91"/>
    <w:rsid w:val="00B44224"/>
    <w:rsid w:val="00B443A6"/>
    <w:rsid w:val="00B44803"/>
    <w:rsid w:val="00B4562D"/>
    <w:rsid w:val="00B45D81"/>
    <w:rsid w:val="00B46622"/>
    <w:rsid w:val="00B4689B"/>
    <w:rsid w:val="00B4757F"/>
    <w:rsid w:val="00B513EE"/>
    <w:rsid w:val="00B515F7"/>
    <w:rsid w:val="00B5185B"/>
    <w:rsid w:val="00B51C63"/>
    <w:rsid w:val="00B527D1"/>
    <w:rsid w:val="00B541AE"/>
    <w:rsid w:val="00B547C9"/>
    <w:rsid w:val="00B5506A"/>
    <w:rsid w:val="00B55B76"/>
    <w:rsid w:val="00B5612B"/>
    <w:rsid w:val="00B56363"/>
    <w:rsid w:val="00B56A08"/>
    <w:rsid w:val="00B56D15"/>
    <w:rsid w:val="00B56FA6"/>
    <w:rsid w:val="00B57B37"/>
    <w:rsid w:val="00B57C1A"/>
    <w:rsid w:val="00B57D54"/>
    <w:rsid w:val="00B57FCF"/>
    <w:rsid w:val="00B604CE"/>
    <w:rsid w:val="00B612B0"/>
    <w:rsid w:val="00B616D6"/>
    <w:rsid w:val="00B61B33"/>
    <w:rsid w:val="00B62850"/>
    <w:rsid w:val="00B62F5A"/>
    <w:rsid w:val="00B632C3"/>
    <w:rsid w:val="00B63ABC"/>
    <w:rsid w:val="00B6412B"/>
    <w:rsid w:val="00B64552"/>
    <w:rsid w:val="00B658BA"/>
    <w:rsid w:val="00B66EDF"/>
    <w:rsid w:val="00B67A7F"/>
    <w:rsid w:val="00B707AB"/>
    <w:rsid w:val="00B70C34"/>
    <w:rsid w:val="00B71141"/>
    <w:rsid w:val="00B71C05"/>
    <w:rsid w:val="00B71D1C"/>
    <w:rsid w:val="00B724C6"/>
    <w:rsid w:val="00B73608"/>
    <w:rsid w:val="00B742EF"/>
    <w:rsid w:val="00B74583"/>
    <w:rsid w:val="00B7501E"/>
    <w:rsid w:val="00B77134"/>
    <w:rsid w:val="00B77398"/>
    <w:rsid w:val="00B77436"/>
    <w:rsid w:val="00B776DB"/>
    <w:rsid w:val="00B77A50"/>
    <w:rsid w:val="00B77F7A"/>
    <w:rsid w:val="00B804B2"/>
    <w:rsid w:val="00B80923"/>
    <w:rsid w:val="00B824E5"/>
    <w:rsid w:val="00B82C37"/>
    <w:rsid w:val="00B8408E"/>
    <w:rsid w:val="00B840D4"/>
    <w:rsid w:val="00B844E0"/>
    <w:rsid w:val="00B8470E"/>
    <w:rsid w:val="00B84E01"/>
    <w:rsid w:val="00B86AD3"/>
    <w:rsid w:val="00B86E4D"/>
    <w:rsid w:val="00B875FA"/>
    <w:rsid w:val="00B87705"/>
    <w:rsid w:val="00B87FF8"/>
    <w:rsid w:val="00B90778"/>
    <w:rsid w:val="00B9090C"/>
    <w:rsid w:val="00B912FA"/>
    <w:rsid w:val="00B91642"/>
    <w:rsid w:val="00B91781"/>
    <w:rsid w:val="00B918AB"/>
    <w:rsid w:val="00B91C1B"/>
    <w:rsid w:val="00B92C61"/>
    <w:rsid w:val="00B92F64"/>
    <w:rsid w:val="00B93110"/>
    <w:rsid w:val="00B931B5"/>
    <w:rsid w:val="00B933DD"/>
    <w:rsid w:val="00B93861"/>
    <w:rsid w:val="00B93B09"/>
    <w:rsid w:val="00B94762"/>
    <w:rsid w:val="00B95532"/>
    <w:rsid w:val="00B95892"/>
    <w:rsid w:val="00B95BB7"/>
    <w:rsid w:val="00B9723D"/>
    <w:rsid w:val="00B975E1"/>
    <w:rsid w:val="00B977CA"/>
    <w:rsid w:val="00B97FDB"/>
    <w:rsid w:val="00BA0166"/>
    <w:rsid w:val="00BA0172"/>
    <w:rsid w:val="00BA03D4"/>
    <w:rsid w:val="00BA0575"/>
    <w:rsid w:val="00BA1981"/>
    <w:rsid w:val="00BA1D6E"/>
    <w:rsid w:val="00BA21F8"/>
    <w:rsid w:val="00BA24AA"/>
    <w:rsid w:val="00BA26AD"/>
    <w:rsid w:val="00BA2BBD"/>
    <w:rsid w:val="00BA39A8"/>
    <w:rsid w:val="00BA3C80"/>
    <w:rsid w:val="00BA56E3"/>
    <w:rsid w:val="00BA5A57"/>
    <w:rsid w:val="00BA5C92"/>
    <w:rsid w:val="00BA60A4"/>
    <w:rsid w:val="00BA6491"/>
    <w:rsid w:val="00BA6A9A"/>
    <w:rsid w:val="00BA6D48"/>
    <w:rsid w:val="00BA7435"/>
    <w:rsid w:val="00BB0862"/>
    <w:rsid w:val="00BB163B"/>
    <w:rsid w:val="00BB1AE8"/>
    <w:rsid w:val="00BB2237"/>
    <w:rsid w:val="00BB24DA"/>
    <w:rsid w:val="00BB25D9"/>
    <w:rsid w:val="00BB2B9D"/>
    <w:rsid w:val="00BB2EDC"/>
    <w:rsid w:val="00BB383D"/>
    <w:rsid w:val="00BB3CE5"/>
    <w:rsid w:val="00BB3EA5"/>
    <w:rsid w:val="00BB4049"/>
    <w:rsid w:val="00BB4CDA"/>
    <w:rsid w:val="00BB5136"/>
    <w:rsid w:val="00BB5ACB"/>
    <w:rsid w:val="00BB608E"/>
    <w:rsid w:val="00BB681F"/>
    <w:rsid w:val="00BB6A48"/>
    <w:rsid w:val="00BB7669"/>
    <w:rsid w:val="00BB78F4"/>
    <w:rsid w:val="00BB7DB1"/>
    <w:rsid w:val="00BB7FB3"/>
    <w:rsid w:val="00BC0275"/>
    <w:rsid w:val="00BC051F"/>
    <w:rsid w:val="00BC0776"/>
    <w:rsid w:val="00BC08D3"/>
    <w:rsid w:val="00BC09A3"/>
    <w:rsid w:val="00BC0C4E"/>
    <w:rsid w:val="00BC0D8B"/>
    <w:rsid w:val="00BC0E40"/>
    <w:rsid w:val="00BC1450"/>
    <w:rsid w:val="00BC166A"/>
    <w:rsid w:val="00BC1755"/>
    <w:rsid w:val="00BC1D15"/>
    <w:rsid w:val="00BC2584"/>
    <w:rsid w:val="00BC3533"/>
    <w:rsid w:val="00BC369E"/>
    <w:rsid w:val="00BC48F3"/>
    <w:rsid w:val="00BC4AF9"/>
    <w:rsid w:val="00BC5DCE"/>
    <w:rsid w:val="00BC6D71"/>
    <w:rsid w:val="00BC7399"/>
    <w:rsid w:val="00BD0164"/>
    <w:rsid w:val="00BD03EC"/>
    <w:rsid w:val="00BD0959"/>
    <w:rsid w:val="00BD0A1E"/>
    <w:rsid w:val="00BD0CC4"/>
    <w:rsid w:val="00BD0F95"/>
    <w:rsid w:val="00BD128A"/>
    <w:rsid w:val="00BD1403"/>
    <w:rsid w:val="00BD1E32"/>
    <w:rsid w:val="00BD2C1B"/>
    <w:rsid w:val="00BD2F8F"/>
    <w:rsid w:val="00BD31B8"/>
    <w:rsid w:val="00BD3408"/>
    <w:rsid w:val="00BD5502"/>
    <w:rsid w:val="00BD5801"/>
    <w:rsid w:val="00BD58E0"/>
    <w:rsid w:val="00BD5F8D"/>
    <w:rsid w:val="00BD60CB"/>
    <w:rsid w:val="00BD6B4C"/>
    <w:rsid w:val="00BD750C"/>
    <w:rsid w:val="00BD7D12"/>
    <w:rsid w:val="00BE07E0"/>
    <w:rsid w:val="00BE10AC"/>
    <w:rsid w:val="00BE1C7B"/>
    <w:rsid w:val="00BE1F7D"/>
    <w:rsid w:val="00BE30BC"/>
    <w:rsid w:val="00BE323E"/>
    <w:rsid w:val="00BE35EE"/>
    <w:rsid w:val="00BE3706"/>
    <w:rsid w:val="00BE39AA"/>
    <w:rsid w:val="00BE3A35"/>
    <w:rsid w:val="00BE3B56"/>
    <w:rsid w:val="00BE433B"/>
    <w:rsid w:val="00BE468A"/>
    <w:rsid w:val="00BE46D0"/>
    <w:rsid w:val="00BE48F9"/>
    <w:rsid w:val="00BE4A90"/>
    <w:rsid w:val="00BE53BA"/>
    <w:rsid w:val="00BE6EDD"/>
    <w:rsid w:val="00BE7E7F"/>
    <w:rsid w:val="00BF02DC"/>
    <w:rsid w:val="00BF1106"/>
    <w:rsid w:val="00BF129D"/>
    <w:rsid w:val="00BF13DA"/>
    <w:rsid w:val="00BF16A8"/>
    <w:rsid w:val="00BF2CD1"/>
    <w:rsid w:val="00BF4193"/>
    <w:rsid w:val="00BF4720"/>
    <w:rsid w:val="00BF4BD1"/>
    <w:rsid w:val="00BF50EF"/>
    <w:rsid w:val="00BF6506"/>
    <w:rsid w:val="00BF6B90"/>
    <w:rsid w:val="00BF6DAE"/>
    <w:rsid w:val="00BF7C11"/>
    <w:rsid w:val="00BF7E27"/>
    <w:rsid w:val="00C01C5C"/>
    <w:rsid w:val="00C01E01"/>
    <w:rsid w:val="00C02001"/>
    <w:rsid w:val="00C03880"/>
    <w:rsid w:val="00C03E9E"/>
    <w:rsid w:val="00C042D4"/>
    <w:rsid w:val="00C045C4"/>
    <w:rsid w:val="00C048D8"/>
    <w:rsid w:val="00C0496B"/>
    <w:rsid w:val="00C04D2D"/>
    <w:rsid w:val="00C0527E"/>
    <w:rsid w:val="00C05302"/>
    <w:rsid w:val="00C057C4"/>
    <w:rsid w:val="00C05E66"/>
    <w:rsid w:val="00C06541"/>
    <w:rsid w:val="00C06CE5"/>
    <w:rsid w:val="00C07438"/>
    <w:rsid w:val="00C07835"/>
    <w:rsid w:val="00C0789C"/>
    <w:rsid w:val="00C10267"/>
    <w:rsid w:val="00C10785"/>
    <w:rsid w:val="00C1105A"/>
    <w:rsid w:val="00C11CFC"/>
    <w:rsid w:val="00C11F32"/>
    <w:rsid w:val="00C12298"/>
    <w:rsid w:val="00C12B77"/>
    <w:rsid w:val="00C1307D"/>
    <w:rsid w:val="00C13139"/>
    <w:rsid w:val="00C1333A"/>
    <w:rsid w:val="00C13923"/>
    <w:rsid w:val="00C13E68"/>
    <w:rsid w:val="00C140F9"/>
    <w:rsid w:val="00C15506"/>
    <w:rsid w:val="00C16D9B"/>
    <w:rsid w:val="00C177D3"/>
    <w:rsid w:val="00C17ABA"/>
    <w:rsid w:val="00C214C9"/>
    <w:rsid w:val="00C21BB8"/>
    <w:rsid w:val="00C227F2"/>
    <w:rsid w:val="00C2297F"/>
    <w:rsid w:val="00C235BF"/>
    <w:rsid w:val="00C24AF9"/>
    <w:rsid w:val="00C25232"/>
    <w:rsid w:val="00C253FD"/>
    <w:rsid w:val="00C25F88"/>
    <w:rsid w:val="00C26EF8"/>
    <w:rsid w:val="00C27223"/>
    <w:rsid w:val="00C27A82"/>
    <w:rsid w:val="00C30207"/>
    <w:rsid w:val="00C30288"/>
    <w:rsid w:val="00C302E3"/>
    <w:rsid w:val="00C30CDE"/>
    <w:rsid w:val="00C31BE0"/>
    <w:rsid w:val="00C32DB9"/>
    <w:rsid w:val="00C32E98"/>
    <w:rsid w:val="00C333E4"/>
    <w:rsid w:val="00C34380"/>
    <w:rsid w:val="00C347F5"/>
    <w:rsid w:val="00C34E39"/>
    <w:rsid w:val="00C35F1D"/>
    <w:rsid w:val="00C35FE5"/>
    <w:rsid w:val="00C365D3"/>
    <w:rsid w:val="00C3776B"/>
    <w:rsid w:val="00C37CC9"/>
    <w:rsid w:val="00C37D27"/>
    <w:rsid w:val="00C37E4B"/>
    <w:rsid w:val="00C4030B"/>
    <w:rsid w:val="00C40404"/>
    <w:rsid w:val="00C40A9A"/>
    <w:rsid w:val="00C40D96"/>
    <w:rsid w:val="00C4150E"/>
    <w:rsid w:val="00C41C71"/>
    <w:rsid w:val="00C4290C"/>
    <w:rsid w:val="00C430AB"/>
    <w:rsid w:val="00C43365"/>
    <w:rsid w:val="00C43C6A"/>
    <w:rsid w:val="00C44CF8"/>
    <w:rsid w:val="00C45DBE"/>
    <w:rsid w:val="00C4621A"/>
    <w:rsid w:val="00C46E1A"/>
    <w:rsid w:val="00C50554"/>
    <w:rsid w:val="00C505B0"/>
    <w:rsid w:val="00C50977"/>
    <w:rsid w:val="00C509EB"/>
    <w:rsid w:val="00C513C7"/>
    <w:rsid w:val="00C51A43"/>
    <w:rsid w:val="00C521C0"/>
    <w:rsid w:val="00C52709"/>
    <w:rsid w:val="00C5272E"/>
    <w:rsid w:val="00C528BB"/>
    <w:rsid w:val="00C531DC"/>
    <w:rsid w:val="00C5349F"/>
    <w:rsid w:val="00C55C3C"/>
    <w:rsid w:val="00C562A5"/>
    <w:rsid w:val="00C578D8"/>
    <w:rsid w:val="00C6042B"/>
    <w:rsid w:val="00C608D3"/>
    <w:rsid w:val="00C60FA1"/>
    <w:rsid w:val="00C61077"/>
    <w:rsid w:val="00C612F2"/>
    <w:rsid w:val="00C61EF8"/>
    <w:rsid w:val="00C625C8"/>
    <w:rsid w:val="00C6286E"/>
    <w:rsid w:val="00C62B78"/>
    <w:rsid w:val="00C62FD9"/>
    <w:rsid w:val="00C6359B"/>
    <w:rsid w:val="00C63D92"/>
    <w:rsid w:val="00C641EC"/>
    <w:rsid w:val="00C64739"/>
    <w:rsid w:val="00C648E8"/>
    <w:rsid w:val="00C64CB7"/>
    <w:rsid w:val="00C6593D"/>
    <w:rsid w:val="00C65C1C"/>
    <w:rsid w:val="00C66530"/>
    <w:rsid w:val="00C673F7"/>
    <w:rsid w:val="00C67818"/>
    <w:rsid w:val="00C70084"/>
    <w:rsid w:val="00C702C5"/>
    <w:rsid w:val="00C7076B"/>
    <w:rsid w:val="00C711FA"/>
    <w:rsid w:val="00C719FC"/>
    <w:rsid w:val="00C720DA"/>
    <w:rsid w:val="00C72A1E"/>
    <w:rsid w:val="00C74DC7"/>
    <w:rsid w:val="00C76E5F"/>
    <w:rsid w:val="00C77792"/>
    <w:rsid w:val="00C77AFC"/>
    <w:rsid w:val="00C8041E"/>
    <w:rsid w:val="00C80479"/>
    <w:rsid w:val="00C805EB"/>
    <w:rsid w:val="00C806DD"/>
    <w:rsid w:val="00C80798"/>
    <w:rsid w:val="00C8168A"/>
    <w:rsid w:val="00C819C7"/>
    <w:rsid w:val="00C82779"/>
    <w:rsid w:val="00C833E7"/>
    <w:rsid w:val="00C83613"/>
    <w:rsid w:val="00C8365B"/>
    <w:rsid w:val="00C83E6D"/>
    <w:rsid w:val="00C84205"/>
    <w:rsid w:val="00C848A5"/>
    <w:rsid w:val="00C84EE1"/>
    <w:rsid w:val="00C85952"/>
    <w:rsid w:val="00C85B18"/>
    <w:rsid w:val="00C8684B"/>
    <w:rsid w:val="00C86C13"/>
    <w:rsid w:val="00C86ED0"/>
    <w:rsid w:val="00C870D1"/>
    <w:rsid w:val="00C876EF"/>
    <w:rsid w:val="00C90127"/>
    <w:rsid w:val="00C901EE"/>
    <w:rsid w:val="00C90A67"/>
    <w:rsid w:val="00C9202E"/>
    <w:rsid w:val="00C92FDF"/>
    <w:rsid w:val="00C9400F"/>
    <w:rsid w:val="00C9477B"/>
    <w:rsid w:val="00C9514C"/>
    <w:rsid w:val="00C95585"/>
    <w:rsid w:val="00C958AC"/>
    <w:rsid w:val="00C96A15"/>
    <w:rsid w:val="00C97CDD"/>
    <w:rsid w:val="00C97F3E"/>
    <w:rsid w:val="00CA004F"/>
    <w:rsid w:val="00CA0ACF"/>
    <w:rsid w:val="00CA1B99"/>
    <w:rsid w:val="00CA28FA"/>
    <w:rsid w:val="00CA295E"/>
    <w:rsid w:val="00CA357F"/>
    <w:rsid w:val="00CA391F"/>
    <w:rsid w:val="00CA3D26"/>
    <w:rsid w:val="00CA3F8E"/>
    <w:rsid w:val="00CA4E7E"/>
    <w:rsid w:val="00CA5512"/>
    <w:rsid w:val="00CA5739"/>
    <w:rsid w:val="00CA5B26"/>
    <w:rsid w:val="00CA5EDF"/>
    <w:rsid w:val="00CA6515"/>
    <w:rsid w:val="00CA67F7"/>
    <w:rsid w:val="00CA70A4"/>
    <w:rsid w:val="00CA73A7"/>
    <w:rsid w:val="00CA7657"/>
    <w:rsid w:val="00CA7B14"/>
    <w:rsid w:val="00CA7CF3"/>
    <w:rsid w:val="00CA7FC7"/>
    <w:rsid w:val="00CB04EF"/>
    <w:rsid w:val="00CB0C2E"/>
    <w:rsid w:val="00CB11F8"/>
    <w:rsid w:val="00CB1308"/>
    <w:rsid w:val="00CB16CC"/>
    <w:rsid w:val="00CB16F9"/>
    <w:rsid w:val="00CB1C1F"/>
    <w:rsid w:val="00CB1C20"/>
    <w:rsid w:val="00CB1EE3"/>
    <w:rsid w:val="00CB2E8A"/>
    <w:rsid w:val="00CB2F66"/>
    <w:rsid w:val="00CB3106"/>
    <w:rsid w:val="00CB43F2"/>
    <w:rsid w:val="00CB4587"/>
    <w:rsid w:val="00CB5CAF"/>
    <w:rsid w:val="00CB6153"/>
    <w:rsid w:val="00CB6253"/>
    <w:rsid w:val="00CB6FD5"/>
    <w:rsid w:val="00CB70C4"/>
    <w:rsid w:val="00CB7632"/>
    <w:rsid w:val="00CB77C1"/>
    <w:rsid w:val="00CC0048"/>
    <w:rsid w:val="00CC0407"/>
    <w:rsid w:val="00CC0A10"/>
    <w:rsid w:val="00CC0A17"/>
    <w:rsid w:val="00CC0CFA"/>
    <w:rsid w:val="00CC0E2A"/>
    <w:rsid w:val="00CC206D"/>
    <w:rsid w:val="00CC24AA"/>
    <w:rsid w:val="00CC3A82"/>
    <w:rsid w:val="00CC42CE"/>
    <w:rsid w:val="00CC4857"/>
    <w:rsid w:val="00CC5564"/>
    <w:rsid w:val="00CC55EF"/>
    <w:rsid w:val="00CC5F56"/>
    <w:rsid w:val="00CC6714"/>
    <w:rsid w:val="00CC67C5"/>
    <w:rsid w:val="00CC6F12"/>
    <w:rsid w:val="00CC72B9"/>
    <w:rsid w:val="00CC7339"/>
    <w:rsid w:val="00CD0B8B"/>
    <w:rsid w:val="00CD1697"/>
    <w:rsid w:val="00CD16E2"/>
    <w:rsid w:val="00CD1A2B"/>
    <w:rsid w:val="00CD1CBD"/>
    <w:rsid w:val="00CD2DF3"/>
    <w:rsid w:val="00CD371E"/>
    <w:rsid w:val="00CD4718"/>
    <w:rsid w:val="00CD4AB4"/>
    <w:rsid w:val="00CD53C9"/>
    <w:rsid w:val="00CD5574"/>
    <w:rsid w:val="00CD5D2F"/>
    <w:rsid w:val="00CD64E0"/>
    <w:rsid w:val="00CD66DD"/>
    <w:rsid w:val="00CD6DED"/>
    <w:rsid w:val="00CD7350"/>
    <w:rsid w:val="00CD74DA"/>
    <w:rsid w:val="00CD7928"/>
    <w:rsid w:val="00CE02EA"/>
    <w:rsid w:val="00CE0E44"/>
    <w:rsid w:val="00CE101F"/>
    <w:rsid w:val="00CE15F5"/>
    <w:rsid w:val="00CE1652"/>
    <w:rsid w:val="00CE1CFC"/>
    <w:rsid w:val="00CE2EEE"/>
    <w:rsid w:val="00CE34FE"/>
    <w:rsid w:val="00CE35B2"/>
    <w:rsid w:val="00CE40A2"/>
    <w:rsid w:val="00CE4144"/>
    <w:rsid w:val="00CE48BE"/>
    <w:rsid w:val="00CE4949"/>
    <w:rsid w:val="00CE4A00"/>
    <w:rsid w:val="00CE50AF"/>
    <w:rsid w:val="00CE58E1"/>
    <w:rsid w:val="00CE5E24"/>
    <w:rsid w:val="00CE6ADB"/>
    <w:rsid w:val="00CE70AB"/>
    <w:rsid w:val="00CE74AD"/>
    <w:rsid w:val="00CE76D3"/>
    <w:rsid w:val="00CE7D0F"/>
    <w:rsid w:val="00CF0247"/>
    <w:rsid w:val="00CF0855"/>
    <w:rsid w:val="00CF1A56"/>
    <w:rsid w:val="00CF275A"/>
    <w:rsid w:val="00CF2F08"/>
    <w:rsid w:val="00CF32E1"/>
    <w:rsid w:val="00CF3888"/>
    <w:rsid w:val="00CF417A"/>
    <w:rsid w:val="00CF41A7"/>
    <w:rsid w:val="00CF48D9"/>
    <w:rsid w:val="00CF5B16"/>
    <w:rsid w:val="00CF6318"/>
    <w:rsid w:val="00CF6C78"/>
    <w:rsid w:val="00CF6FC8"/>
    <w:rsid w:val="00CF704C"/>
    <w:rsid w:val="00D006AB"/>
    <w:rsid w:val="00D008EA"/>
    <w:rsid w:val="00D01716"/>
    <w:rsid w:val="00D01CAE"/>
    <w:rsid w:val="00D033BD"/>
    <w:rsid w:val="00D03698"/>
    <w:rsid w:val="00D03BC8"/>
    <w:rsid w:val="00D03F69"/>
    <w:rsid w:val="00D048BD"/>
    <w:rsid w:val="00D048EA"/>
    <w:rsid w:val="00D05340"/>
    <w:rsid w:val="00D0555B"/>
    <w:rsid w:val="00D05BDD"/>
    <w:rsid w:val="00D06101"/>
    <w:rsid w:val="00D06822"/>
    <w:rsid w:val="00D06D0B"/>
    <w:rsid w:val="00D07230"/>
    <w:rsid w:val="00D07A45"/>
    <w:rsid w:val="00D110FB"/>
    <w:rsid w:val="00D11763"/>
    <w:rsid w:val="00D119AB"/>
    <w:rsid w:val="00D11BD2"/>
    <w:rsid w:val="00D1241C"/>
    <w:rsid w:val="00D12671"/>
    <w:rsid w:val="00D12DAE"/>
    <w:rsid w:val="00D12EAF"/>
    <w:rsid w:val="00D13FD7"/>
    <w:rsid w:val="00D1421B"/>
    <w:rsid w:val="00D144ED"/>
    <w:rsid w:val="00D14B0F"/>
    <w:rsid w:val="00D14D08"/>
    <w:rsid w:val="00D158E3"/>
    <w:rsid w:val="00D15A93"/>
    <w:rsid w:val="00D15C03"/>
    <w:rsid w:val="00D16316"/>
    <w:rsid w:val="00D173BF"/>
    <w:rsid w:val="00D17F2E"/>
    <w:rsid w:val="00D20517"/>
    <w:rsid w:val="00D20E2A"/>
    <w:rsid w:val="00D2221E"/>
    <w:rsid w:val="00D223B5"/>
    <w:rsid w:val="00D22775"/>
    <w:rsid w:val="00D22B3E"/>
    <w:rsid w:val="00D2316F"/>
    <w:rsid w:val="00D2373C"/>
    <w:rsid w:val="00D24269"/>
    <w:rsid w:val="00D24344"/>
    <w:rsid w:val="00D24C71"/>
    <w:rsid w:val="00D24D8B"/>
    <w:rsid w:val="00D24DB6"/>
    <w:rsid w:val="00D25C98"/>
    <w:rsid w:val="00D25DD9"/>
    <w:rsid w:val="00D260C4"/>
    <w:rsid w:val="00D26540"/>
    <w:rsid w:val="00D272C5"/>
    <w:rsid w:val="00D2731A"/>
    <w:rsid w:val="00D27524"/>
    <w:rsid w:val="00D27C25"/>
    <w:rsid w:val="00D27EFA"/>
    <w:rsid w:val="00D3001E"/>
    <w:rsid w:val="00D30723"/>
    <w:rsid w:val="00D3128F"/>
    <w:rsid w:val="00D3241E"/>
    <w:rsid w:val="00D326DD"/>
    <w:rsid w:val="00D32EC6"/>
    <w:rsid w:val="00D35169"/>
    <w:rsid w:val="00D35C12"/>
    <w:rsid w:val="00D36277"/>
    <w:rsid w:val="00D362BA"/>
    <w:rsid w:val="00D36E45"/>
    <w:rsid w:val="00D3742A"/>
    <w:rsid w:val="00D37E18"/>
    <w:rsid w:val="00D4006D"/>
    <w:rsid w:val="00D400AF"/>
    <w:rsid w:val="00D401CD"/>
    <w:rsid w:val="00D4028C"/>
    <w:rsid w:val="00D40E9E"/>
    <w:rsid w:val="00D40FDA"/>
    <w:rsid w:val="00D4197D"/>
    <w:rsid w:val="00D41D16"/>
    <w:rsid w:val="00D41FA7"/>
    <w:rsid w:val="00D42A72"/>
    <w:rsid w:val="00D42E2C"/>
    <w:rsid w:val="00D43A38"/>
    <w:rsid w:val="00D43B16"/>
    <w:rsid w:val="00D43EFC"/>
    <w:rsid w:val="00D43FB4"/>
    <w:rsid w:val="00D44461"/>
    <w:rsid w:val="00D44DFC"/>
    <w:rsid w:val="00D44E13"/>
    <w:rsid w:val="00D44E2F"/>
    <w:rsid w:val="00D450C5"/>
    <w:rsid w:val="00D45527"/>
    <w:rsid w:val="00D45631"/>
    <w:rsid w:val="00D461AA"/>
    <w:rsid w:val="00D46F98"/>
    <w:rsid w:val="00D47A23"/>
    <w:rsid w:val="00D47CF7"/>
    <w:rsid w:val="00D508C6"/>
    <w:rsid w:val="00D50C9A"/>
    <w:rsid w:val="00D51D94"/>
    <w:rsid w:val="00D52C33"/>
    <w:rsid w:val="00D52E98"/>
    <w:rsid w:val="00D53902"/>
    <w:rsid w:val="00D53D0A"/>
    <w:rsid w:val="00D53EDF"/>
    <w:rsid w:val="00D5408D"/>
    <w:rsid w:val="00D54629"/>
    <w:rsid w:val="00D54DB7"/>
    <w:rsid w:val="00D54F1C"/>
    <w:rsid w:val="00D5544E"/>
    <w:rsid w:val="00D55538"/>
    <w:rsid w:val="00D5554D"/>
    <w:rsid w:val="00D5635C"/>
    <w:rsid w:val="00D56E3B"/>
    <w:rsid w:val="00D575E1"/>
    <w:rsid w:val="00D57C38"/>
    <w:rsid w:val="00D57F8E"/>
    <w:rsid w:val="00D604DC"/>
    <w:rsid w:val="00D60672"/>
    <w:rsid w:val="00D61A6D"/>
    <w:rsid w:val="00D61BF6"/>
    <w:rsid w:val="00D628F9"/>
    <w:rsid w:val="00D630D9"/>
    <w:rsid w:val="00D635B2"/>
    <w:rsid w:val="00D636C6"/>
    <w:rsid w:val="00D63860"/>
    <w:rsid w:val="00D63CBA"/>
    <w:rsid w:val="00D647A3"/>
    <w:rsid w:val="00D647AC"/>
    <w:rsid w:val="00D65646"/>
    <w:rsid w:val="00D6606A"/>
    <w:rsid w:val="00D66B01"/>
    <w:rsid w:val="00D677EE"/>
    <w:rsid w:val="00D67877"/>
    <w:rsid w:val="00D7075F"/>
    <w:rsid w:val="00D70792"/>
    <w:rsid w:val="00D70C4F"/>
    <w:rsid w:val="00D71083"/>
    <w:rsid w:val="00D72A98"/>
    <w:rsid w:val="00D72CF9"/>
    <w:rsid w:val="00D72DC5"/>
    <w:rsid w:val="00D73060"/>
    <w:rsid w:val="00D735A7"/>
    <w:rsid w:val="00D73BAE"/>
    <w:rsid w:val="00D7407B"/>
    <w:rsid w:val="00D74416"/>
    <w:rsid w:val="00D748C5"/>
    <w:rsid w:val="00D74D4C"/>
    <w:rsid w:val="00D74F67"/>
    <w:rsid w:val="00D74F73"/>
    <w:rsid w:val="00D7547D"/>
    <w:rsid w:val="00D75548"/>
    <w:rsid w:val="00D75AE1"/>
    <w:rsid w:val="00D77BA4"/>
    <w:rsid w:val="00D77E38"/>
    <w:rsid w:val="00D81657"/>
    <w:rsid w:val="00D81EA4"/>
    <w:rsid w:val="00D82287"/>
    <w:rsid w:val="00D82A59"/>
    <w:rsid w:val="00D82B84"/>
    <w:rsid w:val="00D83316"/>
    <w:rsid w:val="00D837CB"/>
    <w:rsid w:val="00D83AE3"/>
    <w:rsid w:val="00D8450B"/>
    <w:rsid w:val="00D84610"/>
    <w:rsid w:val="00D84A39"/>
    <w:rsid w:val="00D85357"/>
    <w:rsid w:val="00D85561"/>
    <w:rsid w:val="00D857D4"/>
    <w:rsid w:val="00D87560"/>
    <w:rsid w:val="00D87CF7"/>
    <w:rsid w:val="00D90D99"/>
    <w:rsid w:val="00D9189B"/>
    <w:rsid w:val="00D91C72"/>
    <w:rsid w:val="00D91D88"/>
    <w:rsid w:val="00D93948"/>
    <w:rsid w:val="00D93DA7"/>
    <w:rsid w:val="00D945F6"/>
    <w:rsid w:val="00D9541E"/>
    <w:rsid w:val="00D9547F"/>
    <w:rsid w:val="00D95568"/>
    <w:rsid w:val="00D9678C"/>
    <w:rsid w:val="00DA0260"/>
    <w:rsid w:val="00DA046C"/>
    <w:rsid w:val="00DA0A6C"/>
    <w:rsid w:val="00DA0F6F"/>
    <w:rsid w:val="00DA0FFE"/>
    <w:rsid w:val="00DA1394"/>
    <w:rsid w:val="00DA1780"/>
    <w:rsid w:val="00DA2289"/>
    <w:rsid w:val="00DA2D4A"/>
    <w:rsid w:val="00DA2E0B"/>
    <w:rsid w:val="00DA4045"/>
    <w:rsid w:val="00DA42C2"/>
    <w:rsid w:val="00DA4876"/>
    <w:rsid w:val="00DA4C57"/>
    <w:rsid w:val="00DA4E40"/>
    <w:rsid w:val="00DA5E33"/>
    <w:rsid w:val="00DA6233"/>
    <w:rsid w:val="00DA6C8D"/>
    <w:rsid w:val="00DA6EBA"/>
    <w:rsid w:val="00DA6F11"/>
    <w:rsid w:val="00DB03E4"/>
    <w:rsid w:val="00DB0B9B"/>
    <w:rsid w:val="00DB104F"/>
    <w:rsid w:val="00DB1198"/>
    <w:rsid w:val="00DB13A8"/>
    <w:rsid w:val="00DB17E6"/>
    <w:rsid w:val="00DB20AF"/>
    <w:rsid w:val="00DB21FE"/>
    <w:rsid w:val="00DB2F0A"/>
    <w:rsid w:val="00DB3473"/>
    <w:rsid w:val="00DB3A63"/>
    <w:rsid w:val="00DB5E1E"/>
    <w:rsid w:val="00DB644D"/>
    <w:rsid w:val="00DB6EAA"/>
    <w:rsid w:val="00DC0D3E"/>
    <w:rsid w:val="00DC16C1"/>
    <w:rsid w:val="00DC1BFB"/>
    <w:rsid w:val="00DC3582"/>
    <w:rsid w:val="00DC364A"/>
    <w:rsid w:val="00DC5524"/>
    <w:rsid w:val="00DC59F0"/>
    <w:rsid w:val="00DC65AB"/>
    <w:rsid w:val="00DC675A"/>
    <w:rsid w:val="00DC7B9F"/>
    <w:rsid w:val="00DD060C"/>
    <w:rsid w:val="00DD075B"/>
    <w:rsid w:val="00DD111C"/>
    <w:rsid w:val="00DD112A"/>
    <w:rsid w:val="00DD13FA"/>
    <w:rsid w:val="00DD178D"/>
    <w:rsid w:val="00DD17AB"/>
    <w:rsid w:val="00DD194A"/>
    <w:rsid w:val="00DD2889"/>
    <w:rsid w:val="00DD36F6"/>
    <w:rsid w:val="00DD421A"/>
    <w:rsid w:val="00DD42FC"/>
    <w:rsid w:val="00DD4633"/>
    <w:rsid w:val="00DD46E1"/>
    <w:rsid w:val="00DD56A3"/>
    <w:rsid w:val="00DD5B72"/>
    <w:rsid w:val="00DD604A"/>
    <w:rsid w:val="00DD656D"/>
    <w:rsid w:val="00DD6FC3"/>
    <w:rsid w:val="00DD7458"/>
    <w:rsid w:val="00DD7A21"/>
    <w:rsid w:val="00DE0B42"/>
    <w:rsid w:val="00DE0CF3"/>
    <w:rsid w:val="00DE1802"/>
    <w:rsid w:val="00DE22A4"/>
    <w:rsid w:val="00DE2335"/>
    <w:rsid w:val="00DE2962"/>
    <w:rsid w:val="00DE2BF5"/>
    <w:rsid w:val="00DE327C"/>
    <w:rsid w:val="00DE3758"/>
    <w:rsid w:val="00DE3808"/>
    <w:rsid w:val="00DE465D"/>
    <w:rsid w:val="00DE4EF1"/>
    <w:rsid w:val="00DE5013"/>
    <w:rsid w:val="00DE5239"/>
    <w:rsid w:val="00DE595A"/>
    <w:rsid w:val="00DE5D2F"/>
    <w:rsid w:val="00DE6A62"/>
    <w:rsid w:val="00DE794E"/>
    <w:rsid w:val="00DF0E7F"/>
    <w:rsid w:val="00DF1DCF"/>
    <w:rsid w:val="00DF2DCF"/>
    <w:rsid w:val="00DF34D0"/>
    <w:rsid w:val="00DF3EA7"/>
    <w:rsid w:val="00DF453C"/>
    <w:rsid w:val="00DF4B5F"/>
    <w:rsid w:val="00DF5023"/>
    <w:rsid w:val="00DF533B"/>
    <w:rsid w:val="00DF55DD"/>
    <w:rsid w:val="00DF5689"/>
    <w:rsid w:val="00DF6158"/>
    <w:rsid w:val="00DF67E6"/>
    <w:rsid w:val="00DF6AD0"/>
    <w:rsid w:val="00DF6BF7"/>
    <w:rsid w:val="00E00218"/>
    <w:rsid w:val="00E01101"/>
    <w:rsid w:val="00E01162"/>
    <w:rsid w:val="00E0153B"/>
    <w:rsid w:val="00E0217C"/>
    <w:rsid w:val="00E0283B"/>
    <w:rsid w:val="00E02875"/>
    <w:rsid w:val="00E03F29"/>
    <w:rsid w:val="00E04FA1"/>
    <w:rsid w:val="00E05285"/>
    <w:rsid w:val="00E0568F"/>
    <w:rsid w:val="00E05EDF"/>
    <w:rsid w:val="00E06B53"/>
    <w:rsid w:val="00E06C2F"/>
    <w:rsid w:val="00E06C8C"/>
    <w:rsid w:val="00E07387"/>
    <w:rsid w:val="00E0750E"/>
    <w:rsid w:val="00E10D05"/>
    <w:rsid w:val="00E10D93"/>
    <w:rsid w:val="00E115B1"/>
    <w:rsid w:val="00E125CE"/>
    <w:rsid w:val="00E13616"/>
    <w:rsid w:val="00E15AC3"/>
    <w:rsid w:val="00E161CE"/>
    <w:rsid w:val="00E1641B"/>
    <w:rsid w:val="00E1649E"/>
    <w:rsid w:val="00E167F2"/>
    <w:rsid w:val="00E167F4"/>
    <w:rsid w:val="00E17309"/>
    <w:rsid w:val="00E17719"/>
    <w:rsid w:val="00E17917"/>
    <w:rsid w:val="00E17A06"/>
    <w:rsid w:val="00E17A48"/>
    <w:rsid w:val="00E2081A"/>
    <w:rsid w:val="00E20822"/>
    <w:rsid w:val="00E214A5"/>
    <w:rsid w:val="00E23E51"/>
    <w:rsid w:val="00E241F6"/>
    <w:rsid w:val="00E24241"/>
    <w:rsid w:val="00E2507A"/>
    <w:rsid w:val="00E25AB3"/>
    <w:rsid w:val="00E26017"/>
    <w:rsid w:val="00E27163"/>
    <w:rsid w:val="00E276EA"/>
    <w:rsid w:val="00E27AFE"/>
    <w:rsid w:val="00E30D7D"/>
    <w:rsid w:val="00E30EA8"/>
    <w:rsid w:val="00E313C4"/>
    <w:rsid w:val="00E322F6"/>
    <w:rsid w:val="00E3235C"/>
    <w:rsid w:val="00E32604"/>
    <w:rsid w:val="00E32F8E"/>
    <w:rsid w:val="00E333AF"/>
    <w:rsid w:val="00E33883"/>
    <w:rsid w:val="00E3432C"/>
    <w:rsid w:val="00E348AE"/>
    <w:rsid w:val="00E3593E"/>
    <w:rsid w:val="00E35CF0"/>
    <w:rsid w:val="00E35FFB"/>
    <w:rsid w:val="00E36FBF"/>
    <w:rsid w:val="00E37389"/>
    <w:rsid w:val="00E378BD"/>
    <w:rsid w:val="00E37CD6"/>
    <w:rsid w:val="00E40C33"/>
    <w:rsid w:val="00E41149"/>
    <w:rsid w:val="00E4118F"/>
    <w:rsid w:val="00E41585"/>
    <w:rsid w:val="00E415AE"/>
    <w:rsid w:val="00E41AE2"/>
    <w:rsid w:val="00E423B3"/>
    <w:rsid w:val="00E4242E"/>
    <w:rsid w:val="00E424E0"/>
    <w:rsid w:val="00E425B9"/>
    <w:rsid w:val="00E42EAC"/>
    <w:rsid w:val="00E4389A"/>
    <w:rsid w:val="00E4400C"/>
    <w:rsid w:val="00E44A5B"/>
    <w:rsid w:val="00E45043"/>
    <w:rsid w:val="00E45554"/>
    <w:rsid w:val="00E46106"/>
    <w:rsid w:val="00E476AA"/>
    <w:rsid w:val="00E47DF4"/>
    <w:rsid w:val="00E50803"/>
    <w:rsid w:val="00E50A07"/>
    <w:rsid w:val="00E50BE7"/>
    <w:rsid w:val="00E51A73"/>
    <w:rsid w:val="00E51DC2"/>
    <w:rsid w:val="00E51EAE"/>
    <w:rsid w:val="00E522F7"/>
    <w:rsid w:val="00E5335C"/>
    <w:rsid w:val="00E545B3"/>
    <w:rsid w:val="00E54D7C"/>
    <w:rsid w:val="00E55BF8"/>
    <w:rsid w:val="00E55E0E"/>
    <w:rsid w:val="00E5691B"/>
    <w:rsid w:val="00E56C37"/>
    <w:rsid w:val="00E57262"/>
    <w:rsid w:val="00E60044"/>
    <w:rsid w:val="00E60222"/>
    <w:rsid w:val="00E61D00"/>
    <w:rsid w:val="00E62CB9"/>
    <w:rsid w:val="00E6322A"/>
    <w:rsid w:val="00E634EB"/>
    <w:rsid w:val="00E6359E"/>
    <w:rsid w:val="00E635C5"/>
    <w:rsid w:val="00E63713"/>
    <w:rsid w:val="00E63CBD"/>
    <w:rsid w:val="00E63D03"/>
    <w:rsid w:val="00E663D6"/>
    <w:rsid w:val="00E663DD"/>
    <w:rsid w:val="00E66A67"/>
    <w:rsid w:val="00E66C34"/>
    <w:rsid w:val="00E70081"/>
    <w:rsid w:val="00E709CC"/>
    <w:rsid w:val="00E71B98"/>
    <w:rsid w:val="00E71BD6"/>
    <w:rsid w:val="00E722E5"/>
    <w:rsid w:val="00E724B2"/>
    <w:rsid w:val="00E72684"/>
    <w:rsid w:val="00E738E5"/>
    <w:rsid w:val="00E73AD4"/>
    <w:rsid w:val="00E73BDF"/>
    <w:rsid w:val="00E7410E"/>
    <w:rsid w:val="00E74195"/>
    <w:rsid w:val="00E7478C"/>
    <w:rsid w:val="00E748A4"/>
    <w:rsid w:val="00E7525D"/>
    <w:rsid w:val="00E7602C"/>
    <w:rsid w:val="00E763AA"/>
    <w:rsid w:val="00E76642"/>
    <w:rsid w:val="00E76894"/>
    <w:rsid w:val="00E768A2"/>
    <w:rsid w:val="00E76C9F"/>
    <w:rsid w:val="00E76DFB"/>
    <w:rsid w:val="00E76F1C"/>
    <w:rsid w:val="00E77FDF"/>
    <w:rsid w:val="00E80005"/>
    <w:rsid w:val="00E80802"/>
    <w:rsid w:val="00E80C9D"/>
    <w:rsid w:val="00E80F8E"/>
    <w:rsid w:val="00E82137"/>
    <w:rsid w:val="00E82982"/>
    <w:rsid w:val="00E84A16"/>
    <w:rsid w:val="00E854F1"/>
    <w:rsid w:val="00E85509"/>
    <w:rsid w:val="00E85AA1"/>
    <w:rsid w:val="00E85DB7"/>
    <w:rsid w:val="00E86259"/>
    <w:rsid w:val="00E86357"/>
    <w:rsid w:val="00E871D0"/>
    <w:rsid w:val="00E87379"/>
    <w:rsid w:val="00E8740E"/>
    <w:rsid w:val="00E90E96"/>
    <w:rsid w:val="00E91533"/>
    <w:rsid w:val="00E9287A"/>
    <w:rsid w:val="00E92A36"/>
    <w:rsid w:val="00E9460D"/>
    <w:rsid w:val="00E94660"/>
    <w:rsid w:val="00E94E05"/>
    <w:rsid w:val="00E95242"/>
    <w:rsid w:val="00E9542B"/>
    <w:rsid w:val="00E95BB5"/>
    <w:rsid w:val="00E95F6E"/>
    <w:rsid w:val="00E96FE8"/>
    <w:rsid w:val="00E97BEA"/>
    <w:rsid w:val="00EA0261"/>
    <w:rsid w:val="00EA03A7"/>
    <w:rsid w:val="00EA0B7F"/>
    <w:rsid w:val="00EA0D99"/>
    <w:rsid w:val="00EA10D9"/>
    <w:rsid w:val="00EA14C0"/>
    <w:rsid w:val="00EA16EE"/>
    <w:rsid w:val="00EA1D37"/>
    <w:rsid w:val="00EA29D4"/>
    <w:rsid w:val="00EA29F2"/>
    <w:rsid w:val="00EA2CD3"/>
    <w:rsid w:val="00EA381B"/>
    <w:rsid w:val="00EA38B3"/>
    <w:rsid w:val="00EA38C4"/>
    <w:rsid w:val="00EA3C99"/>
    <w:rsid w:val="00EA45A9"/>
    <w:rsid w:val="00EA45FF"/>
    <w:rsid w:val="00EA51A1"/>
    <w:rsid w:val="00EA5EC0"/>
    <w:rsid w:val="00EA622E"/>
    <w:rsid w:val="00EA6263"/>
    <w:rsid w:val="00EA6BE3"/>
    <w:rsid w:val="00EA7344"/>
    <w:rsid w:val="00EA7749"/>
    <w:rsid w:val="00EA7B1F"/>
    <w:rsid w:val="00EB0EE4"/>
    <w:rsid w:val="00EB27E8"/>
    <w:rsid w:val="00EB29FF"/>
    <w:rsid w:val="00EB2BB8"/>
    <w:rsid w:val="00EB4547"/>
    <w:rsid w:val="00EB4990"/>
    <w:rsid w:val="00EB5374"/>
    <w:rsid w:val="00EB550A"/>
    <w:rsid w:val="00EB59E0"/>
    <w:rsid w:val="00EB68AC"/>
    <w:rsid w:val="00EB6CED"/>
    <w:rsid w:val="00EC0804"/>
    <w:rsid w:val="00EC09C8"/>
    <w:rsid w:val="00EC1101"/>
    <w:rsid w:val="00EC114A"/>
    <w:rsid w:val="00EC18E0"/>
    <w:rsid w:val="00EC1F39"/>
    <w:rsid w:val="00EC2495"/>
    <w:rsid w:val="00EC2612"/>
    <w:rsid w:val="00EC266D"/>
    <w:rsid w:val="00EC28BE"/>
    <w:rsid w:val="00EC390C"/>
    <w:rsid w:val="00EC3C07"/>
    <w:rsid w:val="00EC3DE1"/>
    <w:rsid w:val="00EC409E"/>
    <w:rsid w:val="00EC40CE"/>
    <w:rsid w:val="00EC4102"/>
    <w:rsid w:val="00EC45B6"/>
    <w:rsid w:val="00EC4F13"/>
    <w:rsid w:val="00EC54EC"/>
    <w:rsid w:val="00EC578A"/>
    <w:rsid w:val="00EC6436"/>
    <w:rsid w:val="00EC67A0"/>
    <w:rsid w:val="00EC692E"/>
    <w:rsid w:val="00EC6E74"/>
    <w:rsid w:val="00EC7138"/>
    <w:rsid w:val="00ED020C"/>
    <w:rsid w:val="00ED0DAE"/>
    <w:rsid w:val="00ED1058"/>
    <w:rsid w:val="00ED194C"/>
    <w:rsid w:val="00ED31FF"/>
    <w:rsid w:val="00ED37D8"/>
    <w:rsid w:val="00ED412B"/>
    <w:rsid w:val="00ED57FE"/>
    <w:rsid w:val="00ED5DF4"/>
    <w:rsid w:val="00ED68CC"/>
    <w:rsid w:val="00ED712A"/>
    <w:rsid w:val="00ED75CF"/>
    <w:rsid w:val="00ED7679"/>
    <w:rsid w:val="00ED7961"/>
    <w:rsid w:val="00ED79A9"/>
    <w:rsid w:val="00ED7EFE"/>
    <w:rsid w:val="00EE0823"/>
    <w:rsid w:val="00EE082F"/>
    <w:rsid w:val="00EE22A0"/>
    <w:rsid w:val="00EE2EDC"/>
    <w:rsid w:val="00EE39EF"/>
    <w:rsid w:val="00EE3D59"/>
    <w:rsid w:val="00EE42A7"/>
    <w:rsid w:val="00EE4BD1"/>
    <w:rsid w:val="00EE4CD7"/>
    <w:rsid w:val="00EE50C5"/>
    <w:rsid w:val="00EE6FCF"/>
    <w:rsid w:val="00EE72DC"/>
    <w:rsid w:val="00EE73C5"/>
    <w:rsid w:val="00EF01AC"/>
    <w:rsid w:val="00EF17E0"/>
    <w:rsid w:val="00EF1EB8"/>
    <w:rsid w:val="00EF23C2"/>
    <w:rsid w:val="00EF23EE"/>
    <w:rsid w:val="00EF251D"/>
    <w:rsid w:val="00EF5085"/>
    <w:rsid w:val="00EF54EB"/>
    <w:rsid w:val="00EF55A5"/>
    <w:rsid w:val="00EF59C9"/>
    <w:rsid w:val="00EF5F0E"/>
    <w:rsid w:val="00EF623C"/>
    <w:rsid w:val="00EF6CF2"/>
    <w:rsid w:val="00EF6D14"/>
    <w:rsid w:val="00EF6D65"/>
    <w:rsid w:val="00EF70A8"/>
    <w:rsid w:val="00EF7E76"/>
    <w:rsid w:val="00F00A1A"/>
    <w:rsid w:val="00F0265C"/>
    <w:rsid w:val="00F038A8"/>
    <w:rsid w:val="00F06613"/>
    <w:rsid w:val="00F070CB"/>
    <w:rsid w:val="00F071ED"/>
    <w:rsid w:val="00F07B6A"/>
    <w:rsid w:val="00F10909"/>
    <w:rsid w:val="00F11EBE"/>
    <w:rsid w:val="00F11F36"/>
    <w:rsid w:val="00F11F75"/>
    <w:rsid w:val="00F11F9F"/>
    <w:rsid w:val="00F12A63"/>
    <w:rsid w:val="00F12AF0"/>
    <w:rsid w:val="00F12F4C"/>
    <w:rsid w:val="00F133AD"/>
    <w:rsid w:val="00F142B6"/>
    <w:rsid w:val="00F143CA"/>
    <w:rsid w:val="00F15B48"/>
    <w:rsid w:val="00F16C8B"/>
    <w:rsid w:val="00F16F9B"/>
    <w:rsid w:val="00F17A2E"/>
    <w:rsid w:val="00F208D3"/>
    <w:rsid w:val="00F20B38"/>
    <w:rsid w:val="00F20D46"/>
    <w:rsid w:val="00F21266"/>
    <w:rsid w:val="00F214C0"/>
    <w:rsid w:val="00F219E7"/>
    <w:rsid w:val="00F22A94"/>
    <w:rsid w:val="00F22FE6"/>
    <w:rsid w:val="00F23339"/>
    <w:rsid w:val="00F24D82"/>
    <w:rsid w:val="00F252F6"/>
    <w:rsid w:val="00F25B2D"/>
    <w:rsid w:val="00F25ECF"/>
    <w:rsid w:val="00F263B7"/>
    <w:rsid w:val="00F274E1"/>
    <w:rsid w:val="00F3094C"/>
    <w:rsid w:val="00F309AB"/>
    <w:rsid w:val="00F30B72"/>
    <w:rsid w:val="00F315EA"/>
    <w:rsid w:val="00F31C29"/>
    <w:rsid w:val="00F32784"/>
    <w:rsid w:val="00F32825"/>
    <w:rsid w:val="00F32857"/>
    <w:rsid w:val="00F3285D"/>
    <w:rsid w:val="00F32B4C"/>
    <w:rsid w:val="00F32C83"/>
    <w:rsid w:val="00F32CDF"/>
    <w:rsid w:val="00F32F79"/>
    <w:rsid w:val="00F33442"/>
    <w:rsid w:val="00F33E55"/>
    <w:rsid w:val="00F340BD"/>
    <w:rsid w:val="00F3469D"/>
    <w:rsid w:val="00F34B38"/>
    <w:rsid w:val="00F353FF"/>
    <w:rsid w:val="00F3554D"/>
    <w:rsid w:val="00F35706"/>
    <w:rsid w:val="00F35808"/>
    <w:rsid w:val="00F35A65"/>
    <w:rsid w:val="00F374A5"/>
    <w:rsid w:val="00F374C6"/>
    <w:rsid w:val="00F37A2F"/>
    <w:rsid w:val="00F410C8"/>
    <w:rsid w:val="00F4119B"/>
    <w:rsid w:val="00F421C1"/>
    <w:rsid w:val="00F423AF"/>
    <w:rsid w:val="00F42DD0"/>
    <w:rsid w:val="00F43E16"/>
    <w:rsid w:val="00F43E29"/>
    <w:rsid w:val="00F4447B"/>
    <w:rsid w:val="00F44F3C"/>
    <w:rsid w:val="00F45748"/>
    <w:rsid w:val="00F45F1E"/>
    <w:rsid w:val="00F47057"/>
    <w:rsid w:val="00F47775"/>
    <w:rsid w:val="00F47A5D"/>
    <w:rsid w:val="00F5006D"/>
    <w:rsid w:val="00F50FDA"/>
    <w:rsid w:val="00F51196"/>
    <w:rsid w:val="00F527FC"/>
    <w:rsid w:val="00F537A6"/>
    <w:rsid w:val="00F53F23"/>
    <w:rsid w:val="00F5450A"/>
    <w:rsid w:val="00F55242"/>
    <w:rsid w:val="00F557E6"/>
    <w:rsid w:val="00F55CE7"/>
    <w:rsid w:val="00F55D04"/>
    <w:rsid w:val="00F570C6"/>
    <w:rsid w:val="00F570FA"/>
    <w:rsid w:val="00F60BE6"/>
    <w:rsid w:val="00F61DD4"/>
    <w:rsid w:val="00F639BA"/>
    <w:rsid w:val="00F639FC"/>
    <w:rsid w:val="00F64F4A"/>
    <w:rsid w:val="00F650E7"/>
    <w:rsid w:val="00F65423"/>
    <w:rsid w:val="00F65CFA"/>
    <w:rsid w:val="00F66015"/>
    <w:rsid w:val="00F66959"/>
    <w:rsid w:val="00F70B13"/>
    <w:rsid w:val="00F71A34"/>
    <w:rsid w:val="00F71B22"/>
    <w:rsid w:val="00F71E57"/>
    <w:rsid w:val="00F72413"/>
    <w:rsid w:val="00F72874"/>
    <w:rsid w:val="00F731AF"/>
    <w:rsid w:val="00F73470"/>
    <w:rsid w:val="00F73F02"/>
    <w:rsid w:val="00F74628"/>
    <w:rsid w:val="00F74A45"/>
    <w:rsid w:val="00F74D41"/>
    <w:rsid w:val="00F75FBD"/>
    <w:rsid w:val="00F7671F"/>
    <w:rsid w:val="00F76999"/>
    <w:rsid w:val="00F76C00"/>
    <w:rsid w:val="00F76CED"/>
    <w:rsid w:val="00F77090"/>
    <w:rsid w:val="00F7775A"/>
    <w:rsid w:val="00F77D7B"/>
    <w:rsid w:val="00F804EC"/>
    <w:rsid w:val="00F80E34"/>
    <w:rsid w:val="00F8194D"/>
    <w:rsid w:val="00F81AA6"/>
    <w:rsid w:val="00F81F5B"/>
    <w:rsid w:val="00F82023"/>
    <w:rsid w:val="00F821E6"/>
    <w:rsid w:val="00F83091"/>
    <w:rsid w:val="00F84A3D"/>
    <w:rsid w:val="00F84A4E"/>
    <w:rsid w:val="00F84FA1"/>
    <w:rsid w:val="00F854B2"/>
    <w:rsid w:val="00F857CA"/>
    <w:rsid w:val="00F85C53"/>
    <w:rsid w:val="00F86A5C"/>
    <w:rsid w:val="00F86EA1"/>
    <w:rsid w:val="00F87465"/>
    <w:rsid w:val="00F90C6D"/>
    <w:rsid w:val="00F91A8B"/>
    <w:rsid w:val="00F91EFB"/>
    <w:rsid w:val="00F9244B"/>
    <w:rsid w:val="00F93307"/>
    <w:rsid w:val="00F94080"/>
    <w:rsid w:val="00F94224"/>
    <w:rsid w:val="00F9422F"/>
    <w:rsid w:val="00F94826"/>
    <w:rsid w:val="00F9582C"/>
    <w:rsid w:val="00F95896"/>
    <w:rsid w:val="00F96FDE"/>
    <w:rsid w:val="00F97E50"/>
    <w:rsid w:val="00FA003B"/>
    <w:rsid w:val="00FA020F"/>
    <w:rsid w:val="00FA0E23"/>
    <w:rsid w:val="00FA1C0B"/>
    <w:rsid w:val="00FA30BF"/>
    <w:rsid w:val="00FA3480"/>
    <w:rsid w:val="00FA4128"/>
    <w:rsid w:val="00FA4E0E"/>
    <w:rsid w:val="00FA5A70"/>
    <w:rsid w:val="00FA73A0"/>
    <w:rsid w:val="00FB0740"/>
    <w:rsid w:val="00FB1245"/>
    <w:rsid w:val="00FB18C9"/>
    <w:rsid w:val="00FB19F4"/>
    <w:rsid w:val="00FB1A31"/>
    <w:rsid w:val="00FB26F0"/>
    <w:rsid w:val="00FB2A72"/>
    <w:rsid w:val="00FB2F15"/>
    <w:rsid w:val="00FB3B3B"/>
    <w:rsid w:val="00FB5146"/>
    <w:rsid w:val="00FB52B2"/>
    <w:rsid w:val="00FB5C65"/>
    <w:rsid w:val="00FB60DF"/>
    <w:rsid w:val="00FB6259"/>
    <w:rsid w:val="00FB6C6B"/>
    <w:rsid w:val="00FB6DA8"/>
    <w:rsid w:val="00FB7168"/>
    <w:rsid w:val="00FB7266"/>
    <w:rsid w:val="00FB73F5"/>
    <w:rsid w:val="00FB746D"/>
    <w:rsid w:val="00FB7C82"/>
    <w:rsid w:val="00FC031A"/>
    <w:rsid w:val="00FC050D"/>
    <w:rsid w:val="00FC0B38"/>
    <w:rsid w:val="00FC0C44"/>
    <w:rsid w:val="00FC119E"/>
    <w:rsid w:val="00FC14E8"/>
    <w:rsid w:val="00FC1DD3"/>
    <w:rsid w:val="00FC236B"/>
    <w:rsid w:val="00FC28DA"/>
    <w:rsid w:val="00FC293E"/>
    <w:rsid w:val="00FC3152"/>
    <w:rsid w:val="00FC35B2"/>
    <w:rsid w:val="00FC3A88"/>
    <w:rsid w:val="00FC3BA8"/>
    <w:rsid w:val="00FC4BA0"/>
    <w:rsid w:val="00FC61E6"/>
    <w:rsid w:val="00FC711D"/>
    <w:rsid w:val="00FC74FC"/>
    <w:rsid w:val="00FC7C50"/>
    <w:rsid w:val="00FD0549"/>
    <w:rsid w:val="00FD0851"/>
    <w:rsid w:val="00FD2737"/>
    <w:rsid w:val="00FD2A58"/>
    <w:rsid w:val="00FD397A"/>
    <w:rsid w:val="00FD4701"/>
    <w:rsid w:val="00FD4EF6"/>
    <w:rsid w:val="00FD56D6"/>
    <w:rsid w:val="00FD5FEC"/>
    <w:rsid w:val="00FD6B4C"/>
    <w:rsid w:val="00FD782C"/>
    <w:rsid w:val="00FE0BDF"/>
    <w:rsid w:val="00FE11EE"/>
    <w:rsid w:val="00FE215C"/>
    <w:rsid w:val="00FE216E"/>
    <w:rsid w:val="00FE2B7C"/>
    <w:rsid w:val="00FE2F4C"/>
    <w:rsid w:val="00FE44DF"/>
    <w:rsid w:val="00FE45BC"/>
    <w:rsid w:val="00FE4D25"/>
    <w:rsid w:val="00FE4D2E"/>
    <w:rsid w:val="00FE54EA"/>
    <w:rsid w:val="00FE5AF8"/>
    <w:rsid w:val="00FE60B2"/>
    <w:rsid w:val="00FE613B"/>
    <w:rsid w:val="00FE67A2"/>
    <w:rsid w:val="00FE78CA"/>
    <w:rsid w:val="00FE7C16"/>
    <w:rsid w:val="00FF0299"/>
    <w:rsid w:val="00FF0692"/>
    <w:rsid w:val="00FF0C54"/>
    <w:rsid w:val="00FF1148"/>
    <w:rsid w:val="00FF1497"/>
    <w:rsid w:val="00FF22E3"/>
    <w:rsid w:val="00FF232A"/>
    <w:rsid w:val="00FF32E4"/>
    <w:rsid w:val="00FF3E9A"/>
    <w:rsid w:val="00FF4BF4"/>
    <w:rsid w:val="00FF533B"/>
    <w:rsid w:val="00FF6795"/>
    <w:rsid w:val="00FF6F2F"/>
    <w:rsid w:val="00FF6F31"/>
    <w:rsid w:val="00FF7063"/>
    <w:rsid w:val="00FF72BF"/>
    <w:rsid w:val="00FF76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86A0CA"/>
  <w15:docId w15:val="{2E911187-2A47-4894-A9E9-79983EB0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8D3"/>
    <w:pPr>
      <w:spacing w:after="3" w:line="219" w:lineRule="auto"/>
      <w:ind w:left="10" w:right="2" w:hanging="10"/>
      <w:jc w:val="both"/>
    </w:pPr>
    <w:rPr>
      <w:rFonts w:ascii="Avant Garde" w:eastAsia="Avant Garde" w:hAnsi="Avant Garde" w:cs="Avant Garde"/>
      <w:color w:val="000000"/>
      <w:lang w:eastAsia="es-MX"/>
    </w:rPr>
  </w:style>
  <w:style w:type="paragraph" w:styleId="Ttulo1">
    <w:name w:val="heading 1"/>
    <w:aliases w:val="h1,TOC,Heading,Numbered - 1,ARC 1,heading1,q,Heading 2-SOW,1,Gp Heading,Part,Chapter Heading,Section Heading,KJL:Main,H1,Document, Document,l,h,l1,11,12,13,14,15,111,121,131,141,16,112,122,132,142,17,113,123,133,143,18,114,124,134,144,19,115,a"/>
    <w:next w:val="Normal"/>
    <w:link w:val="Ttulo1Car"/>
    <w:uiPriority w:val="9"/>
    <w:unhideWhenUsed/>
    <w:qFormat/>
    <w:rsid w:val="00BC09A3"/>
    <w:pPr>
      <w:keepNext/>
      <w:keepLines/>
      <w:spacing w:after="0"/>
      <w:ind w:left="370" w:hanging="10"/>
      <w:outlineLvl w:val="0"/>
    </w:pPr>
    <w:rPr>
      <w:rFonts w:ascii="Avant Garde" w:eastAsia="Avant Garde" w:hAnsi="Avant Garde" w:cs="Avant Garde"/>
      <w:color w:val="000000"/>
      <w:sz w:val="24"/>
      <w:lang w:eastAsia="es-MX"/>
    </w:rPr>
  </w:style>
  <w:style w:type="paragraph" w:styleId="Ttulo2">
    <w:name w:val="heading 2"/>
    <w:aliases w:val="h2,Section,Numbered - 2,Major,título 2,ARC 2,Para2,heading2,2,headi,h21,h22,21,H2,w,heading 2,headline,side,l2,list + change bar,???,Titre 2,Chapter,1.Seite,Sub Heading,Reset numbering,KJL:1st Level,sl2,22,23,211,221,24,212,222,25,213,223,26"/>
    <w:basedOn w:val="Normal"/>
    <w:next w:val="Normal"/>
    <w:link w:val="Ttulo2Car"/>
    <w:uiPriority w:val="9"/>
    <w:unhideWhenUsed/>
    <w:qFormat/>
    <w:rsid w:val="00766183"/>
    <w:pPr>
      <w:keepNext/>
      <w:keepLines/>
      <w:spacing w:before="360" w:after="240" w:line="320" w:lineRule="atLeast"/>
      <w:ind w:left="0" w:right="0" w:hanging="499"/>
      <w:outlineLvl w:val="1"/>
    </w:pPr>
    <w:rPr>
      <w:rFonts w:ascii="Times New Roman" w:eastAsia="Times New Roman" w:hAnsi="Times New Roman" w:cs="Times New Roman"/>
      <w:b/>
      <w:bCs/>
      <w:color w:val="auto"/>
      <w:sz w:val="24"/>
      <w:szCs w:val="26"/>
      <w:lang w:val="es-ES" w:eastAsia="en-US"/>
    </w:rPr>
  </w:style>
  <w:style w:type="paragraph" w:styleId="Ttulo3">
    <w:name w:val="heading 3"/>
    <w:aliases w:val="h3,3,l3,Guide 3,Head 3,List level 3,list 3,l3+toc 3,CT,X.X.X,two dig,C Sub-Sub/Italic,Head 31,Head 32,C Sub-Sub/Italic1,h3 sub heading,H3,3m,Normal + num,Heading three,Sub-section,heading 3,H31,Titre 3,_hh_Heading3,Sub-Section,ARC 3,heading3,e"/>
    <w:basedOn w:val="Normal"/>
    <w:next w:val="Normal"/>
    <w:link w:val="Ttulo3Car"/>
    <w:uiPriority w:val="9"/>
    <w:unhideWhenUsed/>
    <w:qFormat/>
    <w:rsid w:val="00766183"/>
    <w:pPr>
      <w:keepNext/>
      <w:keepLines/>
      <w:spacing w:before="360" w:after="240" w:line="320" w:lineRule="atLeast"/>
      <w:ind w:left="0" w:right="0" w:hanging="499"/>
      <w:outlineLvl w:val="2"/>
    </w:pPr>
    <w:rPr>
      <w:rFonts w:ascii="Times New Roman" w:eastAsia="Times New Roman" w:hAnsi="Times New Roman" w:cs="Times New Roman"/>
      <w:b/>
      <w:bCs/>
      <w:color w:val="auto"/>
      <w:lang w:val="es-ES" w:eastAsia="en-US"/>
    </w:rPr>
  </w:style>
  <w:style w:type="paragraph" w:styleId="Ttulo4">
    <w:name w:val="heading 4"/>
    <w:aliases w:val="h4,Underunderafsnit"/>
    <w:basedOn w:val="Normal"/>
    <w:next w:val="Normal"/>
    <w:link w:val="Ttulo4Car"/>
    <w:uiPriority w:val="9"/>
    <w:unhideWhenUsed/>
    <w:qFormat/>
    <w:rsid w:val="00766183"/>
    <w:pPr>
      <w:keepNext/>
      <w:keepLines/>
      <w:spacing w:before="360" w:after="240" w:line="320" w:lineRule="atLeast"/>
      <w:ind w:left="0" w:right="0" w:firstLine="0"/>
      <w:outlineLvl w:val="3"/>
    </w:pPr>
    <w:rPr>
      <w:rFonts w:ascii="Times New Roman" w:eastAsia="Times New Roman" w:hAnsi="Times New Roman" w:cs="Times New Roman"/>
      <w:bCs/>
      <w:i/>
      <w:iCs/>
      <w:color w:val="auto"/>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TOC Car,Heading Car,Numbered - 1 Car,ARC 1 Car,heading1 Car,q Car,Heading 2-SOW Car,1 Car,Gp Heading Car,Part Car,Chapter Heading Car,Section Heading Car,KJL:Main Car,H1 Car,Document Car, Document Car,l Car,h Car,l1 Car,11 Car,12 Car"/>
    <w:basedOn w:val="Fuentedeprrafopredeter"/>
    <w:link w:val="Ttulo1"/>
    <w:uiPriority w:val="9"/>
    <w:rsid w:val="00BC09A3"/>
    <w:rPr>
      <w:rFonts w:ascii="Avant Garde" w:eastAsia="Avant Garde" w:hAnsi="Avant Garde" w:cs="Avant Garde"/>
      <w:color w:val="000000"/>
      <w:sz w:val="24"/>
      <w:lang w:eastAsia="es-MX"/>
    </w:rPr>
  </w:style>
  <w:style w:type="paragraph" w:styleId="Prrafodelista">
    <w:name w:val="List Paragraph"/>
    <w:aliases w:val="Footnote,4 Viñ 1nivel,Numeración 1,Bullet List,FooterText,numbered,List Paragraph1,Paragraphe de liste1,Bulletr List Paragraph,列出段落,列出段落1,Cuadros,Lista general,Párrafo de tabla"/>
    <w:basedOn w:val="Normal"/>
    <w:link w:val="PrrafodelistaCar"/>
    <w:uiPriority w:val="34"/>
    <w:qFormat/>
    <w:rsid w:val="00D44461"/>
    <w:pPr>
      <w:ind w:left="720"/>
      <w:contextualSpacing/>
    </w:pPr>
  </w:style>
  <w:style w:type="paragraph" w:customStyle="1" w:styleId="Default">
    <w:name w:val="Default"/>
    <w:rsid w:val="00AA46AD"/>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nhideWhenUsed/>
    <w:rsid w:val="00AC1A4D"/>
    <w:rPr>
      <w:sz w:val="16"/>
      <w:szCs w:val="16"/>
    </w:rPr>
  </w:style>
  <w:style w:type="paragraph" w:styleId="Textocomentario">
    <w:name w:val="annotation text"/>
    <w:basedOn w:val="Normal"/>
    <w:link w:val="TextocomentarioCar"/>
    <w:uiPriority w:val="99"/>
    <w:unhideWhenUsed/>
    <w:rsid w:val="00AC1A4D"/>
    <w:pPr>
      <w:spacing w:after="20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uiPriority w:val="99"/>
    <w:rsid w:val="00AC1A4D"/>
    <w:rPr>
      <w:sz w:val="20"/>
      <w:szCs w:val="20"/>
    </w:rPr>
  </w:style>
  <w:style w:type="paragraph" w:styleId="Textodeglobo">
    <w:name w:val="Balloon Text"/>
    <w:basedOn w:val="Normal"/>
    <w:link w:val="TextodegloboCar"/>
    <w:uiPriority w:val="99"/>
    <w:unhideWhenUsed/>
    <w:rsid w:val="00AC1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C1A4D"/>
    <w:rPr>
      <w:rFonts w:ascii="Segoe UI" w:eastAsia="Avant Garde" w:hAnsi="Segoe UI" w:cs="Segoe UI"/>
      <w:color w:val="000000"/>
      <w:sz w:val="18"/>
      <w:szCs w:val="18"/>
      <w:lang w:eastAsia="es-MX"/>
    </w:rPr>
  </w:style>
  <w:style w:type="character" w:styleId="Hipervnculo">
    <w:name w:val="Hyperlink"/>
    <w:basedOn w:val="Fuentedeprrafopredeter"/>
    <w:uiPriority w:val="99"/>
    <w:unhideWhenUsed/>
    <w:rsid w:val="00392711"/>
    <w:rPr>
      <w:color w:val="0563C1" w:themeColor="hyperlink"/>
      <w:u w:val="single"/>
    </w:rPr>
  </w:style>
  <w:style w:type="character" w:customStyle="1" w:styleId="apple-converted-space">
    <w:name w:val="apple-converted-space"/>
    <w:basedOn w:val="Fuentedeprrafopredeter"/>
    <w:rsid w:val="00D53D0A"/>
  </w:style>
  <w:style w:type="paragraph" w:styleId="Textoindependiente2">
    <w:name w:val="Body Text 2"/>
    <w:basedOn w:val="Normal"/>
    <w:link w:val="Textoindependiente2Car"/>
    <w:rsid w:val="00BD128A"/>
    <w:pPr>
      <w:spacing w:after="0" w:line="240" w:lineRule="auto"/>
      <w:ind w:left="0" w:right="0" w:firstLine="0"/>
    </w:pPr>
    <w:rPr>
      <w:rFonts w:ascii="Arial" w:eastAsia="Times New Roman" w:hAnsi="Arial" w:cs="Arial"/>
      <w:snapToGrid w:val="0"/>
      <w:color w:val="auto"/>
      <w:szCs w:val="20"/>
      <w:lang w:eastAsia="en-US"/>
    </w:rPr>
  </w:style>
  <w:style w:type="character" w:customStyle="1" w:styleId="Textoindependiente2Car">
    <w:name w:val="Texto independiente 2 Car"/>
    <w:basedOn w:val="Fuentedeprrafopredeter"/>
    <w:link w:val="Textoindependiente2"/>
    <w:rsid w:val="00BD128A"/>
    <w:rPr>
      <w:rFonts w:ascii="Arial" w:eastAsia="Times New Roman" w:hAnsi="Arial" w:cs="Arial"/>
      <w:snapToGrid w:val="0"/>
      <w:szCs w:val="20"/>
    </w:rPr>
  </w:style>
  <w:style w:type="character" w:customStyle="1" w:styleId="PrrafodelistaCar">
    <w:name w:val="Párrafo de lista Car"/>
    <w:aliases w:val="Footnote Car,4 Viñ 1nivel Car,Numeración 1 Car,Bullet List Car,FooterText Car,numbered Car,List Paragraph1 Car,Paragraphe de liste1 Car,Bulletr List Paragraph Car,列出段落 Car,列出段落1 Car,Cuadros Car,Lista general Car,Párrafo de tabla Car"/>
    <w:basedOn w:val="Fuentedeprrafopredeter"/>
    <w:link w:val="Prrafodelista"/>
    <w:uiPriority w:val="34"/>
    <w:rsid w:val="00BD128A"/>
    <w:rPr>
      <w:rFonts w:ascii="Avant Garde" w:eastAsia="Avant Garde" w:hAnsi="Avant Garde" w:cs="Avant Garde"/>
      <w:color w:val="000000"/>
      <w:lang w:eastAsia="es-MX"/>
    </w:rPr>
  </w:style>
  <w:style w:type="paragraph" w:customStyle="1" w:styleId="Ejemplo">
    <w:name w:val="Ejemplo"/>
    <w:basedOn w:val="Normal"/>
    <w:link w:val="EjemploChar"/>
    <w:qFormat/>
    <w:rsid w:val="00E94660"/>
    <w:pPr>
      <w:spacing w:before="240" w:after="240" w:line="276" w:lineRule="auto"/>
      <w:ind w:left="0" w:right="0" w:firstLine="0"/>
      <w:jc w:val="center"/>
    </w:pPr>
    <w:rPr>
      <w:rFonts w:ascii="ITC Avant Garde" w:eastAsia="Times New Roman" w:hAnsi="ITC Avant Garde" w:cs="Arial"/>
      <w:color w:val="auto"/>
    </w:rPr>
  </w:style>
  <w:style w:type="character" w:customStyle="1" w:styleId="EjemploChar">
    <w:name w:val="Ejemplo Char"/>
    <w:basedOn w:val="Fuentedeprrafopredeter"/>
    <w:link w:val="Ejemplo"/>
    <w:rsid w:val="00E94660"/>
    <w:rPr>
      <w:rFonts w:ascii="ITC Avant Garde" w:eastAsia="Times New Roman" w:hAnsi="ITC Avant Garde" w:cs="Arial"/>
      <w:lang w:eastAsia="es-MX"/>
    </w:rPr>
  </w:style>
  <w:style w:type="paragraph" w:customStyle="1" w:styleId="Titulo2">
    <w:name w:val="Titulo 2"/>
    <w:basedOn w:val="Normal"/>
    <w:rsid w:val="00F0265C"/>
    <w:pPr>
      <w:pBdr>
        <w:top w:val="double" w:sz="6" w:space="1" w:color="auto"/>
      </w:pBdr>
      <w:spacing w:after="101" w:line="240" w:lineRule="auto"/>
      <w:ind w:left="0" w:right="0" w:firstLine="0"/>
      <w:outlineLvl w:val="1"/>
    </w:pPr>
    <w:rPr>
      <w:rFonts w:ascii="Arial" w:eastAsia="Times New Roman" w:hAnsi="Arial" w:cs="Arial"/>
      <w:color w:val="auto"/>
      <w:sz w:val="18"/>
      <w:szCs w:val="20"/>
      <w:lang w:eastAsia="es-ES"/>
    </w:rPr>
  </w:style>
  <w:style w:type="paragraph" w:customStyle="1" w:styleId="Textoindependiente21">
    <w:name w:val="Texto independiente 21"/>
    <w:basedOn w:val="Normal"/>
    <w:rsid w:val="00EB27E8"/>
    <w:pPr>
      <w:suppressAutoHyphens/>
      <w:spacing w:after="0" w:line="100" w:lineRule="atLeast"/>
      <w:ind w:left="0" w:right="0" w:firstLine="0"/>
      <w:jc w:val="left"/>
    </w:pPr>
    <w:rPr>
      <w:rFonts w:ascii="Times New Roman" w:eastAsia="Times New Roman" w:hAnsi="Times New Roman" w:cs="Times New Roman"/>
      <w:color w:val="auto"/>
      <w:kern w:val="2"/>
      <w:sz w:val="20"/>
      <w:szCs w:val="20"/>
      <w:lang w:val="es-ES" w:eastAsia="ar-SA"/>
    </w:rPr>
  </w:style>
  <w:style w:type="character" w:styleId="Refdenotaalpie">
    <w:name w:val="footnote reference"/>
    <w:aliases w:val="(NECG) Footnote Reference,o,fr,Style 3,Appel note de bas de p,Style 12,Style 124,Ref,de nota al pie,Ref. de nota al pie 2,Style 6,Footnote Reference Superscript"/>
    <w:uiPriority w:val="99"/>
    <w:qFormat/>
    <w:rsid w:val="00493685"/>
    <w:rPr>
      <w:vertAlign w:val="superscript"/>
    </w:rPr>
  </w:style>
  <w:style w:type="paragraph" w:customStyle="1" w:styleId="Citas">
    <w:name w:val="Citas"/>
    <w:basedOn w:val="Normal"/>
    <w:link w:val="CitasChar"/>
    <w:qFormat/>
    <w:rsid w:val="00493685"/>
    <w:pPr>
      <w:tabs>
        <w:tab w:val="left" w:pos="8280"/>
      </w:tabs>
      <w:spacing w:after="120" w:line="360" w:lineRule="auto"/>
      <w:ind w:left="567" w:right="900" w:firstLine="0"/>
    </w:pPr>
    <w:rPr>
      <w:rFonts w:ascii="Century Gothic" w:eastAsia="Times New Roman" w:hAnsi="Century Gothic" w:cs="Times New Roman"/>
      <w:i/>
      <w:color w:val="auto"/>
      <w:sz w:val="24"/>
      <w:szCs w:val="24"/>
      <w:lang w:eastAsia="es-ES"/>
    </w:rPr>
  </w:style>
  <w:style w:type="character" w:customStyle="1" w:styleId="CitasChar">
    <w:name w:val="Citas Char"/>
    <w:link w:val="Citas"/>
    <w:rsid w:val="00493685"/>
    <w:rPr>
      <w:rFonts w:ascii="Century Gothic" w:eastAsia="Times New Roman" w:hAnsi="Century Gothic" w:cs="Times New Roman"/>
      <w:i/>
      <w:sz w:val="24"/>
      <w:szCs w:val="24"/>
      <w:lang w:eastAsia="es-ES"/>
    </w:rPr>
  </w:style>
  <w:style w:type="paragraph" w:styleId="Textonotapie">
    <w:name w:val="footnote text"/>
    <w:aliases w:val="Footnote Text Char Char Char,Footnote Text Char Char Char Char Char Char Char,Footnote Text Char Char Char Char Char Char Char Char Char,Footnote Text Char Char Char Char Char,Footnote Text2 Char Char,ALTS FOOTNOTE,Footnote Text Char3,5_G"/>
    <w:basedOn w:val="Normal"/>
    <w:link w:val="TextonotapieCar"/>
    <w:uiPriority w:val="99"/>
    <w:qFormat/>
    <w:rsid w:val="006551C8"/>
    <w:pPr>
      <w:spacing w:after="0" w:line="240" w:lineRule="auto"/>
      <w:ind w:left="0" w:right="0" w:firstLine="0"/>
      <w:jc w:val="left"/>
    </w:pPr>
    <w:rPr>
      <w:rFonts w:ascii="Arial" w:eastAsia="Times New Roman" w:hAnsi="Arial" w:cs="Times New Roman"/>
      <w:color w:val="auto"/>
      <w:sz w:val="20"/>
      <w:szCs w:val="20"/>
      <w:lang w:val="es-ES" w:eastAsia="es-ES"/>
    </w:rPr>
  </w:style>
  <w:style w:type="character" w:customStyle="1" w:styleId="TextonotapieCar">
    <w:name w:val="Texto nota pie Car"/>
    <w:aliases w:val="Footnote Text Char Char Char Car,Footnote Text Char Char Char Char Char Char Char Car,Footnote Text Char Char Char Char Char Char Char Char Char Car,Footnote Text Char Char Char Char Char Car,Footnote Text2 Char Char Car,5_G Car"/>
    <w:basedOn w:val="Fuentedeprrafopredeter"/>
    <w:link w:val="Textonotapie"/>
    <w:uiPriority w:val="99"/>
    <w:rsid w:val="006551C8"/>
    <w:rPr>
      <w:rFonts w:ascii="Arial" w:eastAsia="Times New Roman" w:hAnsi="Arial" w:cs="Times New Roman"/>
      <w:sz w:val="20"/>
      <w:szCs w:val="20"/>
      <w:lang w:val="es-ES" w:eastAsia="es-ES"/>
    </w:rPr>
  </w:style>
  <w:style w:type="paragraph" w:customStyle="1" w:styleId="s4">
    <w:name w:val="s4"/>
    <w:basedOn w:val="Normal"/>
    <w:rsid w:val="006551C8"/>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paragraph" w:customStyle="1" w:styleId="s11">
    <w:name w:val="s11"/>
    <w:basedOn w:val="Normal"/>
    <w:rsid w:val="006551C8"/>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character" w:customStyle="1" w:styleId="s6">
    <w:name w:val="s6"/>
    <w:rsid w:val="006551C8"/>
  </w:style>
  <w:style w:type="character" w:customStyle="1" w:styleId="s2">
    <w:name w:val="s2"/>
    <w:rsid w:val="006551C8"/>
  </w:style>
  <w:style w:type="character" w:customStyle="1" w:styleId="Ttulo2Car">
    <w:name w:val="Título 2 Car"/>
    <w:aliases w:val="h2 Car,Section Car,Numbered - 2 Car,Major Car,título 2 Car,ARC 2 Car,Para2 Car,heading2 Car,2 Car,headi Car,h21 Car,h22 Car,21 Car,H2 Car,w Car,heading 2 Car,headline Car,side Car,l2 Car,list + change bar Car,??? Car,Titre 2 Car,Chapter Car"/>
    <w:basedOn w:val="Fuentedeprrafopredeter"/>
    <w:link w:val="Ttulo2"/>
    <w:uiPriority w:val="9"/>
    <w:rsid w:val="00766183"/>
    <w:rPr>
      <w:rFonts w:ascii="Times New Roman" w:eastAsia="Times New Roman" w:hAnsi="Times New Roman" w:cs="Times New Roman"/>
      <w:b/>
      <w:bCs/>
      <w:sz w:val="24"/>
      <w:szCs w:val="26"/>
      <w:lang w:val="es-ES"/>
    </w:rPr>
  </w:style>
  <w:style w:type="character" w:customStyle="1" w:styleId="Ttulo3Car">
    <w:name w:val="Título 3 Car"/>
    <w:aliases w:val="h3 Car,3 Car,l3 Car,Guide 3 Car,Head 3 Car,List level 3 Car,list 3 Car,l3+toc 3 Car,CT Car,X.X.X Car,two dig Car,C Sub-Sub/Italic Car,Head 31 Car,Head 32 Car,C Sub-Sub/Italic1 Car,h3 sub heading Car,H3 Car,3m Car,Normal + num Car,H31 Car"/>
    <w:basedOn w:val="Fuentedeprrafopredeter"/>
    <w:link w:val="Ttulo3"/>
    <w:uiPriority w:val="9"/>
    <w:rsid w:val="00766183"/>
    <w:rPr>
      <w:rFonts w:ascii="Times New Roman" w:eastAsia="Times New Roman" w:hAnsi="Times New Roman" w:cs="Times New Roman"/>
      <w:b/>
      <w:bCs/>
      <w:lang w:val="es-ES"/>
    </w:rPr>
  </w:style>
  <w:style w:type="character" w:customStyle="1" w:styleId="Ttulo4Car">
    <w:name w:val="Título 4 Car"/>
    <w:aliases w:val="h4 Car,Underunderafsnit Car"/>
    <w:basedOn w:val="Fuentedeprrafopredeter"/>
    <w:link w:val="Ttulo4"/>
    <w:uiPriority w:val="9"/>
    <w:rsid w:val="00766183"/>
    <w:rPr>
      <w:rFonts w:ascii="Times New Roman" w:eastAsia="Times New Roman" w:hAnsi="Times New Roman" w:cs="Times New Roman"/>
      <w:bCs/>
      <w:i/>
      <w:iCs/>
      <w:lang w:val="es-ES"/>
    </w:rPr>
  </w:style>
  <w:style w:type="paragraph" w:styleId="NormalWeb">
    <w:name w:val="Normal (Web)"/>
    <w:basedOn w:val="Normal"/>
    <w:uiPriority w:val="99"/>
    <w:unhideWhenUsed/>
    <w:rsid w:val="00CE35B2"/>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styleId="Descripcin">
    <w:name w:val="caption"/>
    <w:basedOn w:val="Normal"/>
    <w:next w:val="Normal"/>
    <w:uiPriority w:val="35"/>
    <w:unhideWhenUsed/>
    <w:qFormat/>
    <w:rsid w:val="00735F36"/>
    <w:pPr>
      <w:spacing w:after="200" w:line="240" w:lineRule="auto"/>
      <w:ind w:left="0" w:right="0" w:firstLine="0"/>
      <w:jc w:val="left"/>
    </w:pPr>
    <w:rPr>
      <w:rFonts w:asciiTheme="minorHAnsi" w:eastAsiaTheme="minorEastAsia" w:hAnsiTheme="minorHAnsi" w:cstheme="minorBidi"/>
      <w:i/>
      <w:iCs/>
      <w:color w:val="44546A" w:themeColor="text2"/>
      <w:sz w:val="18"/>
      <w:szCs w:val="18"/>
      <w:lang w:eastAsia="en-US"/>
    </w:rPr>
  </w:style>
  <w:style w:type="paragraph" w:customStyle="1" w:styleId="Normal2">
    <w:name w:val="Normal2"/>
    <w:rsid w:val="00D44E13"/>
    <w:pPr>
      <w:spacing w:after="0" w:line="276" w:lineRule="auto"/>
    </w:pPr>
    <w:rPr>
      <w:rFonts w:ascii="Arial" w:eastAsia="Arial" w:hAnsi="Arial" w:cs="Arial"/>
      <w:color w:val="000000"/>
      <w:szCs w:val="20"/>
      <w:lang w:val="en-US"/>
    </w:rPr>
  </w:style>
  <w:style w:type="paragraph" w:customStyle="1" w:styleId="IFTnormal">
    <w:name w:val="IFT normal"/>
    <w:basedOn w:val="Normal"/>
    <w:link w:val="IFTnormalCar"/>
    <w:qFormat/>
    <w:rsid w:val="00B80923"/>
    <w:pPr>
      <w:spacing w:after="200" w:line="276" w:lineRule="auto"/>
      <w:ind w:left="426" w:right="0" w:firstLine="0"/>
    </w:pPr>
    <w:rPr>
      <w:rFonts w:ascii="ITC Avant Garde" w:eastAsia="Times New Roman" w:hAnsi="ITC Avant Garde" w:cs="Times New Roman"/>
      <w:iCs/>
      <w:color w:val="auto"/>
      <w:lang w:val="es-ES"/>
    </w:rPr>
  </w:style>
  <w:style w:type="paragraph" w:customStyle="1" w:styleId="TAL">
    <w:name w:val="TAL"/>
    <w:basedOn w:val="Normal"/>
    <w:link w:val="TALChar"/>
    <w:uiPriority w:val="99"/>
    <w:rsid w:val="00C641EC"/>
    <w:pPr>
      <w:keepNext/>
      <w:keepLines/>
      <w:spacing w:after="0" w:line="240" w:lineRule="auto"/>
      <w:ind w:left="0" w:right="0" w:firstLine="0"/>
      <w:jc w:val="left"/>
    </w:pPr>
    <w:rPr>
      <w:rFonts w:ascii="Arial" w:eastAsia="Batang" w:hAnsi="Arial" w:cs="Times New Roman"/>
      <w:color w:val="auto"/>
      <w:sz w:val="18"/>
      <w:szCs w:val="20"/>
      <w:lang w:val="en-GB" w:eastAsia="es-ES"/>
    </w:rPr>
  </w:style>
  <w:style w:type="character" w:customStyle="1" w:styleId="TALChar">
    <w:name w:val="TAL Char"/>
    <w:link w:val="TAL"/>
    <w:uiPriority w:val="99"/>
    <w:locked/>
    <w:rsid w:val="00C641EC"/>
    <w:rPr>
      <w:rFonts w:ascii="Arial" w:eastAsia="Batang" w:hAnsi="Arial" w:cs="Times New Roman"/>
      <w:sz w:val="18"/>
      <w:szCs w:val="20"/>
      <w:lang w:val="en-GB" w:eastAsia="es-ES"/>
    </w:rPr>
  </w:style>
  <w:style w:type="table" w:styleId="Tablaconcuadrcula">
    <w:name w:val="Table Grid"/>
    <w:basedOn w:val="Tablanormal"/>
    <w:uiPriority w:val="99"/>
    <w:rsid w:val="00D91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o,header odd,first,heading one,Odd Header,En-tête-2,header"/>
    <w:basedOn w:val="Normal"/>
    <w:link w:val="EncabezadoCar"/>
    <w:unhideWhenUsed/>
    <w:rsid w:val="00F51196"/>
    <w:pPr>
      <w:tabs>
        <w:tab w:val="center" w:pos="4419"/>
        <w:tab w:val="right" w:pos="8838"/>
      </w:tabs>
      <w:spacing w:after="0" w:line="240" w:lineRule="auto"/>
    </w:pPr>
  </w:style>
  <w:style w:type="character" w:customStyle="1" w:styleId="EncabezadoCar">
    <w:name w:val="Encabezado Car"/>
    <w:aliases w:val="ho Car,header odd Car,first Car,heading one Car,Odd Header Car,En-tête-2 Car,header Car"/>
    <w:basedOn w:val="Fuentedeprrafopredeter"/>
    <w:link w:val="Encabezado"/>
    <w:rsid w:val="00F51196"/>
    <w:rPr>
      <w:rFonts w:ascii="Avant Garde" w:eastAsia="Avant Garde" w:hAnsi="Avant Garde" w:cs="Avant Garde"/>
      <w:color w:val="000000"/>
      <w:lang w:eastAsia="es-MX"/>
    </w:rPr>
  </w:style>
  <w:style w:type="paragraph" w:styleId="Piedepgina">
    <w:name w:val="footer"/>
    <w:basedOn w:val="Normal"/>
    <w:link w:val="PiedepginaCar"/>
    <w:uiPriority w:val="99"/>
    <w:unhideWhenUsed/>
    <w:rsid w:val="00F511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196"/>
    <w:rPr>
      <w:rFonts w:ascii="Avant Garde" w:eastAsia="Avant Garde" w:hAnsi="Avant Garde" w:cs="Avant Garde"/>
      <w:color w:val="000000"/>
      <w:lang w:eastAsia="es-MX"/>
    </w:rPr>
  </w:style>
  <w:style w:type="paragraph" w:styleId="Asuntodelcomentario">
    <w:name w:val="annotation subject"/>
    <w:basedOn w:val="Textocomentario"/>
    <w:next w:val="Textocomentario"/>
    <w:link w:val="AsuntodelcomentarioCar"/>
    <w:uiPriority w:val="99"/>
    <w:semiHidden/>
    <w:unhideWhenUsed/>
    <w:rsid w:val="00497632"/>
    <w:pPr>
      <w:spacing w:after="3"/>
      <w:ind w:left="10" w:right="2" w:hanging="10"/>
      <w:jc w:val="both"/>
    </w:pPr>
    <w:rPr>
      <w:rFonts w:ascii="Avant Garde" w:eastAsia="Avant Garde" w:hAnsi="Avant Garde" w:cs="Avant Garde"/>
      <w:b/>
      <w:bCs/>
      <w:color w:val="000000"/>
      <w:lang w:eastAsia="es-MX"/>
    </w:rPr>
  </w:style>
  <w:style w:type="character" w:customStyle="1" w:styleId="AsuntodelcomentarioCar">
    <w:name w:val="Asunto del comentario Car"/>
    <w:basedOn w:val="TextocomentarioCar"/>
    <w:link w:val="Asuntodelcomentario"/>
    <w:uiPriority w:val="99"/>
    <w:semiHidden/>
    <w:rsid w:val="00497632"/>
    <w:rPr>
      <w:rFonts w:ascii="Avant Garde" w:eastAsia="Avant Garde" w:hAnsi="Avant Garde" w:cs="Avant Garde"/>
      <w:b/>
      <w:bCs/>
      <w:color w:val="000000"/>
      <w:sz w:val="20"/>
      <w:szCs w:val="20"/>
      <w:lang w:eastAsia="es-MX"/>
    </w:rPr>
  </w:style>
  <w:style w:type="paragraph" w:styleId="Textosinformato">
    <w:name w:val="Plain Text"/>
    <w:basedOn w:val="Normal"/>
    <w:link w:val="TextosinformatoCar"/>
    <w:rsid w:val="00623045"/>
    <w:pPr>
      <w:spacing w:after="0" w:line="240" w:lineRule="auto"/>
      <w:ind w:left="0" w:right="0" w:firstLine="0"/>
      <w:jc w:val="left"/>
    </w:pPr>
    <w:rPr>
      <w:rFonts w:ascii="Courier New" w:eastAsia="Times New Roman" w:hAnsi="Courier New" w:cs="Courier New"/>
      <w:color w:val="auto"/>
      <w:sz w:val="20"/>
      <w:szCs w:val="20"/>
      <w:lang w:eastAsia="es-ES"/>
    </w:rPr>
  </w:style>
  <w:style w:type="character" w:customStyle="1" w:styleId="TextosinformatoCar">
    <w:name w:val="Texto sin formato Car"/>
    <w:basedOn w:val="Fuentedeprrafopredeter"/>
    <w:link w:val="Textosinformato"/>
    <w:rsid w:val="00623045"/>
    <w:rPr>
      <w:rFonts w:ascii="Courier New" w:eastAsia="Times New Roman" w:hAnsi="Courier New" w:cs="Courier New"/>
      <w:sz w:val="20"/>
      <w:szCs w:val="20"/>
      <w:lang w:eastAsia="es-ES"/>
    </w:rPr>
  </w:style>
  <w:style w:type="character" w:customStyle="1" w:styleId="IFTnormalCar">
    <w:name w:val="IFT normal Car"/>
    <w:basedOn w:val="Fuentedeprrafopredeter"/>
    <w:link w:val="IFTnormal"/>
    <w:rsid w:val="00623045"/>
    <w:rPr>
      <w:rFonts w:ascii="ITC Avant Garde" w:eastAsia="Times New Roman" w:hAnsi="ITC Avant Garde" w:cs="Times New Roman"/>
      <w:iCs/>
      <w:lang w:val="es-ES" w:eastAsia="es-MX"/>
    </w:rPr>
  </w:style>
  <w:style w:type="paragraph" w:customStyle="1" w:styleId="Prrafodelista1">
    <w:name w:val="Párrafo de lista1"/>
    <w:basedOn w:val="Normal"/>
    <w:uiPriority w:val="99"/>
    <w:qFormat/>
    <w:rsid w:val="00682F41"/>
    <w:pPr>
      <w:spacing w:after="0" w:line="240" w:lineRule="auto"/>
      <w:ind w:left="708" w:right="0" w:firstLine="0"/>
      <w:jc w:val="left"/>
    </w:pPr>
    <w:rPr>
      <w:rFonts w:ascii="Times New Roman" w:eastAsia="Times New Roman" w:hAnsi="Times New Roman" w:cs="Times New Roman"/>
      <w:color w:val="auto"/>
      <w:sz w:val="24"/>
      <w:szCs w:val="24"/>
      <w:lang w:val="es-ES" w:eastAsia="es-ES"/>
    </w:rPr>
  </w:style>
  <w:style w:type="paragraph" w:customStyle="1" w:styleId="IFT1">
    <w:name w:val="IFT 1"/>
    <w:basedOn w:val="Normal"/>
    <w:link w:val="IFT1Car"/>
    <w:qFormat/>
    <w:rsid w:val="002C14DB"/>
    <w:pPr>
      <w:spacing w:after="200" w:line="276" w:lineRule="auto"/>
      <w:ind w:left="0" w:right="0" w:firstLine="0"/>
    </w:pPr>
    <w:rPr>
      <w:rFonts w:ascii="ITC Avant Garde" w:eastAsia="Times New Roman" w:hAnsi="ITC Avant Garde" w:cs="Times New Roman"/>
      <w:iCs/>
      <w:color w:val="auto"/>
      <w:lang w:eastAsia="en-US"/>
    </w:rPr>
  </w:style>
  <w:style w:type="character" w:customStyle="1" w:styleId="IFT1Car">
    <w:name w:val="IFT 1 Car"/>
    <w:link w:val="IFT1"/>
    <w:rsid w:val="002C14DB"/>
    <w:rPr>
      <w:rFonts w:ascii="ITC Avant Garde" w:eastAsia="Times New Roman" w:hAnsi="ITC Avant Garde" w:cs="Times New Roman"/>
      <w:iCs/>
    </w:rPr>
  </w:style>
  <w:style w:type="paragraph" w:customStyle="1" w:styleId="Citaift">
    <w:name w:val="Cita ift"/>
    <w:basedOn w:val="Normal"/>
    <w:link w:val="CitaiftCar"/>
    <w:qFormat/>
    <w:rsid w:val="00F20B38"/>
    <w:pPr>
      <w:adjustRightInd w:val="0"/>
      <w:spacing w:after="200" w:line="276" w:lineRule="auto"/>
      <w:ind w:left="851" w:right="760" w:firstLine="0"/>
    </w:pPr>
    <w:rPr>
      <w:rFonts w:ascii="ITC Avant Garde" w:eastAsia="Times New Roman" w:hAnsi="ITC Avant Garde" w:cs="Arial"/>
      <w:i/>
      <w:sz w:val="18"/>
      <w:szCs w:val="18"/>
      <w:lang w:eastAsia="es-ES"/>
    </w:rPr>
  </w:style>
  <w:style w:type="character" w:customStyle="1" w:styleId="CitaiftCar">
    <w:name w:val="Cita ift Car"/>
    <w:link w:val="Citaift"/>
    <w:rsid w:val="00F20B38"/>
    <w:rPr>
      <w:rFonts w:ascii="ITC Avant Garde" w:eastAsia="Times New Roman" w:hAnsi="ITC Avant Garde" w:cs="Arial"/>
      <w:i/>
      <w:color w:val="000000"/>
      <w:sz w:val="18"/>
      <w:szCs w:val="18"/>
      <w:lang w:eastAsia="es-ES"/>
    </w:rPr>
  </w:style>
  <w:style w:type="paragraph" w:styleId="Revisin">
    <w:name w:val="Revision"/>
    <w:hidden/>
    <w:uiPriority w:val="99"/>
    <w:semiHidden/>
    <w:rsid w:val="009E0D5C"/>
    <w:pPr>
      <w:spacing w:after="0" w:line="240" w:lineRule="auto"/>
    </w:pPr>
    <w:rPr>
      <w:rFonts w:ascii="Avant Garde" w:eastAsia="Avant Garde" w:hAnsi="Avant Garde" w:cs="Avant Garde"/>
      <w:color w:val="000000"/>
      <w:lang w:eastAsia="es-MX"/>
    </w:rPr>
  </w:style>
  <w:style w:type="paragraph" w:styleId="Listaconvietas">
    <w:name w:val="List Bullet"/>
    <w:aliases w:val="|BCS| ul 1,PA List Bullet,List Bullet Char Char Char Char,List Bullet Char Char Char Char Char Char Char Char,List Bullet Char Char Char Char Char Char Char,List Bullet Char Char Char Char Char Char,List Bullet Char1 Char"/>
    <w:basedOn w:val="Normal"/>
    <w:uiPriority w:val="99"/>
    <w:unhideWhenUsed/>
    <w:qFormat/>
    <w:rsid w:val="00BA60A4"/>
    <w:pPr>
      <w:numPr>
        <w:numId w:val="2"/>
      </w:numPr>
      <w:spacing w:after="0" w:line="276" w:lineRule="auto"/>
      <w:ind w:right="0"/>
    </w:pPr>
    <w:rPr>
      <w:rFonts w:ascii="ITC Avant Garde" w:eastAsia="Calibri" w:hAnsi="ITC Avant Garde" w:cs="Times New Roman"/>
      <w:color w:val="000000" w:themeColor="text1"/>
      <w:lang w:val="es-SV" w:eastAsia="en-US"/>
    </w:rPr>
  </w:style>
  <w:style w:type="paragraph" w:customStyle="1" w:styleId="Texto">
    <w:name w:val="Texto"/>
    <w:basedOn w:val="Normal"/>
    <w:link w:val="TextoCar"/>
    <w:rsid w:val="00BA60A4"/>
    <w:pPr>
      <w:spacing w:after="0" w:line="276" w:lineRule="auto"/>
      <w:ind w:left="0" w:right="0" w:firstLine="0"/>
    </w:pPr>
    <w:rPr>
      <w:rFonts w:ascii="ITC Avant Garde" w:eastAsia="Calibri" w:hAnsi="ITC Avant Garde" w:cs="Times New Roman"/>
      <w:color w:val="000000" w:themeColor="text1"/>
      <w:lang w:val="es-ES_tradnl" w:eastAsia="en-US"/>
    </w:rPr>
  </w:style>
  <w:style w:type="character" w:customStyle="1" w:styleId="TextoCar">
    <w:name w:val="Texto Car"/>
    <w:basedOn w:val="Fuentedeprrafopredeter"/>
    <w:link w:val="Texto"/>
    <w:rsid w:val="00BA60A4"/>
    <w:rPr>
      <w:rFonts w:ascii="ITC Avant Garde" w:eastAsia="Calibri" w:hAnsi="ITC Avant Garde" w:cs="Times New Roman"/>
      <w:color w:val="000000" w:themeColor="text1"/>
      <w:lang w:val="es-ES_tradnl"/>
    </w:rPr>
  </w:style>
  <w:style w:type="paragraph" w:styleId="Sinespaciado">
    <w:name w:val="No Spacing"/>
    <w:uiPriority w:val="1"/>
    <w:qFormat/>
    <w:rsid w:val="005B36F9"/>
    <w:pPr>
      <w:spacing w:after="0" w:line="240" w:lineRule="auto"/>
    </w:pPr>
    <w:rPr>
      <w:rFonts w:ascii="Calibri" w:eastAsia="Calibri" w:hAnsi="Calibri" w:cs="Times New Roman"/>
    </w:rPr>
  </w:style>
  <w:style w:type="character" w:styleId="Textoennegrita">
    <w:name w:val="Strong"/>
    <w:basedOn w:val="Fuentedeprrafopredeter"/>
    <w:uiPriority w:val="22"/>
    <w:qFormat/>
    <w:rsid w:val="002A50FC"/>
    <w:rPr>
      <w:b/>
      <w:bCs/>
    </w:rPr>
  </w:style>
  <w:style w:type="table" w:styleId="Tablaconcuadrculaclara">
    <w:name w:val="Grid Table Light"/>
    <w:basedOn w:val="Tablanormal"/>
    <w:uiPriority w:val="40"/>
    <w:rsid w:val="00CE49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link w:val="SubttuloCar"/>
    <w:uiPriority w:val="99"/>
    <w:qFormat/>
    <w:rsid w:val="006D4083"/>
    <w:pPr>
      <w:spacing w:after="200" w:line="276" w:lineRule="auto"/>
      <w:ind w:left="0" w:right="0" w:firstLine="0"/>
    </w:pPr>
    <w:rPr>
      <w:rFonts w:ascii="ITC Avant Garde" w:eastAsia="Calibri" w:hAnsi="ITC Avant Garde" w:cs="Times New Roman"/>
      <w:b/>
      <w:color w:val="auto"/>
      <w:lang w:eastAsia="en-US"/>
    </w:rPr>
  </w:style>
  <w:style w:type="character" w:customStyle="1" w:styleId="SubttuloCar">
    <w:name w:val="Subtítulo Car"/>
    <w:basedOn w:val="Fuentedeprrafopredeter"/>
    <w:link w:val="Subttulo"/>
    <w:uiPriority w:val="99"/>
    <w:rsid w:val="006D4083"/>
    <w:rPr>
      <w:rFonts w:ascii="ITC Avant Garde" w:eastAsia="Calibri" w:hAnsi="ITC Avant Garde" w:cs="Times New Roman"/>
      <w:b/>
    </w:rPr>
  </w:style>
  <w:style w:type="paragraph" w:customStyle="1" w:styleId="Listavistosa-nfasis11">
    <w:name w:val="Lista vistosa - Énfasis 11"/>
    <w:basedOn w:val="Normal"/>
    <w:link w:val="Listavistosa-nfasis1Car"/>
    <w:uiPriority w:val="34"/>
    <w:qFormat/>
    <w:rsid w:val="00D40E9E"/>
    <w:pPr>
      <w:spacing w:after="0" w:line="240" w:lineRule="auto"/>
      <w:ind w:left="708" w:right="0" w:firstLine="0"/>
      <w:jc w:val="left"/>
    </w:pPr>
    <w:rPr>
      <w:rFonts w:ascii="Arial" w:eastAsia="Calibri" w:hAnsi="Arial" w:cs="Times New Roman"/>
      <w:color w:val="auto"/>
      <w:sz w:val="24"/>
      <w:szCs w:val="24"/>
    </w:rPr>
  </w:style>
  <w:style w:type="character" w:customStyle="1" w:styleId="Listavistosa-nfasis1Car">
    <w:name w:val="Lista vistosa - Énfasis 1 Car"/>
    <w:link w:val="Listavistosa-nfasis11"/>
    <w:uiPriority w:val="34"/>
    <w:rsid w:val="00D40E9E"/>
    <w:rPr>
      <w:rFonts w:ascii="Arial" w:eastAsia="Calibri" w:hAnsi="Arial" w:cs="Times New Roman"/>
      <w:sz w:val="24"/>
      <w:szCs w:val="24"/>
      <w:lang w:eastAsia="es-MX"/>
    </w:rPr>
  </w:style>
  <w:style w:type="character" w:styleId="nfasis">
    <w:name w:val="Emphasis"/>
    <w:basedOn w:val="Fuentedeprrafopredeter"/>
    <w:uiPriority w:val="20"/>
    <w:qFormat/>
    <w:rsid w:val="006676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2482">
      <w:bodyDiv w:val="1"/>
      <w:marLeft w:val="0"/>
      <w:marRight w:val="0"/>
      <w:marTop w:val="0"/>
      <w:marBottom w:val="0"/>
      <w:divBdr>
        <w:top w:val="none" w:sz="0" w:space="0" w:color="auto"/>
        <w:left w:val="none" w:sz="0" w:space="0" w:color="auto"/>
        <w:bottom w:val="none" w:sz="0" w:space="0" w:color="auto"/>
        <w:right w:val="none" w:sz="0" w:space="0" w:color="auto"/>
      </w:divBdr>
    </w:div>
    <w:div w:id="150102620">
      <w:bodyDiv w:val="1"/>
      <w:marLeft w:val="0"/>
      <w:marRight w:val="0"/>
      <w:marTop w:val="0"/>
      <w:marBottom w:val="0"/>
      <w:divBdr>
        <w:top w:val="none" w:sz="0" w:space="0" w:color="auto"/>
        <w:left w:val="none" w:sz="0" w:space="0" w:color="auto"/>
        <w:bottom w:val="none" w:sz="0" w:space="0" w:color="auto"/>
        <w:right w:val="none" w:sz="0" w:space="0" w:color="auto"/>
      </w:divBdr>
      <w:divsChild>
        <w:div w:id="1835488445">
          <w:marLeft w:val="0"/>
          <w:marRight w:val="0"/>
          <w:marTop w:val="0"/>
          <w:marBottom w:val="0"/>
          <w:divBdr>
            <w:top w:val="none" w:sz="0" w:space="0" w:color="auto"/>
            <w:left w:val="none" w:sz="0" w:space="0" w:color="auto"/>
            <w:bottom w:val="none" w:sz="0" w:space="0" w:color="auto"/>
            <w:right w:val="none" w:sz="0" w:space="0" w:color="auto"/>
          </w:divBdr>
          <w:divsChild>
            <w:div w:id="1793866252">
              <w:marLeft w:val="0"/>
              <w:marRight w:val="0"/>
              <w:marTop w:val="0"/>
              <w:marBottom w:val="0"/>
              <w:divBdr>
                <w:top w:val="none" w:sz="0" w:space="0" w:color="auto"/>
                <w:left w:val="none" w:sz="0" w:space="0" w:color="auto"/>
                <w:bottom w:val="none" w:sz="0" w:space="0" w:color="auto"/>
                <w:right w:val="none" w:sz="0" w:space="0" w:color="auto"/>
              </w:divBdr>
              <w:divsChild>
                <w:div w:id="98523359">
                  <w:marLeft w:val="0"/>
                  <w:marRight w:val="0"/>
                  <w:marTop w:val="0"/>
                  <w:marBottom w:val="0"/>
                  <w:divBdr>
                    <w:top w:val="none" w:sz="0" w:space="0" w:color="auto"/>
                    <w:left w:val="none" w:sz="0" w:space="0" w:color="auto"/>
                    <w:bottom w:val="none" w:sz="0" w:space="0" w:color="auto"/>
                    <w:right w:val="none" w:sz="0" w:space="0" w:color="auto"/>
                  </w:divBdr>
                </w:div>
                <w:div w:id="20042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066">
      <w:bodyDiv w:val="1"/>
      <w:marLeft w:val="0"/>
      <w:marRight w:val="0"/>
      <w:marTop w:val="0"/>
      <w:marBottom w:val="0"/>
      <w:divBdr>
        <w:top w:val="none" w:sz="0" w:space="0" w:color="auto"/>
        <w:left w:val="none" w:sz="0" w:space="0" w:color="auto"/>
        <w:bottom w:val="none" w:sz="0" w:space="0" w:color="auto"/>
        <w:right w:val="none" w:sz="0" w:space="0" w:color="auto"/>
      </w:divBdr>
      <w:divsChild>
        <w:div w:id="1775588385">
          <w:marLeft w:val="0"/>
          <w:marRight w:val="0"/>
          <w:marTop w:val="0"/>
          <w:marBottom w:val="0"/>
          <w:divBdr>
            <w:top w:val="none" w:sz="0" w:space="0" w:color="auto"/>
            <w:left w:val="none" w:sz="0" w:space="0" w:color="auto"/>
            <w:bottom w:val="none" w:sz="0" w:space="0" w:color="auto"/>
            <w:right w:val="none" w:sz="0" w:space="0" w:color="auto"/>
          </w:divBdr>
          <w:divsChild>
            <w:div w:id="1775829578">
              <w:marLeft w:val="0"/>
              <w:marRight w:val="0"/>
              <w:marTop w:val="0"/>
              <w:marBottom w:val="0"/>
              <w:divBdr>
                <w:top w:val="none" w:sz="0" w:space="0" w:color="auto"/>
                <w:left w:val="none" w:sz="0" w:space="0" w:color="auto"/>
                <w:bottom w:val="none" w:sz="0" w:space="0" w:color="auto"/>
                <w:right w:val="none" w:sz="0" w:space="0" w:color="auto"/>
              </w:divBdr>
              <w:divsChild>
                <w:div w:id="349599588">
                  <w:marLeft w:val="0"/>
                  <w:marRight w:val="0"/>
                  <w:marTop w:val="0"/>
                  <w:marBottom w:val="0"/>
                  <w:divBdr>
                    <w:top w:val="none" w:sz="0" w:space="0" w:color="auto"/>
                    <w:left w:val="none" w:sz="0" w:space="0" w:color="auto"/>
                    <w:bottom w:val="none" w:sz="0" w:space="0" w:color="auto"/>
                    <w:right w:val="none" w:sz="0" w:space="0" w:color="auto"/>
                  </w:divBdr>
                  <w:divsChild>
                    <w:div w:id="15513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9663">
      <w:bodyDiv w:val="1"/>
      <w:marLeft w:val="0"/>
      <w:marRight w:val="0"/>
      <w:marTop w:val="0"/>
      <w:marBottom w:val="0"/>
      <w:divBdr>
        <w:top w:val="none" w:sz="0" w:space="0" w:color="auto"/>
        <w:left w:val="none" w:sz="0" w:space="0" w:color="auto"/>
        <w:bottom w:val="none" w:sz="0" w:space="0" w:color="auto"/>
        <w:right w:val="none" w:sz="0" w:space="0" w:color="auto"/>
      </w:divBdr>
    </w:div>
    <w:div w:id="335229364">
      <w:bodyDiv w:val="1"/>
      <w:marLeft w:val="0"/>
      <w:marRight w:val="0"/>
      <w:marTop w:val="0"/>
      <w:marBottom w:val="0"/>
      <w:divBdr>
        <w:top w:val="none" w:sz="0" w:space="0" w:color="auto"/>
        <w:left w:val="none" w:sz="0" w:space="0" w:color="auto"/>
        <w:bottom w:val="none" w:sz="0" w:space="0" w:color="auto"/>
        <w:right w:val="none" w:sz="0" w:space="0" w:color="auto"/>
      </w:divBdr>
      <w:divsChild>
        <w:div w:id="1430930737">
          <w:marLeft w:val="0"/>
          <w:marRight w:val="0"/>
          <w:marTop w:val="0"/>
          <w:marBottom w:val="80"/>
          <w:divBdr>
            <w:top w:val="none" w:sz="0" w:space="0" w:color="auto"/>
            <w:left w:val="none" w:sz="0" w:space="0" w:color="auto"/>
            <w:bottom w:val="none" w:sz="0" w:space="0" w:color="auto"/>
            <w:right w:val="none" w:sz="0" w:space="0" w:color="auto"/>
          </w:divBdr>
        </w:div>
      </w:divsChild>
    </w:div>
    <w:div w:id="363289737">
      <w:bodyDiv w:val="1"/>
      <w:marLeft w:val="0"/>
      <w:marRight w:val="0"/>
      <w:marTop w:val="0"/>
      <w:marBottom w:val="0"/>
      <w:divBdr>
        <w:top w:val="none" w:sz="0" w:space="0" w:color="auto"/>
        <w:left w:val="none" w:sz="0" w:space="0" w:color="auto"/>
        <w:bottom w:val="none" w:sz="0" w:space="0" w:color="auto"/>
        <w:right w:val="none" w:sz="0" w:space="0" w:color="auto"/>
      </w:divBdr>
    </w:div>
    <w:div w:id="372273828">
      <w:bodyDiv w:val="1"/>
      <w:marLeft w:val="0"/>
      <w:marRight w:val="0"/>
      <w:marTop w:val="0"/>
      <w:marBottom w:val="0"/>
      <w:divBdr>
        <w:top w:val="none" w:sz="0" w:space="0" w:color="auto"/>
        <w:left w:val="none" w:sz="0" w:space="0" w:color="auto"/>
        <w:bottom w:val="none" w:sz="0" w:space="0" w:color="auto"/>
        <w:right w:val="none" w:sz="0" w:space="0" w:color="auto"/>
      </w:divBdr>
    </w:div>
    <w:div w:id="534316587">
      <w:bodyDiv w:val="1"/>
      <w:marLeft w:val="0"/>
      <w:marRight w:val="0"/>
      <w:marTop w:val="0"/>
      <w:marBottom w:val="0"/>
      <w:divBdr>
        <w:top w:val="none" w:sz="0" w:space="0" w:color="auto"/>
        <w:left w:val="none" w:sz="0" w:space="0" w:color="auto"/>
        <w:bottom w:val="none" w:sz="0" w:space="0" w:color="auto"/>
        <w:right w:val="none" w:sz="0" w:space="0" w:color="auto"/>
      </w:divBdr>
    </w:div>
    <w:div w:id="611399372">
      <w:bodyDiv w:val="1"/>
      <w:marLeft w:val="0"/>
      <w:marRight w:val="0"/>
      <w:marTop w:val="0"/>
      <w:marBottom w:val="0"/>
      <w:divBdr>
        <w:top w:val="none" w:sz="0" w:space="0" w:color="auto"/>
        <w:left w:val="none" w:sz="0" w:space="0" w:color="auto"/>
        <w:bottom w:val="none" w:sz="0" w:space="0" w:color="auto"/>
        <w:right w:val="none" w:sz="0" w:space="0" w:color="auto"/>
      </w:divBdr>
    </w:div>
    <w:div w:id="626088911">
      <w:bodyDiv w:val="1"/>
      <w:marLeft w:val="0"/>
      <w:marRight w:val="0"/>
      <w:marTop w:val="0"/>
      <w:marBottom w:val="0"/>
      <w:divBdr>
        <w:top w:val="none" w:sz="0" w:space="0" w:color="auto"/>
        <w:left w:val="none" w:sz="0" w:space="0" w:color="auto"/>
        <w:bottom w:val="none" w:sz="0" w:space="0" w:color="auto"/>
        <w:right w:val="none" w:sz="0" w:space="0" w:color="auto"/>
      </w:divBdr>
    </w:div>
    <w:div w:id="826896944">
      <w:bodyDiv w:val="1"/>
      <w:marLeft w:val="0"/>
      <w:marRight w:val="0"/>
      <w:marTop w:val="0"/>
      <w:marBottom w:val="0"/>
      <w:divBdr>
        <w:top w:val="none" w:sz="0" w:space="0" w:color="auto"/>
        <w:left w:val="none" w:sz="0" w:space="0" w:color="auto"/>
        <w:bottom w:val="none" w:sz="0" w:space="0" w:color="auto"/>
        <w:right w:val="none" w:sz="0" w:space="0" w:color="auto"/>
      </w:divBdr>
    </w:div>
    <w:div w:id="886645315">
      <w:bodyDiv w:val="1"/>
      <w:marLeft w:val="0"/>
      <w:marRight w:val="0"/>
      <w:marTop w:val="0"/>
      <w:marBottom w:val="0"/>
      <w:divBdr>
        <w:top w:val="none" w:sz="0" w:space="0" w:color="auto"/>
        <w:left w:val="none" w:sz="0" w:space="0" w:color="auto"/>
        <w:bottom w:val="none" w:sz="0" w:space="0" w:color="auto"/>
        <w:right w:val="none" w:sz="0" w:space="0" w:color="auto"/>
      </w:divBdr>
    </w:div>
    <w:div w:id="1117916281">
      <w:bodyDiv w:val="1"/>
      <w:marLeft w:val="0"/>
      <w:marRight w:val="0"/>
      <w:marTop w:val="0"/>
      <w:marBottom w:val="0"/>
      <w:divBdr>
        <w:top w:val="none" w:sz="0" w:space="0" w:color="auto"/>
        <w:left w:val="none" w:sz="0" w:space="0" w:color="auto"/>
        <w:bottom w:val="none" w:sz="0" w:space="0" w:color="auto"/>
        <w:right w:val="none" w:sz="0" w:space="0" w:color="auto"/>
      </w:divBdr>
    </w:div>
    <w:div w:id="1289630464">
      <w:bodyDiv w:val="1"/>
      <w:marLeft w:val="0"/>
      <w:marRight w:val="0"/>
      <w:marTop w:val="0"/>
      <w:marBottom w:val="0"/>
      <w:divBdr>
        <w:top w:val="none" w:sz="0" w:space="0" w:color="auto"/>
        <w:left w:val="none" w:sz="0" w:space="0" w:color="auto"/>
        <w:bottom w:val="none" w:sz="0" w:space="0" w:color="auto"/>
        <w:right w:val="none" w:sz="0" w:space="0" w:color="auto"/>
      </w:divBdr>
    </w:div>
    <w:div w:id="1307395197">
      <w:bodyDiv w:val="1"/>
      <w:marLeft w:val="0"/>
      <w:marRight w:val="0"/>
      <w:marTop w:val="0"/>
      <w:marBottom w:val="0"/>
      <w:divBdr>
        <w:top w:val="none" w:sz="0" w:space="0" w:color="auto"/>
        <w:left w:val="none" w:sz="0" w:space="0" w:color="auto"/>
        <w:bottom w:val="none" w:sz="0" w:space="0" w:color="auto"/>
        <w:right w:val="none" w:sz="0" w:space="0" w:color="auto"/>
      </w:divBdr>
    </w:div>
    <w:div w:id="1422524420">
      <w:bodyDiv w:val="1"/>
      <w:marLeft w:val="0"/>
      <w:marRight w:val="0"/>
      <w:marTop w:val="0"/>
      <w:marBottom w:val="0"/>
      <w:divBdr>
        <w:top w:val="none" w:sz="0" w:space="0" w:color="auto"/>
        <w:left w:val="none" w:sz="0" w:space="0" w:color="auto"/>
        <w:bottom w:val="none" w:sz="0" w:space="0" w:color="auto"/>
        <w:right w:val="none" w:sz="0" w:space="0" w:color="auto"/>
      </w:divBdr>
    </w:div>
    <w:div w:id="1469124441">
      <w:bodyDiv w:val="1"/>
      <w:marLeft w:val="0"/>
      <w:marRight w:val="0"/>
      <w:marTop w:val="0"/>
      <w:marBottom w:val="0"/>
      <w:divBdr>
        <w:top w:val="none" w:sz="0" w:space="0" w:color="auto"/>
        <w:left w:val="none" w:sz="0" w:space="0" w:color="auto"/>
        <w:bottom w:val="none" w:sz="0" w:space="0" w:color="auto"/>
        <w:right w:val="none" w:sz="0" w:space="0" w:color="auto"/>
      </w:divBdr>
    </w:div>
    <w:div w:id="1545871144">
      <w:bodyDiv w:val="1"/>
      <w:marLeft w:val="0"/>
      <w:marRight w:val="0"/>
      <w:marTop w:val="0"/>
      <w:marBottom w:val="0"/>
      <w:divBdr>
        <w:top w:val="none" w:sz="0" w:space="0" w:color="auto"/>
        <w:left w:val="none" w:sz="0" w:space="0" w:color="auto"/>
        <w:bottom w:val="none" w:sz="0" w:space="0" w:color="auto"/>
        <w:right w:val="none" w:sz="0" w:space="0" w:color="auto"/>
      </w:divBdr>
    </w:div>
    <w:div w:id="1696612801">
      <w:bodyDiv w:val="1"/>
      <w:marLeft w:val="0"/>
      <w:marRight w:val="0"/>
      <w:marTop w:val="0"/>
      <w:marBottom w:val="0"/>
      <w:divBdr>
        <w:top w:val="none" w:sz="0" w:space="0" w:color="auto"/>
        <w:left w:val="none" w:sz="0" w:space="0" w:color="auto"/>
        <w:bottom w:val="none" w:sz="0" w:space="0" w:color="auto"/>
        <w:right w:val="none" w:sz="0" w:space="0" w:color="auto"/>
      </w:divBdr>
      <w:divsChild>
        <w:div w:id="1215240754">
          <w:marLeft w:val="0"/>
          <w:marRight w:val="0"/>
          <w:marTop w:val="0"/>
          <w:marBottom w:val="82"/>
          <w:divBdr>
            <w:top w:val="none" w:sz="0" w:space="0" w:color="auto"/>
            <w:left w:val="none" w:sz="0" w:space="0" w:color="auto"/>
            <w:bottom w:val="none" w:sz="0" w:space="0" w:color="auto"/>
            <w:right w:val="none" w:sz="0" w:space="0" w:color="auto"/>
          </w:divBdr>
        </w:div>
        <w:div w:id="256257503">
          <w:marLeft w:val="0"/>
          <w:marRight w:val="0"/>
          <w:marTop w:val="0"/>
          <w:marBottom w:val="82"/>
          <w:divBdr>
            <w:top w:val="none" w:sz="0" w:space="0" w:color="auto"/>
            <w:left w:val="none" w:sz="0" w:space="0" w:color="auto"/>
            <w:bottom w:val="none" w:sz="0" w:space="0" w:color="auto"/>
            <w:right w:val="none" w:sz="0" w:space="0" w:color="auto"/>
          </w:divBdr>
        </w:div>
        <w:div w:id="1759867614">
          <w:marLeft w:val="0"/>
          <w:marRight w:val="0"/>
          <w:marTop w:val="0"/>
          <w:marBottom w:val="82"/>
          <w:divBdr>
            <w:top w:val="none" w:sz="0" w:space="0" w:color="auto"/>
            <w:left w:val="none" w:sz="0" w:space="0" w:color="auto"/>
            <w:bottom w:val="none" w:sz="0" w:space="0" w:color="auto"/>
            <w:right w:val="none" w:sz="0" w:space="0" w:color="auto"/>
          </w:divBdr>
        </w:div>
      </w:divsChild>
    </w:div>
    <w:div w:id="1999264124">
      <w:bodyDiv w:val="1"/>
      <w:marLeft w:val="0"/>
      <w:marRight w:val="0"/>
      <w:marTop w:val="0"/>
      <w:marBottom w:val="0"/>
      <w:divBdr>
        <w:top w:val="none" w:sz="0" w:space="0" w:color="auto"/>
        <w:left w:val="none" w:sz="0" w:space="0" w:color="auto"/>
        <w:bottom w:val="none" w:sz="0" w:space="0" w:color="auto"/>
        <w:right w:val="none" w:sz="0" w:space="0" w:color="auto"/>
      </w:divBdr>
    </w:div>
    <w:div w:id="21438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ertas.referencia@ift.org.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AC08-D387-4331-A510-6C8D1267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9</Pages>
  <Words>2758</Words>
  <Characters>15171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Williams Hernandez</dc:creator>
  <cp:lastModifiedBy>Primitivo Ortiz Maldonado</cp:lastModifiedBy>
  <cp:revision>63</cp:revision>
  <cp:lastPrinted>2014-12-10T22:16:00Z</cp:lastPrinted>
  <dcterms:created xsi:type="dcterms:W3CDTF">2023-01-14T23:21:00Z</dcterms:created>
  <dcterms:modified xsi:type="dcterms:W3CDTF">2023-02-01T20:48:00Z</dcterms:modified>
</cp:coreProperties>
</file>