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72AA3" w14:textId="77777777" w:rsidR="00C84BB4" w:rsidRDefault="00C84BB4" w:rsidP="007A6974">
      <w:pPr>
        <w:spacing w:after="0"/>
        <w:jc w:val="center"/>
        <w:rPr>
          <w:rFonts w:ascii="ITC Avant Garde" w:hAnsi="ITC Avant Garde"/>
          <w:b/>
        </w:rPr>
      </w:pPr>
    </w:p>
    <w:p w14:paraId="7C8B9963" w14:textId="77777777" w:rsidR="0038199D" w:rsidRPr="003353FC" w:rsidRDefault="0038199D" w:rsidP="003353FC">
      <w:pPr>
        <w:pStyle w:val="Ttulo1"/>
      </w:pPr>
      <w:r w:rsidRPr="003353FC">
        <w:t>FORMATO PARA PARTICIPAR EN LA CONSULTA PÚBLICA</w:t>
      </w:r>
    </w:p>
    <w:p w14:paraId="128853A5" w14:textId="77777777" w:rsidR="006601AF" w:rsidRPr="00F36A5D" w:rsidRDefault="006601AF" w:rsidP="00C900FF">
      <w:pPr>
        <w:spacing w:after="0"/>
        <w:rPr>
          <w:rFonts w:ascii="ITC Avant Garde" w:hAnsi="ITC Avant Garde"/>
          <w:b/>
        </w:rPr>
      </w:pPr>
    </w:p>
    <w:p w14:paraId="12FD8AFB"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3C96ED7" w14:textId="77777777" w:rsidR="004970C4" w:rsidRPr="00F36A5D" w:rsidRDefault="004970C4" w:rsidP="007A6974">
      <w:pPr>
        <w:spacing w:after="0"/>
        <w:rPr>
          <w:rFonts w:ascii="ITC Avant Garde" w:hAnsi="ITC Avant Garde"/>
          <w:b/>
          <w:sz w:val="16"/>
        </w:rPr>
      </w:pPr>
    </w:p>
    <w:p w14:paraId="01ADF5AB" w14:textId="7451BCB2" w:rsidR="0038199D" w:rsidRPr="00D06A7E" w:rsidRDefault="0038199D" w:rsidP="00D06A7E">
      <w:pPr>
        <w:pStyle w:val="Listavistosa-nfasis110"/>
        <w:numPr>
          <w:ilvl w:val="0"/>
          <w:numId w:val="1"/>
        </w:numPr>
        <w:spacing w:after="0"/>
        <w:ind w:left="426" w:right="49" w:hanging="426"/>
        <w:jc w:val="both"/>
        <w:rPr>
          <w:rFonts w:ascii="ITC Avant Garde" w:hAnsi="ITC Avant Garde"/>
          <w:sz w:val="14"/>
          <w:szCs w:val="14"/>
        </w:rPr>
      </w:pPr>
      <w:r w:rsidRPr="00D06A7E">
        <w:rPr>
          <w:rFonts w:ascii="ITC Avant Garde" w:hAnsi="ITC Avant Garde"/>
          <w:sz w:val="14"/>
          <w:szCs w:val="14"/>
        </w:rPr>
        <w:t>Las opiniones, comentarios y propuestas deberán ser remitidas a la siguiente dirección de correo electrónico:</w:t>
      </w:r>
      <w:r w:rsidR="006F7B29" w:rsidRPr="00D06A7E">
        <w:rPr>
          <w:rFonts w:ascii="ITC Avant Garde" w:hAnsi="ITC Avant Garde"/>
          <w:sz w:val="14"/>
          <w:szCs w:val="14"/>
        </w:rPr>
        <w:t xml:space="preserve"> </w:t>
      </w:r>
      <w:hyperlink r:id="rId11" w:history="1">
        <w:r w:rsidR="00714C32" w:rsidRPr="00714C32">
          <w:rPr>
            <w:rStyle w:val="Hipervnculo"/>
            <w:rFonts w:ascii="ITC Avant Garde" w:hAnsi="ITC Avant Garde"/>
            <w:sz w:val="14"/>
            <w:szCs w:val="14"/>
          </w:rPr>
          <w:t>replicabilidad</w:t>
        </w:r>
        <w:r w:rsidR="00714C32" w:rsidRPr="00B632DE">
          <w:rPr>
            <w:rStyle w:val="Hipervnculo"/>
            <w:rFonts w:ascii="ITC Avant Garde" w:hAnsi="ITC Avant Garde"/>
            <w:sz w:val="14"/>
            <w:szCs w:val="14"/>
          </w:rPr>
          <w:t>.2021@ift.org.mx</w:t>
        </w:r>
      </w:hyperlink>
      <w:r w:rsidRPr="00D06A7E">
        <w:rPr>
          <w:rFonts w:ascii="ITC Avant Garde" w:hAnsi="ITC Avant Garde"/>
          <w:sz w:val="14"/>
          <w:szCs w:val="14"/>
        </w:rPr>
        <w:t>, en donde</w:t>
      </w:r>
      <w:r w:rsidR="00CC53F7" w:rsidRPr="00D06A7E">
        <w:rPr>
          <w:rFonts w:ascii="ITC Avant Garde" w:hAnsi="ITC Avant Garde"/>
          <w:sz w:val="14"/>
          <w:szCs w:val="14"/>
        </w:rPr>
        <w:t xml:space="preserve"> se deberá </w:t>
      </w:r>
      <w:r w:rsidRPr="00D06A7E">
        <w:rPr>
          <w:rFonts w:ascii="ITC Avant Garde" w:hAnsi="ITC Avant Garde"/>
          <w:sz w:val="14"/>
          <w:szCs w:val="14"/>
        </w:rPr>
        <w:t xml:space="preserve">considerar que la capacidad límite para la </w:t>
      </w:r>
      <w:r w:rsidR="00CC53F7" w:rsidRPr="00D06A7E">
        <w:rPr>
          <w:rFonts w:ascii="ITC Avant Garde" w:hAnsi="ITC Avant Garde"/>
          <w:sz w:val="14"/>
          <w:szCs w:val="14"/>
        </w:rPr>
        <w:t xml:space="preserve">recepción </w:t>
      </w:r>
      <w:r w:rsidRPr="00D06A7E">
        <w:rPr>
          <w:rFonts w:ascii="ITC Avant Garde" w:hAnsi="ITC Avant Garde"/>
          <w:sz w:val="14"/>
          <w:szCs w:val="14"/>
        </w:rPr>
        <w:t xml:space="preserve">de archivos es de </w:t>
      </w:r>
      <w:r w:rsidR="00B533DC" w:rsidRPr="00D06A7E">
        <w:rPr>
          <w:rFonts w:ascii="ITC Avant Garde" w:hAnsi="ITC Avant Garde"/>
          <w:sz w:val="14"/>
          <w:szCs w:val="14"/>
        </w:rPr>
        <w:t>25 Mb</w:t>
      </w:r>
      <w:r w:rsidRPr="00D06A7E">
        <w:rPr>
          <w:rFonts w:ascii="ITC Avant Garde" w:hAnsi="ITC Avant Garde"/>
          <w:sz w:val="14"/>
          <w:szCs w:val="14"/>
        </w:rPr>
        <w:t>.</w:t>
      </w:r>
    </w:p>
    <w:p w14:paraId="09B64025" w14:textId="77777777" w:rsidR="0038199D" w:rsidRPr="00F36A5D"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FC78690" w14:textId="77777777" w:rsidR="008200BE" w:rsidRPr="00F36A5D" w:rsidRDefault="008200BE"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148218D9" w14:textId="4FCC9F6D" w:rsidR="0038199D" w:rsidRPr="00F36A5D"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Vierta sus comentarios conforme a </w:t>
      </w:r>
      <w:r w:rsidR="00B21444">
        <w:rPr>
          <w:rFonts w:ascii="ITC Avant Garde" w:hAnsi="ITC Avant Garde"/>
          <w:sz w:val="14"/>
          <w:szCs w:val="14"/>
        </w:rPr>
        <w:t>las indicaciones en la sección “II</w:t>
      </w:r>
      <w:r w:rsidR="00C67A95">
        <w:rPr>
          <w:rFonts w:ascii="ITC Avant Garde" w:hAnsi="ITC Avant Garde"/>
          <w:sz w:val="14"/>
          <w:szCs w:val="14"/>
        </w:rPr>
        <w:t>I</w:t>
      </w:r>
      <w:r w:rsidR="00B21444">
        <w:rPr>
          <w:rFonts w:ascii="ITC Avant Garde" w:hAnsi="ITC Avant Garde"/>
          <w:sz w:val="14"/>
          <w:szCs w:val="14"/>
        </w:rPr>
        <w:t>. Guía para el llenado del formato”</w:t>
      </w:r>
      <w:r w:rsidR="0038199D" w:rsidRPr="00F36A5D">
        <w:rPr>
          <w:rFonts w:ascii="ITC Avant Garde" w:hAnsi="ITC Avant Garde"/>
          <w:sz w:val="14"/>
          <w:szCs w:val="14"/>
        </w:rPr>
        <w:t>.</w:t>
      </w:r>
    </w:p>
    <w:p w14:paraId="5DFFFF8E" w14:textId="77777777" w:rsidR="0038199D" w:rsidRPr="00B86143"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w:t>
      </w:r>
      <w:r w:rsidRPr="00B86143">
        <w:rPr>
          <w:rFonts w:ascii="ITC Avant Garde" w:hAnsi="ITC Avant Garde"/>
          <w:sz w:val="14"/>
          <w:szCs w:val="14"/>
        </w:rPr>
        <w:t>observaciones generales o alguna aportación adicional proporciónelos en el último recuadro.</w:t>
      </w:r>
    </w:p>
    <w:p w14:paraId="40FBCE0E" w14:textId="77777777" w:rsidR="0038199D" w:rsidRPr="00B86143"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B86143">
        <w:rPr>
          <w:rFonts w:ascii="ITC Avant Garde" w:hAnsi="ITC Avant Garde"/>
          <w:sz w:val="14"/>
          <w:szCs w:val="14"/>
        </w:rPr>
        <w:t>En caso de que sea de su interés, podrá</w:t>
      </w:r>
      <w:r w:rsidR="0038199D" w:rsidRPr="00B86143">
        <w:rPr>
          <w:rFonts w:ascii="ITC Avant Garde" w:hAnsi="ITC Avant Garde"/>
          <w:sz w:val="14"/>
          <w:szCs w:val="14"/>
        </w:rPr>
        <w:t xml:space="preserve"> adjuntar a su correo electrónico la documentación que </w:t>
      </w:r>
      <w:r w:rsidRPr="00B86143">
        <w:rPr>
          <w:rFonts w:ascii="ITC Avant Garde" w:hAnsi="ITC Avant Garde"/>
          <w:sz w:val="14"/>
          <w:szCs w:val="14"/>
        </w:rPr>
        <w:t>estime</w:t>
      </w:r>
      <w:r w:rsidR="0038199D" w:rsidRPr="00B86143">
        <w:rPr>
          <w:rFonts w:ascii="ITC Avant Garde" w:hAnsi="ITC Avant Garde"/>
          <w:sz w:val="14"/>
          <w:szCs w:val="14"/>
        </w:rPr>
        <w:t xml:space="preserve"> conveniente.</w:t>
      </w:r>
    </w:p>
    <w:p w14:paraId="171CBA9E" w14:textId="53C11B20" w:rsidR="0038199D" w:rsidRPr="009B2022"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B86143">
        <w:rPr>
          <w:rFonts w:ascii="ITC Avant Garde" w:hAnsi="ITC Avant Garde"/>
          <w:sz w:val="14"/>
          <w:szCs w:val="14"/>
        </w:rPr>
        <w:t xml:space="preserve">El período de consulta pública </w:t>
      </w:r>
      <w:r w:rsidR="006F7B29" w:rsidRPr="00B86143">
        <w:rPr>
          <w:rFonts w:ascii="ITC Avant Garde" w:hAnsi="ITC Avant Garde"/>
          <w:sz w:val="14"/>
          <w:szCs w:val="14"/>
        </w:rPr>
        <w:t xml:space="preserve">será del </w:t>
      </w:r>
      <w:r w:rsidR="00B86143" w:rsidRPr="00B86143">
        <w:rPr>
          <w:rFonts w:ascii="ITC Avant Garde" w:hAnsi="ITC Avant Garde"/>
          <w:sz w:val="14"/>
          <w:szCs w:val="14"/>
        </w:rPr>
        <w:t>10</w:t>
      </w:r>
      <w:r w:rsidR="006F7B29" w:rsidRPr="00B86143">
        <w:rPr>
          <w:rFonts w:ascii="ITC Avant Garde" w:hAnsi="ITC Avant Garde"/>
          <w:sz w:val="14"/>
          <w:szCs w:val="14"/>
        </w:rPr>
        <w:t xml:space="preserve"> de </w:t>
      </w:r>
      <w:r w:rsidR="00B86143" w:rsidRPr="00B86143">
        <w:rPr>
          <w:rFonts w:ascii="ITC Avant Garde" w:hAnsi="ITC Avant Garde"/>
          <w:sz w:val="14"/>
          <w:szCs w:val="14"/>
        </w:rPr>
        <w:t>enero</w:t>
      </w:r>
      <w:r w:rsidR="006F7B29" w:rsidRPr="00B86143">
        <w:rPr>
          <w:rFonts w:ascii="ITC Avant Garde" w:hAnsi="ITC Avant Garde"/>
          <w:sz w:val="14"/>
          <w:szCs w:val="14"/>
        </w:rPr>
        <w:t xml:space="preserve"> al </w:t>
      </w:r>
      <w:r w:rsidR="00B86143" w:rsidRPr="00B86143">
        <w:rPr>
          <w:rFonts w:ascii="ITC Avant Garde" w:hAnsi="ITC Avant Garde"/>
          <w:sz w:val="14"/>
          <w:szCs w:val="14"/>
        </w:rPr>
        <w:t>4</w:t>
      </w:r>
      <w:r w:rsidR="006F7B29" w:rsidRPr="00B86143">
        <w:rPr>
          <w:rFonts w:ascii="ITC Avant Garde" w:hAnsi="ITC Avant Garde"/>
          <w:sz w:val="14"/>
          <w:szCs w:val="14"/>
        </w:rPr>
        <w:t xml:space="preserve"> de </w:t>
      </w:r>
      <w:r w:rsidR="00B86143" w:rsidRPr="00B86143">
        <w:rPr>
          <w:rFonts w:ascii="ITC Avant Garde" w:hAnsi="ITC Avant Garde"/>
          <w:sz w:val="14"/>
          <w:szCs w:val="14"/>
        </w:rPr>
        <w:t>febrero</w:t>
      </w:r>
      <w:r w:rsidR="006F7B29" w:rsidRPr="00B86143">
        <w:rPr>
          <w:rFonts w:ascii="ITC Avant Garde" w:hAnsi="ITC Avant Garde"/>
          <w:sz w:val="14"/>
          <w:szCs w:val="14"/>
        </w:rPr>
        <w:t xml:space="preserve"> de </w:t>
      </w:r>
      <w:r w:rsidR="00B86143" w:rsidRPr="00B86143">
        <w:rPr>
          <w:rFonts w:ascii="ITC Avant Garde" w:hAnsi="ITC Avant Garde"/>
          <w:sz w:val="14"/>
          <w:szCs w:val="14"/>
        </w:rPr>
        <w:t>2022</w:t>
      </w:r>
      <w:r w:rsidR="0034067D" w:rsidRPr="00B86143">
        <w:rPr>
          <w:rFonts w:ascii="ITC Avant Garde" w:hAnsi="ITC Avant Garde"/>
          <w:sz w:val="14"/>
          <w:szCs w:val="14"/>
        </w:rPr>
        <w:t xml:space="preserve"> (i.e. 20 días hábiles)</w:t>
      </w:r>
      <w:r w:rsidRPr="00B86143">
        <w:rPr>
          <w:rFonts w:ascii="ITC Avant Garde" w:hAnsi="ITC Avant Garde"/>
          <w:sz w:val="14"/>
          <w:szCs w:val="14"/>
        </w:rPr>
        <w:t>. Una</w:t>
      </w:r>
      <w:r w:rsidRPr="009B2022">
        <w:rPr>
          <w:rFonts w:ascii="ITC Avant Garde" w:hAnsi="ITC Avant Garde"/>
          <w:sz w:val="14"/>
          <w:szCs w:val="14"/>
        </w:rPr>
        <w:t xml:space="preserve"> vez concluido</w:t>
      </w:r>
      <w:r w:rsidR="00CC53F7" w:rsidRPr="009B2022">
        <w:rPr>
          <w:rFonts w:ascii="ITC Avant Garde" w:hAnsi="ITC Avant Garde"/>
          <w:sz w:val="14"/>
          <w:szCs w:val="14"/>
        </w:rPr>
        <w:t xml:space="preserve"> dicho periodo</w:t>
      </w:r>
      <w:r w:rsidR="004970C4" w:rsidRPr="009B2022">
        <w:rPr>
          <w:rFonts w:ascii="ITC Avant Garde" w:hAnsi="ITC Avant Garde"/>
          <w:sz w:val="14"/>
          <w:szCs w:val="14"/>
        </w:rPr>
        <w:t>,</w:t>
      </w:r>
      <w:r w:rsidRPr="009B2022">
        <w:rPr>
          <w:rFonts w:ascii="ITC Avant Garde" w:hAnsi="ITC Avant Garde"/>
          <w:sz w:val="14"/>
          <w:szCs w:val="14"/>
        </w:rPr>
        <w:t xml:space="preserve"> se podrá</w:t>
      </w:r>
      <w:r w:rsidR="008F2B1A" w:rsidRPr="009B2022">
        <w:rPr>
          <w:rFonts w:ascii="ITC Avant Garde" w:hAnsi="ITC Avant Garde"/>
          <w:sz w:val="14"/>
          <w:szCs w:val="14"/>
        </w:rPr>
        <w:t>n</w:t>
      </w:r>
      <w:r w:rsidRPr="009B2022">
        <w:rPr>
          <w:rFonts w:ascii="ITC Avant Garde" w:hAnsi="ITC Avant Garde"/>
          <w:sz w:val="14"/>
          <w:szCs w:val="14"/>
        </w:rPr>
        <w:t xml:space="preserve"> continuar visualizando los comentarios vertidos, así como los documentos adjuntos en la siguiente dirección electrónica:</w:t>
      </w:r>
      <w:r w:rsidR="000D2838" w:rsidRPr="009B2022">
        <w:rPr>
          <w:rFonts w:ascii="ITC Avant Garde" w:hAnsi="ITC Avant Garde"/>
          <w:sz w:val="14"/>
          <w:szCs w:val="14"/>
        </w:rPr>
        <w:t xml:space="preserve"> </w:t>
      </w:r>
      <w:hyperlink r:id="rId12" w:tooltip="Liga directa a la seccióndel  portal del IFT en la que se encuentran todas las consultas públicas" w:history="1">
        <w:r w:rsidR="000D2838" w:rsidRPr="009B2022">
          <w:rPr>
            <w:rStyle w:val="Hipervnculo"/>
            <w:rFonts w:ascii="ITC Avant Garde" w:hAnsi="ITC Avant Garde"/>
            <w:sz w:val="14"/>
            <w:szCs w:val="14"/>
          </w:rPr>
          <w:t>http://www.ift.org.mx/industria/consultas-publicas</w:t>
        </w:r>
      </w:hyperlink>
      <w:r w:rsidR="000D2838" w:rsidRPr="009B2022">
        <w:rPr>
          <w:rFonts w:ascii="ITC Avant Garde" w:hAnsi="ITC Avant Garde"/>
          <w:sz w:val="14"/>
          <w:szCs w:val="14"/>
        </w:rPr>
        <w:t xml:space="preserve"> </w:t>
      </w:r>
    </w:p>
    <w:p w14:paraId="442FF679" w14:textId="629DB97C" w:rsidR="006601AF" w:rsidRPr="00C82970" w:rsidRDefault="000D2838"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 xml:space="preserve">Para cualquier duda, comentario o inquietud sobre el presente proceso consultivo, el Instituto pone a </w:t>
      </w:r>
      <w:r w:rsidR="008F2B1A" w:rsidRPr="009B2022">
        <w:rPr>
          <w:rFonts w:ascii="ITC Avant Garde" w:hAnsi="ITC Avant Garde"/>
          <w:sz w:val="14"/>
          <w:szCs w:val="14"/>
        </w:rPr>
        <w:t xml:space="preserve">su </w:t>
      </w:r>
      <w:r w:rsidR="00A75A67" w:rsidRPr="009B2022">
        <w:rPr>
          <w:rFonts w:ascii="ITC Avant Garde" w:hAnsi="ITC Avant Garde"/>
          <w:sz w:val="14"/>
          <w:szCs w:val="14"/>
        </w:rPr>
        <w:t>disposición</w:t>
      </w:r>
      <w:r w:rsidR="00F212B2" w:rsidRPr="009B2022">
        <w:rPr>
          <w:rFonts w:ascii="ITC Avant Garde" w:hAnsi="ITC Avant Garde"/>
          <w:sz w:val="14"/>
          <w:szCs w:val="14"/>
        </w:rPr>
        <w:t xml:space="preserve"> </w:t>
      </w:r>
      <w:r w:rsidR="00A75A67" w:rsidRPr="009B2022">
        <w:rPr>
          <w:rFonts w:ascii="ITC Avant Garde" w:hAnsi="ITC Avant Garde"/>
          <w:sz w:val="14"/>
          <w:szCs w:val="14"/>
        </w:rPr>
        <w:t>el</w:t>
      </w:r>
      <w:r w:rsidRPr="009B2022">
        <w:rPr>
          <w:rFonts w:ascii="ITC Avant Garde" w:hAnsi="ITC Avant Garde"/>
          <w:sz w:val="14"/>
          <w:szCs w:val="14"/>
        </w:rPr>
        <w:t xml:space="preserve"> siguiente punto de </w:t>
      </w:r>
      <w:r w:rsidRPr="00C82970">
        <w:rPr>
          <w:rFonts w:ascii="ITC Avant Garde" w:hAnsi="ITC Avant Garde"/>
          <w:sz w:val="14"/>
          <w:szCs w:val="14"/>
        </w:rPr>
        <w:t xml:space="preserve">contacto: </w:t>
      </w:r>
      <w:r w:rsidR="009B3834">
        <w:rPr>
          <w:rFonts w:ascii="ITC Avant Garde" w:hAnsi="ITC Avant Garde"/>
          <w:sz w:val="14"/>
          <w:szCs w:val="14"/>
        </w:rPr>
        <w:t>Danyel Bengerar Muñoz Hernández</w:t>
      </w:r>
      <w:r w:rsidR="006F7B29" w:rsidRPr="004510A1">
        <w:rPr>
          <w:rFonts w:ascii="ITC Avant Garde" w:hAnsi="ITC Avant Garde"/>
          <w:sz w:val="14"/>
          <w:szCs w:val="14"/>
        </w:rPr>
        <w:t xml:space="preserve"> </w:t>
      </w:r>
      <w:r w:rsidR="0034067D" w:rsidRPr="00755121">
        <w:rPr>
          <w:rFonts w:ascii="ITC Avant Garde" w:hAnsi="ITC Avant Garde"/>
          <w:sz w:val="14"/>
          <w:szCs w:val="14"/>
        </w:rPr>
        <w:t xml:space="preserve">Director de </w:t>
      </w:r>
      <w:r w:rsidR="009B3834" w:rsidRPr="009B3834">
        <w:rPr>
          <w:rFonts w:ascii="ITC Avant Garde" w:hAnsi="ITC Avant Garde"/>
          <w:sz w:val="14"/>
          <w:szCs w:val="14"/>
        </w:rPr>
        <w:t>Cuantificación de Derechos y Obligaciones</w:t>
      </w:r>
      <w:r w:rsidR="0034067D" w:rsidRPr="00755121">
        <w:rPr>
          <w:rFonts w:ascii="ITC Avant Garde" w:hAnsi="ITC Avant Garde"/>
          <w:sz w:val="14"/>
          <w:szCs w:val="14"/>
        </w:rPr>
        <w:t xml:space="preserve">, correo electrónico: </w:t>
      </w:r>
      <w:hyperlink r:id="rId13" w:history="1">
        <w:r w:rsidR="009B5A35" w:rsidRPr="00EF2058">
          <w:rPr>
            <w:rStyle w:val="Hipervnculo"/>
            <w:rFonts w:ascii="ITC Avant Garde" w:hAnsi="ITC Avant Garde"/>
            <w:sz w:val="14"/>
            <w:szCs w:val="14"/>
          </w:rPr>
          <w:t>danyel.munoz@ift.org.mx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 xml:space="preserve">4000, extensión </w:t>
      </w:r>
      <w:r w:rsidR="009B5A35">
        <w:rPr>
          <w:rFonts w:ascii="ITC Avant Garde" w:hAnsi="ITC Avant Garde"/>
          <w:sz w:val="14"/>
          <w:szCs w:val="14"/>
        </w:rPr>
        <w:t>2342</w:t>
      </w:r>
      <w:r w:rsidR="0034067D" w:rsidRPr="00755121">
        <w:rPr>
          <w:rFonts w:ascii="ITC Avant Garde" w:hAnsi="ITC Avant Garde"/>
          <w:sz w:val="14"/>
          <w:szCs w:val="14"/>
        </w:rPr>
        <w:t xml:space="preserve">  o </w:t>
      </w:r>
      <w:r w:rsidR="00A078AE">
        <w:rPr>
          <w:rFonts w:ascii="ITC Avant Garde" w:hAnsi="ITC Avant Garde"/>
          <w:sz w:val="14"/>
          <w:szCs w:val="14"/>
        </w:rPr>
        <w:t>Noemí Quiroz González</w:t>
      </w:r>
      <w:r w:rsidR="0034067D" w:rsidRPr="00755121">
        <w:rPr>
          <w:rFonts w:ascii="ITC Avant Garde" w:hAnsi="ITC Avant Garde"/>
          <w:sz w:val="14"/>
          <w:szCs w:val="14"/>
        </w:rPr>
        <w:t>, Subdirector</w:t>
      </w:r>
      <w:r w:rsidR="00A078AE">
        <w:rPr>
          <w:rFonts w:ascii="ITC Avant Garde" w:hAnsi="ITC Avant Garde"/>
          <w:sz w:val="14"/>
          <w:szCs w:val="14"/>
        </w:rPr>
        <w:t>a</w:t>
      </w:r>
      <w:r w:rsidR="0034067D" w:rsidRPr="00755121">
        <w:rPr>
          <w:rFonts w:ascii="ITC Avant Garde" w:hAnsi="ITC Avant Garde"/>
          <w:sz w:val="14"/>
          <w:szCs w:val="14"/>
        </w:rPr>
        <w:t xml:space="preserve"> de </w:t>
      </w:r>
      <w:r w:rsidR="00A078AE">
        <w:rPr>
          <w:rFonts w:ascii="ITC Avant Garde" w:hAnsi="ITC Avant Garde"/>
          <w:sz w:val="14"/>
          <w:szCs w:val="14"/>
        </w:rPr>
        <w:t>Análisis Cuantitativo 1</w:t>
      </w:r>
      <w:r w:rsidR="0034067D" w:rsidRPr="00755121">
        <w:rPr>
          <w:rFonts w:ascii="ITC Avant Garde" w:hAnsi="ITC Avant Garde"/>
          <w:sz w:val="14"/>
          <w:szCs w:val="14"/>
        </w:rPr>
        <w:t>, correo electrónico:</w:t>
      </w:r>
      <w:r w:rsidR="0034067D">
        <w:rPr>
          <w:rFonts w:ascii="ITC Avant Garde" w:hAnsi="ITC Avant Garde"/>
          <w:sz w:val="14"/>
          <w:szCs w:val="14"/>
        </w:rPr>
        <w:t xml:space="preserve"> </w:t>
      </w:r>
      <w:hyperlink r:id="rId14" w:history="1">
        <w:r w:rsidR="00A078AE" w:rsidRPr="00A078AE">
          <w:rPr>
            <w:rStyle w:val="Hipervnculo"/>
            <w:rFonts w:ascii="ITC Avant Garde" w:hAnsi="ITC Avant Garde" w:cs="Calibri Light"/>
            <w:sz w:val="14"/>
            <w:szCs w:val="14"/>
          </w:rPr>
          <w:t>noemi</w:t>
        </w:r>
        <w:r w:rsidR="00A078AE" w:rsidRPr="005511C7">
          <w:rPr>
            <w:rStyle w:val="Hipervnculo"/>
            <w:rFonts w:ascii="ITC Avant Garde" w:hAnsi="ITC Avant Garde" w:cs="Calibri Light"/>
            <w:sz w:val="14"/>
            <w:szCs w:val="14"/>
          </w:rPr>
          <w:t>.quiroz@ift.org.mx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4000, extensión 4</w:t>
      </w:r>
      <w:r w:rsidR="00A078AE">
        <w:rPr>
          <w:rFonts w:ascii="ITC Avant Garde" w:hAnsi="ITC Avant Garde"/>
          <w:sz w:val="14"/>
          <w:szCs w:val="14"/>
        </w:rPr>
        <w:t xml:space="preserve">898 y Víctor Daniel Maldonado Garibay, Subdirector de Área, correo electrónico: </w:t>
      </w:r>
      <w:hyperlink r:id="rId15" w:history="1">
        <w:r w:rsidR="00A078AE" w:rsidRPr="005511C7">
          <w:rPr>
            <w:rStyle w:val="Hipervnculo"/>
            <w:rFonts w:ascii="ITC Avant Garde" w:hAnsi="ITC Avant Garde"/>
            <w:sz w:val="14"/>
            <w:szCs w:val="14"/>
          </w:rPr>
          <w:t>victor.maldonado@ift.org.mx</w:t>
        </w:r>
      </w:hyperlink>
      <w:r w:rsidR="00A078AE">
        <w:rPr>
          <w:rFonts w:ascii="ITC Avant Garde" w:hAnsi="ITC Avant Garde"/>
          <w:sz w:val="14"/>
          <w:szCs w:val="14"/>
        </w:rPr>
        <w:t xml:space="preserve">, </w:t>
      </w:r>
      <w:r w:rsidR="00A078AE" w:rsidRPr="00755121">
        <w:rPr>
          <w:rFonts w:ascii="ITC Avant Garde" w:hAnsi="ITC Avant Garde"/>
          <w:sz w:val="14"/>
          <w:szCs w:val="14"/>
        </w:rPr>
        <w:t>número telefónico 55</w:t>
      </w:r>
      <w:r w:rsidR="00A078AE">
        <w:rPr>
          <w:rFonts w:ascii="ITC Avant Garde" w:hAnsi="ITC Avant Garde"/>
          <w:sz w:val="14"/>
          <w:szCs w:val="14"/>
        </w:rPr>
        <w:t xml:space="preserve"> </w:t>
      </w:r>
      <w:r w:rsidR="00A078AE" w:rsidRPr="00755121">
        <w:rPr>
          <w:rFonts w:ascii="ITC Avant Garde" w:hAnsi="ITC Avant Garde"/>
          <w:sz w:val="14"/>
          <w:szCs w:val="14"/>
        </w:rPr>
        <w:t>5015</w:t>
      </w:r>
      <w:r w:rsidR="00A078AE">
        <w:rPr>
          <w:rFonts w:ascii="ITC Avant Garde" w:hAnsi="ITC Avant Garde"/>
          <w:sz w:val="14"/>
          <w:szCs w:val="14"/>
        </w:rPr>
        <w:t xml:space="preserve"> </w:t>
      </w:r>
      <w:r w:rsidR="00A078AE" w:rsidRPr="00755121">
        <w:rPr>
          <w:rFonts w:ascii="ITC Avant Garde" w:hAnsi="ITC Avant Garde"/>
          <w:sz w:val="14"/>
          <w:szCs w:val="14"/>
        </w:rPr>
        <w:t>4000, extensión 4</w:t>
      </w:r>
      <w:r w:rsidR="00A078AE">
        <w:rPr>
          <w:rFonts w:ascii="ITC Avant Garde" w:hAnsi="ITC Avant Garde"/>
          <w:sz w:val="14"/>
          <w:szCs w:val="14"/>
        </w:rPr>
        <w:t>880</w:t>
      </w:r>
      <w:r w:rsidR="00CB5DC7">
        <w:rPr>
          <w:rFonts w:ascii="ITC Avant Garde" w:hAnsi="ITC Avant Garde"/>
          <w:sz w:val="14"/>
          <w:szCs w:val="14"/>
        </w:rPr>
        <w:t>.</w:t>
      </w:r>
    </w:p>
    <w:p w14:paraId="7F0F46D6" w14:textId="77777777" w:rsidR="006601AF" w:rsidRPr="00F36A5D" w:rsidRDefault="006601AF" w:rsidP="007A6974">
      <w:pPr>
        <w:pStyle w:val="Listavistosa-nfasis110"/>
        <w:spacing w:after="0"/>
        <w:ind w:left="284"/>
        <w:jc w:val="both"/>
        <w:rPr>
          <w:rFonts w:ascii="ITC Avant Garde" w:hAnsi="ITC Avant Garde"/>
          <w:sz w:val="16"/>
        </w:rPr>
      </w:pPr>
    </w:p>
    <w:tbl>
      <w:tblPr>
        <w:tblW w:w="8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7"/>
        <w:gridCol w:w="4063"/>
      </w:tblGrid>
      <w:tr w:rsidR="00DF154A" w:rsidRPr="00F36A5D" w14:paraId="6DCB03C8" w14:textId="77777777" w:rsidTr="00F97305">
        <w:trPr>
          <w:trHeight w:val="600"/>
        </w:trPr>
        <w:tc>
          <w:tcPr>
            <w:tcW w:w="8610" w:type="dxa"/>
            <w:gridSpan w:val="2"/>
            <w:shd w:val="clear" w:color="auto" w:fill="D9D9D9"/>
            <w:vAlign w:val="center"/>
            <w:hideMark/>
          </w:tcPr>
          <w:p w14:paraId="081D7981" w14:textId="77777777" w:rsidR="00DF154A" w:rsidRPr="003353FC" w:rsidRDefault="00DF154A" w:rsidP="00246FA5">
            <w:pPr>
              <w:pStyle w:val="Ttulo2"/>
              <w:ind w:left="783"/>
            </w:pPr>
            <w:r w:rsidRPr="003353FC">
              <w:t>Datos de</w:t>
            </w:r>
            <w:r w:rsidR="003D2703" w:rsidRPr="003353FC">
              <w:t xml:space="preserve"> </w:t>
            </w:r>
            <w:r w:rsidRPr="003353FC">
              <w:t>l</w:t>
            </w:r>
            <w:r w:rsidR="003D2703" w:rsidRPr="003353FC">
              <w:t>a persona</w:t>
            </w:r>
            <w:r w:rsidRPr="003353FC">
              <w:t xml:space="preserve"> participante</w:t>
            </w:r>
          </w:p>
        </w:tc>
      </w:tr>
      <w:tr w:rsidR="00DF154A" w:rsidRPr="00F36A5D" w14:paraId="0F6817BE" w14:textId="77777777" w:rsidTr="00F97305">
        <w:trPr>
          <w:trHeight w:val="509"/>
        </w:trPr>
        <w:tc>
          <w:tcPr>
            <w:tcW w:w="4547" w:type="dxa"/>
            <w:shd w:val="clear" w:color="auto" w:fill="C5E0B3"/>
            <w:vAlign w:val="center"/>
            <w:hideMark/>
          </w:tcPr>
          <w:p w14:paraId="205CF92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9CF43C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1DA80307" w14:textId="77777777" w:rsidTr="00F97305">
        <w:trPr>
          <w:trHeight w:val="403"/>
        </w:trPr>
        <w:tc>
          <w:tcPr>
            <w:tcW w:w="4547" w:type="dxa"/>
            <w:shd w:val="clear" w:color="auto" w:fill="E2EFD9"/>
            <w:vAlign w:val="center"/>
            <w:hideMark/>
          </w:tcPr>
          <w:p w14:paraId="27637D76"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ED0DC8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5B46AF0C" w14:textId="77777777" w:rsidTr="00F97305">
        <w:trPr>
          <w:trHeight w:val="523"/>
        </w:trPr>
        <w:tc>
          <w:tcPr>
            <w:tcW w:w="4547" w:type="dxa"/>
            <w:shd w:val="clear" w:color="auto" w:fill="C5E0B3"/>
            <w:vAlign w:val="center"/>
            <w:hideMark/>
          </w:tcPr>
          <w:p w14:paraId="5188E5EE"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BE9B2C2"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1F7B610B" w14:textId="342D6C11" w:rsidR="00DF154A" w:rsidRPr="00F36A5D" w:rsidRDefault="00494FC1">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46668F8EA0F84D7995D86D2FF88722F7"/>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D06A7E" w:rsidRPr="00B81578">
                  <w:rPr>
                    <w:rFonts w:ascii="ITC Avant Garde" w:eastAsia="Times New Roman" w:hAnsi="ITC Avant Garde" w:cs="Arial"/>
                    <w:color w:val="000000"/>
                    <w:sz w:val="20"/>
                    <w:lang w:eastAsia="es-MX"/>
                  </w:rPr>
                  <w:t>Elija un elemento</w:t>
                </w:r>
                <w:r w:rsidR="00D06A7E">
                  <w:rPr>
                    <w:rFonts w:ascii="ITC Avant Garde" w:eastAsia="Times New Roman" w:hAnsi="ITC Avant Garde" w:cs="Arial"/>
                    <w:color w:val="000000"/>
                    <w:sz w:val="20"/>
                    <w:lang w:eastAsia="es-MX"/>
                  </w:rPr>
                  <w:t>.</w:t>
                </w:r>
              </w:sdtContent>
            </w:sdt>
          </w:p>
        </w:tc>
      </w:tr>
      <w:tr w:rsidR="00DF154A" w:rsidRPr="00F36A5D" w14:paraId="08D6B305" w14:textId="77777777" w:rsidTr="00F97305">
        <w:trPr>
          <w:trHeight w:val="300"/>
        </w:trPr>
        <w:tc>
          <w:tcPr>
            <w:tcW w:w="8610" w:type="dxa"/>
            <w:gridSpan w:val="2"/>
            <w:shd w:val="clear" w:color="auto" w:fill="D9D9D9"/>
            <w:noWrap/>
            <w:vAlign w:val="center"/>
            <w:hideMark/>
          </w:tcPr>
          <w:p w14:paraId="41B64736" w14:textId="77777777" w:rsidR="00D50117" w:rsidRPr="00E62A8C" w:rsidRDefault="00E17493" w:rsidP="00E62A8C">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E072C">
              <w:rPr>
                <w:rFonts w:ascii="ITC Avant Garde" w:hAnsi="ITC Avant Garde"/>
                <w:b/>
              </w:rPr>
              <w:t>UNIDA</w:t>
            </w:r>
            <w:r w:rsidR="00A85F71">
              <w:rPr>
                <w:rFonts w:ascii="ITC Avant Garde" w:hAnsi="ITC Avant Garde"/>
                <w:b/>
              </w:rPr>
              <w:t>D</w:t>
            </w:r>
            <w:r w:rsidR="009E072C">
              <w:rPr>
                <w:rFonts w:ascii="ITC Avant Garde" w:hAnsi="ITC Avant Garde"/>
                <w:b/>
              </w:rPr>
              <w:t xml:space="preserve"> DE POLÍTICA REGULATORIA</w:t>
            </w:r>
          </w:p>
        </w:tc>
      </w:tr>
      <w:tr w:rsidR="00DF154A" w:rsidRPr="00F36A5D" w14:paraId="362E0753" w14:textId="77777777" w:rsidTr="00F97305">
        <w:trPr>
          <w:trHeight w:val="274"/>
        </w:trPr>
        <w:tc>
          <w:tcPr>
            <w:tcW w:w="8610" w:type="dxa"/>
            <w:gridSpan w:val="2"/>
            <w:shd w:val="clear" w:color="auto" w:fill="auto"/>
            <w:vAlign w:val="center"/>
            <w:hideMark/>
          </w:tcPr>
          <w:p w14:paraId="2F9E7679"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6D33C78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w:t>
            </w:r>
            <w:r w:rsidRPr="00A04017">
              <w:rPr>
                <w:rFonts w:ascii="ITC Avant Garde" w:eastAsia="Times New Roman" w:hAnsi="ITC Avant Garde"/>
                <w:b/>
                <w:color w:val="000000"/>
                <w:sz w:val="14"/>
                <w:szCs w:val="16"/>
                <w:lang w:eastAsia="es-MX"/>
              </w:rPr>
              <w:t>LGPDPPSO</w:t>
            </w:r>
            <w:r w:rsidRPr="00F04B09">
              <w:rPr>
                <w:rFonts w:ascii="ITC Avant Garde" w:eastAsia="Times New Roman" w:hAnsi="ITC Avant Garde"/>
                <w:color w:val="000000"/>
                <w:sz w:val="14"/>
                <w:szCs w:val="16"/>
                <w:lang w:eastAsia="es-MX"/>
              </w:rPr>
              <w:t>”); 9, fracción II, 15 y 26 al 45 de los Lineamientos Generales de Protección de Datos Personales para el Sector Público (en lo sucesivo los “</w:t>
            </w:r>
            <w:r w:rsidRPr="00A04017">
              <w:rPr>
                <w:rFonts w:ascii="ITC Avant Garde" w:eastAsia="Times New Roman" w:hAnsi="ITC Avant Garde"/>
                <w:b/>
                <w:color w:val="000000"/>
                <w:sz w:val="14"/>
                <w:szCs w:val="16"/>
                <w:lang w:eastAsia="es-MX"/>
              </w:rPr>
              <w:t>Lineamientos Generales</w:t>
            </w:r>
            <w:r w:rsidRPr="00F04B09">
              <w:rPr>
                <w:rFonts w:ascii="ITC Avant Garde" w:eastAsia="Times New Roman" w:hAnsi="ITC Avant Garde"/>
                <w:color w:val="000000"/>
                <w:sz w:val="14"/>
                <w:szCs w:val="16"/>
                <w:lang w:eastAsia="es-MX"/>
              </w:rPr>
              <w:t>”); 11 de los Lineamientos que establecen los parámetros, modalidades y procedimientos para la portabilidad de datos personales (en lo sucesivo los “</w:t>
            </w:r>
            <w:r w:rsidRPr="00A04017">
              <w:rPr>
                <w:rFonts w:ascii="ITC Avant Garde" w:eastAsia="Times New Roman" w:hAnsi="ITC Avant Garde"/>
                <w:b/>
                <w:color w:val="000000"/>
                <w:sz w:val="14"/>
                <w:szCs w:val="16"/>
                <w:lang w:eastAsia="es-MX"/>
              </w:rPr>
              <w:t>Lineamientos de Portabilidad</w:t>
            </w:r>
            <w:r w:rsidRPr="00F04B09">
              <w:rPr>
                <w:rFonts w:ascii="ITC Avant Garde" w:eastAsia="Times New Roman" w:hAnsi="ITC Avant Garde"/>
                <w:color w:val="000000"/>
                <w:sz w:val="14"/>
                <w:szCs w:val="16"/>
                <w:lang w:eastAsia="es-MX"/>
              </w:rPr>
              <w:t>”), numeral Segundo, punto 5, y numeral Cuarto de la Política de Protección de Datos Personales del Instituto Federal de Telecomunicaciones, se pone a disposición de los titulares de datos personales, el siguiente Aviso de Privacidad Integral:</w:t>
            </w:r>
          </w:p>
          <w:p w14:paraId="7679D8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6D3CE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68C52AE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w:t>
            </w:r>
            <w:r w:rsidRPr="00A04017">
              <w:rPr>
                <w:rFonts w:ascii="ITC Avant Garde" w:eastAsia="Times New Roman" w:hAnsi="ITC Avant Garde"/>
                <w:b/>
                <w:color w:val="000000"/>
                <w:sz w:val="14"/>
                <w:szCs w:val="16"/>
                <w:lang w:eastAsia="es-MX"/>
              </w:rPr>
              <w:t>IFT</w:t>
            </w:r>
            <w:r w:rsidRPr="00F04B09">
              <w:rPr>
                <w:rFonts w:ascii="ITC Avant Garde" w:eastAsia="Times New Roman" w:hAnsi="ITC Avant Garde"/>
                <w:color w:val="000000"/>
                <w:sz w:val="14"/>
                <w:szCs w:val="16"/>
                <w:lang w:eastAsia="es-MX"/>
              </w:rPr>
              <w:t>”).</w:t>
            </w:r>
          </w:p>
          <w:p w14:paraId="6F0C9FD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5DABF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6E9BE67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6DE66AF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BA2042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186539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A85F71" w:rsidRPr="002E6C44">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29409DC5"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2EF15BF8"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C6204EB"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5763A4A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4B184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9239C3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762D04B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381A70F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6C8C1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04466E4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1D0238B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7945CB65"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598CD8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5211031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B1584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3B94BFD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A85F71" w:rsidRPr="003F04F2">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48F599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6BE2B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7E4AA6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5A69B57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46368B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4B580E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w:t>
            </w:r>
            <w:r w:rsidRPr="00A04017">
              <w:rPr>
                <w:rFonts w:ascii="ITC Avant Garde" w:eastAsia="Times New Roman" w:hAnsi="ITC Avant Garde"/>
                <w:b/>
                <w:color w:val="000000"/>
                <w:sz w:val="14"/>
                <w:szCs w:val="16"/>
                <w:lang w:eastAsia="es-MX"/>
              </w:rPr>
              <w:t>INAI</w:t>
            </w:r>
            <w:r w:rsidRPr="00F04B09">
              <w:rPr>
                <w:rFonts w:ascii="ITC Avant Garde" w:eastAsia="Times New Roman" w:hAnsi="ITC Avant Garde"/>
                <w:color w:val="000000"/>
                <w:sz w:val="14"/>
                <w:szCs w:val="16"/>
                <w:lang w:eastAsia="es-MX"/>
              </w:rPr>
              <w:t xml:space="preserve">”). </w:t>
            </w:r>
          </w:p>
          <w:p w14:paraId="121E4B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4BC81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947993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ACE50D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78000AD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4ADBA6B"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7D577B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35E369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062196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7E753B4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26F780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395D1D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44E342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0733390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7"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531F5CE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753B7C2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615EE0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2588B7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9EBD5D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77738A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53C5243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4D0AA7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CD9CC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A89FF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5B0FC1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068BE9B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091C31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2F5DFE9"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D9BBAF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A60A75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8FFA57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27CAF5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745E500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2"/>
            </w:r>
            <w:r w:rsidRPr="00F04B09">
              <w:rPr>
                <w:rFonts w:ascii="ITC Avant Garde" w:eastAsia="Times New Roman" w:hAnsi="ITC Avant Garde"/>
                <w:color w:val="000000"/>
                <w:sz w:val="14"/>
                <w:szCs w:val="16"/>
                <w:lang w:eastAsia="es-MX"/>
              </w:rPr>
              <w:t>.</w:t>
            </w:r>
          </w:p>
          <w:p w14:paraId="0A518F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5E8E0D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207C95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FC3F2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B291E8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138541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A2D47F2"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(27/01/2020)</w:t>
            </w:r>
          </w:p>
        </w:tc>
      </w:tr>
    </w:tbl>
    <w:p w14:paraId="1EDBD119" w14:textId="77777777" w:rsidR="00DF5B3F" w:rsidRDefault="00DF5B3F" w:rsidP="00DF5B3F">
      <w:pPr>
        <w:spacing w:after="0"/>
        <w:rPr>
          <w:rFonts w:ascii="ITC Avant Garde" w:hAnsi="ITC Avant Garde"/>
        </w:rPr>
      </w:pPr>
    </w:p>
    <w:p w14:paraId="71F16CAB" w14:textId="77777777" w:rsidR="00EA094D" w:rsidRDefault="00EA094D" w:rsidP="00DF5B3F">
      <w:pPr>
        <w:spacing w:after="0"/>
        <w:rPr>
          <w:rFonts w:ascii="ITC Avant Garde" w:hAnsi="ITC Avant Garde"/>
        </w:rPr>
      </w:pPr>
    </w:p>
    <w:tbl>
      <w:tblPr>
        <w:tblW w:w="86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2"/>
      </w:tblGrid>
      <w:tr w:rsidR="000553DD" w:rsidRPr="00E9169D" w14:paraId="78B88A17" w14:textId="77777777" w:rsidTr="00F97305">
        <w:trPr>
          <w:trHeight w:val="600"/>
        </w:trPr>
        <w:tc>
          <w:tcPr>
            <w:tcW w:w="8652" w:type="dxa"/>
            <w:shd w:val="clear" w:color="auto" w:fill="D9D9D9"/>
            <w:vAlign w:val="center"/>
            <w:hideMark/>
          </w:tcPr>
          <w:p w14:paraId="55E2CBFD" w14:textId="77777777" w:rsidR="000553DD" w:rsidRPr="00C0424E" w:rsidRDefault="000553DD" w:rsidP="00246FA5">
            <w:pPr>
              <w:pStyle w:val="Ttulo2"/>
              <w:ind w:left="783"/>
            </w:pPr>
            <w:r w:rsidRPr="00C0424E">
              <w:t>Marco de referencia</w:t>
            </w:r>
          </w:p>
        </w:tc>
      </w:tr>
      <w:tr w:rsidR="000553DD" w:rsidRPr="00E9169D" w14:paraId="39CD3F32" w14:textId="77777777" w:rsidTr="00F97305">
        <w:trPr>
          <w:trHeight w:val="720"/>
        </w:trPr>
        <w:tc>
          <w:tcPr>
            <w:tcW w:w="8652" w:type="dxa"/>
            <w:shd w:val="clear" w:color="000000" w:fill="FFFFFF"/>
            <w:noWrap/>
            <w:hideMark/>
          </w:tcPr>
          <w:p w14:paraId="5E421548" w14:textId="40E0FDFB" w:rsidR="00C32290" w:rsidRPr="004510A1" w:rsidRDefault="00C32290" w:rsidP="007473C3">
            <w:pPr>
              <w:spacing w:line="276" w:lineRule="auto"/>
              <w:jc w:val="both"/>
              <w:rPr>
                <w:rFonts w:ascii="ITC Avant Garde" w:hAnsi="ITC Avant Garde"/>
                <w:sz w:val="20"/>
                <w:szCs w:val="20"/>
              </w:rPr>
            </w:pPr>
            <w:r w:rsidRPr="004510A1">
              <w:rPr>
                <w:rFonts w:ascii="ITC Avant Garde" w:hAnsi="ITC Avant Garde"/>
                <w:sz w:val="20"/>
                <w:szCs w:val="20"/>
              </w:rPr>
              <w:t>El 6 de marzo de 2014, el Pleno del Instituto Federal de Telecomunicaciones (en lo sucesivo, el “</w:t>
            </w:r>
            <w:r w:rsidRPr="004510A1">
              <w:rPr>
                <w:rFonts w:ascii="ITC Avant Garde" w:hAnsi="ITC Avant Garde"/>
                <w:b/>
                <w:sz w:val="20"/>
                <w:szCs w:val="20"/>
              </w:rPr>
              <w:t>Instituto</w:t>
            </w:r>
            <w:r w:rsidRPr="004510A1">
              <w:rPr>
                <w:rFonts w:ascii="ITC Avant Garde" w:hAnsi="ITC Avant Garde"/>
                <w:sz w:val="20"/>
                <w:szCs w:val="20"/>
              </w:rPr>
              <w:t xml:space="preserve">”) </w:t>
            </w:r>
            <w:r w:rsidR="001B676D">
              <w:rPr>
                <w:rFonts w:ascii="ITC Avant Garde" w:hAnsi="ITC Avant Garde"/>
                <w:sz w:val="20"/>
                <w:szCs w:val="20"/>
              </w:rPr>
              <w:t>determinó</w:t>
            </w:r>
            <w:r w:rsidR="001B676D" w:rsidRPr="004510A1">
              <w:rPr>
                <w:rFonts w:ascii="ITC Avant Garde" w:hAnsi="ITC Avant Garde"/>
                <w:sz w:val="20"/>
                <w:szCs w:val="20"/>
              </w:rPr>
              <w:t xml:space="preserve"> </w:t>
            </w:r>
            <w:r w:rsidR="00CC2A01">
              <w:rPr>
                <w:rFonts w:ascii="ITC Avant Garde" w:hAnsi="ITC Avant Garde"/>
                <w:sz w:val="20"/>
                <w:szCs w:val="20"/>
              </w:rPr>
              <w:t xml:space="preserve">como </w:t>
            </w:r>
            <w:r w:rsidRPr="004510A1">
              <w:rPr>
                <w:rFonts w:ascii="ITC Avant Garde" w:hAnsi="ITC Avant Garde"/>
                <w:sz w:val="20"/>
                <w:szCs w:val="20"/>
              </w:rPr>
              <w:t xml:space="preserve">Agente Económico Preponderante en el Sector de Telecomunicaciones (en lo sucesivo, el </w:t>
            </w:r>
            <w:r w:rsidRPr="004510A1">
              <w:rPr>
                <w:rFonts w:ascii="ITC Avant Garde" w:hAnsi="ITC Avant Garde"/>
                <w:b/>
                <w:sz w:val="20"/>
                <w:szCs w:val="20"/>
              </w:rPr>
              <w:t>“AEPT”</w:t>
            </w:r>
            <w:r w:rsidRPr="004510A1">
              <w:rPr>
                <w:rFonts w:ascii="ITC Avant Garde" w:hAnsi="ITC Avant Garde"/>
                <w:sz w:val="20"/>
                <w:szCs w:val="20"/>
              </w:rPr>
              <w:t xml:space="preserve">) al grupo de interés económico del que forman parte AMÉRICA MÓVIL S.A.B. DE C.V., TELÉFONOS DE MÉXICO, S.A.B. DE C.V., TELÉFONOS DEL NOROESTE, S.A. DE C.V., RADIOMÓVIL DIPSA, S.A.B. DE C.V., GRUPO CARSO, S.A.B. DE C.V., Y GRUPO FINANCIERO INBURSA. S.A.B. DE C.V. </w:t>
            </w:r>
            <w:r w:rsidR="00CC2A01">
              <w:rPr>
                <w:rFonts w:ascii="ITC Avant Garde" w:hAnsi="ITC Avant Garde"/>
                <w:sz w:val="20"/>
                <w:szCs w:val="20"/>
              </w:rPr>
              <w:t>y le impuso</w:t>
            </w:r>
            <w:r w:rsidRPr="004510A1">
              <w:rPr>
                <w:rFonts w:ascii="ITC Avant Garde" w:hAnsi="ITC Avant Garde"/>
                <w:sz w:val="20"/>
                <w:szCs w:val="20"/>
              </w:rPr>
              <w:t xml:space="preserve"> medidas de regulación asimétrica descritas en cinco anexos. Dichas medidas, entre otras cosas, mandatan obligaciones del AEPT respecto a la provisión de servicios mayoristas regulados (en lo sucesivo, los </w:t>
            </w:r>
            <w:r w:rsidRPr="004510A1">
              <w:rPr>
                <w:rFonts w:ascii="ITC Avant Garde" w:hAnsi="ITC Avant Garde"/>
                <w:b/>
                <w:sz w:val="20"/>
                <w:szCs w:val="20"/>
              </w:rPr>
              <w:t>“SMR”</w:t>
            </w:r>
            <w:r w:rsidRPr="004510A1">
              <w:rPr>
                <w:rFonts w:ascii="ITC Avant Garde" w:hAnsi="ITC Avant Garde"/>
                <w:sz w:val="20"/>
                <w:szCs w:val="20"/>
              </w:rPr>
              <w:t>)</w:t>
            </w:r>
            <w:r w:rsidR="00ED7239">
              <w:rPr>
                <w:rFonts w:ascii="ITC Avant Garde" w:hAnsi="ITC Avant Garde"/>
                <w:sz w:val="20"/>
                <w:szCs w:val="20"/>
              </w:rPr>
              <w:t xml:space="preserve"> de desagregación, enlaces dedicados, compartición de infraestructura pasiva fija y móvil, interconexión fija y móvil, comercialización y reventa de servicios a operadores móviles virtuales y usuario visitante.</w:t>
            </w:r>
            <w:r w:rsidRPr="004510A1">
              <w:rPr>
                <w:rFonts w:ascii="ITC Avant Garde" w:hAnsi="ITC Avant Garde"/>
                <w:sz w:val="20"/>
                <w:szCs w:val="20"/>
              </w:rPr>
              <w:t xml:space="preserve"> </w:t>
            </w:r>
          </w:p>
          <w:p w14:paraId="46D07C45" w14:textId="16354C13" w:rsidR="00625CB1" w:rsidRDefault="00625CB1" w:rsidP="007473C3">
            <w:pPr>
              <w:spacing w:line="276" w:lineRule="auto"/>
              <w:jc w:val="both"/>
              <w:rPr>
                <w:rFonts w:ascii="ITC Avant Garde" w:hAnsi="ITC Avant Garde"/>
                <w:sz w:val="20"/>
                <w:szCs w:val="20"/>
              </w:rPr>
            </w:pPr>
            <w:r w:rsidRPr="00625CB1">
              <w:rPr>
                <w:rFonts w:ascii="ITC Avant Garde" w:hAnsi="ITC Avant Garde"/>
                <w:sz w:val="20"/>
                <w:szCs w:val="20"/>
              </w:rPr>
              <w:t>En la referida resolución se estableció que el Instituto realizará una evaluación del impacto de las medidas en términos de competencia cada dos años a efecto de suprimir, modificar o adicionar medidas.</w:t>
            </w:r>
          </w:p>
          <w:p w14:paraId="3A5232E9" w14:textId="2C28767A" w:rsidR="008A337C" w:rsidRDefault="00625CB1" w:rsidP="007473C3">
            <w:pPr>
              <w:spacing w:line="276" w:lineRule="auto"/>
              <w:jc w:val="both"/>
              <w:rPr>
                <w:rFonts w:ascii="ITC Avant Garde" w:hAnsi="ITC Avant Garde"/>
                <w:sz w:val="20"/>
                <w:szCs w:val="20"/>
              </w:rPr>
            </w:pPr>
            <w:r>
              <w:rPr>
                <w:rFonts w:ascii="ITC Avant Garde" w:hAnsi="ITC Avant Garde"/>
                <w:sz w:val="20"/>
                <w:szCs w:val="20"/>
              </w:rPr>
              <w:t>En tal sentido</w:t>
            </w:r>
            <w:r w:rsidR="00C32290" w:rsidRPr="004510A1">
              <w:rPr>
                <w:rFonts w:ascii="ITC Avant Garde" w:hAnsi="ITC Avant Garde"/>
                <w:sz w:val="20"/>
                <w:szCs w:val="20"/>
              </w:rPr>
              <w:t xml:space="preserve">, el 27 de febrero de 2017, </w:t>
            </w:r>
            <w:r w:rsidR="008667C7">
              <w:rPr>
                <w:rFonts w:ascii="ITC Avant Garde" w:hAnsi="ITC Avant Garde"/>
                <w:sz w:val="20"/>
                <w:szCs w:val="20"/>
              </w:rPr>
              <w:t>se</w:t>
            </w:r>
            <w:r w:rsidR="00C32290" w:rsidRPr="004510A1">
              <w:rPr>
                <w:rFonts w:ascii="ITC Avant Garde" w:hAnsi="ITC Avant Garde"/>
                <w:sz w:val="20"/>
                <w:szCs w:val="20"/>
              </w:rPr>
              <w:t xml:space="preserve"> emitió la </w:t>
            </w:r>
            <w:r w:rsidR="001B676D">
              <w:rPr>
                <w:rFonts w:ascii="ITC Avant Garde" w:hAnsi="ITC Avant Garde"/>
                <w:sz w:val="20"/>
                <w:szCs w:val="20"/>
              </w:rPr>
              <w:t>“R</w:t>
            </w:r>
            <w:r w:rsidR="00C32290" w:rsidRPr="004510A1">
              <w:rPr>
                <w:rFonts w:ascii="ITC Avant Garde" w:hAnsi="ITC Avant Garde"/>
                <w:sz w:val="20"/>
                <w:szCs w:val="20"/>
              </w:rPr>
              <w:t>esolución mediante la cual el Pleno del Instituto suprime, modifica y adiciona las medidas impuestas al Agente Económico Preponderante en el Sector de Telecomunicaciones</w:t>
            </w:r>
            <w:r w:rsidR="001B676D">
              <w:rPr>
                <w:rFonts w:ascii="ITC Avant Garde" w:hAnsi="ITC Avant Garde"/>
                <w:sz w:val="20"/>
                <w:szCs w:val="20"/>
              </w:rPr>
              <w:t xml:space="preserve"> mediante Resolución de fecha 6 de marzo de 2014, aprobada mediante Acuerdo P/IFT/EXT/060314/76”</w:t>
            </w:r>
            <w:r w:rsidR="00C32290" w:rsidRPr="004510A1">
              <w:rPr>
                <w:rStyle w:val="Refdenotaalpie"/>
                <w:rFonts w:ascii="ITC Avant Garde" w:hAnsi="ITC Avant Garde"/>
                <w:sz w:val="20"/>
                <w:szCs w:val="20"/>
              </w:rPr>
              <w:footnoteReference w:id="3"/>
            </w:r>
            <w:r w:rsidR="00C32290" w:rsidRPr="004510A1">
              <w:rPr>
                <w:rFonts w:ascii="ITC Avant Garde" w:hAnsi="ITC Avant Garde"/>
                <w:sz w:val="20"/>
                <w:szCs w:val="20"/>
              </w:rPr>
              <w:t xml:space="preserve"> (en lo sucesivo, la "</w:t>
            </w:r>
            <w:r>
              <w:rPr>
                <w:rFonts w:ascii="ITC Avant Garde" w:hAnsi="ITC Avant Garde"/>
                <w:sz w:val="20"/>
                <w:szCs w:val="20"/>
              </w:rPr>
              <w:t xml:space="preserve"> </w:t>
            </w:r>
            <w:r w:rsidRPr="00625CB1">
              <w:rPr>
                <w:rFonts w:ascii="ITC Avant Garde" w:hAnsi="ITC Avant Garde"/>
                <w:b/>
                <w:bCs/>
                <w:sz w:val="20"/>
                <w:szCs w:val="20"/>
              </w:rPr>
              <w:t>Primera</w:t>
            </w:r>
            <w:r>
              <w:rPr>
                <w:rFonts w:ascii="ITC Avant Garde" w:hAnsi="ITC Avant Garde"/>
                <w:sz w:val="20"/>
                <w:szCs w:val="20"/>
              </w:rPr>
              <w:t xml:space="preserve"> </w:t>
            </w:r>
            <w:r w:rsidR="00C32290" w:rsidRPr="004510A1">
              <w:rPr>
                <w:rFonts w:ascii="ITC Avant Garde" w:hAnsi="ITC Avant Garde"/>
                <w:b/>
                <w:sz w:val="20"/>
                <w:szCs w:val="20"/>
              </w:rPr>
              <w:t xml:space="preserve">Resolución Bienal </w:t>
            </w:r>
            <w:r w:rsidR="00C32290" w:rsidRPr="004510A1">
              <w:rPr>
                <w:rFonts w:ascii="ITC Avant Garde" w:hAnsi="ITC Avant Garde"/>
                <w:sz w:val="20"/>
                <w:szCs w:val="20"/>
              </w:rPr>
              <w:t xml:space="preserve">"). </w:t>
            </w:r>
          </w:p>
          <w:p w14:paraId="58D6F0D0" w14:textId="654481D7" w:rsidR="008A337C" w:rsidRDefault="008A337C" w:rsidP="007473C3">
            <w:pPr>
              <w:spacing w:line="276" w:lineRule="auto"/>
              <w:jc w:val="both"/>
              <w:rPr>
                <w:rFonts w:ascii="ITC Avant Garde" w:hAnsi="ITC Avant Garde"/>
                <w:sz w:val="20"/>
                <w:szCs w:val="20"/>
              </w:rPr>
            </w:pPr>
            <w:r w:rsidRPr="008A337C">
              <w:rPr>
                <w:rFonts w:ascii="ITC Avant Garde" w:hAnsi="ITC Avant Garde"/>
                <w:sz w:val="20"/>
                <w:szCs w:val="20"/>
              </w:rPr>
              <w:t xml:space="preserve">En las medidas Sexagésima Cuarta del Anexo 1, Sexagésima Séptima del Anexo 2 y Cuadragésima Novena del Anexo 3 de la </w:t>
            </w:r>
            <w:r w:rsidR="00B05076">
              <w:rPr>
                <w:rFonts w:ascii="ITC Avant Garde" w:hAnsi="ITC Avant Garde"/>
                <w:sz w:val="20"/>
                <w:szCs w:val="20"/>
              </w:rPr>
              <w:t xml:space="preserve">Primera </w:t>
            </w:r>
            <w:r w:rsidRPr="008A337C">
              <w:rPr>
                <w:rFonts w:ascii="ITC Avant Garde" w:hAnsi="ITC Avant Garde"/>
                <w:sz w:val="20"/>
                <w:szCs w:val="20"/>
              </w:rPr>
              <w:t>Resolución Bienal se estableció la realización de pruebas de replicabilidad económica en los siguientes términos</w:t>
            </w:r>
            <w:r>
              <w:rPr>
                <w:rFonts w:ascii="ITC Avant Garde" w:hAnsi="ITC Avant Garde"/>
                <w:sz w:val="20"/>
                <w:szCs w:val="20"/>
              </w:rPr>
              <w:t>:</w:t>
            </w:r>
          </w:p>
          <w:p w14:paraId="012F8B8F" w14:textId="77777777" w:rsidR="00502BB2" w:rsidRPr="00625CB1" w:rsidRDefault="00502BB2" w:rsidP="00502BB2">
            <w:pPr>
              <w:pStyle w:val="Prrafodelista"/>
              <w:numPr>
                <w:ilvl w:val="0"/>
                <w:numId w:val="49"/>
              </w:numPr>
              <w:spacing w:line="276" w:lineRule="auto"/>
              <w:jc w:val="both"/>
              <w:rPr>
                <w:rFonts w:ascii="ITC Avant Garde" w:hAnsi="ITC Avant Garde"/>
                <w:i/>
                <w:iCs/>
                <w:sz w:val="20"/>
                <w:szCs w:val="20"/>
              </w:rPr>
            </w:pPr>
            <w:r w:rsidRPr="00625CB1">
              <w:rPr>
                <w:rFonts w:ascii="ITC Avant Garde" w:hAnsi="ITC Avant Garde"/>
                <w:i/>
                <w:iCs/>
                <w:sz w:val="20"/>
                <w:szCs w:val="20"/>
              </w:rPr>
              <w:t>“A efecto de garantizar que las tarifas al público de servicios móviles puedan ser replicables por los Operadores Móviles Virtuales, cuyo servicio esté activo al amparo de la Oferta de Referencia del Servicio Mayorista de Comercialización o Reventa de Servicios, dadas las tarifas de los servicios mayoristas regulados, el Instituto validará de manera ex post la replicabilidad económica de las mismas con base en la metodología, términos y condiciones que establezca el Instituto.”</w:t>
            </w:r>
          </w:p>
          <w:p w14:paraId="67ED932D" w14:textId="77777777" w:rsidR="008A337C" w:rsidRPr="00625CB1" w:rsidRDefault="008A337C" w:rsidP="008A337C">
            <w:pPr>
              <w:pStyle w:val="Prrafodelista"/>
              <w:numPr>
                <w:ilvl w:val="0"/>
                <w:numId w:val="49"/>
              </w:numPr>
              <w:spacing w:line="276" w:lineRule="auto"/>
              <w:jc w:val="both"/>
              <w:rPr>
                <w:rFonts w:ascii="ITC Avant Garde" w:hAnsi="ITC Avant Garde"/>
                <w:i/>
                <w:iCs/>
                <w:sz w:val="20"/>
                <w:szCs w:val="20"/>
              </w:rPr>
            </w:pPr>
            <w:r w:rsidRPr="00625CB1">
              <w:rPr>
                <w:rFonts w:ascii="ITC Avant Garde" w:hAnsi="ITC Avant Garde"/>
                <w:i/>
                <w:iCs/>
                <w:sz w:val="20"/>
                <w:szCs w:val="20"/>
              </w:rPr>
              <w:t xml:space="preserve">“A efecto de garantizar que las tarifas al público de servicios fijos puedan ser replicables, dadas las tarifas de los servicios mayoristas regulados, las tarifas minoristas del Agente Económico Preponderante estarán sujetas a una prueba de replicabilidad económica. Para tal efecto, el Instituto podrá validar la </w:t>
            </w:r>
            <w:r w:rsidRPr="00625CB1">
              <w:rPr>
                <w:rFonts w:ascii="ITC Avant Garde" w:hAnsi="ITC Avant Garde"/>
                <w:i/>
                <w:iCs/>
                <w:sz w:val="20"/>
                <w:szCs w:val="20"/>
              </w:rPr>
              <w:lastRenderedPageBreak/>
              <w:t>replicabilidad de las tarifas de manera ex ante o ex post a la comercialización de los servicios asociados a las mismas, con base en la metodología, términos y condiciones que establezca el Instituto.”</w:t>
            </w:r>
          </w:p>
          <w:p w14:paraId="244E7418" w14:textId="54AA811F" w:rsidR="008A337C" w:rsidRPr="008A337C" w:rsidRDefault="00625CB1" w:rsidP="008A337C">
            <w:pPr>
              <w:spacing w:line="276" w:lineRule="auto"/>
              <w:jc w:val="both"/>
              <w:rPr>
                <w:rFonts w:ascii="ITC Avant Garde" w:hAnsi="ITC Avant Garde"/>
                <w:sz w:val="20"/>
                <w:szCs w:val="20"/>
              </w:rPr>
            </w:pPr>
            <w:r w:rsidRPr="00625CB1">
              <w:rPr>
                <w:rFonts w:ascii="ITC Avant Garde" w:hAnsi="ITC Avant Garde"/>
                <w:bCs/>
                <w:sz w:val="20"/>
                <w:szCs w:val="20"/>
              </w:rPr>
              <w:t xml:space="preserve">Derivado de lo anterior, el Pleno del Instituto emitió los Acuerdos </w:t>
            </w:r>
            <w:r w:rsidRPr="00625CB1">
              <w:rPr>
                <w:rFonts w:ascii="ITC Avant Garde" w:hAnsi="ITC Avant Garde"/>
                <w:sz w:val="20"/>
                <w:szCs w:val="20"/>
              </w:rPr>
              <w:t>P/IFT/120917/548 y P/IFT/120917/549 (en los sucesivo, los “Acuerdos de Replicabilidad Económica”</w:t>
            </w:r>
            <w:r w:rsidRPr="00625CB1">
              <w:rPr>
                <w:rFonts w:ascii="ITC Avant Garde" w:hAnsi="ITC Avant Garde"/>
                <w:sz w:val="20"/>
                <w:szCs w:val="20"/>
                <w:vertAlign w:val="superscript"/>
              </w:rPr>
              <w:footnoteReference w:id="4"/>
            </w:r>
            <w:r w:rsidRPr="00625CB1">
              <w:rPr>
                <w:rFonts w:ascii="ITC Avant Garde" w:hAnsi="ITC Avant Garde"/>
                <w:sz w:val="20"/>
                <w:szCs w:val="20"/>
              </w:rPr>
              <w:t>) mediante los cuales se establecieron</w:t>
            </w:r>
            <w:r w:rsidRPr="00625CB1">
              <w:rPr>
                <w:rFonts w:ascii="ITC Avant Garde" w:hAnsi="ITC Avant Garde"/>
                <w:bCs/>
                <w:sz w:val="20"/>
                <w:szCs w:val="20"/>
              </w:rPr>
              <w:t xml:space="preserve"> las metodologías, términos y condiciones para llevar a cabo las pruebas de replicabilidad económica en consistencia con lo establecido en los Anexos 1, 2 y 3 de la </w:t>
            </w:r>
            <w:r>
              <w:rPr>
                <w:rFonts w:ascii="ITC Avant Garde" w:hAnsi="ITC Avant Garde"/>
                <w:bCs/>
                <w:sz w:val="20"/>
                <w:szCs w:val="20"/>
              </w:rPr>
              <w:t xml:space="preserve">Primera </w:t>
            </w:r>
            <w:r w:rsidRPr="00625CB1">
              <w:rPr>
                <w:rFonts w:ascii="ITC Avant Garde" w:hAnsi="ITC Avant Garde"/>
                <w:bCs/>
                <w:sz w:val="20"/>
                <w:szCs w:val="20"/>
              </w:rPr>
              <w:t>Resolución Bienal</w:t>
            </w:r>
            <w:r w:rsidR="008A337C" w:rsidRPr="008A337C">
              <w:rPr>
                <w:rFonts w:ascii="ITC Avant Garde" w:hAnsi="ITC Avant Garde"/>
                <w:sz w:val="20"/>
                <w:szCs w:val="20"/>
              </w:rPr>
              <w:t>.</w:t>
            </w:r>
          </w:p>
          <w:p w14:paraId="247A644E" w14:textId="1D6F0EAF" w:rsidR="00F55269" w:rsidRDefault="00F55269" w:rsidP="007473C3">
            <w:pPr>
              <w:spacing w:line="276" w:lineRule="auto"/>
              <w:jc w:val="both"/>
              <w:rPr>
                <w:rFonts w:ascii="ITC Avant Garde" w:hAnsi="ITC Avant Garde"/>
                <w:sz w:val="20"/>
                <w:szCs w:val="20"/>
              </w:rPr>
            </w:pPr>
            <w:r>
              <w:rPr>
                <w:rFonts w:ascii="ITC Avant Garde" w:hAnsi="ITC Avant Garde"/>
                <w:sz w:val="20"/>
                <w:szCs w:val="20"/>
              </w:rPr>
              <w:t xml:space="preserve">Por lo que hace a la </w:t>
            </w:r>
            <w:r w:rsidRPr="00625CB1">
              <w:rPr>
                <w:rFonts w:ascii="ITC Avant Garde" w:hAnsi="ITC Avant Garde"/>
                <w:b/>
                <w:bCs/>
                <w:sz w:val="20"/>
                <w:szCs w:val="20"/>
              </w:rPr>
              <w:t xml:space="preserve">prueba de </w:t>
            </w:r>
            <w:r w:rsidR="00CD426A" w:rsidRPr="00CD426A">
              <w:rPr>
                <w:rFonts w:ascii="ITC Avant Garde" w:hAnsi="ITC Avant Garde"/>
                <w:b/>
                <w:bCs/>
                <w:sz w:val="20"/>
                <w:szCs w:val="20"/>
              </w:rPr>
              <w:t>replicabilidad económica de servicios móviles</w:t>
            </w:r>
            <w:r w:rsidR="00861D6A">
              <w:rPr>
                <w:rFonts w:ascii="ITC Avant Garde" w:hAnsi="ITC Avant Garde"/>
                <w:sz w:val="20"/>
                <w:szCs w:val="20"/>
              </w:rPr>
              <w:t xml:space="preserve">, se determinó su implementación de </w:t>
            </w:r>
            <w:r w:rsidR="00BB5605">
              <w:rPr>
                <w:rFonts w:ascii="ITC Avant Garde" w:hAnsi="ITC Avant Garde"/>
                <w:sz w:val="20"/>
                <w:szCs w:val="20"/>
              </w:rPr>
              <w:t>forma</w:t>
            </w:r>
            <w:r w:rsidR="00861D6A">
              <w:rPr>
                <w:rFonts w:ascii="ITC Avant Garde" w:hAnsi="ITC Avant Garde"/>
                <w:sz w:val="20"/>
                <w:szCs w:val="20"/>
              </w:rPr>
              <w:t xml:space="preserve"> ex post</w:t>
            </w:r>
            <w:r w:rsidR="00BB5605">
              <w:rPr>
                <w:rFonts w:ascii="ITC Avant Garde" w:hAnsi="ITC Avant Garde"/>
                <w:sz w:val="20"/>
                <w:szCs w:val="20"/>
              </w:rPr>
              <w:t xml:space="preserve"> con una periodicidad</w:t>
            </w:r>
            <w:r w:rsidR="00861D6A">
              <w:rPr>
                <w:rFonts w:ascii="ITC Avant Garde" w:hAnsi="ITC Avant Garde"/>
                <w:sz w:val="20"/>
                <w:szCs w:val="20"/>
              </w:rPr>
              <w:t xml:space="preserve"> trimestr</w:t>
            </w:r>
            <w:r w:rsidR="00BB5605">
              <w:rPr>
                <w:rFonts w:ascii="ITC Avant Garde" w:hAnsi="ITC Avant Garde"/>
                <w:sz w:val="20"/>
                <w:szCs w:val="20"/>
              </w:rPr>
              <w:t>al</w:t>
            </w:r>
            <w:r w:rsidR="00FA311D">
              <w:rPr>
                <w:rFonts w:ascii="ITC Avant Garde" w:hAnsi="ITC Avant Garde"/>
                <w:sz w:val="20"/>
                <w:szCs w:val="20"/>
              </w:rPr>
              <w:t xml:space="preserve">, </w:t>
            </w:r>
            <w:r w:rsidR="00FA311D" w:rsidRPr="00FA311D">
              <w:rPr>
                <w:rFonts w:ascii="ITC Avant Garde" w:hAnsi="ITC Avant Garde"/>
                <w:sz w:val="20"/>
                <w:szCs w:val="20"/>
              </w:rPr>
              <w:t>en l</w:t>
            </w:r>
            <w:r w:rsidR="00FA311D">
              <w:rPr>
                <w:rFonts w:ascii="ITC Avant Garde" w:hAnsi="ITC Avant Garde"/>
                <w:sz w:val="20"/>
                <w:szCs w:val="20"/>
              </w:rPr>
              <w:t>a</w:t>
            </w:r>
            <w:r w:rsidR="00FA311D" w:rsidRPr="00FA311D">
              <w:rPr>
                <w:rFonts w:ascii="ITC Avant Garde" w:hAnsi="ITC Avant Garde"/>
                <w:sz w:val="20"/>
                <w:szCs w:val="20"/>
              </w:rPr>
              <w:t xml:space="preserve"> cual se adoptó el enfoque</w:t>
            </w:r>
            <w:r w:rsidR="00B13E6D">
              <w:rPr>
                <w:rFonts w:ascii="ITC Avant Garde" w:hAnsi="ITC Avant Garde"/>
                <w:sz w:val="20"/>
                <w:szCs w:val="20"/>
              </w:rPr>
              <w:t xml:space="preserve"> de nivel de eficiencia</w:t>
            </w:r>
            <w:r w:rsidR="00FA311D" w:rsidRPr="00FA311D">
              <w:rPr>
                <w:rFonts w:ascii="ITC Avant Garde" w:hAnsi="ITC Avant Garde"/>
                <w:sz w:val="20"/>
                <w:szCs w:val="20"/>
              </w:rPr>
              <w:t xml:space="preserve"> SEO</w:t>
            </w:r>
            <w:r w:rsidR="00D57B94">
              <w:rPr>
                <w:rStyle w:val="Refdenotaalpie"/>
                <w:rFonts w:ascii="ITC Avant Garde" w:hAnsi="ITC Avant Garde"/>
                <w:sz w:val="20"/>
                <w:szCs w:val="20"/>
              </w:rPr>
              <w:footnoteReference w:id="5"/>
            </w:r>
            <w:r w:rsidR="00FA311D" w:rsidRPr="00FA311D">
              <w:rPr>
                <w:rFonts w:ascii="ITC Avant Garde" w:hAnsi="ITC Avant Garde"/>
                <w:sz w:val="20"/>
                <w:szCs w:val="20"/>
              </w:rPr>
              <w:t xml:space="preserve"> para la estimación de los costos aguas abajo</w:t>
            </w:r>
            <w:r w:rsidR="00350692">
              <w:rPr>
                <w:rFonts w:ascii="ITC Avant Garde" w:hAnsi="ITC Avant Garde"/>
                <w:sz w:val="20"/>
                <w:szCs w:val="20"/>
              </w:rPr>
              <w:t>, así como un estándar de costos LRIC+</w:t>
            </w:r>
            <w:r w:rsidR="00D57B94">
              <w:rPr>
                <w:rStyle w:val="Refdenotaalpie"/>
                <w:rFonts w:ascii="ITC Avant Garde" w:hAnsi="ITC Avant Garde"/>
                <w:sz w:val="20"/>
                <w:szCs w:val="20"/>
              </w:rPr>
              <w:footnoteReference w:id="6"/>
            </w:r>
            <w:r w:rsidR="00350692">
              <w:rPr>
                <w:rFonts w:ascii="ITC Avant Garde" w:hAnsi="ITC Avant Garde"/>
                <w:sz w:val="20"/>
                <w:szCs w:val="20"/>
              </w:rPr>
              <w:t>, con la posibilidad de emplear un enfoque FAC</w:t>
            </w:r>
            <w:r w:rsidR="008754B4">
              <w:rPr>
                <w:rStyle w:val="Refdenotaalpie"/>
                <w:rFonts w:ascii="ITC Avant Garde" w:hAnsi="ITC Avant Garde"/>
                <w:sz w:val="20"/>
                <w:szCs w:val="20"/>
              </w:rPr>
              <w:footnoteReference w:id="7"/>
            </w:r>
            <w:r w:rsidR="00350692">
              <w:rPr>
                <w:rFonts w:ascii="ITC Avant Garde" w:hAnsi="ITC Avant Garde"/>
                <w:sz w:val="20"/>
                <w:szCs w:val="20"/>
              </w:rPr>
              <w:t xml:space="preserve"> en caso de no contar con información de costos LRIC+</w:t>
            </w:r>
            <w:r w:rsidR="00BB5605">
              <w:rPr>
                <w:rFonts w:ascii="ITC Avant Garde" w:hAnsi="ITC Avant Garde"/>
                <w:sz w:val="20"/>
                <w:szCs w:val="20"/>
              </w:rPr>
              <w:t>.</w:t>
            </w:r>
            <w:r w:rsidR="00112B88">
              <w:rPr>
                <w:rFonts w:ascii="ITC Avant Garde" w:hAnsi="ITC Avant Garde"/>
                <w:sz w:val="20"/>
                <w:szCs w:val="20"/>
              </w:rPr>
              <w:t xml:space="preserve"> </w:t>
            </w:r>
            <w:r w:rsidR="00112B88" w:rsidRPr="00112B88">
              <w:rPr>
                <w:rFonts w:ascii="ITC Avant Garde" w:hAnsi="ITC Avant Garde"/>
                <w:sz w:val="20"/>
                <w:szCs w:val="20"/>
              </w:rPr>
              <w:t>Asimismo, se determinó implementar un enfoque combinado de pruebas a nivel de carteras sobre los segmentos prepago y pospago, incluyendo los servicios de voz, banda ancha y SMS en su conjunto, así como pruebas individuales para las ofertas insignia dentro de cada segmento, en términos del número de usuarios y volumen de ingresos.</w:t>
            </w:r>
            <w:r w:rsidR="00B02079">
              <w:rPr>
                <w:rFonts w:ascii="ITC Avant Garde" w:hAnsi="ITC Avant Garde"/>
                <w:sz w:val="20"/>
                <w:szCs w:val="20"/>
              </w:rPr>
              <w:t xml:space="preserve"> </w:t>
            </w:r>
            <w:r w:rsidR="00B02079" w:rsidRPr="00B02079">
              <w:rPr>
                <w:rFonts w:ascii="ITC Avant Garde" w:hAnsi="ITC Avant Garde"/>
                <w:sz w:val="20"/>
                <w:szCs w:val="20"/>
              </w:rPr>
              <w:t>Por otra parte, se determinó incluir todas las ofertas empresariales estandarizadas en la cartera de productos, de manera conjunta</w:t>
            </w:r>
            <w:r w:rsidR="00F94642">
              <w:rPr>
                <w:rFonts w:ascii="ITC Avant Garde" w:hAnsi="ITC Avant Garde"/>
                <w:sz w:val="20"/>
                <w:szCs w:val="20"/>
              </w:rPr>
              <w:t>,</w:t>
            </w:r>
            <w:r w:rsidR="00F94642">
              <w:t xml:space="preserve"> </w:t>
            </w:r>
            <w:r w:rsidR="00F94642" w:rsidRPr="00F94642">
              <w:rPr>
                <w:rFonts w:ascii="ITC Avant Garde" w:hAnsi="ITC Avant Garde"/>
                <w:sz w:val="20"/>
                <w:szCs w:val="20"/>
              </w:rPr>
              <w:t>considerando los servicios mayoristas establecidos en la oferta de referencia para comercialización o reventa por parte de los OMV.</w:t>
            </w:r>
            <w:r w:rsidR="0011622B">
              <w:rPr>
                <w:rFonts w:ascii="ITC Avant Garde" w:hAnsi="ITC Avant Garde"/>
                <w:sz w:val="20"/>
                <w:szCs w:val="20"/>
              </w:rPr>
              <w:t xml:space="preserve"> R</w:t>
            </w:r>
            <w:r w:rsidR="0011622B" w:rsidRPr="0011622B">
              <w:rPr>
                <w:rFonts w:ascii="ITC Avant Garde" w:hAnsi="ITC Avant Garde"/>
                <w:sz w:val="20"/>
                <w:szCs w:val="20"/>
              </w:rPr>
              <w:t>especto al tratamiento de las promociones, se determinó que la prueba considere todos los ingresos, costos y descuentos derivados de las promociones</w:t>
            </w:r>
            <w:r w:rsidR="0011622B">
              <w:rPr>
                <w:rFonts w:ascii="ITC Avant Garde" w:hAnsi="ITC Avant Garde"/>
                <w:sz w:val="20"/>
                <w:szCs w:val="20"/>
              </w:rPr>
              <w:t xml:space="preserve">, mientras que para la evaluación de la rentabilidad </w:t>
            </w:r>
            <w:r w:rsidR="0011622B" w:rsidRPr="0011622B">
              <w:rPr>
                <w:rFonts w:ascii="ITC Avant Garde" w:hAnsi="ITC Avant Garde"/>
                <w:sz w:val="20"/>
                <w:szCs w:val="20"/>
              </w:rPr>
              <w:t>se determinó un enfoque periodo a periodo, de manera trimestral, para la evaluación de la rentabilidad de la oferta comercial móvil.</w:t>
            </w:r>
            <w:r w:rsidR="0011622B">
              <w:rPr>
                <w:rFonts w:ascii="ITC Avant Garde" w:hAnsi="ITC Avant Garde"/>
                <w:sz w:val="20"/>
                <w:szCs w:val="20"/>
              </w:rPr>
              <w:t xml:space="preserve"> Finalmente, </w:t>
            </w:r>
            <w:r w:rsidR="0011622B" w:rsidRPr="0011622B">
              <w:rPr>
                <w:rFonts w:ascii="ITC Avant Garde" w:hAnsi="ITC Avant Garde"/>
                <w:sz w:val="20"/>
                <w:szCs w:val="20"/>
              </w:rPr>
              <w:t>se definió tratar las ofertas de forma empaquetada, centrándose en el precio conjunto de la oferta (voz, datos y SMS).</w:t>
            </w:r>
          </w:p>
          <w:p w14:paraId="02E76C26" w14:textId="488E2C37" w:rsidR="00BB2332" w:rsidRDefault="00CD426A" w:rsidP="007473C3">
            <w:pPr>
              <w:spacing w:line="276" w:lineRule="auto"/>
              <w:jc w:val="both"/>
              <w:rPr>
                <w:rFonts w:ascii="ITC Avant Garde" w:hAnsi="ITC Avant Garde"/>
                <w:sz w:val="20"/>
                <w:szCs w:val="20"/>
              </w:rPr>
            </w:pPr>
            <w:r>
              <w:rPr>
                <w:rFonts w:ascii="ITC Avant Garde" w:hAnsi="ITC Avant Garde"/>
                <w:sz w:val="20"/>
                <w:szCs w:val="20"/>
              </w:rPr>
              <w:t xml:space="preserve">Por otra parte, </w:t>
            </w:r>
            <w:r w:rsidR="00BB2332">
              <w:rPr>
                <w:rFonts w:ascii="ITC Avant Garde" w:hAnsi="ITC Avant Garde"/>
                <w:sz w:val="20"/>
                <w:szCs w:val="20"/>
              </w:rPr>
              <w:t xml:space="preserve">se establecieron </w:t>
            </w:r>
            <w:r w:rsidR="00BB2332" w:rsidRPr="00625CB1">
              <w:rPr>
                <w:rFonts w:ascii="ITC Avant Garde" w:hAnsi="ITC Avant Garde"/>
                <w:b/>
                <w:bCs/>
                <w:sz w:val="20"/>
                <w:szCs w:val="20"/>
              </w:rPr>
              <w:t xml:space="preserve">pruebas de </w:t>
            </w:r>
            <w:r w:rsidRPr="00CD426A">
              <w:rPr>
                <w:rFonts w:ascii="ITC Avant Garde" w:hAnsi="ITC Avant Garde"/>
                <w:b/>
                <w:bCs/>
                <w:sz w:val="20"/>
                <w:szCs w:val="20"/>
              </w:rPr>
              <w:t>replicabilidad económica de servicios fijos</w:t>
            </w:r>
            <w:r w:rsidR="00BB2332">
              <w:rPr>
                <w:rFonts w:ascii="ITC Avant Garde" w:hAnsi="ITC Avant Garde"/>
                <w:sz w:val="20"/>
                <w:szCs w:val="20"/>
              </w:rPr>
              <w:t xml:space="preserve"> para los segmentos de </w:t>
            </w:r>
            <w:r w:rsidR="00BB2332" w:rsidRPr="00625CB1">
              <w:rPr>
                <w:rFonts w:ascii="ITC Avant Garde" w:hAnsi="ITC Avant Garde"/>
                <w:b/>
                <w:bCs/>
                <w:sz w:val="20"/>
                <w:szCs w:val="20"/>
              </w:rPr>
              <w:t>telefonía fija, enlaces dedicados y banda ancha</w:t>
            </w:r>
            <w:r w:rsidR="000324FE">
              <w:rPr>
                <w:rFonts w:ascii="ITC Avant Garde" w:hAnsi="ITC Avant Garde"/>
                <w:sz w:val="20"/>
                <w:szCs w:val="20"/>
              </w:rPr>
              <w:t>, en las cuales se observan las siguientes características:</w:t>
            </w:r>
          </w:p>
          <w:p w14:paraId="72A56B56" w14:textId="0C96408F" w:rsidR="000324FE" w:rsidRPr="00625CB1" w:rsidRDefault="00D41A26" w:rsidP="007473C3">
            <w:pPr>
              <w:spacing w:line="276" w:lineRule="auto"/>
              <w:jc w:val="both"/>
              <w:rPr>
                <w:rFonts w:ascii="ITC Avant Garde" w:hAnsi="ITC Avant Garde"/>
                <w:b/>
                <w:bCs/>
                <w:sz w:val="20"/>
                <w:szCs w:val="20"/>
              </w:rPr>
            </w:pPr>
            <w:r w:rsidRPr="00625CB1">
              <w:rPr>
                <w:rFonts w:ascii="ITC Avant Garde" w:hAnsi="ITC Avant Garde"/>
                <w:b/>
                <w:bCs/>
                <w:sz w:val="20"/>
                <w:szCs w:val="20"/>
              </w:rPr>
              <w:t>Telefonía fija:</w:t>
            </w:r>
          </w:p>
          <w:p w14:paraId="7B3774AE" w14:textId="18EAC6DC" w:rsidR="00D41A26" w:rsidRDefault="009D0EF4"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Implementación: ex post semestral</w:t>
            </w:r>
          </w:p>
          <w:p w14:paraId="01DBA1B8" w14:textId="4138EDA5" w:rsidR="009D0EF4" w:rsidRDefault="009D0EF4"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Nivel de eficiencia: EEO</w:t>
            </w:r>
            <w:r w:rsidR="00787028">
              <w:rPr>
                <w:rStyle w:val="Refdenotaalpie"/>
                <w:rFonts w:ascii="ITC Avant Garde" w:hAnsi="ITC Avant Garde"/>
                <w:sz w:val="20"/>
                <w:szCs w:val="20"/>
              </w:rPr>
              <w:footnoteReference w:id="8"/>
            </w:r>
          </w:p>
          <w:p w14:paraId="4001A7B9" w14:textId="70182E55" w:rsidR="006C25ED" w:rsidRDefault="006C25ED"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lastRenderedPageBreak/>
              <w:t>Nivel de agregación: por cartera de productos</w:t>
            </w:r>
          </w:p>
          <w:p w14:paraId="6AB66F7B" w14:textId="20FB5C3C" w:rsidR="00687D65" w:rsidRDefault="00687D65"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Estándar de costos: LRIC+ o FAC</w:t>
            </w:r>
          </w:p>
          <w:p w14:paraId="660E2164" w14:textId="244D229E" w:rsidR="00687D65" w:rsidRDefault="00687D65"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Tratamiento del segmento empresarial: son i</w:t>
            </w:r>
            <w:r w:rsidRPr="00687D65">
              <w:rPr>
                <w:rFonts w:ascii="ITC Avant Garde" w:hAnsi="ITC Avant Garde"/>
                <w:sz w:val="20"/>
                <w:szCs w:val="20"/>
              </w:rPr>
              <w:t>ncluidas las ofertas empresariales estandarizadas</w:t>
            </w:r>
          </w:p>
          <w:p w14:paraId="3E35DAF2" w14:textId="64505E3D" w:rsidR="002A7E04" w:rsidRDefault="002A7E04"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Servicios mayoristas: s</w:t>
            </w:r>
            <w:r w:rsidRPr="002A7E04">
              <w:rPr>
                <w:rFonts w:ascii="ITC Avant Garde" w:hAnsi="ITC Avant Garde"/>
                <w:sz w:val="20"/>
                <w:szCs w:val="20"/>
              </w:rPr>
              <w:t>ervicio de reventa de voz</w:t>
            </w:r>
          </w:p>
          <w:p w14:paraId="7A3C47A9" w14:textId="79E2D630" w:rsidR="009639AF" w:rsidRDefault="009639AF" w:rsidP="00625CB1">
            <w:pPr>
              <w:pStyle w:val="Prrafodelista"/>
              <w:numPr>
                <w:ilvl w:val="0"/>
                <w:numId w:val="40"/>
              </w:numPr>
              <w:spacing w:after="0" w:line="276" w:lineRule="auto"/>
              <w:jc w:val="both"/>
              <w:rPr>
                <w:rFonts w:ascii="ITC Avant Garde" w:hAnsi="ITC Avant Garde"/>
                <w:sz w:val="20"/>
                <w:szCs w:val="20"/>
              </w:rPr>
            </w:pPr>
            <w:r w:rsidRPr="009639AF">
              <w:rPr>
                <w:rFonts w:ascii="ITC Avant Garde" w:hAnsi="ITC Avant Garde"/>
                <w:sz w:val="20"/>
                <w:szCs w:val="20"/>
              </w:rPr>
              <w:t>Precio de los insumos mayoristas</w:t>
            </w:r>
            <w:r>
              <w:rPr>
                <w:rFonts w:ascii="ITC Avant Garde" w:hAnsi="ITC Avant Garde"/>
                <w:sz w:val="20"/>
                <w:szCs w:val="20"/>
              </w:rPr>
              <w:t>: p</w:t>
            </w:r>
            <w:r w:rsidRPr="009639AF">
              <w:rPr>
                <w:rFonts w:ascii="ITC Avant Garde" w:hAnsi="ITC Avant Garde"/>
                <w:sz w:val="20"/>
                <w:szCs w:val="20"/>
              </w:rPr>
              <w:t>recios no recurrentes de oferta de referencia e ingresos promedio del servicio de reventa de voz</w:t>
            </w:r>
          </w:p>
          <w:p w14:paraId="0E3FD844" w14:textId="12C305AB" w:rsidR="009639AF" w:rsidRDefault="00FF7A15" w:rsidP="00625CB1">
            <w:pPr>
              <w:pStyle w:val="Prrafodelista"/>
              <w:numPr>
                <w:ilvl w:val="0"/>
                <w:numId w:val="40"/>
              </w:numPr>
              <w:spacing w:after="0" w:line="276" w:lineRule="auto"/>
              <w:jc w:val="both"/>
              <w:rPr>
                <w:rFonts w:ascii="ITC Avant Garde" w:hAnsi="ITC Avant Garde"/>
                <w:sz w:val="20"/>
                <w:szCs w:val="20"/>
              </w:rPr>
            </w:pPr>
            <w:r w:rsidRPr="00FF7A15">
              <w:rPr>
                <w:rFonts w:ascii="ITC Avant Garde" w:hAnsi="ITC Avant Garde"/>
                <w:sz w:val="20"/>
                <w:szCs w:val="20"/>
              </w:rPr>
              <w:t>Tratamiento de las promociones</w:t>
            </w:r>
            <w:r>
              <w:rPr>
                <w:rFonts w:ascii="ITC Avant Garde" w:hAnsi="ITC Avant Garde"/>
                <w:sz w:val="20"/>
                <w:szCs w:val="20"/>
              </w:rPr>
              <w:t>: incluidas en el análisis</w:t>
            </w:r>
          </w:p>
          <w:p w14:paraId="5EBD1E60" w14:textId="0BB596C5" w:rsidR="00FF7A15" w:rsidRDefault="00FF7A15" w:rsidP="00625CB1">
            <w:pPr>
              <w:pStyle w:val="Prrafodelista"/>
              <w:numPr>
                <w:ilvl w:val="0"/>
                <w:numId w:val="40"/>
              </w:numPr>
              <w:spacing w:after="0" w:line="276" w:lineRule="auto"/>
              <w:jc w:val="both"/>
              <w:rPr>
                <w:rFonts w:ascii="ITC Avant Garde" w:hAnsi="ITC Avant Garde"/>
                <w:sz w:val="20"/>
                <w:szCs w:val="20"/>
              </w:rPr>
            </w:pPr>
            <w:r w:rsidRPr="00FF7A15">
              <w:rPr>
                <w:rFonts w:ascii="ITC Avant Garde" w:hAnsi="ITC Avant Garde"/>
                <w:sz w:val="20"/>
                <w:szCs w:val="20"/>
              </w:rPr>
              <w:t>Evaluación de la rentabilidad</w:t>
            </w:r>
            <w:r>
              <w:rPr>
                <w:rFonts w:ascii="ITC Avant Garde" w:hAnsi="ITC Avant Garde"/>
                <w:sz w:val="20"/>
                <w:szCs w:val="20"/>
              </w:rPr>
              <w:t>: periodo a periodo</w:t>
            </w:r>
          </w:p>
          <w:p w14:paraId="2EC4CC65" w14:textId="7486CC63" w:rsidR="00FF7A15" w:rsidRPr="007433CE" w:rsidRDefault="00FF7A15" w:rsidP="00FF7A15">
            <w:pPr>
              <w:spacing w:line="276" w:lineRule="auto"/>
              <w:jc w:val="both"/>
              <w:rPr>
                <w:rFonts w:ascii="ITC Avant Garde" w:hAnsi="ITC Avant Garde"/>
                <w:b/>
                <w:bCs/>
                <w:sz w:val="20"/>
                <w:szCs w:val="20"/>
              </w:rPr>
            </w:pPr>
            <w:r>
              <w:rPr>
                <w:rFonts w:ascii="ITC Avant Garde" w:hAnsi="ITC Avant Garde"/>
                <w:b/>
                <w:bCs/>
                <w:sz w:val="20"/>
                <w:szCs w:val="20"/>
              </w:rPr>
              <w:t>Enlaces dedicados</w:t>
            </w:r>
            <w:r w:rsidRPr="007433CE">
              <w:rPr>
                <w:rFonts w:ascii="ITC Avant Garde" w:hAnsi="ITC Avant Garde"/>
                <w:b/>
                <w:bCs/>
                <w:sz w:val="20"/>
                <w:szCs w:val="20"/>
              </w:rPr>
              <w:t>:</w:t>
            </w:r>
          </w:p>
          <w:p w14:paraId="531D4470" w14:textId="2A1365C6" w:rsidR="007712B7" w:rsidRDefault="00FF7A15" w:rsidP="00625CB1">
            <w:pPr>
              <w:pStyle w:val="Prrafodelista"/>
              <w:numPr>
                <w:ilvl w:val="0"/>
                <w:numId w:val="40"/>
              </w:numPr>
              <w:spacing w:after="0" w:line="276" w:lineRule="auto"/>
              <w:jc w:val="both"/>
              <w:rPr>
                <w:rFonts w:ascii="ITC Avant Garde" w:hAnsi="ITC Avant Garde"/>
                <w:sz w:val="20"/>
                <w:szCs w:val="20"/>
              </w:rPr>
            </w:pPr>
            <w:r w:rsidRPr="007712B7">
              <w:rPr>
                <w:rFonts w:ascii="ITC Avant Garde" w:hAnsi="ITC Avant Garde"/>
                <w:sz w:val="20"/>
                <w:szCs w:val="20"/>
              </w:rPr>
              <w:t>Implementación: ex post semestral</w:t>
            </w:r>
          </w:p>
          <w:p w14:paraId="05FA00AD" w14:textId="1EEF0847" w:rsidR="007712B7" w:rsidRDefault="007712B7"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Nivel de eficiencia: EEO</w:t>
            </w:r>
            <w:r>
              <w:rPr>
                <w:rStyle w:val="Refdenotaalpie"/>
                <w:rFonts w:ascii="ITC Avant Garde" w:hAnsi="ITC Avant Garde"/>
                <w:sz w:val="20"/>
                <w:szCs w:val="20"/>
              </w:rPr>
              <w:footnoteReference w:id="9"/>
            </w:r>
          </w:p>
          <w:p w14:paraId="62F8AAE3" w14:textId="706AA815" w:rsidR="007712B7" w:rsidRDefault="007712B7"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Nivel de agregación: c</w:t>
            </w:r>
            <w:r w:rsidRPr="007712B7">
              <w:rPr>
                <w:rFonts w:ascii="ITC Avant Garde" w:hAnsi="ITC Avant Garde"/>
                <w:sz w:val="20"/>
                <w:szCs w:val="20"/>
              </w:rPr>
              <w:t>artera distinguida entre enlaces locales, entre localidades e internacionales</w:t>
            </w:r>
          </w:p>
          <w:p w14:paraId="78C0AF96" w14:textId="77777777" w:rsidR="007712B7" w:rsidRDefault="007712B7"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Estándar de costos: LRIC+ o FAC</w:t>
            </w:r>
          </w:p>
          <w:p w14:paraId="131D07A1" w14:textId="77777777" w:rsidR="007712B7" w:rsidRDefault="007712B7"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Tratamiento del segmento empresarial: son i</w:t>
            </w:r>
            <w:r w:rsidRPr="00687D65">
              <w:rPr>
                <w:rFonts w:ascii="ITC Avant Garde" w:hAnsi="ITC Avant Garde"/>
                <w:sz w:val="20"/>
                <w:szCs w:val="20"/>
              </w:rPr>
              <w:t>ncluidas las ofertas empresariales estandarizadas</w:t>
            </w:r>
          </w:p>
          <w:p w14:paraId="5BBA61F6" w14:textId="563AB810" w:rsidR="007712B7" w:rsidRDefault="007712B7"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Servicios mayoristas: s</w:t>
            </w:r>
            <w:r w:rsidRPr="007712B7">
              <w:rPr>
                <w:rFonts w:ascii="ITC Avant Garde" w:hAnsi="ITC Avant Garde"/>
                <w:sz w:val="20"/>
                <w:szCs w:val="20"/>
              </w:rPr>
              <w:t>ervicios de enlaces dedicados locales, entre localidades y de larga distancia internacional</w:t>
            </w:r>
          </w:p>
          <w:p w14:paraId="184CF63B" w14:textId="2613F7B2" w:rsidR="007712B7" w:rsidRDefault="007712B7" w:rsidP="00625CB1">
            <w:pPr>
              <w:pStyle w:val="Prrafodelista"/>
              <w:numPr>
                <w:ilvl w:val="0"/>
                <w:numId w:val="40"/>
              </w:numPr>
              <w:spacing w:after="0" w:line="276" w:lineRule="auto"/>
              <w:jc w:val="both"/>
              <w:rPr>
                <w:rFonts w:ascii="ITC Avant Garde" w:hAnsi="ITC Avant Garde"/>
                <w:sz w:val="20"/>
                <w:szCs w:val="20"/>
              </w:rPr>
            </w:pPr>
            <w:r w:rsidRPr="009639AF">
              <w:rPr>
                <w:rFonts w:ascii="ITC Avant Garde" w:hAnsi="ITC Avant Garde"/>
                <w:sz w:val="20"/>
                <w:szCs w:val="20"/>
              </w:rPr>
              <w:t>Precio de los insumos mayoristas</w:t>
            </w:r>
            <w:r>
              <w:rPr>
                <w:rFonts w:ascii="ITC Avant Garde" w:hAnsi="ITC Avant Garde"/>
                <w:sz w:val="20"/>
                <w:szCs w:val="20"/>
              </w:rPr>
              <w:t xml:space="preserve">: </w:t>
            </w:r>
            <w:r w:rsidR="00A82080">
              <w:rPr>
                <w:rFonts w:ascii="ITC Avant Garde" w:hAnsi="ITC Avant Garde"/>
                <w:sz w:val="20"/>
                <w:szCs w:val="20"/>
              </w:rPr>
              <w:t>p</w:t>
            </w:r>
            <w:r w:rsidR="00A82080" w:rsidRPr="00A82080">
              <w:rPr>
                <w:rFonts w:ascii="ITC Avant Garde" w:hAnsi="ITC Avant Garde"/>
                <w:sz w:val="20"/>
                <w:szCs w:val="20"/>
              </w:rPr>
              <w:t xml:space="preserve">recios de la </w:t>
            </w:r>
            <w:r w:rsidR="00A82080">
              <w:rPr>
                <w:rFonts w:ascii="ITC Avant Garde" w:hAnsi="ITC Avant Garde"/>
                <w:sz w:val="20"/>
                <w:szCs w:val="20"/>
              </w:rPr>
              <w:t>o</w:t>
            </w:r>
            <w:r w:rsidR="00A82080" w:rsidRPr="00A82080">
              <w:rPr>
                <w:rFonts w:ascii="ITC Avant Garde" w:hAnsi="ITC Avant Garde"/>
                <w:sz w:val="20"/>
                <w:szCs w:val="20"/>
              </w:rPr>
              <w:t xml:space="preserve">ferta de </w:t>
            </w:r>
            <w:r w:rsidR="00A82080">
              <w:rPr>
                <w:rFonts w:ascii="ITC Avant Garde" w:hAnsi="ITC Avant Garde"/>
                <w:sz w:val="20"/>
                <w:szCs w:val="20"/>
              </w:rPr>
              <w:t>r</w:t>
            </w:r>
            <w:r w:rsidR="00A82080" w:rsidRPr="00A82080">
              <w:rPr>
                <w:rFonts w:ascii="ITC Avant Garde" w:hAnsi="ITC Avant Garde"/>
                <w:sz w:val="20"/>
                <w:szCs w:val="20"/>
              </w:rPr>
              <w:t>eferencia</w:t>
            </w:r>
          </w:p>
          <w:p w14:paraId="5B8F036F" w14:textId="77777777" w:rsidR="007712B7" w:rsidRDefault="007712B7" w:rsidP="00625CB1">
            <w:pPr>
              <w:pStyle w:val="Prrafodelista"/>
              <w:numPr>
                <w:ilvl w:val="0"/>
                <w:numId w:val="40"/>
              </w:numPr>
              <w:spacing w:after="0" w:line="276" w:lineRule="auto"/>
              <w:jc w:val="both"/>
              <w:rPr>
                <w:rFonts w:ascii="ITC Avant Garde" w:hAnsi="ITC Avant Garde"/>
                <w:sz w:val="20"/>
                <w:szCs w:val="20"/>
              </w:rPr>
            </w:pPr>
            <w:r w:rsidRPr="00FF7A15">
              <w:rPr>
                <w:rFonts w:ascii="ITC Avant Garde" w:hAnsi="ITC Avant Garde"/>
                <w:sz w:val="20"/>
                <w:szCs w:val="20"/>
              </w:rPr>
              <w:t>Tratamiento de las promociones</w:t>
            </w:r>
            <w:r>
              <w:rPr>
                <w:rFonts w:ascii="ITC Avant Garde" w:hAnsi="ITC Avant Garde"/>
                <w:sz w:val="20"/>
                <w:szCs w:val="20"/>
              </w:rPr>
              <w:t>: incluidas en el análisis</w:t>
            </w:r>
          </w:p>
          <w:p w14:paraId="16A6543A" w14:textId="030D70ED" w:rsidR="007712B7" w:rsidRDefault="007712B7" w:rsidP="007712B7">
            <w:pPr>
              <w:pStyle w:val="Prrafodelista"/>
              <w:numPr>
                <w:ilvl w:val="0"/>
                <w:numId w:val="40"/>
              </w:numPr>
              <w:spacing w:line="276" w:lineRule="auto"/>
              <w:jc w:val="both"/>
              <w:rPr>
                <w:rFonts w:ascii="ITC Avant Garde" w:hAnsi="ITC Avant Garde"/>
                <w:sz w:val="20"/>
                <w:szCs w:val="20"/>
              </w:rPr>
            </w:pPr>
            <w:r w:rsidRPr="00FF7A15">
              <w:rPr>
                <w:rFonts w:ascii="ITC Avant Garde" w:hAnsi="ITC Avant Garde"/>
                <w:sz w:val="20"/>
                <w:szCs w:val="20"/>
              </w:rPr>
              <w:t>Evaluación de la rentabilidad</w:t>
            </w:r>
            <w:r>
              <w:rPr>
                <w:rFonts w:ascii="ITC Avant Garde" w:hAnsi="ITC Avant Garde"/>
                <w:sz w:val="20"/>
                <w:szCs w:val="20"/>
              </w:rPr>
              <w:t>: periodo a periodo</w:t>
            </w:r>
          </w:p>
          <w:p w14:paraId="05FF3938" w14:textId="6654240A" w:rsidR="00EC1B74" w:rsidRPr="007433CE" w:rsidRDefault="00EC1B74" w:rsidP="00EC1B74">
            <w:pPr>
              <w:spacing w:line="276" w:lineRule="auto"/>
              <w:jc w:val="both"/>
              <w:rPr>
                <w:rFonts w:ascii="ITC Avant Garde" w:hAnsi="ITC Avant Garde"/>
                <w:b/>
                <w:bCs/>
                <w:sz w:val="20"/>
                <w:szCs w:val="20"/>
              </w:rPr>
            </w:pPr>
            <w:r>
              <w:rPr>
                <w:rFonts w:ascii="ITC Avant Garde" w:hAnsi="ITC Avant Garde"/>
                <w:b/>
                <w:bCs/>
                <w:sz w:val="20"/>
                <w:szCs w:val="20"/>
              </w:rPr>
              <w:t>Banda ancha</w:t>
            </w:r>
            <w:r w:rsidRPr="007433CE">
              <w:rPr>
                <w:rFonts w:ascii="ITC Avant Garde" w:hAnsi="ITC Avant Garde"/>
                <w:b/>
                <w:bCs/>
                <w:sz w:val="20"/>
                <w:szCs w:val="20"/>
              </w:rPr>
              <w:t>:</w:t>
            </w:r>
          </w:p>
          <w:p w14:paraId="2B42BC1D" w14:textId="024F0876" w:rsidR="00EC1B74" w:rsidRPr="00824DB7" w:rsidRDefault="00EC1B74" w:rsidP="00625CB1">
            <w:pPr>
              <w:pStyle w:val="Prrafodelista"/>
              <w:numPr>
                <w:ilvl w:val="0"/>
                <w:numId w:val="40"/>
              </w:numPr>
              <w:spacing w:after="0" w:line="276" w:lineRule="auto"/>
              <w:jc w:val="both"/>
              <w:rPr>
                <w:rFonts w:ascii="ITC Avant Garde" w:hAnsi="ITC Avant Garde"/>
                <w:sz w:val="20"/>
                <w:szCs w:val="20"/>
              </w:rPr>
            </w:pPr>
            <w:r w:rsidRPr="003F0722">
              <w:rPr>
                <w:rFonts w:ascii="ITC Avant Garde" w:hAnsi="ITC Avant Garde"/>
                <w:sz w:val="20"/>
                <w:szCs w:val="20"/>
              </w:rPr>
              <w:t xml:space="preserve">Implementación: </w:t>
            </w:r>
            <w:r w:rsidR="003F0722" w:rsidRPr="00824DB7">
              <w:rPr>
                <w:rFonts w:ascii="ITC Avant Garde" w:hAnsi="ITC Avant Garde"/>
                <w:sz w:val="20"/>
                <w:szCs w:val="20"/>
              </w:rPr>
              <w:t>ex ante por oferta</w:t>
            </w:r>
            <w:r w:rsidR="003F0722">
              <w:rPr>
                <w:rFonts w:ascii="ITC Avant Garde" w:hAnsi="ITC Avant Garde"/>
                <w:sz w:val="20"/>
                <w:szCs w:val="20"/>
              </w:rPr>
              <w:t xml:space="preserve"> y e</w:t>
            </w:r>
            <w:r w:rsidR="003F0722" w:rsidRPr="00824DB7">
              <w:rPr>
                <w:rFonts w:ascii="ITC Avant Garde" w:hAnsi="ITC Avant Garde"/>
                <w:sz w:val="20"/>
                <w:szCs w:val="20"/>
              </w:rPr>
              <w:t>x post semestral por cartera</w:t>
            </w:r>
          </w:p>
          <w:p w14:paraId="3A3762CD" w14:textId="4F44AC32" w:rsidR="00EC1B74" w:rsidRDefault="00EC1B74"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 xml:space="preserve">Nivel de eficiencia: </w:t>
            </w:r>
            <w:r w:rsidR="00B875CD">
              <w:rPr>
                <w:rFonts w:ascii="ITC Avant Garde" w:hAnsi="ITC Avant Garde"/>
                <w:sz w:val="20"/>
                <w:szCs w:val="20"/>
              </w:rPr>
              <w:t>S</w:t>
            </w:r>
            <w:r>
              <w:rPr>
                <w:rFonts w:ascii="ITC Avant Garde" w:hAnsi="ITC Avant Garde"/>
                <w:sz w:val="20"/>
                <w:szCs w:val="20"/>
              </w:rPr>
              <w:t>EO</w:t>
            </w:r>
          </w:p>
          <w:p w14:paraId="79D62A23" w14:textId="3DAB26D7" w:rsidR="00EC1B74" w:rsidRPr="00824DB7" w:rsidRDefault="00EC1B74" w:rsidP="00625CB1">
            <w:pPr>
              <w:pStyle w:val="Prrafodelista"/>
              <w:numPr>
                <w:ilvl w:val="0"/>
                <w:numId w:val="40"/>
              </w:numPr>
              <w:spacing w:after="0" w:line="276" w:lineRule="auto"/>
              <w:jc w:val="both"/>
              <w:rPr>
                <w:rFonts w:ascii="ITC Avant Garde" w:hAnsi="ITC Avant Garde"/>
                <w:sz w:val="20"/>
                <w:szCs w:val="20"/>
              </w:rPr>
            </w:pPr>
            <w:r w:rsidRPr="00824DB7">
              <w:rPr>
                <w:rFonts w:ascii="ITC Avant Garde" w:hAnsi="ITC Avant Garde"/>
                <w:sz w:val="20"/>
                <w:szCs w:val="20"/>
              </w:rPr>
              <w:t xml:space="preserve">Nivel de agregación: </w:t>
            </w:r>
            <w:r w:rsidR="005D6DB0">
              <w:rPr>
                <w:rFonts w:ascii="ITC Avant Garde" w:hAnsi="ITC Avant Garde"/>
                <w:sz w:val="20"/>
                <w:szCs w:val="20"/>
              </w:rPr>
              <w:t>e</w:t>
            </w:r>
            <w:r w:rsidR="005D6DB0" w:rsidRPr="00824DB7">
              <w:rPr>
                <w:rFonts w:ascii="ITC Avant Garde" w:hAnsi="ITC Avant Garde"/>
                <w:sz w:val="20"/>
                <w:szCs w:val="20"/>
              </w:rPr>
              <w:t>x ante por oferta</w:t>
            </w:r>
            <w:r w:rsidR="005D6DB0">
              <w:rPr>
                <w:rFonts w:ascii="ITC Avant Garde" w:hAnsi="ITC Avant Garde"/>
                <w:sz w:val="20"/>
                <w:szCs w:val="20"/>
              </w:rPr>
              <w:t xml:space="preserve"> y</w:t>
            </w:r>
            <w:r w:rsidR="005D6DB0" w:rsidRPr="00824DB7">
              <w:rPr>
                <w:rFonts w:ascii="ITC Avant Garde" w:hAnsi="ITC Avant Garde"/>
                <w:sz w:val="20"/>
                <w:szCs w:val="20"/>
              </w:rPr>
              <w:t xml:space="preserve"> </w:t>
            </w:r>
            <w:r w:rsidR="005D6DB0">
              <w:rPr>
                <w:rFonts w:ascii="ITC Avant Garde" w:hAnsi="ITC Avant Garde"/>
                <w:sz w:val="20"/>
                <w:szCs w:val="20"/>
              </w:rPr>
              <w:t>e</w:t>
            </w:r>
            <w:r w:rsidR="005D6DB0" w:rsidRPr="00824DB7">
              <w:rPr>
                <w:rFonts w:ascii="ITC Avant Garde" w:hAnsi="ITC Avant Garde"/>
                <w:sz w:val="20"/>
                <w:szCs w:val="20"/>
              </w:rPr>
              <w:t>x post</w:t>
            </w:r>
            <w:r w:rsidR="005D6DB0">
              <w:rPr>
                <w:rFonts w:ascii="ITC Avant Garde" w:hAnsi="ITC Avant Garde"/>
                <w:sz w:val="20"/>
                <w:szCs w:val="20"/>
              </w:rPr>
              <w:t xml:space="preserve"> por </w:t>
            </w:r>
            <w:r w:rsidR="005D6DB0" w:rsidRPr="00824DB7">
              <w:rPr>
                <w:rFonts w:ascii="ITC Avant Garde" w:hAnsi="ITC Avant Garde"/>
                <w:sz w:val="20"/>
                <w:szCs w:val="20"/>
              </w:rPr>
              <w:t>cartera de productos</w:t>
            </w:r>
          </w:p>
          <w:p w14:paraId="281B6E7D" w14:textId="2E898F7A" w:rsidR="00EC1B74" w:rsidRPr="00824DB7" w:rsidRDefault="00EC1B74" w:rsidP="00625CB1">
            <w:pPr>
              <w:pStyle w:val="Prrafodelista"/>
              <w:numPr>
                <w:ilvl w:val="0"/>
                <w:numId w:val="40"/>
              </w:numPr>
              <w:spacing w:after="0" w:line="276" w:lineRule="auto"/>
              <w:jc w:val="both"/>
              <w:rPr>
                <w:rFonts w:ascii="ITC Avant Garde" w:hAnsi="ITC Avant Garde"/>
                <w:sz w:val="20"/>
                <w:szCs w:val="20"/>
              </w:rPr>
            </w:pPr>
            <w:r w:rsidRPr="00824DB7">
              <w:rPr>
                <w:rFonts w:ascii="ITC Avant Garde" w:hAnsi="ITC Avant Garde"/>
                <w:sz w:val="20"/>
                <w:szCs w:val="20"/>
              </w:rPr>
              <w:t>Estánda</w:t>
            </w:r>
            <w:r w:rsidRPr="00582214">
              <w:rPr>
                <w:rFonts w:ascii="ITC Avant Garde" w:hAnsi="ITC Avant Garde"/>
                <w:sz w:val="20"/>
                <w:szCs w:val="20"/>
              </w:rPr>
              <w:t xml:space="preserve">r de costos: </w:t>
            </w:r>
            <w:r w:rsidR="005D6DB0">
              <w:rPr>
                <w:rFonts w:ascii="ITC Avant Garde" w:hAnsi="ITC Avant Garde"/>
                <w:sz w:val="20"/>
                <w:szCs w:val="20"/>
              </w:rPr>
              <w:t>e</w:t>
            </w:r>
            <w:r w:rsidR="005D6DB0" w:rsidRPr="00824DB7">
              <w:rPr>
                <w:rFonts w:ascii="ITC Avant Garde" w:hAnsi="ITC Avant Garde"/>
                <w:sz w:val="20"/>
                <w:szCs w:val="20"/>
              </w:rPr>
              <w:t xml:space="preserve">x ante LRIC o FAC y </w:t>
            </w:r>
            <w:r w:rsidR="005D6DB0">
              <w:rPr>
                <w:rFonts w:ascii="ITC Avant Garde" w:hAnsi="ITC Avant Garde"/>
                <w:sz w:val="20"/>
                <w:szCs w:val="20"/>
              </w:rPr>
              <w:t>e</w:t>
            </w:r>
            <w:r w:rsidR="005D6DB0" w:rsidRPr="00824DB7">
              <w:rPr>
                <w:rFonts w:ascii="ITC Avant Garde" w:hAnsi="ITC Avant Garde"/>
                <w:sz w:val="20"/>
                <w:szCs w:val="20"/>
              </w:rPr>
              <w:t>x post LRIC+ o FAC</w:t>
            </w:r>
          </w:p>
          <w:p w14:paraId="3F6A68EF" w14:textId="77777777" w:rsidR="00EC1B74" w:rsidRDefault="00EC1B74" w:rsidP="00625CB1">
            <w:pPr>
              <w:pStyle w:val="Prrafodelista"/>
              <w:numPr>
                <w:ilvl w:val="0"/>
                <w:numId w:val="40"/>
              </w:numPr>
              <w:spacing w:after="0" w:line="276" w:lineRule="auto"/>
              <w:jc w:val="both"/>
              <w:rPr>
                <w:rFonts w:ascii="ITC Avant Garde" w:hAnsi="ITC Avant Garde"/>
                <w:sz w:val="20"/>
                <w:szCs w:val="20"/>
              </w:rPr>
            </w:pPr>
            <w:r>
              <w:rPr>
                <w:rFonts w:ascii="ITC Avant Garde" w:hAnsi="ITC Avant Garde"/>
                <w:sz w:val="20"/>
                <w:szCs w:val="20"/>
              </w:rPr>
              <w:t>Tratamiento del segmento empresarial: son i</w:t>
            </w:r>
            <w:r w:rsidRPr="00687D65">
              <w:rPr>
                <w:rFonts w:ascii="ITC Avant Garde" w:hAnsi="ITC Avant Garde"/>
                <w:sz w:val="20"/>
                <w:szCs w:val="20"/>
              </w:rPr>
              <w:t>ncluidas las ofertas empresariales estandarizadas</w:t>
            </w:r>
          </w:p>
          <w:p w14:paraId="70486327" w14:textId="208CE85C" w:rsidR="00EC1B74" w:rsidRPr="00824DB7" w:rsidRDefault="00EC1B74" w:rsidP="00625CB1">
            <w:pPr>
              <w:pStyle w:val="Prrafodelista"/>
              <w:numPr>
                <w:ilvl w:val="0"/>
                <w:numId w:val="40"/>
              </w:numPr>
              <w:spacing w:after="0" w:line="276" w:lineRule="auto"/>
              <w:jc w:val="both"/>
              <w:rPr>
                <w:rFonts w:ascii="ITC Avant Garde" w:hAnsi="ITC Avant Garde"/>
                <w:sz w:val="20"/>
                <w:szCs w:val="20"/>
              </w:rPr>
            </w:pPr>
            <w:r w:rsidRPr="00824DB7">
              <w:rPr>
                <w:rFonts w:ascii="ITC Avant Garde" w:hAnsi="ITC Avant Garde"/>
                <w:sz w:val="20"/>
                <w:szCs w:val="20"/>
              </w:rPr>
              <w:t xml:space="preserve">Servicios mayoristas: </w:t>
            </w:r>
            <w:r w:rsidR="002C0D35">
              <w:rPr>
                <w:rFonts w:ascii="ITC Avant Garde" w:hAnsi="ITC Avant Garde"/>
                <w:sz w:val="20"/>
                <w:szCs w:val="20"/>
              </w:rPr>
              <w:t>a</w:t>
            </w:r>
            <w:r w:rsidR="002C0D35" w:rsidRPr="00824DB7">
              <w:rPr>
                <w:rFonts w:ascii="ITC Avant Garde" w:hAnsi="ITC Avant Garde"/>
                <w:sz w:val="20"/>
                <w:szCs w:val="20"/>
              </w:rPr>
              <w:t xml:space="preserve">cceso indirecto nacional, regional y local, </w:t>
            </w:r>
            <w:r w:rsidR="002C0D35">
              <w:rPr>
                <w:rFonts w:ascii="ITC Avant Garde" w:hAnsi="ITC Avant Garde"/>
                <w:sz w:val="20"/>
                <w:szCs w:val="20"/>
              </w:rPr>
              <w:t>así como</w:t>
            </w:r>
            <w:r w:rsidR="002C0D35" w:rsidRPr="00824DB7">
              <w:rPr>
                <w:rFonts w:ascii="ITC Avant Garde" w:hAnsi="ITC Avant Garde"/>
                <w:sz w:val="20"/>
                <w:szCs w:val="20"/>
              </w:rPr>
              <w:t xml:space="preserve"> </w:t>
            </w:r>
            <w:r w:rsidR="002C0D35">
              <w:rPr>
                <w:rFonts w:ascii="ITC Avant Garde" w:hAnsi="ITC Avant Garde"/>
                <w:sz w:val="20"/>
                <w:szCs w:val="20"/>
              </w:rPr>
              <w:t>a</w:t>
            </w:r>
            <w:r w:rsidR="002C0D35" w:rsidRPr="00824DB7">
              <w:rPr>
                <w:rFonts w:ascii="ITC Avant Garde" w:hAnsi="ITC Avant Garde"/>
                <w:sz w:val="20"/>
                <w:szCs w:val="20"/>
              </w:rPr>
              <w:t>cceso desagregado al bucle local compartido y total</w:t>
            </w:r>
          </w:p>
          <w:p w14:paraId="2410B034" w14:textId="77777777" w:rsidR="00EC1B74" w:rsidRDefault="00EC1B74" w:rsidP="00625CB1">
            <w:pPr>
              <w:pStyle w:val="Prrafodelista"/>
              <w:numPr>
                <w:ilvl w:val="0"/>
                <w:numId w:val="40"/>
              </w:numPr>
              <w:spacing w:after="0" w:line="276" w:lineRule="auto"/>
              <w:jc w:val="both"/>
              <w:rPr>
                <w:rFonts w:ascii="ITC Avant Garde" w:hAnsi="ITC Avant Garde"/>
                <w:sz w:val="20"/>
                <w:szCs w:val="20"/>
              </w:rPr>
            </w:pPr>
            <w:r w:rsidRPr="009639AF">
              <w:rPr>
                <w:rFonts w:ascii="ITC Avant Garde" w:hAnsi="ITC Avant Garde"/>
                <w:sz w:val="20"/>
                <w:szCs w:val="20"/>
              </w:rPr>
              <w:t>Precio de los insumos mayoristas</w:t>
            </w:r>
            <w:r>
              <w:rPr>
                <w:rFonts w:ascii="ITC Avant Garde" w:hAnsi="ITC Avant Garde"/>
                <w:sz w:val="20"/>
                <w:szCs w:val="20"/>
              </w:rPr>
              <w:t>: p</w:t>
            </w:r>
            <w:r w:rsidRPr="00A82080">
              <w:rPr>
                <w:rFonts w:ascii="ITC Avant Garde" w:hAnsi="ITC Avant Garde"/>
                <w:sz w:val="20"/>
                <w:szCs w:val="20"/>
              </w:rPr>
              <w:t xml:space="preserve">recios de la </w:t>
            </w:r>
            <w:r>
              <w:rPr>
                <w:rFonts w:ascii="ITC Avant Garde" w:hAnsi="ITC Avant Garde"/>
                <w:sz w:val="20"/>
                <w:szCs w:val="20"/>
              </w:rPr>
              <w:t>o</w:t>
            </w:r>
            <w:r w:rsidRPr="00A82080">
              <w:rPr>
                <w:rFonts w:ascii="ITC Avant Garde" w:hAnsi="ITC Avant Garde"/>
                <w:sz w:val="20"/>
                <w:szCs w:val="20"/>
              </w:rPr>
              <w:t xml:space="preserve">ferta de </w:t>
            </w:r>
            <w:r>
              <w:rPr>
                <w:rFonts w:ascii="ITC Avant Garde" w:hAnsi="ITC Avant Garde"/>
                <w:sz w:val="20"/>
                <w:szCs w:val="20"/>
              </w:rPr>
              <w:t>r</w:t>
            </w:r>
            <w:r w:rsidRPr="00A82080">
              <w:rPr>
                <w:rFonts w:ascii="ITC Avant Garde" w:hAnsi="ITC Avant Garde"/>
                <w:sz w:val="20"/>
                <w:szCs w:val="20"/>
              </w:rPr>
              <w:t>eferencia</w:t>
            </w:r>
          </w:p>
          <w:p w14:paraId="2F44770F" w14:textId="77777777" w:rsidR="00EC1B74" w:rsidRDefault="00EC1B74" w:rsidP="00625CB1">
            <w:pPr>
              <w:pStyle w:val="Prrafodelista"/>
              <w:numPr>
                <w:ilvl w:val="0"/>
                <w:numId w:val="40"/>
              </w:numPr>
              <w:spacing w:after="0" w:line="276" w:lineRule="auto"/>
              <w:jc w:val="both"/>
              <w:rPr>
                <w:rFonts w:ascii="ITC Avant Garde" w:hAnsi="ITC Avant Garde"/>
                <w:sz w:val="20"/>
                <w:szCs w:val="20"/>
              </w:rPr>
            </w:pPr>
            <w:r w:rsidRPr="00FF7A15">
              <w:rPr>
                <w:rFonts w:ascii="ITC Avant Garde" w:hAnsi="ITC Avant Garde"/>
                <w:sz w:val="20"/>
                <w:szCs w:val="20"/>
              </w:rPr>
              <w:t>Tratamiento de las promociones</w:t>
            </w:r>
            <w:r>
              <w:rPr>
                <w:rFonts w:ascii="ITC Avant Garde" w:hAnsi="ITC Avant Garde"/>
                <w:sz w:val="20"/>
                <w:szCs w:val="20"/>
              </w:rPr>
              <w:t>: incluidas en el análisis</w:t>
            </w:r>
          </w:p>
          <w:p w14:paraId="35B1EDDE" w14:textId="1002E378" w:rsidR="00EC1B74" w:rsidRDefault="00EC1B74" w:rsidP="00625CB1">
            <w:pPr>
              <w:pStyle w:val="Prrafodelista"/>
              <w:numPr>
                <w:ilvl w:val="0"/>
                <w:numId w:val="40"/>
              </w:numPr>
              <w:spacing w:after="0" w:line="276" w:lineRule="auto"/>
              <w:jc w:val="both"/>
              <w:rPr>
                <w:rFonts w:ascii="ITC Avant Garde" w:hAnsi="ITC Avant Garde"/>
                <w:sz w:val="20"/>
                <w:szCs w:val="20"/>
              </w:rPr>
            </w:pPr>
            <w:r w:rsidRPr="00FF7A15">
              <w:rPr>
                <w:rFonts w:ascii="ITC Avant Garde" w:hAnsi="ITC Avant Garde"/>
                <w:sz w:val="20"/>
                <w:szCs w:val="20"/>
              </w:rPr>
              <w:t>Evaluación de la rentabilidad</w:t>
            </w:r>
            <w:r>
              <w:rPr>
                <w:rFonts w:ascii="ITC Avant Garde" w:hAnsi="ITC Avant Garde"/>
                <w:sz w:val="20"/>
                <w:szCs w:val="20"/>
              </w:rPr>
              <w:t xml:space="preserve">: </w:t>
            </w:r>
            <w:r w:rsidR="00E53A00">
              <w:rPr>
                <w:rFonts w:ascii="ITC Avant Garde" w:hAnsi="ITC Avant Garde"/>
                <w:sz w:val="20"/>
                <w:szCs w:val="20"/>
              </w:rPr>
              <w:t>m</w:t>
            </w:r>
            <w:r w:rsidR="00E53A00" w:rsidRPr="00E53A00">
              <w:rPr>
                <w:rFonts w:ascii="ITC Avant Garde" w:hAnsi="ITC Avant Garde"/>
                <w:sz w:val="20"/>
                <w:szCs w:val="20"/>
              </w:rPr>
              <w:t>étodo de flujo de caja descontado</w:t>
            </w:r>
          </w:p>
          <w:p w14:paraId="59DD241F" w14:textId="77777777" w:rsidR="00625CB1" w:rsidRPr="00625CB1" w:rsidRDefault="00625CB1" w:rsidP="00625CB1">
            <w:pPr>
              <w:pStyle w:val="Prrafodelista"/>
              <w:spacing w:after="0" w:line="276" w:lineRule="auto"/>
              <w:ind w:left="720"/>
              <w:jc w:val="both"/>
              <w:rPr>
                <w:rFonts w:ascii="ITC Avant Garde" w:hAnsi="ITC Avant Garde"/>
                <w:sz w:val="20"/>
                <w:szCs w:val="20"/>
              </w:rPr>
            </w:pPr>
          </w:p>
          <w:p w14:paraId="34355E98" w14:textId="77777777" w:rsidR="008A337C" w:rsidRPr="008A337C" w:rsidRDefault="008A337C" w:rsidP="008A337C">
            <w:pPr>
              <w:spacing w:line="276" w:lineRule="auto"/>
              <w:jc w:val="both"/>
              <w:rPr>
                <w:rFonts w:ascii="ITC Avant Garde" w:hAnsi="ITC Avant Garde"/>
                <w:sz w:val="20"/>
                <w:szCs w:val="20"/>
              </w:rPr>
            </w:pPr>
            <w:r w:rsidRPr="008A337C">
              <w:rPr>
                <w:rFonts w:ascii="ITC Avant Garde" w:hAnsi="ITC Avant Garde"/>
                <w:sz w:val="20"/>
                <w:szCs w:val="20"/>
              </w:rPr>
              <w:t xml:space="preserve">Asimismo, el 02 de diciembre de 2020 el Pleno del Instituto Federal de Telecomunicaciones emitió la “RESOLUCIÓN MEDIANTE LA CUAL EL PLENO DEL INSTITUTO FEDERAL DE TELECOMUNICACIONES SUPRIME, MODIFICA Y ADICIONA LAS MEDIDAS IMPUESTAS AL AGENTE ECONÓMICO PREPONDERANTE EN EL SECTOR DE </w:t>
            </w:r>
            <w:r w:rsidRPr="008A337C">
              <w:rPr>
                <w:rFonts w:ascii="ITC Avant Garde" w:hAnsi="ITC Avant Garde"/>
                <w:sz w:val="20"/>
                <w:szCs w:val="20"/>
              </w:rPr>
              <w:lastRenderedPageBreak/>
              <w:t>TELECOMUNICACIONES MEDIANTE ACUERDOS P/IFT/EXT/060314/76 Y P/IFT/EXT/270217/119 (SEGUNDA REVISIÓN BIENAL)” (en lo sucesivo, la “Segunda Resolución Bienal de Telecomunicaciones”).</w:t>
            </w:r>
          </w:p>
          <w:p w14:paraId="7E7AB479" w14:textId="5071617B" w:rsidR="008A337C" w:rsidRDefault="00625CB1" w:rsidP="008A337C">
            <w:pPr>
              <w:spacing w:line="276" w:lineRule="auto"/>
              <w:jc w:val="both"/>
              <w:rPr>
                <w:rFonts w:ascii="ITC Avant Garde" w:hAnsi="ITC Avant Garde"/>
                <w:sz w:val="20"/>
                <w:szCs w:val="20"/>
              </w:rPr>
            </w:pPr>
            <w:r w:rsidRPr="00625CB1">
              <w:rPr>
                <w:rFonts w:ascii="ITC Avant Garde" w:hAnsi="ITC Avant Garde"/>
                <w:bCs/>
                <w:sz w:val="20"/>
                <w:szCs w:val="20"/>
              </w:rPr>
              <w:t>En tal sentido, en la Segunda Resolución Bienal</w:t>
            </w:r>
            <w:r w:rsidRPr="00625CB1">
              <w:rPr>
                <w:rFonts w:ascii="ITC Avant Garde" w:hAnsi="ITC Avant Garde"/>
                <w:sz w:val="20"/>
                <w:szCs w:val="20"/>
                <w:vertAlign w:val="superscript"/>
              </w:rPr>
              <w:footnoteReference w:id="10"/>
            </w:r>
            <w:r w:rsidRPr="00625CB1">
              <w:rPr>
                <w:rFonts w:ascii="ITC Avant Garde" w:hAnsi="ITC Avant Garde"/>
                <w:sz w:val="20"/>
                <w:szCs w:val="20"/>
              </w:rPr>
              <w:t xml:space="preserve"> </w:t>
            </w:r>
            <w:r w:rsidRPr="00625CB1">
              <w:rPr>
                <w:rFonts w:ascii="ITC Avant Garde" w:hAnsi="ITC Avant Garde"/>
                <w:bCs/>
                <w:sz w:val="20"/>
                <w:szCs w:val="20"/>
              </w:rPr>
              <w:t>se mantuvo la obligación al Agente Económico Preponderante en el sector de Telecomunicaciones (AEPT) de dar cumplimiento a la replicabilidad económica de sus tarifas al público y se realizaron diversas modificaciones con impacto en las pruebas de replicabilidad económica: primero, se estableció una consecuencia temporal en los casos en los que el AEPT no proporcione información adecuada para realizar las pruebas; segundo, se realizaron modificaciones respecto a la posibilidad de modular remedios relacionados a la determinación de tarifas mayoristas, con lo cual podrían existir zonas geográficas con tarifas mayoristas diferenciadas; tercero, se modificó la metodología de costos para la determinación de las tarifas mayoristas del SAIB para pasar de costos evitados a costos incrementales</w:t>
            </w:r>
            <w:r w:rsidR="008A337C">
              <w:rPr>
                <w:rFonts w:ascii="ITC Avant Garde" w:hAnsi="ITC Avant Garde"/>
                <w:sz w:val="20"/>
                <w:szCs w:val="20"/>
              </w:rPr>
              <w:t>.</w:t>
            </w:r>
          </w:p>
          <w:p w14:paraId="045057A5" w14:textId="40572C36" w:rsidR="00625CB1" w:rsidRPr="00625CB1" w:rsidRDefault="00625CB1" w:rsidP="00625CB1">
            <w:pPr>
              <w:spacing w:line="276" w:lineRule="auto"/>
              <w:jc w:val="both"/>
              <w:rPr>
                <w:rFonts w:ascii="ITC Avant Garde" w:hAnsi="ITC Avant Garde"/>
                <w:sz w:val="20"/>
                <w:szCs w:val="20"/>
              </w:rPr>
            </w:pPr>
            <w:r w:rsidRPr="00625CB1">
              <w:rPr>
                <w:rFonts w:ascii="ITC Avant Garde" w:hAnsi="ITC Avant Garde"/>
                <w:sz w:val="20"/>
                <w:szCs w:val="20"/>
              </w:rPr>
              <w:t>Por otra parte, es importante resaltar que como parte de la</w:t>
            </w:r>
            <w:r w:rsidR="00B05076">
              <w:rPr>
                <w:rFonts w:ascii="ITC Avant Garde" w:hAnsi="ITC Avant Garde"/>
                <w:sz w:val="20"/>
                <w:szCs w:val="20"/>
              </w:rPr>
              <w:t xml:space="preserve"> Primera</w:t>
            </w:r>
            <w:r w:rsidRPr="00625CB1">
              <w:rPr>
                <w:rFonts w:ascii="ITC Avant Garde" w:hAnsi="ITC Avant Garde"/>
                <w:sz w:val="20"/>
                <w:szCs w:val="20"/>
              </w:rPr>
              <w:t xml:space="preserve"> Resolución Bienal se mandató la separación funcional del AEPT con el fin de garantizar el acceso efectivo a la red local, así como a la infraestructura pasiva y enlaces dedicados locales asociados a dicha red, en condiciones no discriminatorias. A efecto de implementar dicha determinación, el Instituto aprobó el 27 de febrero de 2018 un Plan de Separación Funcional</w:t>
            </w:r>
            <w:r w:rsidRPr="00625CB1">
              <w:rPr>
                <w:rFonts w:ascii="ITC Avant Garde" w:hAnsi="ITC Avant Garde"/>
                <w:sz w:val="20"/>
                <w:szCs w:val="20"/>
                <w:vertAlign w:val="superscript"/>
              </w:rPr>
              <w:footnoteReference w:id="11"/>
            </w:r>
            <w:r w:rsidRPr="00625CB1">
              <w:rPr>
                <w:rFonts w:ascii="ITC Avant Garde" w:hAnsi="ITC Avant Garde"/>
                <w:sz w:val="20"/>
                <w:szCs w:val="20"/>
              </w:rPr>
              <w:t xml:space="preserve"> y llevó a cabo diversas actuaciones a lo largo del 2019 y 2020 a efecto de asegurar la adecuada implementación de la separación funcional. En tal sentido, las </w:t>
            </w:r>
            <w:proofErr w:type="gramStart"/>
            <w:r w:rsidRPr="00625CB1">
              <w:rPr>
                <w:rFonts w:ascii="ITC Avant Garde" w:hAnsi="ITC Avant Garde"/>
                <w:sz w:val="20"/>
                <w:szCs w:val="20"/>
              </w:rPr>
              <w:t>empresas mayoristas y las divisiones mayoristas</w:t>
            </w:r>
            <w:proofErr w:type="gramEnd"/>
            <w:r w:rsidRPr="00625CB1">
              <w:rPr>
                <w:rFonts w:ascii="ITC Avant Garde" w:hAnsi="ITC Avant Garde"/>
                <w:sz w:val="20"/>
                <w:szCs w:val="20"/>
              </w:rPr>
              <w:t xml:space="preserve"> publicaron sus primeras ofertas de referencia para el año 2020.</w:t>
            </w:r>
          </w:p>
          <w:p w14:paraId="4FE5C9A7" w14:textId="11430AE8" w:rsidR="008A337C" w:rsidRPr="008A337C" w:rsidRDefault="00625CB1" w:rsidP="00625CB1">
            <w:pPr>
              <w:spacing w:line="276" w:lineRule="auto"/>
              <w:jc w:val="both"/>
              <w:rPr>
                <w:rFonts w:ascii="ITC Avant Garde" w:hAnsi="ITC Avant Garde"/>
                <w:sz w:val="20"/>
                <w:szCs w:val="20"/>
              </w:rPr>
            </w:pPr>
            <w:r>
              <w:rPr>
                <w:rFonts w:ascii="ITC Avant Garde" w:hAnsi="ITC Avant Garde"/>
                <w:sz w:val="20"/>
                <w:szCs w:val="20"/>
              </w:rPr>
              <w:t>Asimismo</w:t>
            </w:r>
            <w:r w:rsidRPr="00625CB1">
              <w:rPr>
                <w:rFonts w:ascii="ITC Avant Garde" w:hAnsi="ITC Avant Garde"/>
                <w:sz w:val="20"/>
                <w:szCs w:val="20"/>
              </w:rPr>
              <w:t>, el 29 de diciembre del 2017 fue publicado el Acuerdo</w:t>
            </w:r>
            <w:r w:rsidRPr="00625CB1">
              <w:rPr>
                <w:rFonts w:ascii="ITC Avant Garde" w:hAnsi="ITC Avant Garde"/>
                <w:sz w:val="20"/>
                <w:szCs w:val="20"/>
                <w:vertAlign w:val="superscript"/>
              </w:rPr>
              <w:footnoteReference w:id="12"/>
            </w:r>
            <w:r w:rsidRPr="00625CB1">
              <w:rPr>
                <w:rFonts w:ascii="ITC Avant Garde" w:hAnsi="ITC Avant Garde"/>
                <w:sz w:val="20"/>
                <w:szCs w:val="20"/>
              </w:rPr>
              <w:t xml:space="preserve"> mediante el cual se expidió la metodología de separación contable aplicable a los agentes económicos preponderantes, la cual fue modificada mediante el Acuerdo</w:t>
            </w:r>
            <w:r w:rsidRPr="00625CB1">
              <w:rPr>
                <w:rFonts w:ascii="ITC Avant Garde" w:hAnsi="ITC Avant Garde"/>
                <w:sz w:val="20"/>
                <w:szCs w:val="20"/>
                <w:vertAlign w:val="superscript"/>
              </w:rPr>
              <w:footnoteReference w:id="13"/>
            </w:r>
            <w:r w:rsidRPr="00625CB1">
              <w:rPr>
                <w:rFonts w:ascii="ITC Avant Garde" w:hAnsi="ITC Avant Garde"/>
                <w:sz w:val="20"/>
                <w:szCs w:val="20"/>
              </w:rPr>
              <w:t xml:space="preserve"> publicado el 19 de diciembre del 2018 y el 07 de julio del 2020</w:t>
            </w:r>
            <w:r w:rsidRPr="00625CB1">
              <w:rPr>
                <w:rFonts w:ascii="ITC Avant Garde" w:hAnsi="ITC Avant Garde"/>
                <w:sz w:val="20"/>
                <w:szCs w:val="20"/>
                <w:vertAlign w:val="superscript"/>
              </w:rPr>
              <w:footnoteReference w:id="14"/>
            </w:r>
            <w:r w:rsidRPr="00625CB1">
              <w:rPr>
                <w:rFonts w:ascii="ITC Avant Garde" w:hAnsi="ITC Avant Garde"/>
                <w:sz w:val="20"/>
                <w:szCs w:val="20"/>
              </w:rPr>
              <w:t>. Al respecto, es necesario señalar que la información contenida en la metodología de separación contable es uno de los insumos considerados para llevar a cabo las pruebas de replicabilidad económica</w:t>
            </w:r>
            <w:r w:rsidR="008A337C" w:rsidRPr="008A337C">
              <w:rPr>
                <w:rFonts w:ascii="ITC Avant Garde" w:hAnsi="ITC Avant Garde"/>
                <w:sz w:val="20"/>
                <w:szCs w:val="20"/>
              </w:rPr>
              <w:t>.</w:t>
            </w:r>
          </w:p>
          <w:p w14:paraId="03889D02" w14:textId="3B6C15F0" w:rsidR="00C32290" w:rsidRDefault="008A337C" w:rsidP="008A337C">
            <w:pPr>
              <w:spacing w:line="276" w:lineRule="auto"/>
              <w:jc w:val="both"/>
              <w:rPr>
                <w:rFonts w:ascii="ITC Avant Garde" w:hAnsi="ITC Avant Garde"/>
                <w:sz w:val="20"/>
                <w:szCs w:val="20"/>
              </w:rPr>
            </w:pPr>
            <w:r w:rsidRPr="008A337C">
              <w:rPr>
                <w:rFonts w:ascii="ITC Avant Garde" w:hAnsi="ITC Avant Garde"/>
                <w:sz w:val="20"/>
                <w:szCs w:val="20"/>
              </w:rPr>
              <w:t xml:space="preserve">De lo anterior, se resalta que una vez que se ha determinado mantener las obligaciones relacionadas con replicabilidad económica y ante los cambios en las condiciones para la provisión de los servicios mayoristas por la separación funcional, así como las </w:t>
            </w:r>
            <w:r w:rsidRPr="008A337C">
              <w:rPr>
                <w:rFonts w:ascii="ITC Avant Garde" w:hAnsi="ITC Avant Garde"/>
                <w:sz w:val="20"/>
                <w:szCs w:val="20"/>
              </w:rPr>
              <w:lastRenderedPageBreak/>
              <w:t>condiciones del</w:t>
            </w:r>
            <w:r>
              <w:rPr>
                <w:rFonts w:ascii="ITC Avant Garde" w:hAnsi="ITC Avant Garde"/>
                <w:sz w:val="20"/>
                <w:szCs w:val="20"/>
              </w:rPr>
              <w:t xml:space="preserve"> </w:t>
            </w:r>
            <w:r w:rsidRPr="008A337C">
              <w:rPr>
                <w:rFonts w:ascii="ITC Avant Garde" w:hAnsi="ITC Avant Garde"/>
                <w:sz w:val="20"/>
                <w:szCs w:val="20"/>
              </w:rPr>
              <w:t>sector, resulta necesario llevar a cabo la revisión y actualización de las metodologías, términos y condiciones para llevar a cabo las pruebas</w:t>
            </w:r>
            <w:r w:rsidR="00B05076">
              <w:rPr>
                <w:rFonts w:ascii="ITC Avant Garde" w:hAnsi="ITC Avant Garde"/>
                <w:sz w:val="20"/>
                <w:szCs w:val="20"/>
              </w:rPr>
              <w:t xml:space="preserve"> de replicabilidad económica</w:t>
            </w:r>
            <w:r w:rsidRPr="008A337C">
              <w:rPr>
                <w:rFonts w:ascii="ITC Avant Garde" w:hAnsi="ITC Avant Garde"/>
                <w:sz w:val="20"/>
                <w:szCs w:val="20"/>
              </w:rPr>
              <w:t>.</w:t>
            </w:r>
          </w:p>
          <w:p w14:paraId="72EE44AB" w14:textId="3E366C8D" w:rsidR="000553DD" w:rsidRPr="00C0424E" w:rsidRDefault="00C32290" w:rsidP="007473C3">
            <w:pPr>
              <w:spacing w:line="276" w:lineRule="auto"/>
              <w:jc w:val="both"/>
              <w:rPr>
                <w:rFonts w:ascii="ITC Avant Garde" w:eastAsia="Times New Roman" w:hAnsi="ITC Avant Garde"/>
                <w:color w:val="000000"/>
                <w:lang w:eastAsia="es-MX"/>
              </w:rPr>
            </w:pPr>
            <w:r w:rsidRPr="004510A1">
              <w:rPr>
                <w:rFonts w:ascii="ITC Avant Garde" w:hAnsi="ITC Avant Garde"/>
                <w:sz w:val="20"/>
                <w:szCs w:val="20"/>
              </w:rPr>
              <w:t>Ahora bien, en términos de</w:t>
            </w:r>
            <w:r w:rsidR="00352375">
              <w:rPr>
                <w:rFonts w:ascii="ITC Avant Garde" w:hAnsi="ITC Avant Garde"/>
                <w:sz w:val="20"/>
                <w:szCs w:val="20"/>
              </w:rPr>
              <w:t>l</w:t>
            </w:r>
            <w:r w:rsidRPr="004510A1">
              <w:rPr>
                <w:rFonts w:ascii="ITC Avant Garde" w:hAnsi="ITC Avant Garde"/>
                <w:sz w:val="20"/>
                <w:szCs w:val="20"/>
              </w:rPr>
              <w:t xml:space="preserve"> artículo 24, fracción XVII del Estatuto Orgánico del Instituto Federal de Telecomunicaciones, la Unidad de Política Regulatoria, a través de la Dirección General de Desarrollo de las Telecomunicaciones y la Radiodifusión, tiene a su cargo el sustanciar los procedimientos relativos al seguimiento de obligaciones y medidas impuestas al agente económico preponderante o con poder sustancial en el sector de telecomunicaciones. Además, </w:t>
            </w:r>
            <w:r w:rsidR="00BD1C21" w:rsidRPr="004510A1">
              <w:rPr>
                <w:rFonts w:ascii="ITC Avant Garde" w:hAnsi="ITC Avant Garde"/>
                <w:sz w:val="20"/>
                <w:szCs w:val="20"/>
              </w:rPr>
              <w:t>de acuerdo con</w:t>
            </w:r>
            <w:r w:rsidRPr="004510A1">
              <w:rPr>
                <w:rFonts w:ascii="ITC Avant Garde" w:hAnsi="ITC Avant Garde"/>
                <w:sz w:val="20"/>
                <w:szCs w:val="20"/>
              </w:rPr>
              <w:t xml:space="preserve"> lo dispuesto en el artículo 15 fracción XL de la Ley Federal de Telecomunicaciones y Radiodifusión, corresponde al Instituto formular, de considerarlo necesario para el ejercicio de sus funciones,</w:t>
            </w:r>
            <w:r w:rsidR="00BC5050" w:rsidRPr="004510A1">
              <w:rPr>
                <w:rFonts w:ascii="ITC Avant Garde" w:hAnsi="ITC Avant Garde"/>
                <w:sz w:val="20"/>
                <w:szCs w:val="20"/>
              </w:rPr>
              <w:t xml:space="preserve"> </w:t>
            </w:r>
            <w:r w:rsidRPr="004510A1">
              <w:rPr>
                <w:rFonts w:ascii="ITC Avant Garde" w:hAnsi="ITC Avant Garde"/>
                <w:sz w:val="20"/>
                <w:szCs w:val="20"/>
              </w:rPr>
              <w:t xml:space="preserve">consultas públicas no vinculatorias, en las materias de su competencia. En ese sentido, y acorde a las disposiciones Tercera </w:t>
            </w:r>
            <w:r w:rsidR="00AB3B1E">
              <w:rPr>
                <w:rFonts w:ascii="ITC Avant Garde" w:hAnsi="ITC Avant Garde"/>
                <w:sz w:val="20"/>
                <w:szCs w:val="20"/>
              </w:rPr>
              <w:t>fracción I</w:t>
            </w:r>
            <w:r w:rsidRPr="004510A1">
              <w:rPr>
                <w:rFonts w:ascii="ITC Avant Garde" w:hAnsi="ITC Avant Garde"/>
                <w:sz w:val="20"/>
                <w:szCs w:val="20"/>
              </w:rPr>
              <w:t xml:space="preserve"> y Novena de los Lineamientos de Consulta Pública y Análisis de Impacto Regulatorio del Instituto Federal de Telecomunicaciones, se considera oportuno la realización de una consulta pública </w:t>
            </w:r>
            <w:r w:rsidR="0008701D">
              <w:rPr>
                <w:rFonts w:ascii="ITC Avant Garde" w:hAnsi="ITC Avant Garde"/>
                <w:sz w:val="20"/>
                <w:szCs w:val="20"/>
              </w:rPr>
              <w:t xml:space="preserve">de integración </w:t>
            </w:r>
            <w:r w:rsidRPr="004510A1">
              <w:rPr>
                <w:rFonts w:ascii="ITC Avant Garde" w:hAnsi="ITC Avant Garde"/>
                <w:sz w:val="20"/>
                <w:szCs w:val="20"/>
              </w:rPr>
              <w:t xml:space="preserve">a fin de recabar información, comentarios, opiniones, aportaciones u otros elementos de análisis por parte tanto de los agentes regulados como del público en general para así robustecer el proyecto de actualización </w:t>
            </w:r>
            <w:r w:rsidR="00835F7D">
              <w:rPr>
                <w:rFonts w:ascii="ITC Avant Garde" w:hAnsi="ITC Avant Garde"/>
                <w:sz w:val="20"/>
                <w:szCs w:val="20"/>
              </w:rPr>
              <w:t xml:space="preserve">de </w:t>
            </w:r>
            <w:r w:rsidR="0008701D">
              <w:rPr>
                <w:rFonts w:ascii="ITC Avant Garde" w:hAnsi="ITC Avant Garde"/>
                <w:sz w:val="20"/>
                <w:szCs w:val="20"/>
              </w:rPr>
              <w:t xml:space="preserve">la metodología, términos y condiciones de </w:t>
            </w:r>
            <w:r w:rsidR="001A3C45" w:rsidRPr="001A3C45">
              <w:rPr>
                <w:rFonts w:ascii="ITC Avant Garde" w:hAnsi="ITC Avant Garde"/>
                <w:sz w:val="20"/>
                <w:szCs w:val="20"/>
              </w:rPr>
              <w:t>las pruebas de replicabilidad económica</w:t>
            </w:r>
            <w:r w:rsidRPr="004510A1">
              <w:rPr>
                <w:rFonts w:ascii="ITC Avant Garde" w:hAnsi="ITC Avant Garde"/>
                <w:sz w:val="20"/>
                <w:szCs w:val="20"/>
              </w:rPr>
              <w:t>.</w:t>
            </w:r>
          </w:p>
        </w:tc>
      </w:tr>
      <w:tr w:rsidR="000553DD" w:rsidRPr="00E9169D" w14:paraId="5EAC43BE" w14:textId="77777777" w:rsidTr="00F97305">
        <w:trPr>
          <w:trHeight w:val="300"/>
        </w:trPr>
        <w:tc>
          <w:tcPr>
            <w:tcW w:w="8652" w:type="dxa"/>
            <w:shd w:val="clear" w:color="auto" w:fill="C5E0B3"/>
            <w:noWrap/>
            <w:vAlign w:val="center"/>
          </w:tcPr>
          <w:p w14:paraId="11FE2A5F" w14:textId="77777777" w:rsidR="000553DD" w:rsidRPr="00C0424E" w:rsidRDefault="000553DD" w:rsidP="00280134">
            <w:pPr>
              <w:spacing w:after="0" w:line="240" w:lineRule="auto"/>
              <w:jc w:val="both"/>
              <w:rPr>
                <w:rFonts w:ascii="ITC Avant Garde" w:eastAsia="Times New Roman" w:hAnsi="ITC Avant Garde"/>
                <w:color w:val="000000"/>
                <w:sz w:val="16"/>
                <w:szCs w:val="16"/>
                <w:lang w:eastAsia="es-MX"/>
              </w:rPr>
            </w:pPr>
          </w:p>
        </w:tc>
      </w:tr>
    </w:tbl>
    <w:p w14:paraId="11AFC9EF" w14:textId="77777777" w:rsidR="0068054F" w:rsidRPr="00F36A5D" w:rsidRDefault="0068054F" w:rsidP="00DF5B3F">
      <w:pPr>
        <w:spacing w:after="0"/>
        <w:rPr>
          <w:rFonts w:ascii="ITC Avant Garde" w:hAnsi="ITC Avant Garde"/>
          <w:vanish/>
        </w:rPr>
      </w:pPr>
    </w:p>
    <w:p w14:paraId="1FE29D9C" w14:textId="77777777" w:rsidR="00DF154A" w:rsidRDefault="00DF154A" w:rsidP="00170916">
      <w:pPr>
        <w:spacing w:after="0"/>
        <w:jc w:val="both"/>
        <w:rPr>
          <w:rFonts w:ascii="ITC Avant Garde" w:hAnsi="ITC Avant Garde"/>
          <w:sz w:val="16"/>
        </w:rPr>
      </w:pPr>
    </w:p>
    <w:tbl>
      <w:tblPr>
        <w:tblW w:w="8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B44129" w:rsidRPr="003F04F2" w14:paraId="4C0D4BB3" w14:textId="77777777" w:rsidTr="00F97305">
        <w:trPr>
          <w:trHeight w:val="600"/>
        </w:trPr>
        <w:tc>
          <w:tcPr>
            <w:tcW w:w="8642" w:type="dxa"/>
            <w:shd w:val="clear" w:color="auto" w:fill="D9D9D9"/>
            <w:vAlign w:val="center"/>
            <w:hideMark/>
          </w:tcPr>
          <w:p w14:paraId="53C51D99" w14:textId="77777777" w:rsidR="00B44129" w:rsidRPr="003F04F2" w:rsidRDefault="00B44129" w:rsidP="007473C3">
            <w:pPr>
              <w:pStyle w:val="Ttulo2"/>
              <w:ind w:left="784"/>
            </w:pPr>
            <w:r w:rsidRPr="003F04F2">
              <w:t>Guía para el llenado del formato</w:t>
            </w:r>
          </w:p>
        </w:tc>
      </w:tr>
      <w:tr w:rsidR="00B44129" w:rsidRPr="003F04F2" w14:paraId="03C37AD0" w14:textId="77777777" w:rsidTr="00F97305">
        <w:trPr>
          <w:trHeight w:val="720"/>
        </w:trPr>
        <w:tc>
          <w:tcPr>
            <w:tcW w:w="8642" w:type="dxa"/>
            <w:shd w:val="clear" w:color="000000" w:fill="FFFFFF"/>
            <w:noWrap/>
            <w:hideMark/>
          </w:tcPr>
          <w:p w14:paraId="41D734C4" w14:textId="6080260E" w:rsidR="003D7579" w:rsidRDefault="00702727" w:rsidP="003D7579">
            <w:pPr>
              <w:spacing w:before="240" w:after="120" w:line="240" w:lineRule="auto"/>
              <w:ind w:right="309"/>
              <w:jc w:val="both"/>
              <w:rPr>
                <w:rFonts w:ascii="ITC Avant Garde" w:eastAsia="Times New Roman" w:hAnsi="ITC Avant Garde"/>
                <w:color w:val="000000"/>
                <w:sz w:val="20"/>
                <w:szCs w:val="20"/>
                <w:lang w:eastAsia="es-MX"/>
              </w:rPr>
            </w:pPr>
            <w:r w:rsidRPr="00702727">
              <w:rPr>
                <w:rFonts w:ascii="ITC Avant Garde" w:eastAsia="Times New Roman" w:hAnsi="ITC Avant Garde"/>
                <w:color w:val="000000"/>
                <w:sz w:val="20"/>
                <w:szCs w:val="20"/>
                <w:lang w:eastAsia="es-MX"/>
              </w:rPr>
              <w:t>La</w:t>
            </w:r>
            <w:r>
              <w:rPr>
                <w:rFonts w:ascii="ITC Avant Garde" w:eastAsia="Times New Roman" w:hAnsi="ITC Avant Garde"/>
                <w:color w:val="000000"/>
                <w:sz w:val="20"/>
                <w:szCs w:val="20"/>
                <w:lang w:eastAsia="es-MX"/>
              </w:rPr>
              <w:t>s</w:t>
            </w:r>
            <w:r w:rsidRPr="00702727">
              <w:rPr>
                <w:rFonts w:ascii="ITC Avant Garde" w:eastAsia="Times New Roman" w:hAnsi="ITC Avant Garde"/>
                <w:color w:val="000000"/>
                <w:sz w:val="20"/>
                <w:szCs w:val="20"/>
                <w:lang w:eastAsia="es-MX"/>
              </w:rPr>
              <w:t xml:space="preserve"> prueba</w:t>
            </w:r>
            <w:r>
              <w:rPr>
                <w:rFonts w:ascii="ITC Avant Garde" w:eastAsia="Times New Roman" w:hAnsi="ITC Avant Garde"/>
                <w:color w:val="000000"/>
                <w:sz w:val="20"/>
                <w:szCs w:val="20"/>
                <w:lang w:eastAsia="es-MX"/>
              </w:rPr>
              <w:t>s</w:t>
            </w:r>
            <w:r w:rsidRPr="00702727">
              <w:rPr>
                <w:rFonts w:ascii="ITC Avant Garde" w:eastAsia="Times New Roman" w:hAnsi="ITC Avant Garde"/>
                <w:color w:val="000000"/>
                <w:sz w:val="20"/>
                <w:szCs w:val="20"/>
                <w:lang w:eastAsia="es-MX"/>
              </w:rPr>
              <w:t xml:space="preserve"> de replicabilidad económica </w:t>
            </w:r>
            <w:r w:rsidR="00F13080">
              <w:rPr>
                <w:rFonts w:ascii="ITC Avant Garde" w:eastAsia="Times New Roman" w:hAnsi="ITC Avant Garde"/>
                <w:color w:val="000000"/>
                <w:sz w:val="20"/>
                <w:szCs w:val="20"/>
                <w:lang w:eastAsia="es-MX"/>
              </w:rPr>
              <w:t xml:space="preserve">vigentes </w:t>
            </w:r>
            <w:r w:rsidRPr="00702727">
              <w:rPr>
                <w:rFonts w:ascii="ITC Avant Garde" w:eastAsia="Times New Roman" w:hAnsi="ITC Avant Garde"/>
                <w:color w:val="000000"/>
                <w:sz w:val="20"/>
                <w:szCs w:val="20"/>
                <w:lang w:eastAsia="es-MX"/>
              </w:rPr>
              <w:t>considera</w:t>
            </w:r>
            <w:r>
              <w:rPr>
                <w:rFonts w:ascii="ITC Avant Garde" w:eastAsia="Times New Roman" w:hAnsi="ITC Avant Garde"/>
                <w:color w:val="000000"/>
                <w:sz w:val="20"/>
                <w:szCs w:val="20"/>
                <w:lang w:eastAsia="es-MX"/>
              </w:rPr>
              <w:t>n</w:t>
            </w:r>
            <w:r w:rsidRPr="00702727">
              <w:rPr>
                <w:rFonts w:ascii="ITC Avant Garde" w:eastAsia="Times New Roman" w:hAnsi="ITC Avant Garde"/>
                <w:color w:val="000000"/>
                <w:sz w:val="20"/>
                <w:szCs w:val="20"/>
                <w:lang w:eastAsia="es-MX"/>
              </w:rPr>
              <w:t xml:space="preserve"> los siguientes</w:t>
            </w:r>
            <w:r w:rsidR="00C35DB6">
              <w:rPr>
                <w:rFonts w:ascii="ITC Avant Garde" w:eastAsia="Times New Roman" w:hAnsi="ITC Avant Garde"/>
                <w:color w:val="000000"/>
                <w:sz w:val="20"/>
                <w:szCs w:val="20"/>
                <w:lang w:eastAsia="es-MX"/>
              </w:rPr>
              <w:t xml:space="preserve"> </w:t>
            </w:r>
            <w:r w:rsidR="004F0CF7" w:rsidRPr="004F0CF7">
              <w:rPr>
                <w:rFonts w:ascii="ITC Avant Garde" w:eastAsia="Times New Roman" w:hAnsi="ITC Avant Garde"/>
                <w:color w:val="000000"/>
                <w:sz w:val="20"/>
                <w:szCs w:val="20"/>
                <w:lang w:eastAsia="es-MX"/>
              </w:rPr>
              <w:t xml:space="preserve">SMR: </w:t>
            </w:r>
          </w:p>
          <w:p w14:paraId="1B56F645" w14:textId="48EF455F" w:rsidR="003D7579" w:rsidRPr="005B7378" w:rsidRDefault="000E7D0E" w:rsidP="00F13080">
            <w:pPr>
              <w:pStyle w:val="Prrafodelista"/>
              <w:numPr>
                <w:ilvl w:val="0"/>
                <w:numId w:val="47"/>
              </w:num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Servicio de c</w:t>
            </w:r>
            <w:r w:rsidR="003D7579" w:rsidRPr="003D7579">
              <w:rPr>
                <w:rFonts w:ascii="ITC Avant Garde" w:eastAsia="Times New Roman" w:hAnsi="ITC Avant Garde"/>
                <w:color w:val="000000"/>
                <w:sz w:val="20"/>
                <w:szCs w:val="20"/>
                <w:lang w:eastAsia="es-MX"/>
              </w:rPr>
              <w:t xml:space="preserve">omercialización o </w:t>
            </w:r>
            <w:r w:rsidR="007A1B7C">
              <w:rPr>
                <w:rFonts w:ascii="ITC Avant Garde" w:eastAsia="Times New Roman" w:hAnsi="ITC Avant Garde"/>
                <w:color w:val="000000"/>
                <w:sz w:val="20"/>
                <w:szCs w:val="20"/>
                <w:lang w:eastAsia="es-MX"/>
              </w:rPr>
              <w:t>r</w:t>
            </w:r>
            <w:r w:rsidR="003D7579" w:rsidRPr="003D7579">
              <w:rPr>
                <w:rFonts w:ascii="ITC Avant Garde" w:eastAsia="Times New Roman" w:hAnsi="ITC Avant Garde"/>
                <w:color w:val="000000"/>
                <w:sz w:val="20"/>
                <w:szCs w:val="20"/>
                <w:lang w:eastAsia="es-MX"/>
              </w:rPr>
              <w:t xml:space="preserve">eventa de </w:t>
            </w:r>
            <w:r w:rsidR="007A1B7C">
              <w:rPr>
                <w:rFonts w:ascii="ITC Avant Garde" w:eastAsia="Times New Roman" w:hAnsi="ITC Avant Garde"/>
                <w:color w:val="000000"/>
                <w:sz w:val="20"/>
                <w:szCs w:val="20"/>
                <w:lang w:eastAsia="es-MX"/>
              </w:rPr>
              <w:t>s</w:t>
            </w:r>
            <w:r w:rsidR="003D7579" w:rsidRPr="003D7579">
              <w:rPr>
                <w:rFonts w:ascii="ITC Avant Garde" w:eastAsia="Times New Roman" w:hAnsi="ITC Avant Garde"/>
                <w:color w:val="000000"/>
                <w:sz w:val="20"/>
                <w:szCs w:val="20"/>
                <w:lang w:eastAsia="es-MX"/>
              </w:rPr>
              <w:t>ervicios por parte de los OMV</w:t>
            </w:r>
            <w:r w:rsidR="003D7579">
              <w:rPr>
                <w:rFonts w:ascii="ITC Avant Garde" w:eastAsia="Times New Roman" w:hAnsi="ITC Avant Garde"/>
                <w:color w:val="000000"/>
                <w:sz w:val="20"/>
                <w:szCs w:val="20"/>
                <w:lang w:eastAsia="es-MX"/>
              </w:rPr>
              <w:t xml:space="preserve"> </w:t>
            </w:r>
            <w:r w:rsidR="003D7579" w:rsidRPr="00F13080">
              <w:rPr>
                <w:rFonts w:ascii="ITC Avant Garde" w:eastAsia="Times New Roman" w:hAnsi="ITC Avant Garde"/>
                <w:b/>
                <w:bCs/>
                <w:color w:val="000000"/>
                <w:sz w:val="20"/>
                <w:szCs w:val="20"/>
                <w:lang w:eastAsia="es-MX"/>
              </w:rPr>
              <w:t>(Móvil)</w:t>
            </w:r>
          </w:p>
          <w:p w14:paraId="3EBA9F6C" w14:textId="454C9009" w:rsidR="003D7579" w:rsidRDefault="003D7579" w:rsidP="003D7579">
            <w:pPr>
              <w:pStyle w:val="Prrafodelista"/>
              <w:numPr>
                <w:ilvl w:val="0"/>
                <w:numId w:val="42"/>
              </w:numPr>
              <w:spacing w:line="240" w:lineRule="auto"/>
              <w:rPr>
                <w:rFonts w:ascii="ITC Avant Garde" w:eastAsia="Times New Roman" w:hAnsi="ITC Avant Garde"/>
                <w:color w:val="000000"/>
                <w:sz w:val="20"/>
                <w:szCs w:val="20"/>
                <w:lang w:eastAsia="es-MX"/>
              </w:rPr>
            </w:pPr>
            <w:r w:rsidRPr="003D7579">
              <w:rPr>
                <w:rFonts w:ascii="ITC Avant Garde" w:eastAsia="Times New Roman" w:hAnsi="ITC Avant Garde"/>
                <w:color w:val="000000"/>
                <w:sz w:val="20"/>
                <w:szCs w:val="20"/>
                <w:lang w:eastAsia="es-MX"/>
              </w:rPr>
              <w:t>Servicio</w:t>
            </w:r>
            <w:r w:rsidR="005B7378">
              <w:rPr>
                <w:rFonts w:ascii="ITC Avant Garde" w:eastAsia="Times New Roman" w:hAnsi="ITC Avant Garde"/>
                <w:color w:val="000000"/>
                <w:sz w:val="20"/>
                <w:szCs w:val="20"/>
                <w:lang w:eastAsia="es-MX"/>
              </w:rPr>
              <w:t xml:space="preserve"> de reventa de línea telefónica</w:t>
            </w:r>
            <w:r>
              <w:rPr>
                <w:rFonts w:ascii="ITC Avant Garde" w:eastAsia="Times New Roman" w:hAnsi="ITC Avant Garde"/>
                <w:color w:val="000000"/>
                <w:sz w:val="20"/>
                <w:szCs w:val="20"/>
                <w:lang w:eastAsia="es-MX"/>
              </w:rPr>
              <w:t xml:space="preserve"> </w:t>
            </w:r>
            <w:r w:rsidRPr="00F13080">
              <w:rPr>
                <w:rFonts w:ascii="ITC Avant Garde" w:eastAsia="Times New Roman" w:hAnsi="ITC Avant Garde"/>
                <w:b/>
                <w:bCs/>
                <w:color w:val="000000"/>
                <w:sz w:val="20"/>
                <w:szCs w:val="20"/>
                <w:lang w:eastAsia="es-MX"/>
              </w:rPr>
              <w:t>(Fijo/Telefonía)</w:t>
            </w:r>
          </w:p>
          <w:p w14:paraId="73237647" w14:textId="4C349490" w:rsidR="003D7579" w:rsidRPr="003D7579" w:rsidRDefault="003D7579" w:rsidP="00F13080">
            <w:pPr>
              <w:pStyle w:val="Prrafodelista"/>
              <w:numPr>
                <w:ilvl w:val="0"/>
                <w:numId w:val="42"/>
              </w:numPr>
              <w:spacing w:line="240" w:lineRule="auto"/>
              <w:rPr>
                <w:rFonts w:ascii="ITC Avant Garde" w:eastAsia="Times New Roman" w:hAnsi="ITC Avant Garde"/>
                <w:color w:val="000000"/>
                <w:sz w:val="20"/>
                <w:szCs w:val="20"/>
                <w:lang w:eastAsia="es-MX"/>
              </w:rPr>
            </w:pPr>
            <w:r w:rsidRPr="003D7579">
              <w:rPr>
                <w:rFonts w:ascii="ITC Avant Garde" w:eastAsia="Times New Roman" w:hAnsi="ITC Avant Garde"/>
                <w:color w:val="000000"/>
                <w:sz w:val="20"/>
                <w:szCs w:val="20"/>
                <w:lang w:eastAsia="es-MX"/>
              </w:rPr>
              <w:t>Servicio</w:t>
            </w:r>
            <w:r>
              <w:rPr>
                <w:rFonts w:ascii="ITC Avant Garde" w:eastAsia="Times New Roman" w:hAnsi="ITC Avant Garde"/>
                <w:color w:val="000000"/>
                <w:sz w:val="20"/>
                <w:szCs w:val="20"/>
                <w:lang w:eastAsia="es-MX"/>
              </w:rPr>
              <w:t>s</w:t>
            </w:r>
            <w:r w:rsidRPr="003D7579">
              <w:rPr>
                <w:rFonts w:ascii="ITC Avant Garde" w:eastAsia="Times New Roman" w:hAnsi="ITC Avant Garde"/>
                <w:color w:val="000000"/>
                <w:sz w:val="20"/>
                <w:szCs w:val="20"/>
                <w:lang w:eastAsia="es-MX"/>
              </w:rPr>
              <w:t xml:space="preserve"> de acceso indirecto al bucle</w:t>
            </w:r>
            <w:r>
              <w:rPr>
                <w:rFonts w:ascii="ITC Avant Garde" w:eastAsia="Times New Roman" w:hAnsi="ITC Avant Garde"/>
                <w:color w:val="000000"/>
                <w:sz w:val="20"/>
                <w:szCs w:val="20"/>
                <w:lang w:eastAsia="es-MX"/>
              </w:rPr>
              <w:t xml:space="preserve"> local, regional y nacional </w:t>
            </w:r>
            <w:r w:rsidRPr="00F13080">
              <w:rPr>
                <w:rFonts w:ascii="ITC Avant Garde" w:eastAsia="Times New Roman" w:hAnsi="ITC Avant Garde"/>
                <w:b/>
                <w:bCs/>
                <w:color w:val="000000"/>
                <w:sz w:val="20"/>
                <w:szCs w:val="20"/>
                <w:lang w:eastAsia="es-MX"/>
              </w:rPr>
              <w:t>(Fijo/Banda ancha)</w:t>
            </w:r>
          </w:p>
          <w:p w14:paraId="75F34DB3" w14:textId="342AF3B1" w:rsidR="003D7579" w:rsidRDefault="003D7579" w:rsidP="003D7579">
            <w:pPr>
              <w:pStyle w:val="Prrafodelista"/>
              <w:numPr>
                <w:ilvl w:val="0"/>
                <w:numId w:val="42"/>
              </w:numPr>
              <w:spacing w:after="120" w:line="240" w:lineRule="auto"/>
              <w:ind w:right="309"/>
              <w:jc w:val="both"/>
              <w:rPr>
                <w:rFonts w:ascii="ITC Avant Garde" w:eastAsia="Times New Roman" w:hAnsi="ITC Avant Garde"/>
                <w:color w:val="000000"/>
                <w:sz w:val="20"/>
                <w:szCs w:val="20"/>
                <w:lang w:eastAsia="es-MX"/>
              </w:rPr>
            </w:pPr>
            <w:r w:rsidRPr="003D7579">
              <w:rPr>
                <w:rFonts w:ascii="ITC Avant Garde" w:eastAsia="Times New Roman" w:hAnsi="ITC Avant Garde"/>
                <w:color w:val="000000"/>
                <w:sz w:val="20"/>
                <w:szCs w:val="20"/>
                <w:lang w:eastAsia="es-MX"/>
              </w:rPr>
              <w:t xml:space="preserve">Servicios de </w:t>
            </w:r>
            <w:r w:rsidR="007A1B7C">
              <w:rPr>
                <w:rFonts w:ascii="ITC Avant Garde" w:eastAsia="Times New Roman" w:hAnsi="ITC Avant Garde"/>
                <w:color w:val="000000"/>
                <w:sz w:val="20"/>
                <w:szCs w:val="20"/>
                <w:lang w:eastAsia="es-MX"/>
              </w:rPr>
              <w:t>d</w:t>
            </w:r>
            <w:r w:rsidRPr="003D7579">
              <w:rPr>
                <w:rFonts w:ascii="ITC Avant Garde" w:eastAsia="Times New Roman" w:hAnsi="ITC Avant Garde"/>
                <w:color w:val="000000"/>
                <w:sz w:val="20"/>
                <w:szCs w:val="20"/>
                <w:lang w:eastAsia="es-MX"/>
              </w:rPr>
              <w:t xml:space="preserve">esagregación </w:t>
            </w:r>
            <w:r>
              <w:rPr>
                <w:rFonts w:ascii="ITC Avant Garde" w:eastAsia="Times New Roman" w:hAnsi="ITC Avant Garde"/>
                <w:color w:val="000000"/>
                <w:sz w:val="20"/>
                <w:szCs w:val="20"/>
                <w:lang w:eastAsia="es-MX"/>
              </w:rPr>
              <w:t xml:space="preserve">compartida de bucle local </w:t>
            </w:r>
            <w:r w:rsidRPr="00F13080">
              <w:rPr>
                <w:rFonts w:ascii="ITC Avant Garde" w:eastAsia="Times New Roman" w:hAnsi="ITC Avant Garde"/>
                <w:b/>
                <w:bCs/>
                <w:color w:val="000000"/>
                <w:sz w:val="20"/>
                <w:szCs w:val="20"/>
                <w:lang w:eastAsia="es-MX"/>
              </w:rPr>
              <w:t>(Fijo/Banda ancha)</w:t>
            </w:r>
          </w:p>
          <w:p w14:paraId="01152A85" w14:textId="467B0BC7" w:rsidR="003D7579" w:rsidRPr="00046022" w:rsidRDefault="005B7378" w:rsidP="005B7378">
            <w:pPr>
              <w:pStyle w:val="Prrafodelista"/>
              <w:numPr>
                <w:ilvl w:val="0"/>
                <w:numId w:val="42"/>
              </w:numPr>
              <w:spacing w:after="120" w:line="240" w:lineRule="auto"/>
              <w:ind w:right="309"/>
              <w:jc w:val="both"/>
              <w:rPr>
                <w:rFonts w:ascii="ITC Avant Garde" w:eastAsia="Times New Roman" w:hAnsi="ITC Avant Garde"/>
                <w:color w:val="000000"/>
                <w:sz w:val="20"/>
                <w:szCs w:val="20"/>
                <w:lang w:eastAsia="es-MX"/>
              </w:rPr>
            </w:pPr>
            <w:r w:rsidRPr="005B7378">
              <w:rPr>
                <w:rFonts w:ascii="ITC Avant Garde" w:eastAsia="Times New Roman" w:hAnsi="ITC Avant Garde"/>
                <w:color w:val="000000"/>
                <w:sz w:val="20"/>
                <w:szCs w:val="20"/>
                <w:lang w:eastAsia="es-MX"/>
              </w:rPr>
              <w:t>Servicio de desagregación total del bucle local</w:t>
            </w:r>
            <w:r w:rsidR="003D7579">
              <w:rPr>
                <w:rFonts w:ascii="ITC Avant Garde" w:eastAsia="Times New Roman" w:hAnsi="ITC Avant Garde"/>
                <w:color w:val="000000"/>
                <w:sz w:val="20"/>
                <w:szCs w:val="20"/>
                <w:lang w:eastAsia="es-MX"/>
              </w:rPr>
              <w:t xml:space="preserve"> </w:t>
            </w:r>
            <w:r w:rsidR="003D7579" w:rsidRPr="00F13080">
              <w:rPr>
                <w:rFonts w:ascii="ITC Avant Garde" w:eastAsia="Times New Roman" w:hAnsi="ITC Avant Garde"/>
                <w:b/>
                <w:bCs/>
                <w:color w:val="000000"/>
                <w:sz w:val="20"/>
                <w:szCs w:val="20"/>
                <w:lang w:eastAsia="es-MX"/>
              </w:rPr>
              <w:t>(Fijo/Banda ancha)</w:t>
            </w:r>
          </w:p>
          <w:p w14:paraId="1F8E3D46" w14:textId="31B28A94" w:rsidR="003D7579" w:rsidRPr="0043365D" w:rsidRDefault="003D7579" w:rsidP="000A112D">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43365D">
              <w:rPr>
                <w:rFonts w:ascii="ITC Avant Garde" w:eastAsia="Times New Roman" w:hAnsi="ITC Avant Garde"/>
                <w:color w:val="000000"/>
                <w:sz w:val="20"/>
                <w:szCs w:val="20"/>
                <w:lang w:eastAsia="es-MX"/>
              </w:rPr>
              <w:t xml:space="preserve">Servicios de </w:t>
            </w:r>
            <w:r w:rsidR="007A1B7C">
              <w:rPr>
                <w:rFonts w:ascii="ITC Avant Garde" w:eastAsia="Times New Roman" w:hAnsi="ITC Avant Garde"/>
                <w:color w:val="000000"/>
                <w:sz w:val="20"/>
                <w:szCs w:val="20"/>
                <w:lang w:eastAsia="es-MX"/>
              </w:rPr>
              <w:t>e</w:t>
            </w:r>
            <w:r w:rsidRPr="0043365D">
              <w:rPr>
                <w:rFonts w:ascii="ITC Avant Garde" w:eastAsia="Times New Roman" w:hAnsi="ITC Avant Garde"/>
                <w:color w:val="000000"/>
                <w:sz w:val="20"/>
                <w:szCs w:val="20"/>
                <w:lang w:eastAsia="es-MX"/>
              </w:rPr>
              <w:t xml:space="preserve">nlaces </w:t>
            </w:r>
            <w:r w:rsidR="007A1B7C">
              <w:rPr>
                <w:rFonts w:ascii="ITC Avant Garde" w:eastAsia="Times New Roman" w:hAnsi="ITC Avant Garde"/>
                <w:color w:val="000000"/>
                <w:sz w:val="20"/>
                <w:szCs w:val="20"/>
                <w:lang w:eastAsia="es-MX"/>
              </w:rPr>
              <w:t>d</w:t>
            </w:r>
            <w:r w:rsidRPr="0043365D">
              <w:rPr>
                <w:rFonts w:ascii="ITC Avant Garde" w:eastAsia="Times New Roman" w:hAnsi="ITC Avant Garde"/>
                <w:color w:val="000000"/>
                <w:sz w:val="20"/>
                <w:szCs w:val="20"/>
                <w:lang w:eastAsia="es-MX"/>
              </w:rPr>
              <w:t xml:space="preserve">edicados </w:t>
            </w:r>
            <w:r w:rsidR="007A1B7C">
              <w:rPr>
                <w:rFonts w:ascii="ITC Avant Garde" w:eastAsia="Times New Roman" w:hAnsi="ITC Avant Garde"/>
                <w:color w:val="000000"/>
                <w:sz w:val="20"/>
                <w:szCs w:val="20"/>
                <w:lang w:eastAsia="es-MX"/>
              </w:rPr>
              <w:t xml:space="preserve">locales, </w:t>
            </w:r>
            <w:r w:rsidR="007A1B7C" w:rsidRPr="007A1B7C">
              <w:rPr>
                <w:rFonts w:ascii="ITC Avant Garde" w:eastAsia="Times New Roman" w:hAnsi="ITC Avant Garde"/>
                <w:color w:val="000000"/>
                <w:sz w:val="20"/>
                <w:szCs w:val="20"/>
                <w:lang w:eastAsia="es-MX"/>
              </w:rPr>
              <w:t>entre localidades y de larga distancia internacional</w:t>
            </w:r>
            <w:r w:rsidR="007A1B7C">
              <w:rPr>
                <w:rFonts w:ascii="ITC Avant Garde" w:eastAsia="Times New Roman" w:hAnsi="ITC Avant Garde"/>
                <w:color w:val="000000"/>
                <w:sz w:val="20"/>
                <w:szCs w:val="20"/>
                <w:lang w:eastAsia="es-MX"/>
              </w:rPr>
              <w:t xml:space="preserve"> </w:t>
            </w:r>
            <w:r w:rsidR="007A1B7C" w:rsidRPr="00F13080">
              <w:rPr>
                <w:rFonts w:ascii="ITC Avant Garde" w:eastAsia="Times New Roman" w:hAnsi="ITC Avant Garde"/>
                <w:b/>
                <w:bCs/>
                <w:color w:val="000000"/>
                <w:sz w:val="20"/>
                <w:szCs w:val="20"/>
                <w:lang w:eastAsia="es-MX"/>
              </w:rPr>
              <w:t>(Fijo/Enlaces dedicados)</w:t>
            </w:r>
          </w:p>
          <w:p w14:paraId="441F6FBC" w14:textId="45D0FF10" w:rsidR="004F0CF7" w:rsidRPr="004F0CF7" w:rsidRDefault="0043365D" w:rsidP="004F0CF7">
            <w:p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Para efectos de </w:t>
            </w:r>
            <w:r w:rsidR="005B7378">
              <w:rPr>
                <w:rFonts w:ascii="ITC Avant Garde" w:eastAsia="Times New Roman" w:hAnsi="ITC Avant Garde"/>
                <w:color w:val="000000"/>
                <w:sz w:val="20"/>
                <w:szCs w:val="20"/>
                <w:lang w:eastAsia="es-MX"/>
              </w:rPr>
              <w:t>la presente actualización</w:t>
            </w:r>
            <w:r>
              <w:rPr>
                <w:rFonts w:ascii="ITC Avant Garde" w:eastAsia="Times New Roman" w:hAnsi="ITC Avant Garde"/>
                <w:color w:val="000000"/>
                <w:sz w:val="20"/>
                <w:szCs w:val="20"/>
                <w:lang w:eastAsia="es-MX"/>
              </w:rPr>
              <w:t>, s</w:t>
            </w:r>
            <w:r w:rsidR="004F0CF7" w:rsidRPr="004F0CF7">
              <w:rPr>
                <w:rFonts w:ascii="ITC Avant Garde" w:eastAsia="Times New Roman" w:hAnsi="ITC Avant Garde"/>
                <w:color w:val="000000"/>
                <w:sz w:val="20"/>
                <w:szCs w:val="20"/>
                <w:lang w:eastAsia="es-MX"/>
              </w:rPr>
              <w:t xml:space="preserve">e </w:t>
            </w:r>
            <w:r>
              <w:rPr>
                <w:rFonts w:ascii="ITC Avant Garde" w:eastAsia="Times New Roman" w:hAnsi="ITC Avant Garde"/>
                <w:color w:val="000000"/>
                <w:sz w:val="20"/>
                <w:szCs w:val="20"/>
                <w:lang w:eastAsia="es-MX"/>
              </w:rPr>
              <w:t>distinguen</w:t>
            </w:r>
            <w:r w:rsidR="00217A22">
              <w:rPr>
                <w:rFonts w:ascii="ITC Avant Garde" w:eastAsia="Times New Roman" w:hAnsi="ITC Avant Garde"/>
                <w:color w:val="000000"/>
                <w:sz w:val="20"/>
                <w:szCs w:val="20"/>
                <w:lang w:eastAsia="es-MX"/>
              </w:rPr>
              <w:t>, al menos,</w:t>
            </w:r>
            <w:r>
              <w:rPr>
                <w:rFonts w:ascii="ITC Avant Garde" w:eastAsia="Times New Roman" w:hAnsi="ITC Avant Garde"/>
                <w:color w:val="000000"/>
                <w:sz w:val="20"/>
                <w:szCs w:val="20"/>
                <w:lang w:eastAsia="es-MX"/>
              </w:rPr>
              <w:t xml:space="preserve"> las siguientes</w:t>
            </w:r>
            <w:r w:rsidRPr="004F0CF7">
              <w:rPr>
                <w:rFonts w:ascii="ITC Avant Garde" w:eastAsia="Times New Roman" w:hAnsi="ITC Avant Garde"/>
                <w:color w:val="000000"/>
                <w:sz w:val="20"/>
                <w:szCs w:val="20"/>
                <w:lang w:eastAsia="es-MX"/>
              </w:rPr>
              <w:t xml:space="preserve"> </w:t>
            </w:r>
            <w:r w:rsidR="005B7378">
              <w:rPr>
                <w:rFonts w:ascii="ITC Avant Garde" w:eastAsia="Times New Roman" w:hAnsi="ITC Avant Garde"/>
                <w:color w:val="000000"/>
                <w:sz w:val="20"/>
                <w:szCs w:val="20"/>
                <w:lang w:eastAsia="es-MX"/>
              </w:rPr>
              <w:t>10</w:t>
            </w:r>
            <w:r w:rsidR="004F0CF7" w:rsidRPr="004F0CF7">
              <w:rPr>
                <w:rFonts w:ascii="ITC Avant Garde" w:eastAsia="Times New Roman" w:hAnsi="ITC Avant Garde"/>
                <w:color w:val="000000"/>
                <w:sz w:val="20"/>
                <w:szCs w:val="20"/>
                <w:lang w:eastAsia="es-MX"/>
              </w:rPr>
              <w:t xml:space="preserve"> dimensiones principales de</w:t>
            </w:r>
            <w:r w:rsidR="005B7378">
              <w:rPr>
                <w:rFonts w:ascii="ITC Avant Garde" w:eastAsia="Times New Roman" w:hAnsi="ITC Avant Garde"/>
                <w:color w:val="000000"/>
                <w:sz w:val="20"/>
                <w:szCs w:val="20"/>
                <w:lang w:eastAsia="es-MX"/>
              </w:rPr>
              <w:t xml:space="preserve"> </w:t>
            </w:r>
            <w:r w:rsidR="004F0CF7" w:rsidRPr="004F0CF7">
              <w:rPr>
                <w:rFonts w:ascii="ITC Avant Garde" w:eastAsia="Times New Roman" w:hAnsi="ITC Avant Garde"/>
                <w:color w:val="000000"/>
                <w:sz w:val="20"/>
                <w:szCs w:val="20"/>
                <w:lang w:eastAsia="es-MX"/>
              </w:rPr>
              <w:t>l</w:t>
            </w:r>
            <w:r w:rsidR="005B7378">
              <w:rPr>
                <w:rFonts w:ascii="ITC Avant Garde" w:eastAsia="Times New Roman" w:hAnsi="ITC Avant Garde"/>
                <w:color w:val="000000"/>
                <w:sz w:val="20"/>
                <w:szCs w:val="20"/>
                <w:lang w:eastAsia="es-MX"/>
              </w:rPr>
              <w:t>as</w:t>
            </w:r>
            <w:r w:rsidR="004F0CF7" w:rsidRPr="004F0CF7">
              <w:rPr>
                <w:rFonts w:ascii="ITC Avant Garde" w:eastAsia="Times New Roman" w:hAnsi="ITC Avant Garde"/>
                <w:color w:val="000000"/>
                <w:sz w:val="20"/>
                <w:szCs w:val="20"/>
                <w:lang w:eastAsia="es-MX"/>
              </w:rPr>
              <w:t xml:space="preserve"> </w:t>
            </w:r>
            <w:r w:rsidR="005B7378">
              <w:rPr>
                <w:rFonts w:ascii="ITC Avant Garde" w:eastAsia="Times New Roman" w:hAnsi="ITC Avant Garde"/>
                <w:color w:val="000000"/>
                <w:sz w:val="20"/>
                <w:szCs w:val="20"/>
                <w:lang w:eastAsia="es-MX"/>
              </w:rPr>
              <w:t>pruebas de replicabilidad económica</w:t>
            </w:r>
            <w:r w:rsidR="004F0CF7" w:rsidRPr="004F0CF7">
              <w:rPr>
                <w:rFonts w:ascii="ITC Avant Garde" w:eastAsia="Times New Roman" w:hAnsi="ITC Avant Garde"/>
                <w:color w:val="000000"/>
                <w:sz w:val="20"/>
                <w:szCs w:val="20"/>
                <w:lang w:eastAsia="es-MX"/>
              </w:rPr>
              <w:t xml:space="preserve">: </w:t>
            </w:r>
          </w:p>
          <w:p w14:paraId="716C8083"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Momento de aplicación</w:t>
            </w:r>
          </w:p>
          <w:p w14:paraId="6A8B1474"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Eficiencia</w:t>
            </w:r>
          </w:p>
          <w:p w14:paraId="749C9183"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lastRenderedPageBreak/>
              <w:t>Estándar de costos</w:t>
            </w:r>
          </w:p>
          <w:p w14:paraId="35873398"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Nivel de agregación</w:t>
            </w:r>
          </w:p>
          <w:p w14:paraId="1ED3225E"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Tratamiento del segmento empresarial</w:t>
            </w:r>
          </w:p>
          <w:p w14:paraId="24DA22F4"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proofErr w:type="gramStart"/>
            <w:r w:rsidRPr="00F13080">
              <w:rPr>
                <w:rFonts w:ascii="ITC Avant Garde" w:eastAsia="Times New Roman" w:hAnsi="ITC Avant Garde"/>
                <w:color w:val="000000"/>
                <w:sz w:val="20"/>
                <w:szCs w:val="20"/>
                <w:lang w:eastAsia="es-MX"/>
              </w:rPr>
              <w:t>Servicios mayoristas a considerar</w:t>
            </w:r>
            <w:proofErr w:type="gramEnd"/>
          </w:p>
          <w:p w14:paraId="5F7BA3F6"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Precio de los insumos mayoristas</w:t>
            </w:r>
          </w:p>
          <w:p w14:paraId="254DEC7C"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Tratamiento de las promociones</w:t>
            </w:r>
          </w:p>
          <w:p w14:paraId="39761BE7"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Evaluación de la rentabilidad</w:t>
            </w:r>
          </w:p>
          <w:p w14:paraId="7C1E61A8" w14:textId="34312B59" w:rsidR="00F14403" w:rsidRDefault="00F14403" w:rsidP="000A112D">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4403">
              <w:rPr>
                <w:rFonts w:ascii="ITC Avant Garde" w:eastAsia="Times New Roman" w:hAnsi="ITC Avant Garde"/>
                <w:color w:val="000000"/>
                <w:sz w:val="20"/>
                <w:szCs w:val="20"/>
                <w:lang w:eastAsia="es-MX"/>
              </w:rPr>
              <w:t>Tratamiento de las ofertas empaquetadas</w:t>
            </w:r>
          </w:p>
          <w:p w14:paraId="208165BD" w14:textId="5ADF80AF" w:rsidR="000A112D" w:rsidRDefault="004F0CF7" w:rsidP="00F13080">
            <w:pPr>
              <w:jc w:val="both"/>
              <w:rPr>
                <w:rFonts w:ascii="ITC Avant Garde" w:eastAsia="Times New Roman" w:hAnsi="ITC Avant Garde"/>
                <w:color w:val="000000"/>
                <w:sz w:val="20"/>
                <w:szCs w:val="20"/>
                <w:lang w:eastAsia="es-MX"/>
              </w:rPr>
            </w:pPr>
            <w:r w:rsidRPr="004F0CF7">
              <w:rPr>
                <w:rFonts w:ascii="ITC Avant Garde" w:eastAsia="Times New Roman" w:hAnsi="ITC Avant Garde"/>
                <w:color w:val="000000"/>
                <w:sz w:val="20"/>
                <w:szCs w:val="20"/>
                <w:lang w:eastAsia="es-MX"/>
              </w:rPr>
              <w:t>Considerando lo anterior, se elaboró una</w:t>
            </w:r>
            <w:r w:rsidR="00F13080">
              <w:rPr>
                <w:rFonts w:ascii="ITC Avant Garde" w:eastAsia="Times New Roman" w:hAnsi="ITC Avant Garde"/>
                <w:color w:val="000000"/>
                <w:sz w:val="20"/>
                <w:szCs w:val="20"/>
                <w:lang w:eastAsia="es-MX"/>
              </w:rPr>
              <w:t xml:space="preserve"> serie de</w:t>
            </w:r>
            <w:r w:rsidRPr="004F0CF7">
              <w:rPr>
                <w:rFonts w:ascii="ITC Avant Garde" w:eastAsia="Times New Roman" w:hAnsi="ITC Avant Garde"/>
                <w:color w:val="000000"/>
                <w:sz w:val="20"/>
                <w:szCs w:val="20"/>
                <w:lang w:eastAsia="es-MX"/>
              </w:rPr>
              <w:t xml:space="preserve"> </w:t>
            </w:r>
            <w:r w:rsidR="00F13080">
              <w:rPr>
                <w:rFonts w:ascii="ITC Avant Garde" w:eastAsia="Times New Roman" w:hAnsi="ITC Avant Garde"/>
                <w:color w:val="000000"/>
                <w:sz w:val="20"/>
                <w:szCs w:val="20"/>
                <w:lang w:eastAsia="es-MX"/>
              </w:rPr>
              <w:t>propuestas de</w:t>
            </w:r>
            <w:r w:rsidRPr="004F0CF7">
              <w:rPr>
                <w:rFonts w:ascii="ITC Avant Garde" w:eastAsia="Times New Roman" w:hAnsi="ITC Avant Garde"/>
                <w:color w:val="000000"/>
                <w:sz w:val="20"/>
                <w:szCs w:val="20"/>
                <w:lang w:eastAsia="es-MX"/>
              </w:rPr>
              <w:t xml:space="preserve"> </w:t>
            </w:r>
            <w:r w:rsidR="00F14403">
              <w:rPr>
                <w:rFonts w:ascii="ITC Avant Garde" w:eastAsia="Times New Roman" w:hAnsi="ITC Avant Garde"/>
                <w:color w:val="000000"/>
                <w:sz w:val="20"/>
                <w:szCs w:val="20"/>
                <w:lang w:eastAsia="es-MX"/>
              </w:rPr>
              <w:t>actualizaciones para las metodologías de replicabilidad económica</w:t>
            </w:r>
            <w:r w:rsidR="0067625F">
              <w:rPr>
                <w:rFonts w:ascii="ITC Avant Garde" w:eastAsia="Times New Roman" w:hAnsi="ITC Avant Garde"/>
                <w:color w:val="000000"/>
                <w:sz w:val="20"/>
                <w:szCs w:val="20"/>
                <w:lang w:eastAsia="es-MX"/>
              </w:rPr>
              <w:t>,</w:t>
            </w:r>
            <w:r w:rsidRPr="004F0CF7">
              <w:rPr>
                <w:rFonts w:ascii="ITC Avant Garde" w:eastAsia="Times New Roman" w:hAnsi="ITC Avant Garde"/>
                <w:color w:val="000000"/>
                <w:sz w:val="20"/>
                <w:szCs w:val="20"/>
                <w:lang w:eastAsia="es-MX"/>
              </w:rPr>
              <w:t xml:space="preserve"> l</w:t>
            </w:r>
            <w:r w:rsidR="00F14403">
              <w:rPr>
                <w:rFonts w:ascii="ITC Avant Garde" w:eastAsia="Times New Roman" w:hAnsi="ITC Avant Garde"/>
                <w:color w:val="000000"/>
                <w:sz w:val="20"/>
                <w:szCs w:val="20"/>
                <w:lang w:eastAsia="es-MX"/>
              </w:rPr>
              <w:t>a</w:t>
            </w:r>
            <w:r w:rsidRPr="004F0CF7">
              <w:rPr>
                <w:rFonts w:ascii="ITC Avant Garde" w:eastAsia="Times New Roman" w:hAnsi="ITC Avant Garde"/>
                <w:color w:val="000000"/>
                <w:sz w:val="20"/>
                <w:szCs w:val="20"/>
                <w:lang w:eastAsia="es-MX"/>
              </w:rPr>
              <w:t>s cuales se encuentran reflejad</w:t>
            </w:r>
            <w:r w:rsidR="009C5A1F">
              <w:rPr>
                <w:rFonts w:ascii="ITC Avant Garde" w:eastAsia="Times New Roman" w:hAnsi="ITC Avant Garde"/>
                <w:color w:val="000000"/>
                <w:sz w:val="20"/>
                <w:szCs w:val="20"/>
                <w:lang w:eastAsia="es-MX"/>
              </w:rPr>
              <w:t>a</w:t>
            </w:r>
            <w:r w:rsidRPr="004F0CF7">
              <w:rPr>
                <w:rFonts w:ascii="ITC Avant Garde" w:eastAsia="Times New Roman" w:hAnsi="ITC Avant Garde"/>
                <w:color w:val="000000"/>
                <w:sz w:val="20"/>
                <w:szCs w:val="20"/>
                <w:lang w:eastAsia="es-MX"/>
              </w:rPr>
              <w:t>s en el documento</w:t>
            </w:r>
            <w:r w:rsidR="0043365D">
              <w:rPr>
                <w:rFonts w:ascii="ITC Avant Garde" w:eastAsia="Times New Roman" w:hAnsi="ITC Avant Garde"/>
                <w:color w:val="000000"/>
                <w:sz w:val="20"/>
                <w:szCs w:val="20"/>
                <w:lang w:eastAsia="es-MX"/>
              </w:rPr>
              <w:t xml:space="preserve"> de</w:t>
            </w:r>
            <w:r w:rsidRPr="004F0CF7">
              <w:rPr>
                <w:rFonts w:ascii="ITC Avant Garde" w:eastAsia="Times New Roman" w:hAnsi="ITC Avant Garde"/>
                <w:color w:val="000000"/>
                <w:sz w:val="20"/>
                <w:szCs w:val="20"/>
                <w:lang w:eastAsia="es-MX"/>
              </w:rPr>
              <w:t xml:space="preserve"> </w:t>
            </w:r>
            <w:r w:rsidR="0043365D">
              <w:rPr>
                <w:rFonts w:ascii="ITC Avant Garde" w:eastAsia="Times New Roman" w:hAnsi="ITC Avant Garde"/>
                <w:color w:val="000000"/>
                <w:sz w:val="20"/>
                <w:szCs w:val="20"/>
                <w:lang w:eastAsia="es-MX"/>
              </w:rPr>
              <w:t>E</w:t>
            </w:r>
            <w:r w:rsidRPr="004F0CF7">
              <w:rPr>
                <w:rFonts w:ascii="ITC Avant Garde" w:eastAsia="Times New Roman" w:hAnsi="ITC Avant Garde"/>
                <w:color w:val="000000"/>
                <w:sz w:val="20"/>
                <w:szCs w:val="20"/>
                <w:lang w:eastAsia="es-MX"/>
              </w:rPr>
              <w:t>xcel anexo “</w:t>
            </w:r>
            <w:r w:rsidR="00F14403">
              <w:rPr>
                <w:rFonts w:ascii="ITC Avant Garde" w:eastAsia="Times New Roman" w:hAnsi="ITC Avant Garde"/>
                <w:b/>
                <w:bCs/>
                <w:color w:val="000000"/>
                <w:sz w:val="20"/>
                <w:szCs w:val="20"/>
                <w:lang w:eastAsia="es-MX"/>
              </w:rPr>
              <w:t>Propuesta de Actualización</w:t>
            </w:r>
            <w:r w:rsidRPr="004F0CF7">
              <w:rPr>
                <w:rFonts w:ascii="ITC Avant Garde" w:eastAsia="Times New Roman" w:hAnsi="ITC Avant Garde"/>
                <w:color w:val="000000"/>
                <w:sz w:val="20"/>
                <w:szCs w:val="20"/>
                <w:lang w:eastAsia="es-MX"/>
              </w:rPr>
              <w:t>”.</w:t>
            </w:r>
            <w:r w:rsidR="0067625F">
              <w:rPr>
                <w:rFonts w:ascii="ITC Avant Garde" w:eastAsia="Times New Roman" w:hAnsi="ITC Avant Garde"/>
                <w:color w:val="000000"/>
                <w:sz w:val="20"/>
                <w:szCs w:val="20"/>
                <w:lang w:eastAsia="es-MX"/>
              </w:rPr>
              <w:t xml:space="preserve"> </w:t>
            </w:r>
            <w:r w:rsidR="00F13080">
              <w:rPr>
                <w:rFonts w:ascii="ITC Avant Garde" w:eastAsia="Times New Roman" w:hAnsi="ITC Avant Garde"/>
                <w:color w:val="000000"/>
                <w:sz w:val="20"/>
                <w:szCs w:val="20"/>
                <w:lang w:eastAsia="es-MX"/>
              </w:rPr>
              <w:t>Las propuestas</w:t>
            </w:r>
            <w:r w:rsidR="000A112D" w:rsidRPr="000A112D">
              <w:rPr>
                <w:rFonts w:ascii="ITC Avant Garde" w:eastAsia="Times New Roman" w:hAnsi="ITC Avant Garde"/>
                <w:color w:val="000000"/>
                <w:sz w:val="20"/>
                <w:szCs w:val="20"/>
                <w:lang w:eastAsia="es-MX"/>
              </w:rPr>
              <w:t xml:space="preserve"> busca</w:t>
            </w:r>
            <w:r w:rsidR="00F13080">
              <w:rPr>
                <w:rFonts w:ascii="ITC Avant Garde" w:eastAsia="Times New Roman" w:hAnsi="ITC Avant Garde"/>
                <w:color w:val="000000"/>
                <w:sz w:val="20"/>
                <w:szCs w:val="20"/>
                <w:lang w:eastAsia="es-MX"/>
              </w:rPr>
              <w:t>n</w:t>
            </w:r>
            <w:r w:rsidR="000A112D" w:rsidRPr="000A112D">
              <w:rPr>
                <w:rFonts w:ascii="ITC Avant Garde" w:eastAsia="Times New Roman" w:hAnsi="ITC Avant Garde"/>
                <w:color w:val="000000"/>
                <w:sz w:val="20"/>
                <w:szCs w:val="20"/>
                <w:lang w:eastAsia="es-MX"/>
              </w:rPr>
              <w:t xml:space="preserve"> facilitar a los participantes el análisis de posibles actualizaciones que puedan resulta</w:t>
            </w:r>
            <w:r w:rsidR="000A112D">
              <w:rPr>
                <w:rFonts w:ascii="ITC Avant Garde" w:eastAsia="Times New Roman" w:hAnsi="ITC Avant Garde"/>
                <w:color w:val="000000"/>
                <w:sz w:val="20"/>
                <w:szCs w:val="20"/>
                <w:lang w:eastAsia="es-MX"/>
              </w:rPr>
              <w:t>r</w:t>
            </w:r>
            <w:r w:rsidR="000A112D" w:rsidRPr="000A112D">
              <w:rPr>
                <w:rFonts w:ascii="ITC Avant Garde" w:eastAsia="Times New Roman" w:hAnsi="ITC Avant Garde"/>
                <w:color w:val="000000"/>
                <w:sz w:val="20"/>
                <w:szCs w:val="20"/>
                <w:lang w:eastAsia="es-MX"/>
              </w:rPr>
              <w:t xml:space="preserve"> de utilidad para favorecer </w:t>
            </w:r>
            <w:r w:rsidR="00F13080">
              <w:rPr>
                <w:rFonts w:ascii="ITC Avant Garde" w:eastAsia="Times New Roman" w:hAnsi="ITC Avant Garde"/>
                <w:color w:val="000000"/>
                <w:sz w:val="20"/>
                <w:szCs w:val="20"/>
                <w:lang w:eastAsia="es-MX"/>
              </w:rPr>
              <w:t xml:space="preserve">la consecución de los objetivos regulatorios en </w:t>
            </w:r>
            <w:r w:rsidR="000A112D" w:rsidRPr="000A112D">
              <w:rPr>
                <w:rFonts w:ascii="ITC Avant Garde" w:eastAsia="Times New Roman" w:hAnsi="ITC Avant Garde"/>
                <w:color w:val="000000"/>
                <w:sz w:val="20"/>
                <w:szCs w:val="20"/>
                <w:lang w:eastAsia="es-MX"/>
              </w:rPr>
              <w:t>la implementación de la</w:t>
            </w:r>
            <w:r w:rsidR="00F13080">
              <w:rPr>
                <w:rFonts w:ascii="ITC Avant Garde" w:eastAsia="Times New Roman" w:hAnsi="ITC Avant Garde"/>
                <w:color w:val="000000"/>
                <w:sz w:val="20"/>
                <w:szCs w:val="20"/>
                <w:lang w:eastAsia="es-MX"/>
              </w:rPr>
              <w:t>s</w:t>
            </w:r>
            <w:r w:rsidR="000A112D" w:rsidRPr="000A112D">
              <w:rPr>
                <w:rFonts w:ascii="ITC Avant Garde" w:eastAsia="Times New Roman" w:hAnsi="ITC Avant Garde"/>
                <w:color w:val="000000"/>
                <w:sz w:val="20"/>
                <w:szCs w:val="20"/>
                <w:lang w:eastAsia="es-MX"/>
              </w:rPr>
              <w:t xml:space="preserve"> prueba</w:t>
            </w:r>
            <w:r w:rsidR="00F13080">
              <w:rPr>
                <w:rFonts w:ascii="ITC Avant Garde" w:eastAsia="Times New Roman" w:hAnsi="ITC Avant Garde"/>
                <w:color w:val="000000"/>
                <w:sz w:val="20"/>
                <w:szCs w:val="20"/>
                <w:lang w:eastAsia="es-MX"/>
              </w:rPr>
              <w:t>s</w:t>
            </w:r>
            <w:r w:rsidR="000A112D" w:rsidRPr="000A112D">
              <w:rPr>
                <w:rFonts w:ascii="ITC Avant Garde" w:eastAsia="Times New Roman" w:hAnsi="ITC Avant Garde"/>
                <w:color w:val="000000"/>
                <w:sz w:val="20"/>
                <w:szCs w:val="20"/>
                <w:lang w:eastAsia="es-MX"/>
              </w:rPr>
              <w:t xml:space="preserve"> de replicabilidad económica, así como obtener retroalimentación específica de aquellos elementos de las pruebas de replicabilidad económica que </w:t>
            </w:r>
            <w:r w:rsidR="000A112D">
              <w:rPr>
                <w:rFonts w:ascii="ITC Avant Garde" w:eastAsia="Times New Roman" w:hAnsi="ITC Avant Garde"/>
                <w:color w:val="000000"/>
                <w:sz w:val="20"/>
                <w:szCs w:val="20"/>
                <w:lang w:eastAsia="es-MX"/>
              </w:rPr>
              <w:t xml:space="preserve">pudieran </w:t>
            </w:r>
            <w:r w:rsidR="00F13080">
              <w:rPr>
                <w:rFonts w:ascii="ITC Avant Garde" w:eastAsia="Times New Roman" w:hAnsi="ITC Avant Garde"/>
                <w:color w:val="000000"/>
                <w:sz w:val="20"/>
                <w:szCs w:val="20"/>
                <w:lang w:eastAsia="es-MX"/>
              </w:rPr>
              <w:t>adecuarse</w:t>
            </w:r>
            <w:r w:rsidR="000A112D" w:rsidRPr="000A112D">
              <w:rPr>
                <w:rFonts w:ascii="ITC Avant Garde" w:eastAsia="Times New Roman" w:hAnsi="ITC Avant Garde"/>
                <w:color w:val="000000"/>
                <w:sz w:val="20"/>
                <w:szCs w:val="20"/>
                <w:lang w:eastAsia="es-MX"/>
              </w:rPr>
              <w:t xml:space="preserve"> para </w:t>
            </w:r>
            <w:r w:rsidR="00C91CE4">
              <w:rPr>
                <w:rFonts w:ascii="ITC Avant Garde" w:eastAsia="Times New Roman" w:hAnsi="ITC Avant Garde"/>
                <w:color w:val="000000"/>
                <w:sz w:val="20"/>
                <w:szCs w:val="20"/>
                <w:lang w:eastAsia="es-MX"/>
              </w:rPr>
              <w:t>prevenir</w:t>
            </w:r>
            <w:r w:rsidR="000A112D" w:rsidRPr="000A112D">
              <w:rPr>
                <w:rFonts w:ascii="ITC Avant Garde" w:eastAsia="Times New Roman" w:hAnsi="ITC Avant Garde"/>
                <w:color w:val="000000"/>
                <w:sz w:val="20"/>
                <w:szCs w:val="20"/>
                <w:lang w:eastAsia="es-MX"/>
              </w:rPr>
              <w:t xml:space="preserve"> estrechamiento de márgenes.</w:t>
            </w:r>
            <w:r w:rsidR="004D3BE2">
              <w:rPr>
                <w:rFonts w:ascii="ITC Avant Garde" w:eastAsia="Times New Roman" w:hAnsi="ITC Avant Garde"/>
                <w:color w:val="000000"/>
                <w:sz w:val="20"/>
                <w:szCs w:val="20"/>
                <w:lang w:eastAsia="es-MX"/>
              </w:rPr>
              <w:t xml:space="preserve"> </w:t>
            </w:r>
          </w:p>
          <w:p w14:paraId="3F360285" w14:textId="57B7C64F" w:rsidR="00F13080" w:rsidRDefault="00BA7FC7" w:rsidP="004D3BE2">
            <w:pPr>
              <w:spacing w:before="240" w:after="12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Debe resaltarse que la</w:t>
            </w:r>
            <w:r w:rsidR="00F13080">
              <w:rPr>
                <w:rFonts w:ascii="ITC Avant Garde" w:eastAsia="Times New Roman" w:hAnsi="ITC Avant Garde"/>
                <w:color w:val="000000"/>
                <w:sz w:val="20"/>
                <w:szCs w:val="20"/>
                <w:lang w:eastAsia="es-MX"/>
              </w:rPr>
              <w:t xml:space="preserve">s </w:t>
            </w:r>
            <w:r w:rsidR="00A95ED3">
              <w:rPr>
                <w:rFonts w:ascii="ITC Avant Garde" w:eastAsia="Times New Roman" w:hAnsi="ITC Avant Garde"/>
                <w:color w:val="000000"/>
                <w:sz w:val="20"/>
                <w:szCs w:val="20"/>
                <w:lang w:eastAsia="es-MX"/>
              </w:rPr>
              <w:t xml:space="preserve">propuestas de actualización </w:t>
            </w:r>
            <w:r>
              <w:rPr>
                <w:rFonts w:ascii="ITC Avant Garde" w:eastAsia="Times New Roman" w:hAnsi="ITC Avant Garde"/>
                <w:color w:val="000000"/>
                <w:sz w:val="20"/>
                <w:szCs w:val="20"/>
                <w:lang w:eastAsia="es-MX"/>
              </w:rPr>
              <w:t xml:space="preserve">visibles en </w:t>
            </w:r>
            <w:r w:rsidR="00A95ED3">
              <w:rPr>
                <w:rFonts w:ascii="ITC Avant Garde" w:eastAsia="Times New Roman" w:hAnsi="ITC Avant Garde"/>
                <w:color w:val="000000"/>
                <w:sz w:val="20"/>
                <w:szCs w:val="20"/>
                <w:lang w:eastAsia="es-MX"/>
              </w:rPr>
              <w:t xml:space="preserve">el archivo Excel anteriormente referido corresponden </w:t>
            </w:r>
            <w:r>
              <w:rPr>
                <w:rFonts w:ascii="ITC Avant Garde" w:eastAsia="Times New Roman" w:hAnsi="ITC Avant Garde"/>
                <w:color w:val="000000"/>
                <w:sz w:val="20"/>
                <w:szCs w:val="20"/>
                <w:lang w:eastAsia="es-MX"/>
              </w:rPr>
              <w:t xml:space="preserve">meramente </w:t>
            </w:r>
            <w:r w:rsidR="00A95ED3">
              <w:rPr>
                <w:rFonts w:ascii="ITC Avant Garde" w:eastAsia="Times New Roman" w:hAnsi="ITC Avant Garde"/>
                <w:color w:val="000000"/>
                <w:sz w:val="20"/>
                <w:szCs w:val="20"/>
                <w:lang w:eastAsia="es-MX"/>
              </w:rPr>
              <w:t xml:space="preserve">a </w:t>
            </w:r>
            <w:r w:rsidR="00CD0188">
              <w:rPr>
                <w:rFonts w:ascii="ITC Avant Garde" w:eastAsia="Times New Roman" w:hAnsi="ITC Avant Garde"/>
                <w:color w:val="000000"/>
                <w:sz w:val="20"/>
                <w:szCs w:val="20"/>
                <w:lang w:eastAsia="es-MX"/>
              </w:rPr>
              <w:t>consideraci</w:t>
            </w:r>
            <w:r w:rsidR="00A95ED3">
              <w:rPr>
                <w:rFonts w:ascii="ITC Avant Garde" w:eastAsia="Times New Roman" w:hAnsi="ITC Avant Garde"/>
                <w:color w:val="000000"/>
                <w:sz w:val="20"/>
                <w:szCs w:val="20"/>
                <w:lang w:eastAsia="es-MX"/>
              </w:rPr>
              <w:t>o</w:t>
            </w:r>
            <w:r w:rsidR="00CD0188">
              <w:rPr>
                <w:rFonts w:ascii="ITC Avant Garde" w:eastAsia="Times New Roman" w:hAnsi="ITC Avant Garde"/>
                <w:color w:val="000000"/>
                <w:sz w:val="20"/>
                <w:szCs w:val="20"/>
                <w:lang w:eastAsia="es-MX"/>
              </w:rPr>
              <w:t>n</w:t>
            </w:r>
            <w:r w:rsidR="00A95ED3">
              <w:rPr>
                <w:rFonts w:ascii="ITC Avant Garde" w:eastAsia="Times New Roman" w:hAnsi="ITC Avant Garde"/>
                <w:color w:val="000000"/>
                <w:sz w:val="20"/>
                <w:szCs w:val="20"/>
                <w:lang w:eastAsia="es-MX"/>
              </w:rPr>
              <w:t>es</w:t>
            </w:r>
            <w:r>
              <w:rPr>
                <w:rFonts w:ascii="ITC Avant Garde" w:eastAsia="Times New Roman" w:hAnsi="ITC Avant Garde"/>
                <w:color w:val="000000"/>
                <w:sz w:val="20"/>
                <w:szCs w:val="20"/>
                <w:lang w:eastAsia="es-MX"/>
              </w:rPr>
              <w:t xml:space="preserve"> de las distintas posibilidades de </w:t>
            </w:r>
            <w:r w:rsidR="00A95ED3">
              <w:rPr>
                <w:rFonts w:ascii="ITC Avant Garde" w:eastAsia="Times New Roman" w:hAnsi="ITC Avant Garde"/>
                <w:color w:val="000000"/>
                <w:sz w:val="20"/>
                <w:szCs w:val="20"/>
                <w:lang w:eastAsia="es-MX"/>
              </w:rPr>
              <w:t>elementos a actualizar</w:t>
            </w:r>
            <w:r>
              <w:rPr>
                <w:rFonts w:ascii="ITC Avant Garde" w:eastAsia="Times New Roman" w:hAnsi="ITC Avant Garde"/>
                <w:color w:val="000000"/>
                <w:sz w:val="20"/>
                <w:szCs w:val="20"/>
                <w:lang w:eastAsia="es-MX"/>
              </w:rPr>
              <w:t>, sin que ello signifique que el Instituto se encuentr</w:t>
            </w:r>
            <w:r w:rsidR="00CD0188">
              <w:rPr>
                <w:rFonts w:ascii="ITC Avant Garde" w:eastAsia="Times New Roman" w:hAnsi="ITC Avant Garde"/>
                <w:color w:val="000000"/>
                <w:sz w:val="20"/>
                <w:szCs w:val="20"/>
                <w:lang w:eastAsia="es-MX"/>
              </w:rPr>
              <w:t xml:space="preserve">e </w:t>
            </w:r>
            <w:r w:rsidR="00F13080">
              <w:rPr>
                <w:rFonts w:ascii="ITC Avant Garde" w:eastAsia="Times New Roman" w:hAnsi="ITC Avant Garde"/>
                <w:color w:val="000000"/>
                <w:sz w:val="20"/>
                <w:szCs w:val="20"/>
                <w:lang w:eastAsia="es-MX"/>
              </w:rPr>
              <w:t>limitado a realizar las adecuaciones que resulten necesari</w:t>
            </w:r>
            <w:r w:rsidR="00C91CE4">
              <w:rPr>
                <w:rFonts w:ascii="ITC Avant Garde" w:eastAsia="Times New Roman" w:hAnsi="ITC Avant Garde"/>
                <w:color w:val="000000"/>
                <w:sz w:val="20"/>
                <w:szCs w:val="20"/>
                <w:lang w:eastAsia="es-MX"/>
              </w:rPr>
              <w:t>a</w:t>
            </w:r>
            <w:r w:rsidR="00F13080">
              <w:rPr>
                <w:rFonts w:ascii="ITC Avant Garde" w:eastAsia="Times New Roman" w:hAnsi="ITC Avant Garde"/>
                <w:color w:val="000000"/>
                <w:sz w:val="20"/>
                <w:szCs w:val="20"/>
                <w:lang w:eastAsia="es-MX"/>
              </w:rPr>
              <w:t>s en las metodologías, términos y condiciones para llevar a cabo las pruebas de replicabilidad económica</w:t>
            </w:r>
            <w:r>
              <w:rPr>
                <w:rFonts w:ascii="ITC Avant Garde" w:eastAsia="Times New Roman" w:hAnsi="ITC Avant Garde"/>
                <w:color w:val="000000"/>
                <w:sz w:val="20"/>
                <w:szCs w:val="20"/>
                <w:lang w:eastAsia="es-MX"/>
              </w:rPr>
              <w:t>.</w:t>
            </w:r>
            <w:r w:rsidR="00E7534A">
              <w:rPr>
                <w:rFonts w:ascii="ITC Avant Garde" w:eastAsia="Times New Roman" w:hAnsi="ITC Avant Garde"/>
                <w:color w:val="000000"/>
                <w:sz w:val="20"/>
                <w:szCs w:val="20"/>
                <w:lang w:eastAsia="es-MX"/>
              </w:rPr>
              <w:t xml:space="preserve"> </w:t>
            </w:r>
          </w:p>
          <w:p w14:paraId="256E8BB9" w14:textId="18D2AE10" w:rsidR="00E4524F" w:rsidRDefault="007F4DB5" w:rsidP="007F4DB5">
            <w:p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Por </w:t>
            </w:r>
            <w:r w:rsidR="00F13080">
              <w:rPr>
                <w:rFonts w:ascii="ITC Avant Garde" w:eastAsia="Times New Roman" w:hAnsi="ITC Avant Garde"/>
                <w:color w:val="000000"/>
                <w:sz w:val="20"/>
                <w:szCs w:val="20"/>
                <w:lang w:eastAsia="es-MX"/>
              </w:rPr>
              <w:t>lo anterior</w:t>
            </w:r>
            <w:r>
              <w:rPr>
                <w:rFonts w:ascii="ITC Avant Garde" w:eastAsia="Times New Roman" w:hAnsi="ITC Avant Garde"/>
                <w:color w:val="000000"/>
                <w:sz w:val="20"/>
                <w:szCs w:val="20"/>
                <w:lang w:eastAsia="es-MX"/>
              </w:rPr>
              <w:t xml:space="preserve">, </w:t>
            </w:r>
            <w:r w:rsidR="004F0CF7" w:rsidRPr="007473C3">
              <w:rPr>
                <w:rFonts w:ascii="ITC Avant Garde" w:eastAsia="Times New Roman" w:hAnsi="ITC Avant Garde"/>
                <w:b/>
                <w:bCs/>
                <w:color w:val="000000"/>
                <w:sz w:val="20"/>
                <w:szCs w:val="20"/>
                <w:lang w:eastAsia="es-MX"/>
              </w:rPr>
              <w:t>se solicita a</w:t>
            </w:r>
            <w:r w:rsidR="004D3BE2">
              <w:rPr>
                <w:rFonts w:ascii="ITC Avant Garde" w:eastAsia="Times New Roman" w:hAnsi="ITC Avant Garde"/>
                <w:b/>
                <w:bCs/>
                <w:color w:val="000000"/>
                <w:sz w:val="20"/>
                <w:szCs w:val="20"/>
                <w:lang w:eastAsia="es-MX"/>
              </w:rPr>
              <w:t xml:space="preserve"> </w:t>
            </w:r>
            <w:r w:rsidR="004F0CF7" w:rsidRPr="007473C3">
              <w:rPr>
                <w:rFonts w:ascii="ITC Avant Garde" w:eastAsia="Times New Roman" w:hAnsi="ITC Avant Garde"/>
                <w:b/>
                <w:bCs/>
                <w:color w:val="000000"/>
                <w:sz w:val="20"/>
                <w:szCs w:val="20"/>
                <w:lang w:eastAsia="es-MX"/>
              </w:rPr>
              <w:t>l</w:t>
            </w:r>
            <w:r w:rsidR="004D3BE2">
              <w:rPr>
                <w:rFonts w:ascii="ITC Avant Garde" w:eastAsia="Times New Roman" w:hAnsi="ITC Avant Garde"/>
                <w:b/>
                <w:bCs/>
                <w:color w:val="000000"/>
                <w:sz w:val="20"/>
                <w:szCs w:val="20"/>
                <w:lang w:eastAsia="es-MX"/>
              </w:rPr>
              <w:t>as personas interesadas en participar</w:t>
            </w:r>
            <w:r w:rsidR="00E4524F">
              <w:rPr>
                <w:rFonts w:ascii="ITC Avant Garde" w:eastAsia="Times New Roman" w:hAnsi="ITC Avant Garde"/>
                <w:color w:val="000000"/>
                <w:sz w:val="20"/>
                <w:szCs w:val="20"/>
                <w:lang w:eastAsia="es-MX"/>
              </w:rPr>
              <w:t>:</w:t>
            </w:r>
          </w:p>
          <w:p w14:paraId="2ABEAE99" w14:textId="2A02D5A8" w:rsidR="004F0CF7" w:rsidRDefault="00E4524F" w:rsidP="00584CB6">
            <w:pPr>
              <w:pStyle w:val="Prrafodelista"/>
              <w:numPr>
                <w:ilvl w:val="0"/>
                <w:numId w:val="41"/>
              </w:num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u w:val="single"/>
                <w:lang w:eastAsia="es-MX"/>
              </w:rPr>
              <w:t>R</w:t>
            </w:r>
            <w:r w:rsidR="004F0CF7" w:rsidRPr="007473C3">
              <w:rPr>
                <w:rFonts w:ascii="ITC Avant Garde" w:eastAsia="Times New Roman" w:hAnsi="ITC Avant Garde"/>
                <w:color w:val="000000"/>
                <w:sz w:val="20"/>
                <w:szCs w:val="20"/>
                <w:u w:val="single"/>
                <w:lang w:eastAsia="es-MX"/>
              </w:rPr>
              <w:t>ealizar las aportaciones</w:t>
            </w:r>
            <w:r w:rsidR="004775AE" w:rsidRPr="007473C3">
              <w:rPr>
                <w:rFonts w:ascii="ITC Avant Garde" w:eastAsia="Times New Roman" w:hAnsi="ITC Avant Garde"/>
                <w:color w:val="000000"/>
                <w:sz w:val="20"/>
                <w:szCs w:val="20"/>
                <w:u w:val="single"/>
                <w:lang w:eastAsia="es-MX"/>
              </w:rPr>
              <w:t>,</w:t>
            </w:r>
            <w:r w:rsidR="004F0CF7" w:rsidRPr="007473C3">
              <w:rPr>
                <w:rFonts w:ascii="ITC Avant Garde" w:eastAsia="Times New Roman" w:hAnsi="ITC Avant Garde"/>
                <w:color w:val="000000"/>
                <w:sz w:val="20"/>
                <w:szCs w:val="20"/>
                <w:u w:val="single"/>
                <w:lang w:eastAsia="es-MX"/>
              </w:rPr>
              <w:t xml:space="preserve"> comentarios</w:t>
            </w:r>
            <w:r w:rsidR="004775AE" w:rsidRPr="007473C3">
              <w:rPr>
                <w:rFonts w:ascii="ITC Avant Garde" w:eastAsia="Times New Roman" w:hAnsi="ITC Avant Garde"/>
                <w:color w:val="000000"/>
                <w:sz w:val="20"/>
                <w:szCs w:val="20"/>
                <w:u w:val="single"/>
                <w:lang w:eastAsia="es-MX"/>
              </w:rPr>
              <w:t xml:space="preserve"> y </w:t>
            </w:r>
            <w:r w:rsidR="004F0CF7" w:rsidRPr="007473C3">
              <w:rPr>
                <w:rFonts w:ascii="ITC Avant Garde" w:eastAsia="Times New Roman" w:hAnsi="ITC Avant Garde"/>
                <w:color w:val="000000"/>
                <w:sz w:val="20"/>
                <w:szCs w:val="20"/>
                <w:u w:val="single"/>
                <w:lang w:eastAsia="es-MX"/>
              </w:rPr>
              <w:t xml:space="preserve">justificaciones </w:t>
            </w:r>
            <w:r w:rsidR="004775AE" w:rsidRPr="007473C3">
              <w:rPr>
                <w:rFonts w:ascii="ITC Avant Garde" w:eastAsia="Times New Roman" w:hAnsi="ITC Avant Garde"/>
                <w:color w:val="000000"/>
                <w:sz w:val="20"/>
                <w:szCs w:val="20"/>
                <w:u w:val="single"/>
                <w:lang w:eastAsia="es-MX"/>
              </w:rPr>
              <w:t xml:space="preserve">que considere relevantes </w:t>
            </w:r>
            <w:r w:rsidR="004F0CF7" w:rsidRPr="007473C3">
              <w:rPr>
                <w:rFonts w:ascii="ITC Avant Garde" w:eastAsia="Times New Roman" w:hAnsi="ITC Avant Garde"/>
                <w:color w:val="000000"/>
                <w:sz w:val="20"/>
                <w:szCs w:val="20"/>
                <w:u w:val="single"/>
                <w:lang w:eastAsia="es-MX"/>
              </w:rPr>
              <w:t>para cada indicador</w:t>
            </w:r>
            <w:r w:rsidR="004F0CF7" w:rsidRPr="007473C3">
              <w:rPr>
                <w:rFonts w:ascii="ITC Avant Garde" w:eastAsia="Times New Roman" w:hAnsi="ITC Avant Garde"/>
                <w:color w:val="000000"/>
                <w:sz w:val="20"/>
                <w:szCs w:val="20"/>
                <w:lang w:eastAsia="es-MX"/>
              </w:rPr>
              <w:t xml:space="preserve"> en la</w:t>
            </w:r>
            <w:r w:rsidR="002B1AD7" w:rsidRPr="007473C3">
              <w:rPr>
                <w:rFonts w:ascii="ITC Avant Garde" w:eastAsia="Times New Roman" w:hAnsi="ITC Avant Garde"/>
                <w:color w:val="000000"/>
                <w:sz w:val="20"/>
                <w:szCs w:val="20"/>
                <w:lang w:eastAsia="es-MX"/>
              </w:rPr>
              <w:t>s</w:t>
            </w:r>
            <w:r w:rsidR="004F0CF7" w:rsidRPr="007473C3">
              <w:rPr>
                <w:rFonts w:ascii="ITC Avant Garde" w:eastAsia="Times New Roman" w:hAnsi="ITC Avant Garde"/>
                <w:color w:val="000000"/>
                <w:sz w:val="20"/>
                <w:szCs w:val="20"/>
                <w:lang w:eastAsia="es-MX"/>
              </w:rPr>
              <w:t xml:space="preserve"> columna</w:t>
            </w:r>
            <w:r w:rsidR="002B1AD7" w:rsidRPr="007473C3">
              <w:rPr>
                <w:rFonts w:ascii="ITC Avant Garde" w:eastAsia="Times New Roman" w:hAnsi="ITC Avant Garde"/>
                <w:color w:val="000000"/>
                <w:sz w:val="20"/>
                <w:szCs w:val="20"/>
                <w:lang w:eastAsia="es-MX"/>
              </w:rPr>
              <w:t>s</w:t>
            </w:r>
            <w:r w:rsidR="004F0CF7" w:rsidRPr="007473C3">
              <w:rPr>
                <w:rFonts w:ascii="ITC Avant Garde" w:eastAsia="Times New Roman" w:hAnsi="ITC Avant Garde"/>
                <w:color w:val="000000"/>
                <w:sz w:val="20"/>
                <w:szCs w:val="20"/>
                <w:lang w:eastAsia="es-MX"/>
              </w:rPr>
              <w:t xml:space="preserve"> de </w:t>
            </w:r>
            <w:r w:rsidR="00A95ED3">
              <w:rPr>
                <w:rFonts w:ascii="ITC Avant Garde" w:eastAsia="Times New Roman" w:hAnsi="ITC Avant Garde"/>
                <w:color w:val="000000"/>
                <w:sz w:val="20"/>
                <w:szCs w:val="20"/>
                <w:lang w:eastAsia="es-MX"/>
              </w:rPr>
              <w:t>“</w:t>
            </w:r>
            <w:proofErr w:type="gramStart"/>
            <w:r w:rsidR="004F0CF7" w:rsidRPr="007473C3">
              <w:rPr>
                <w:rFonts w:ascii="ITC Avant Garde" w:eastAsia="Times New Roman" w:hAnsi="ITC Avant Garde"/>
                <w:color w:val="000000"/>
                <w:sz w:val="20"/>
                <w:szCs w:val="20"/>
                <w:lang w:eastAsia="es-MX"/>
              </w:rPr>
              <w:t>comentarios</w:t>
            </w:r>
            <w:r w:rsidR="00A95ED3">
              <w:rPr>
                <w:rFonts w:ascii="ITC Avant Garde" w:eastAsia="Times New Roman" w:hAnsi="ITC Avant Garde"/>
                <w:color w:val="000000"/>
                <w:sz w:val="20"/>
                <w:szCs w:val="20"/>
                <w:lang w:eastAsia="es-MX"/>
              </w:rPr>
              <w:t xml:space="preserve"> participante</w:t>
            </w:r>
            <w:proofErr w:type="gramEnd"/>
            <w:r w:rsidR="00A95ED3">
              <w:rPr>
                <w:rFonts w:ascii="ITC Avant Garde" w:eastAsia="Times New Roman" w:hAnsi="ITC Avant Garde"/>
                <w:color w:val="000000"/>
                <w:sz w:val="20"/>
                <w:szCs w:val="20"/>
                <w:lang w:eastAsia="es-MX"/>
              </w:rPr>
              <w:t>”</w:t>
            </w:r>
            <w:r w:rsidR="004F0CF7" w:rsidRPr="007473C3">
              <w:rPr>
                <w:rFonts w:ascii="ITC Avant Garde" w:eastAsia="Times New Roman" w:hAnsi="ITC Avant Garde"/>
                <w:color w:val="000000"/>
                <w:sz w:val="20"/>
                <w:szCs w:val="20"/>
                <w:lang w:eastAsia="es-MX"/>
              </w:rPr>
              <w:t xml:space="preserve"> </w:t>
            </w:r>
            <w:r w:rsidR="002B1AD7" w:rsidRPr="007473C3">
              <w:rPr>
                <w:rFonts w:ascii="ITC Avant Garde" w:eastAsia="Times New Roman" w:hAnsi="ITC Avant Garde"/>
                <w:color w:val="000000"/>
                <w:sz w:val="20"/>
                <w:szCs w:val="20"/>
                <w:lang w:eastAsia="es-MX"/>
              </w:rPr>
              <w:t xml:space="preserve">y </w:t>
            </w:r>
            <w:r w:rsidR="00A95ED3">
              <w:rPr>
                <w:rFonts w:ascii="ITC Avant Garde" w:eastAsia="Times New Roman" w:hAnsi="ITC Avant Garde"/>
                <w:color w:val="000000"/>
                <w:sz w:val="20"/>
                <w:szCs w:val="20"/>
                <w:lang w:eastAsia="es-MX"/>
              </w:rPr>
              <w:t>“</w:t>
            </w:r>
            <w:r w:rsidR="002B1AD7" w:rsidRPr="007473C3">
              <w:rPr>
                <w:rFonts w:ascii="ITC Avant Garde" w:eastAsia="Times New Roman" w:hAnsi="ITC Avant Garde"/>
                <w:color w:val="000000"/>
                <w:sz w:val="20"/>
                <w:szCs w:val="20"/>
                <w:lang w:eastAsia="es-MX"/>
              </w:rPr>
              <w:t xml:space="preserve">justificación </w:t>
            </w:r>
            <w:r w:rsidR="00A95ED3">
              <w:rPr>
                <w:rFonts w:ascii="ITC Avant Garde" w:eastAsia="Times New Roman" w:hAnsi="ITC Avant Garde"/>
                <w:color w:val="000000"/>
                <w:sz w:val="20"/>
                <w:szCs w:val="20"/>
                <w:lang w:eastAsia="es-MX"/>
              </w:rPr>
              <w:t xml:space="preserve">participante” </w:t>
            </w:r>
            <w:r w:rsidR="004F0CF7" w:rsidRPr="007473C3">
              <w:rPr>
                <w:rFonts w:ascii="ITC Avant Garde" w:eastAsia="Times New Roman" w:hAnsi="ITC Avant Garde"/>
                <w:color w:val="000000"/>
                <w:sz w:val="20"/>
                <w:szCs w:val="20"/>
                <w:lang w:eastAsia="es-MX"/>
              </w:rPr>
              <w:t>que se incluye</w:t>
            </w:r>
            <w:r w:rsidR="002B1AD7" w:rsidRPr="007473C3">
              <w:rPr>
                <w:rFonts w:ascii="ITC Avant Garde" w:eastAsia="Times New Roman" w:hAnsi="ITC Avant Garde"/>
                <w:color w:val="000000"/>
                <w:sz w:val="20"/>
                <w:szCs w:val="20"/>
                <w:lang w:eastAsia="es-MX"/>
              </w:rPr>
              <w:t>n</w:t>
            </w:r>
            <w:r w:rsidR="004F0CF7" w:rsidRPr="007473C3">
              <w:rPr>
                <w:rFonts w:ascii="ITC Avant Garde" w:eastAsia="Times New Roman" w:hAnsi="ITC Avant Garde"/>
                <w:color w:val="000000"/>
                <w:sz w:val="20"/>
                <w:szCs w:val="20"/>
                <w:lang w:eastAsia="es-MX"/>
              </w:rPr>
              <w:t xml:space="preserve"> en </w:t>
            </w:r>
            <w:r w:rsidR="00A95ED3">
              <w:rPr>
                <w:rFonts w:ascii="ITC Avant Garde" w:eastAsia="Times New Roman" w:hAnsi="ITC Avant Garde"/>
                <w:color w:val="000000"/>
                <w:sz w:val="20"/>
                <w:szCs w:val="20"/>
                <w:lang w:eastAsia="es-MX"/>
              </w:rPr>
              <w:t>las pestañas “móvil” y “fijo” d</w:t>
            </w:r>
            <w:r w:rsidR="004F0CF7" w:rsidRPr="007473C3">
              <w:rPr>
                <w:rFonts w:ascii="ITC Avant Garde" w:eastAsia="Times New Roman" w:hAnsi="ITC Avant Garde"/>
                <w:color w:val="000000"/>
                <w:sz w:val="20"/>
                <w:szCs w:val="20"/>
                <w:lang w:eastAsia="es-MX"/>
              </w:rPr>
              <w:t>el documento</w:t>
            </w:r>
            <w:r w:rsidR="004775AE" w:rsidRPr="007473C3">
              <w:rPr>
                <w:rFonts w:ascii="ITC Avant Garde" w:eastAsia="Times New Roman" w:hAnsi="ITC Avant Garde"/>
                <w:color w:val="000000"/>
                <w:sz w:val="20"/>
                <w:szCs w:val="20"/>
                <w:lang w:eastAsia="es-MX"/>
              </w:rPr>
              <w:t xml:space="preserve"> “</w:t>
            </w:r>
            <w:r w:rsidR="00A95ED3">
              <w:rPr>
                <w:rFonts w:ascii="ITC Avant Garde" w:eastAsia="Times New Roman" w:hAnsi="ITC Avant Garde"/>
                <w:b/>
                <w:bCs/>
                <w:color w:val="000000"/>
                <w:sz w:val="20"/>
                <w:szCs w:val="20"/>
                <w:lang w:eastAsia="es-MX"/>
              </w:rPr>
              <w:t>Propuesta de Actualización</w:t>
            </w:r>
            <w:r w:rsidR="004775AE" w:rsidRPr="007473C3">
              <w:rPr>
                <w:rFonts w:ascii="ITC Avant Garde" w:eastAsia="Times New Roman" w:hAnsi="ITC Avant Garde"/>
                <w:color w:val="000000"/>
                <w:sz w:val="20"/>
                <w:szCs w:val="20"/>
                <w:lang w:eastAsia="es-MX"/>
              </w:rPr>
              <w:t>”</w:t>
            </w:r>
            <w:r>
              <w:rPr>
                <w:rFonts w:ascii="ITC Avant Garde" w:eastAsia="Times New Roman" w:hAnsi="ITC Avant Garde"/>
                <w:color w:val="000000"/>
                <w:sz w:val="20"/>
                <w:szCs w:val="20"/>
                <w:lang w:eastAsia="es-MX"/>
              </w:rPr>
              <w:t>.</w:t>
            </w:r>
          </w:p>
          <w:p w14:paraId="15C68BCE" w14:textId="5A288945" w:rsidR="0089041C" w:rsidRPr="00260C4C" w:rsidRDefault="0089041C" w:rsidP="00584CB6">
            <w:pPr>
              <w:pStyle w:val="Prrafodelista"/>
              <w:numPr>
                <w:ilvl w:val="0"/>
                <w:numId w:val="41"/>
              </w:num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Señalar los comentarios específicos relacionados con los modelos del apartado </w:t>
            </w:r>
            <w:r w:rsidRPr="00260C4C">
              <w:rPr>
                <w:rFonts w:ascii="ITC Avant Garde" w:eastAsia="Times New Roman" w:hAnsi="ITC Avant Garde"/>
                <w:b/>
                <w:bCs/>
                <w:color w:val="000000"/>
                <w:sz w:val="20"/>
                <w:szCs w:val="20"/>
                <w:lang w:eastAsia="es-MX"/>
              </w:rPr>
              <w:t>IV.</w:t>
            </w:r>
            <w:r w:rsidRPr="00260C4C">
              <w:rPr>
                <w:rFonts w:ascii="ITC Avant Garde" w:eastAsia="Times New Roman" w:hAnsi="ITC Avant Garde"/>
                <w:b/>
                <w:bCs/>
                <w:color w:val="000000"/>
                <w:sz w:val="20"/>
                <w:szCs w:val="20"/>
                <w:lang w:eastAsia="es-MX"/>
              </w:rPr>
              <w:tab/>
              <w:t>Comentarios, opiniones y aportaciones específicos sobre los modelos de las pruebas de replicabilidad con la actualización propuesta</w:t>
            </w:r>
            <w:r>
              <w:rPr>
                <w:rFonts w:ascii="ITC Avant Garde" w:eastAsia="Times New Roman" w:hAnsi="ITC Avant Garde"/>
                <w:b/>
                <w:bCs/>
                <w:color w:val="000000"/>
                <w:sz w:val="20"/>
                <w:szCs w:val="20"/>
                <w:lang w:eastAsia="es-MX"/>
              </w:rPr>
              <w:t>.</w:t>
            </w:r>
          </w:p>
          <w:p w14:paraId="550E9215" w14:textId="4F1513A5" w:rsidR="00F13080" w:rsidRPr="004D3BE2" w:rsidRDefault="00AE3C2C" w:rsidP="007473C3">
            <w:pPr>
              <w:pStyle w:val="Prrafodelista"/>
              <w:numPr>
                <w:ilvl w:val="0"/>
                <w:numId w:val="41"/>
              </w:numPr>
              <w:spacing w:before="240" w:after="120" w:line="240" w:lineRule="auto"/>
              <w:ind w:right="309"/>
              <w:jc w:val="both"/>
              <w:rPr>
                <w:rFonts w:ascii="ITC Avant Garde" w:eastAsia="Times New Roman" w:hAnsi="ITC Avant Garde"/>
                <w:color w:val="000000"/>
                <w:sz w:val="20"/>
                <w:szCs w:val="20"/>
                <w:lang w:eastAsia="es-MX"/>
              </w:rPr>
            </w:pPr>
            <w:r w:rsidRPr="00AE3C2C">
              <w:rPr>
                <w:rFonts w:ascii="ITC Avant Garde" w:eastAsia="Times New Roman" w:hAnsi="ITC Avant Garde"/>
                <w:color w:val="000000"/>
                <w:sz w:val="20"/>
                <w:szCs w:val="20"/>
                <w:u w:val="single"/>
                <w:lang w:eastAsia="es-MX"/>
              </w:rPr>
              <w:t xml:space="preserve">Realizar los comentarios, opiniones y aportaciones generales de su interés en el apartado </w:t>
            </w:r>
            <w:r w:rsidRPr="00AE3C2C">
              <w:rPr>
                <w:rFonts w:ascii="ITC Avant Garde" w:eastAsia="Times New Roman" w:hAnsi="ITC Avant Garde"/>
                <w:b/>
                <w:bCs/>
                <w:color w:val="000000"/>
                <w:sz w:val="20"/>
                <w:szCs w:val="20"/>
                <w:u w:val="single"/>
                <w:lang w:eastAsia="es-MX"/>
              </w:rPr>
              <w:t>V. Comentarios, opiniones y aportaciones generales de la persona participante sobre el asunto en consulta pública.</w:t>
            </w:r>
          </w:p>
          <w:p w14:paraId="383653F1" w14:textId="3DFB0E08" w:rsidR="008406AA" w:rsidRPr="008406AA" w:rsidRDefault="00F13080" w:rsidP="00F13080">
            <w:pPr>
              <w:jc w:val="both"/>
              <w:rPr>
                <w:sz w:val="18"/>
                <w:lang w:eastAsia="es-MX"/>
              </w:rPr>
            </w:pPr>
            <w:r>
              <w:rPr>
                <w:rFonts w:ascii="ITC Avant Garde" w:eastAsia="Times New Roman" w:hAnsi="ITC Avant Garde"/>
                <w:color w:val="000000"/>
                <w:sz w:val="20"/>
                <w:szCs w:val="20"/>
                <w:lang w:eastAsia="es-MX"/>
              </w:rPr>
              <w:t>F</w:t>
            </w:r>
            <w:r w:rsidR="00600500">
              <w:rPr>
                <w:rFonts w:ascii="ITC Avant Garde" w:eastAsia="Times New Roman" w:hAnsi="ITC Avant Garde"/>
                <w:color w:val="000000"/>
                <w:sz w:val="20"/>
                <w:szCs w:val="20"/>
                <w:lang w:eastAsia="es-MX"/>
              </w:rPr>
              <w:t>inalmente, se reitera que c</w:t>
            </w:r>
            <w:r w:rsidR="00E4524F" w:rsidRPr="004F0CF7">
              <w:rPr>
                <w:rFonts w:ascii="ITC Avant Garde" w:eastAsia="Times New Roman" w:hAnsi="ITC Avant Garde"/>
                <w:color w:val="000000"/>
                <w:sz w:val="20"/>
                <w:szCs w:val="20"/>
                <w:lang w:eastAsia="es-MX"/>
              </w:rPr>
              <w:t xml:space="preserve">on esta consulta pública de integración el Instituto busca </w:t>
            </w:r>
            <w:r w:rsidR="00600500">
              <w:rPr>
                <w:rFonts w:ascii="ITC Avant Garde" w:eastAsia="Times New Roman" w:hAnsi="ITC Avant Garde"/>
                <w:color w:val="000000"/>
                <w:sz w:val="20"/>
                <w:szCs w:val="20"/>
                <w:lang w:eastAsia="es-MX"/>
              </w:rPr>
              <w:t xml:space="preserve">allegarse de más elementos para </w:t>
            </w:r>
            <w:r w:rsidR="00E4524F" w:rsidRPr="004F0CF7">
              <w:rPr>
                <w:rFonts w:ascii="ITC Avant Garde" w:eastAsia="Times New Roman" w:hAnsi="ITC Avant Garde"/>
                <w:color w:val="000000"/>
                <w:sz w:val="20"/>
                <w:szCs w:val="20"/>
                <w:lang w:eastAsia="es-MX"/>
              </w:rPr>
              <w:t xml:space="preserve">identificar aquellas </w:t>
            </w:r>
            <w:r>
              <w:rPr>
                <w:rFonts w:ascii="ITC Avant Garde" w:eastAsia="Times New Roman" w:hAnsi="ITC Avant Garde"/>
                <w:color w:val="000000"/>
                <w:sz w:val="20"/>
                <w:szCs w:val="20"/>
                <w:lang w:eastAsia="es-MX"/>
              </w:rPr>
              <w:t xml:space="preserve">adecuaciones necesarias para la realización de </w:t>
            </w:r>
            <w:r w:rsidR="00E4524F" w:rsidRPr="004F0CF7">
              <w:rPr>
                <w:rFonts w:ascii="ITC Avant Garde" w:eastAsia="Times New Roman" w:hAnsi="ITC Avant Garde"/>
                <w:color w:val="000000"/>
                <w:sz w:val="20"/>
                <w:szCs w:val="20"/>
                <w:lang w:eastAsia="es-MX"/>
              </w:rPr>
              <w:t>l</w:t>
            </w:r>
            <w:r w:rsidR="009C6A6F">
              <w:rPr>
                <w:rFonts w:ascii="ITC Avant Garde" w:eastAsia="Times New Roman" w:hAnsi="ITC Avant Garde"/>
                <w:color w:val="000000"/>
                <w:sz w:val="20"/>
                <w:szCs w:val="20"/>
                <w:lang w:eastAsia="es-MX"/>
              </w:rPr>
              <w:t>a</w:t>
            </w:r>
            <w:r w:rsidR="00E4524F" w:rsidRPr="004F0CF7">
              <w:rPr>
                <w:rFonts w:ascii="ITC Avant Garde" w:eastAsia="Times New Roman" w:hAnsi="ITC Avant Garde"/>
                <w:color w:val="000000"/>
                <w:sz w:val="20"/>
                <w:szCs w:val="20"/>
                <w:lang w:eastAsia="es-MX"/>
              </w:rPr>
              <w:t xml:space="preserve">s </w:t>
            </w:r>
            <w:r w:rsidR="009C6A6F">
              <w:rPr>
                <w:rFonts w:ascii="ITC Avant Garde" w:eastAsia="Times New Roman" w:hAnsi="ITC Avant Garde"/>
                <w:color w:val="000000"/>
                <w:sz w:val="20"/>
                <w:szCs w:val="20"/>
                <w:lang w:eastAsia="es-MX"/>
              </w:rPr>
              <w:t xml:space="preserve">pruebas de </w:t>
            </w:r>
            <w:r w:rsidR="009C6A6F" w:rsidRPr="009C6A6F">
              <w:rPr>
                <w:rFonts w:ascii="ITC Avant Garde" w:eastAsia="Times New Roman" w:hAnsi="ITC Avant Garde"/>
                <w:color w:val="000000"/>
                <w:sz w:val="20"/>
                <w:szCs w:val="20"/>
                <w:lang w:eastAsia="es-MX"/>
              </w:rPr>
              <w:t xml:space="preserve">replicabilidad </w:t>
            </w:r>
            <w:r>
              <w:rPr>
                <w:rFonts w:ascii="ITC Avant Garde" w:eastAsia="Times New Roman" w:hAnsi="ITC Avant Garde"/>
                <w:color w:val="000000"/>
                <w:sz w:val="20"/>
                <w:szCs w:val="20"/>
                <w:lang w:eastAsia="es-MX"/>
              </w:rPr>
              <w:t>económica y que estas</w:t>
            </w:r>
            <w:r w:rsidR="009C6A6F" w:rsidRPr="004F0CF7">
              <w:rPr>
                <w:rFonts w:ascii="ITC Avant Garde" w:eastAsia="Times New Roman" w:hAnsi="ITC Avant Garde"/>
                <w:color w:val="000000"/>
                <w:sz w:val="20"/>
                <w:szCs w:val="20"/>
                <w:lang w:eastAsia="es-MX"/>
              </w:rPr>
              <w:t xml:space="preserve"> </w:t>
            </w:r>
            <w:r w:rsidR="00E4524F" w:rsidRPr="004F0CF7">
              <w:rPr>
                <w:rFonts w:ascii="ITC Avant Garde" w:eastAsia="Times New Roman" w:hAnsi="ITC Avant Garde"/>
                <w:color w:val="000000"/>
                <w:sz w:val="20"/>
                <w:szCs w:val="20"/>
                <w:lang w:eastAsia="es-MX"/>
              </w:rPr>
              <w:t>cumplan con el propósito por el cual se mandataron.</w:t>
            </w:r>
            <w:r w:rsidR="004D3BE2">
              <w:rPr>
                <w:rFonts w:ascii="ITC Avant Garde" w:eastAsia="Times New Roman" w:hAnsi="ITC Avant Garde"/>
                <w:color w:val="000000"/>
                <w:sz w:val="20"/>
                <w:szCs w:val="20"/>
                <w:lang w:eastAsia="es-MX"/>
              </w:rPr>
              <w:t xml:space="preserve"> Por lo tanto, se incluye como archivo meramente informativo el “Documento descriptivo de las dimensiones</w:t>
            </w:r>
            <w:r w:rsidR="002A5F52">
              <w:rPr>
                <w:rFonts w:ascii="ITC Avant Garde" w:eastAsia="Times New Roman" w:hAnsi="ITC Avant Garde"/>
                <w:color w:val="000000"/>
                <w:sz w:val="20"/>
                <w:szCs w:val="20"/>
                <w:lang w:eastAsia="es-MX"/>
              </w:rPr>
              <w:t xml:space="preserve"> (soporte)</w:t>
            </w:r>
            <w:r w:rsidR="004D3BE2">
              <w:rPr>
                <w:rFonts w:ascii="ITC Avant Garde" w:eastAsia="Times New Roman" w:hAnsi="ITC Avant Garde"/>
                <w:color w:val="000000"/>
                <w:sz w:val="20"/>
                <w:szCs w:val="20"/>
                <w:lang w:eastAsia="es-MX"/>
              </w:rPr>
              <w:t xml:space="preserve">”, a partir del cual </w:t>
            </w:r>
            <w:r w:rsidR="004D3BE2">
              <w:rPr>
                <w:rFonts w:ascii="ITC Avant Garde" w:eastAsia="Times New Roman" w:hAnsi="ITC Avant Garde"/>
                <w:color w:val="000000"/>
                <w:sz w:val="20"/>
                <w:szCs w:val="20"/>
                <w:lang w:eastAsia="es-MX"/>
              </w:rPr>
              <w:lastRenderedPageBreak/>
              <w:t xml:space="preserve">las personas interesadas en participar podrán revisar conceptos clave asociados con la materia de la consulta pública. </w:t>
            </w:r>
          </w:p>
          <w:p w14:paraId="584FAD98" w14:textId="07B50F9A" w:rsidR="00105E55" w:rsidRPr="003F04F2" w:rsidRDefault="00105E55" w:rsidP="004368BF">
            <w:pPr>
              <w:spacing w:after="0" w:line="240" w:lineRule="auto"/>
              <w:ind w:right="306"/>
              <w:jc w:val="both"/>
              <w:rPr>
                <w:rFonts w:ascii="ITC Avant Garde" w:eastAsia="Times New Roman" w:hAnsi="ITC Avant Garde"/>
                <w:color w:val="000000"/>
                <w:sz w:val="20"/>
                <w:szCs w:val="20"/>
                <w:lang w:eastAsia="es-MX"/>
              </w:rPr>
            </w:pPr>
          </w:p>
        </w:tc>
      </w:tr>
    </w:tbl>
    <w:p w14:paraId="7D4B21D3" w14:textId="6C7AF4DA" w:rsidR="0068054F" w:rsidRDefault="0068054F" w:rsidP="00170916">
      <w:pPr>
        <w:spacing w:after="0"/>
        <w:jc w:val="both"/>
        <w:rPr>
          <w:rFonts w:ascii="ITC Avant Garde" w:hAnsi="ITC Avant Garde"/>
          <w:sz w:val="16"/>
        </w:rPr>
      </w:pPr>
    </w:p>
    <w:tbl>
      <w:tblPr>
        <w:tblpPr w:leftFromText="141" w:rightFromText="141" w:vertAnchor="text" w:tblpX="234" w:tblpY="108"/>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52"/>
      </w:tblGrid>
      <w:tr w:rsidR="00BB2031" w:rsidRPr="00F36A5D" w14:paraId="5CEA010D" w14:textId="77777777" w:rsidTr="003D256B">
        <w:trPr>
          <w:trHeight w:val="581"/>
        </w:trPr>
        <w:tc>
          <w:tcPr>
            <w:tcW w:w="8652" w:type="dxa"/>
            <w:shd w:val="clear" w:color="auto" w:fill="D9D9D9"/>
            <w:vAlign w:val="center"/>
            <w:hideMark/>
          </w:tcPr>
          <w:p w14:paraId="67705E99" w14:textId="2092CDB1" w:rsidR="00BB2031" w:rsidRPr="003353FC" w:rsidRDefault="00BB2031" w:rsidP="00260C4C">
            <w:pPr>
              <w:pStyle w:val="Ttulo2"/>
            </w:pPr>
            <w:r w:rsidRPr="003353FC">
              <w:t xml:space="preserve">Comentarios, opiniones y aportaciones específicos </w:t>
            </w:r>
            <w:r>
              <w:t>sobre los m</w:t>
            </w:r>
            <w:r w:rsidRPr="00BB2031">
              <w:t>odelos de las pruebas de repl</w:t>
            </w:r>
            <w:r>
              <w:t>i</w:t>
            </w:r>
            <w:r w:rsidRPr="00BB2031">
              <w:t>cabilidad con la actualización propuesta</w:t>
            </w:r>
          </w:p>
        </w:tc>
      </w:tr>
      <w:tr w:rsidR="00BB2031" w:rsidRPr="00F36A5D" w14:paraId="196D1207" w14:textId="77777777" w:rsidTr="003D256B">
        <w:trPr>
          <w:trHeight w:val="290"/>
        </w:trPr>
        <w:tc>
          <w:tcPr>
            <w:tcW w:w="8652" w:type="dxa"/>
            <w:shd w:val="clear" w:color="auto" w:fill="auto"/>
            <w:vAlign w:val="center"/>
          </w:tcPr>
          <w:p w14:paraId="18373807" w14:textId="01BFD098" w:rsidR="00BB2031" w:rsidRPr="00F36A5D" w:rsidRDefault="00BB2031" w:rsidP="003D256B">
            <w:pPr>
              <w:spacing w:after="0" w:line="276" w:lineRule="auto"/>
              <w:jc w:val="both"/>
              <w:rPr>
                <w:rFonts w:ascii="ITC Avant Garde" w:eastAsia="Times New Roman" w:hAnsi="ITC Avant Garde"/>
                <w:color w:val="000000"/>
                <w:lang w:eastAsia="es-MX"/>
              </w:rPr>
            </w:pPr>
            <w:r>
              <w:rPr>
                <w:rFonts w:ascii="ITC Avant Garde" w:eastAsia="Times New Roman" w:hAnsi="ITC Avant Garde"/>
                <w:b/>
                <w:color w:val="000000"/>
                <w:sz w:val="20"/>
                <w:szCs w:val="20"/>
                <w:lang w:eastAsia="es-MX"/>
              </w:rPr>
              <w:t>1. Señalar los comentarios y/u opiniones sobre el modelo de servicios móviles</w:t>
            </w:r>
            <w:r w:rsidRPr="00EC277F">
              <w:rPr>
                <w:rFonts w:ascii="ITC Avant Garde" w:eastAsia="Times New Roman" w:hAnsi="ITC Avant Garde"/>
                <w:b/>
                <w:color w:val="000000"/>
                <w:sz w:val="20"/>
                <w:szCs w:val="20"/>
                <w:lang w:eastAsia="es-MX"/>
              </w:rPr>
              <w:t xml:space="preserve"> </w:t>
            </w:r>
          </w:p>
        </w:tc>
      </w:tr>
      <w:tr w:rsidR="00BB2031" w:rsidRPr="00F36A5D" w14:paraId="2FEBA043" w14:textId="77777777" w:rsidTr="003D256B">
        <w:trPr>
          <w:trHeight w:val="290"/>
        </w:trPr>
        <w:tc>
          <w:tcPr>
            <w:tcW w:w="8652" w:type="dxa"/>
            <w:shd w:val="clear" w:color="auto" w:fill="auto"/>
            <w:vAlign w:val="center"/>
          </w:tcPr>
          <w:p w14:paraId="085953D7" w14:textId="77777777" w:rsidR="00BB2031" w:rsidRDefault="00BB2031" w:rsidP="003D256B">
            <w:pPr>
              <w:spacing w:after="0" w:line="276" w:lineRule="auto"/>
              <w:rPr>
                <w:rFonts w:ascii="ITC Avant Garde" w:eastAsia="Times New Roman" w:hAnsi="ITC Avant Garde"/>
                <w:color w:val="000000"/>
                <w:sz w:val="20"/>
                <w:szCs w:val="20"/>
                <w:lang w:eastAsia="es-MX"/>
              </w:rPr>
            </w:pPr>
          </w:p>
          <w:p w14:paraId="65F2028B" w14:textId="77777777" w:rsidR="00BB2031" w:rsidRDefault="00BB2031" w:rsidP="003D256B">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10588B7B" w14:textId="77777777" w:rsidR="00BB2031" w:rsidRPr="003F04F2" w:rsidRDefault="00BB2031" w:rsidP="003D256B">
            <w:pPr>
              <w:spacing w:after="0" w:line="276" w:lineRule="auto"/>
              <w:rPr>
                <w:rFonts w:ascii="ITC Avant Garde" w:eastAsia="Times New Roman" w:hAnsi="ITC Avant Garde"/>
                <w:color w:val="000000"/>
                <w:sz w:val="20"/>
                <w:szCs w:val="20"/>
                <w:lang w:eastAsia="es-MX"/>
              </w:rPr>
            </w:pPr>
          </w:p>
        </w:tc>
      </w:tr>
      <w:tr w:rsidR="00BB2031" w:rsidRPr="00F36A5D" w14:paraId="4B1B6460" w14:textId="77777777" w:rsidTr="003D256B">
        <w:trPr>
          <w:trHeight w:val="290"/>
        </w:trPr>
        <w:tc>
          <w:tcPr>
            <w:tcW w:w="8652" w:type="dxa"/>
            <w:shd w:val="clear" w:color="auto" w:fill="auto"/>
            <w:vAlign w:val="center"/>
          </w:tcPr>
          <w:p w14:paraId="7D6FF51D" w14:textId="64389B83" w:rsidR="00BB2031" w:rsidRPr="002E6C44" w:rsidRDefault="00BB2031" w:rsidP="003D256B">
            <w:pPr>
              <w:spacing w:after="0" w:line="276" w:lineRule="auto"/>
              <w:jc w:val="both"/>
              <w:rPr>
                <w:rFonts w:ascii="ITC Avant Garde" w:eastAsia="Times New Roman" w:hAnsi="ITC Avant Garde"/>
                <w:b/>
                <w:color w:val="000000"/>
                <w:sz w:val="20"/>
                <w:szCs w:val="20"/>
                <w:lang w:eastAsia="es-MX"/>
              </w:rPr>
            </w:pPr>
            <w:r w:rsidRPr="00FD54BA">
              <w:rPr>
                <w:rFonts w:ascii="ITC Avant Garde" w:eastAsia="Times New Roman" w:hAnsi="ITC Avant Garde"/>
                <w:b/>
                <w:color w:val="000000"/>
                <w:sz w:val="20"/>
                <w:szCs w:val="20"/>
                <w:lang w:eastAsia="es-MX"/>
              </w:rPr>
              <w:t xml:space="preserve">2. </w:t>
            </w:r>
            <w:r w:rsidR="0089041C">
              <w:rPr>
                <w:rFonts w:ascii="ITC Avant Garde" w:eastAsia="Times New Roman" w:hAnsi="ITC Avant Garde"/>
                <w:b/>
                <w:color w:val="000000"/>
                <w:sz w:val="20"/>
                <w:szCs w:val="20"/>
                <w:lang w:eastAsia="es-MX"/>
              </w:rPr>
              <w:t xml:space="preserve"> Señalar los comentarios y/u opiniones sobre el modelo de banda ancha</w:t>
            </w:r>
          </w:p>
        </w:tc>
      </w:tr>
      <w:tr w:rsidR="0089041C" w:rsidRPr="00F36A5D" w14:paraId="2664C910" w14:textId="77777777" w:rsidTr="004052FD">
        <w:trPr>
          <w:trHeight w:val="290"/>
        </w:trPr>
        <w:tc>
          <w:tcPr>
            <w:tcW w:w="8652" w:type="dxa"/>
            <w:shd w:val="clear" w:color="auto" w:fill="auto"/>
            <w:vAlign w:val="center"/>
          </w:tcPr>
          <w:p w14:paraId="4FA3279D" w14:textId="4C86DF14" w:rsidR="0089041C" w:rsidRDefault="0089041C" w:rsidP="003D256B">
            <w:pPr>
              <w:spacing w:after="0" w:line="276" w:lineRule="auto"/>
              <w:rPr>
                <w:rFonts w:ascii="ITC Avant Garde" w:eastAsia="Times New Roman" w:hAnsi="ITC Avant Garde"/>
                <w:color w:val="000000"/>
                <w:sz w:val="20"/>
                <w:szCs w:val="20"/>
                <w:lang w:eastAsia="es-MX"/>
              </w:rPr>
            </w:pPr>
          </w:p>
          <w:p w14:paraId="41338AFA" w14:textId="77777777" w:rsidR="0089041C" w:rsidRDefault="0089041C" w:rsidP="003D256B">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71676399" w14:textId="77777777" w:rsidR="0089041C" w:rsidRPr="003F04F2" w:rsidRDefault="0089041C" w:rsidP="003D256B">
            <w:pPr>
              <w:spacing w:after="0" w:line="276" w:lineRule="auto"/>
              <w:rPr>
                <w:rFonts w:ascii="ITC Avant Garde" w:eastAsia="Times New Roman" w:hAnsi="ITC Avant Garde"/>
                <w:color w:val="000000"/>
                <w:sz w:val="20"/>
                <w:szCs w:val="20"/>
                <w:lang w:eastAsia="es-MX"/>
              </w:rPr>
            </w:pPr>
          </w:p>
        </w:tc>
      </w:tr>
      <w:tr w:rsidR="00BB2031" w:rsidRPr="00F36A5D" w14:paraId="36BDCB80" w14:textId="77777777" w:rsidTr="003D256B">
        <w:trPr>
          <w:trHeight w:val="290"/>
        </w:trPr>
        <w:tc>
          <w:tcPr>
            <w:tcW w:w="8652" w:type="dxa"/>
            <w:shd w:val="clear" w:color="auto" w:fill="auto"/>
            <w:vAlign w:val="center"/>
          </w:tcPr>
          <w:p w14:paraId="526639A2" w14:textId="30DD7E49" w:rsidR="00BB2031" w:rsidRPr="00775562" w:rsidRDefault="00BB2031" w:rsidP="003D256B">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3</w:t>
            </w:r>
            <w:r w:rsidRPr="00775562">
              <w:rPr>
                <w:rFonts w:ascii="ITC Avant Garde" w:eastAsia="Times New Roman" w:hAnsi="ITC Avant Garde"/>
                <w:b/>
                <w:color w:val="000000"/>
                <w:sz w:val="20"/>
                <w:szCs w:val="20"/>
                <w:lang w:eastAsia="es-MX"/>
              </w:rPr>
              <w:t xml:space="preserve">. </w:t>
            </w:r>
            <w:r>
              <w:t xml:space="preserve"> </w:t>
            </w:r>
            <w:r w:rsidR="0089041C">
              <w:rPr>
                <w:rFonts w:ascii="ITC Avant Garde" w:eastAsia="Times New Roman" w:hAnsi="ITC Avant Garde"/>
                <w:b/>
                <w:color w:val="000000"/>
                <w:sz w:val="20"/>
                <w:szCs w:val="20"/>
                <w:lang w:eastAsia="es-MX"/>
              </w:rPr>
              <w:t xml:space="preserve"> Señalar los comentarios y/u opiniones sobre el modelo de enlaces</w:t>
            </w:r>
          </w:p>
        </w:tc>
      </w:tr>
      <w:tr w:rsidR="00BB2031" w:rsidRPr="00F36A5D" w14:paraId="53779104" w14:textId="77777777" w:rsidTr="003D256B">
        <w:trPr>
          <w:trHeight w:val="290"/>
        </w:trPr>
        <w:tc>
          <w:tcPr>
            <w:tcW w:w="8652" w:type="dxa"/>
            <w:shd w:val="clear" w:color="auto" w:fill="auto"/>
            <w:vAlign w:val="center"/>
          </w:tcPr>
          <w:p w14:paraId="2A34CA90" w14:textId="77777777" w:rsidR="00BB2031" w:rsidRDefault="00BB2031" w:rsidP="003D256B">
            <w:pPr>
              <w:spacing w:after="0" w:line="276" w:lineRule="auto"/>
              <w:rPr>
                <w:rFonts w:ascii="ITC Avant Garde" w:eastAsia="Times New Roman" w:hAnsi="ITC Avant Garde"/>
                <w:color w:val="000000"/>
                <w:sz w:val="20"/>
                <w:szCs w:val="20"/>
                <w:lang w:eastAsia="es-MX"/>
              </w:rPr>
            </w:pPr>
          </w:p>
          <w:p w14:paraId="464BC0B7" w14:textId="77777777" w:rsidR="00BB2031" w:rsidRDefault="00BB2031" w:rsidP="003D256B">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632D147B" w14:textId="77777777" w:rsidR="00BB2031" w:rsidRPr="00775562" w:rsidRDefault="00BB2031" w:rsidP="003D256B">
            <w:pPr>
              <w:spacing w:after="0" w:line="276" w:lineRule="auto"/>
              <w:rPr>
                <w:rFonts w:ascii="ITC Avant Garde" w:eastAsia="Times New Roman" w:hAnsi="ITC Avant Garde"/>
                <w:b/>
                <w:color w:val="000000"/>
                <w:sz w:val="20"/>
                <w:szCs w:val="20"/>
                <w:lang w:eastAsia="es-MX"/>
              </w:rPr>
            </w:pPr>
          </w:p>
        </w:tc>
      </w:tr>
      <w:tr w:rsidR="00BB2031" w:rsidRPr="00F36A5D" w14:paraId="5C3C5264" w14:textId="77777777" w:rsidTr="003D256B">
        <w:trPr>
          <w:trHeight w:val="130"/>
        </w:trPr>
        <w:tc>
          <w:tcPr>
            <w:tcW w:w="8652" w:type="dxa"/>
            <w:shd w:val="clear" w:color="auto" w:fill="C5E0B3"/>
            <w:vAlign w:val="center"/>
          </w:tcPr>
          <w:p w14:paraId="02A3AD4F" w14:textId="77777777" w:rsidR="00BB2031" w:rsidRPr="00F36A5D" w:rsidRDefault="00BB2031" w:rsidP="003D256B">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0A4EF6F9" w14:textId="126575CB" w:rsidR="00474104" w:rsidRDefault="00474104" w:rsidP="00AB2D19">
      <w:pPr>
        <w:spacing w:after="0"/>
        <w:jc w:val="both"/>
        <w:rPr>
          <w:rFonts w:ascii="ITC Avant Garde" w:hAnsi="ITC Avant Garde"/>
          <w:sz w:val="16"/>
        </w:rPr>
      </w:pPr>
    </w:p>
    <w:p w14:paraId="59649D39" w14:textId="60406F6D" w:rsidR="00474104" w:rsidRDefault="00474104" w:rsidP="00AB2D19">
      <w:pPr>
        <w:spacing w:after="0"/>
        <w:jc w:val="both"/>
        <w:rPr>
          <w:rFonts w:ascii="ITC Avant Garde" w:hAnsi="ITC Avant Garde"/>
          <w:sz w:val="16"/>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57CAA" w:rsidRPr="00670385" w14:paraId="02DD1D7A" w14:textId="77777777" w:rsidTr="0043365D">
        <w:tc>
          <w:tcPr>
            <w:tcW w:w="8647" w:type="dxa"/>
            <w:shd w:val="clear" w:color="auto" w:fill="D9D9D9"/>
          </w:tcPr>
          <w:p w14:paraId="409A8495" w14:textId="77777777" w:rsidR="00357CAA" w:rsidRPr="00357CAA" w:rsidRDefault="00357CAA" w:rsidP="0043365D">
            <w:pPr>
              <w:pStyle w:val="Ttulo2"/>
              <w:ind w:left="744"/>
            </w:pPr>
            <w:r w:rsidRPr="00357CAA">
              <w:t>Comentarios, opiniones y aportaciones generales de la persona participante sobre el asunto en consulta pública</w:t>
            </w:r>
          </w:p>
        </w:tc>
      </w:tr>
      <w:tr w:rsidR="00357CAA" w:rsidRPr="00670385" w14:paraId="008409EA" w14:textId="77777777" w:rsidTr="0043365D">
        <w:tc>
          <w:tcPr>
            <w:tcW w:w="8647" w:type="dxa"/>
            <w:shd w:val="clear" w:color="auto" w:fill="auto"/>
          </w:tcPr>
          <w:p w14:paraId="77C08086" w14:textId="77777777" w:rsidR="00357CAA" w:rsidRPr="00670385" w:rsidRDefault="00357CAA" w:rsidP="008734F1">
            <w:pPr>
              <w:spacing w:after="0"/>
              <w:jc w:val="both"/>
              <w:rPr>
                <w:rFonts w:ascii="ITC Avant Garde" w:hAnsi="ITC Avant Garde"/>
                <w:sz w:val="12"/>
              </w:rPr>
            </w:pPr>
          </w:p>
          <w:p w14:paraId="2F0F7F28" w14:textId="77777777" w:rsidR="00357CAA" w:rsidRPr="00670385" w:rsidRDefault="00357CAA" w:rsidP="008734F1">
            <w:pPr>
              <w:spacing w:after="0"/>
              <w:jc w:val="both"/>
              <w:rPr>
                <w:rFonts w:ascii="ITC Avant Garde" w:hAnsi="ITC Avant Garde"/>
                <w:sz w:val="12"/>
              </w:rPr>
            </w:pPr>
          </w:p>
          <w:p w14:paraId="1576345B" w14:textId="72C339DB" w:rsidR="00380392" w:rsidRDefault="00380392" w:rsidP="008734F1">
            <w:pPr>
              <w:spacing w:after="0"/>
              <w:jc w:val="both"/>
              <w:rPr>
                <w:rFonts w:ascii="ITC Avant Garde" w:hAnsi="ITC Avant Garde"/>
                <w:sz w:val="12"/>
              </w:rPr>
            </w:pPr>
          </w:p>
          <w:p w14:paraId="468F8C9B" w14:textId="0C11EE81" w:rsidR="00380392" w:rsidRDefault="00380392" w:rsidP="008734F1">
            <w:pPr>
              <w:spacing w:after="0"/>
              <w:jc w:val="both"/>
              <w:rPr>
                <w:rFonts w:ascii="ITC Avant Garde" w:hAnsi="ITC Avant Garde"/>
                <w:sz w:val="12"/>
              </w:rPr>
            </w:pPr>
          </w:p>
          <w:p w14:paraId="26F77653" w14:textId="7E830F1D" w:rsidR="00380392" w:rsidRDefault="00380392" w:rsidP="008734F1">
            <w:pPr>
              <w:spacing w:after="0"/>
              <w:jc w:val="both"/>
              <w:rPr>
                <w:rFonts w:ascii="ITC Avant Garde" w:hAnsi="ITC Avant Garde"/>
                <w:sz w:val="12"/>
              </w:rPr>
            </w:pPr>
          </w:p>
          <w:p w14:paraId="04E7B7E3" w14:textId="77777777" w:rsidR="00380392" w:rsidRPr="00670385" w:rsidRDefault="00380392" w:rsidP="008734F1">
            <w:pPr>
              <w:spacing w:after="0"/>
              <w:jc w:val="both"/>
              <w:rPr>
                <w:rFonts w:ascii="ITC Avant Garde" w:hAnsi="ITC Avant Garde"/>
                <w:sz w:val="12"/>
              </w:rPr>
            </w:pPr>
          </w:p>
          <w:p w14:paraId="6047D052" w14:textId="77777777" w:rsidR="00357CAA" w:rsidRPr="00670385" w:rsidRDefault="00357CAA" w:rsidP="008734F1">
            <w:pPr>
              <w:spacing w:after="0"/>
              <w:jc w:val="both"/>
              <w:rPr>
                <w:rFonts w:ascii="ITC Avant Garde" w:hAnsi="ITC Avant Garde"/>
                <w:sz w:val="12"/>
              </w:rPr>
            </w:pPr>
          </w:p>
          <w:p w14:paraId="3E0FD5A6" w14:textId="77777777" w:rsidR="00357CAA" w:rsidRPr="00670385" w:rsidRDefault="00357CAA" w:rsidP="008734F1">
            <w:pPr>
              <w:spacing w:after="0"/>
              <w:jc w:val="both"/>
              <w:rPr>
                <w:rFonts w:ascii="ITC Avant Garde" w:hAnsi="ITC Avant Garde"/>
                <w:sz w:val="12"/>
              </w:rPr>
            </w:pPr>
          </w:p>
        </w:tc>
      </w:tr>
      <w:tr w:rsidR="00357CAA" w:rsidRPr="00670385" w14:paraId="2BF00B13" w14:textId="77777777" w:rsidTr="0043365D">
        <w:tc>
          <w:tcPr>
            <w:tcW w:w="8647" w:type="dxa"/>
            <w:shd w:val="clear" w:color="auto" w:fill="C5E0B3"/>
          </w:tcPr>
          <w:p w14:paraId="647D09DB" w14:textId="77777777" w:rsidR="00357CAA" w:rsidRPr="00670385" w:rsidRDefault="00357CAA" w:rsidP="008734F1">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2FF8B94" w14:textId="77777777" w:rsidR="00357CAA" w:rsidRPr="00F36A5D" w:rsidRDefault="00357CAA" w:rsidP="00AB2D19">
      <w:pPr>
        <w:spacing w:after="0"/>
        <w:jc w:val="both"/>
        <w:rPr>
          <w:rFonts w:ascii="ITC Avant Garde" w:hAnsi="ITC Avant Garde"/>
          <w:sz w:val="16"/>
        </w:rPr>
      </w:pPr>
    </w:p>
    <w:sectPr w:rsidR="00357CAA" w:rsidRPr="00F36A5D" w:rsidSect="0086154B">
      <w:headerReference w:type="default" r:id="rId20"/>
      <w:footerReference w:type="default" r:id="rId21"/>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739FE" w14:textId="77777777" w:rsidR="003548B4" w:rsidRDefault="003548B4" w:rsidP="0038199D">
      <w:pPr>
        <w:spacing w:after="0" w:line="240" w:lineRule="auto"/>
      </w:pPr>
      <w:r>
        <w:separator/>
      </w:r>
    </w:p>
  </w:endnote>
  <w:endnote w:type="continuationSeparator" w:id="0">
    <w:p w14:paraId="386FFCD7" w14:textId="77777777" w:rsidR="003548B4" w:rsidRDefault="003548B4" w:rsidP="0038199D">
      <w:pPr>
        <w:spacing w:after="0" w:line="240" w:lineRule="auto"/>
      </w:pPr>
      <w:r>
        <w:continuationSeparator/>
      </w:r>
    </w:p>
  </w:endnote>
  <w:endnote w:type="continuationNotice" w:id="1">
    <w:p w14:paraId="2AFB2B01" w14:textId="77777777" w:rsidR="003548B4" w:rsidRDefault="00354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AC7D" w14:textId="1B859ADC" w:rsidR="00271E75" w:rsidRPr="00DF5B3F" w:rsidRDefault="00271E75">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7</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8</w:t>
    </w:r>
    <w:r w:rsidRPr="00DF5B3F">
      <w:rPr>
        <w:rFonts w:ascii="ITC Avant Garde" w:hAnsi="ITC Avant Garde"/>
        <w:color w:val="323E4F"/>
        <w:sz w:val="14"/>
        <w:szCs w:val="24"/>
      </w:rPr>
      <w:fldChar w:fldCharType="end"/>
    </w:r>
  </w:p>
  <w:p w14:paraId="6C8E0542" w14:textId="77777777" w:rsidR="00271E75" w:rsidRDefault="00271E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E8A4" w14:textId="77777777" w:rsidR="003548B4" w:rsidRDefault="003548B4" w:rsidP="0038199D">
      <w:pPr>
        <w:spacing w:after="0" w:line="240" w:lineRule="auto"/>
      </w:pPr>
      <w:r>
        <w:separator/>
      </w:r>
    </w:p>
  </w:footnote>
  <w:footnote w:type="continuationSeparator" w:id="0">
    <w:p w14:paraId="4A8C3C30" w14:textId="77777777" w:rsidR="003548B4" w:rsidRDefault="003548B4" w:rsidP="0038199D">
      <w:pPr>
        <w:spacing w:after="0" w:line="240" w:lineRule="auto"/>
      </w:pPr>
      <w:r>
        <w:continuationSeparator/>
      </w:r>
    </w:p>
  </w:footnote>
  <w:footnote w:type="continuationNotice" w:id="1">
    <w:p w14:paraId="426DCDAD" w14:textId="77777777" w:rsidR="003548B4" w:rsidRDefault="003548B4">
      <w:pPr>
        <w:spacing w:after="0" w:line="240" w:lineRule="auto"/>
      </w:pPr>
    </w:p>
  </w:footnote>
  <w:footnote w:id="2">
    <w:p w14:paraId="4A404D85" w14:textId="77777777" w:rsidR="00271E75" w:rsidRPr="00494FC1" w:rsidRDefault="00271E75" w:rsidP="00E17493">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Disponibles en el vínculo electrónico: </w:t>
      </w:r>
      <w:hyperlink r:id="rId1" w:history="1">
        <w:r w:rsidRPr="00494FC1">
          <w:rPr>
            <w:rStyle w:val="Hipervnculo"/>
            <w:rFonts w:ascii="ITC Avant Garde" w:hAnsi="ITC Avant Garde"/>
            <w:sz w:val="14"/>
            <w:szCs w:val="14"/>
          </w:rPr>
          <w:t>http://dof.gob.mx/nota_detalle.php?codigo=5512847&amp;fecha=12/02/2018</w:t>
        </w:r>
      </w:hyperlink>
      <w:r w:rsidRPr="00494FC1">
        <w:rPr>
          <w:rFonts w:ascii="ITC Avant Garde" w:hAnsi="ITC Avant Garde"/>
          <w:sz w:val="14"/>
          <w:szCs w:val="14"/>
        </w:rPr>
        <w:t xml:space="preserve"> </w:t>
      </w:r>
    </w:p>
  </w:footnote>
  <w:footnote w:id="3">
    <w:p w14:paraId="60E7BA42" w14:textId="77777777" w:rsidR="00271E75" w:rsidRPr="00494FC1" w:rsidRDefault="00271E75" w:rsidP="00C32290">
      <w:pPr>
        <w:pStyle w:val="Textonotapie"/>
        <w:ind w:right="49"/>
        <w:rPr>
          <w:rFonts w:ascii="ITC Avant Garde" w:hAnsi="ITC Avant Garde" w:cstheme="minorHAnsi"/>
          <w:sz w:val="14"/>
          <w:szCs w:val="14"/>
        </w:rPr>
      </w:pPr>
      <w:r w:rsidRPr="00494FC1">
        <w:rPr>
          <w:rStyle w:val="Refdenotaalpie"/>
          <w:rFonts w:ascii="ITC Avant Garde" w:hAnsi="ITC Avant Garde" w:cstheme="minorHAnsi"/>
          <w:sz w:val="14"/>
          <w:szCs w:val="14"/>
        </w:rPr>
        <w:footnoteRef/>
      </w:r>
      <w:r w:rsidRPr="00494FC1">
        <w:rPr>
          <w:rFonts w:ascii="ITC Avant Garde" w:hAnsi="ITC Avant Garde" w:cstheme="minorHAnsi"/>
          <w:sz w:val="14"/>
          <w:szCs w:val="14"/>
        </w:rPr>
        <w:t>Acuerdo P/IFT/EXT/270217/119 disponible en:</w:t>
      </w:r>
    </w:p>
    <w:p w14:paraId="34E15DE7" w14:textId="77777777" w:rsidR="00271E75" w:rsidRPr="00171A28" w:rsidRDefault="00494FC1" w:rsidP="00C32290">
      <w:pPr>
        <w:pStyle w:val="Textonotapie"/>
        <w:ind w:right="49"/>
        <w:rPr>
          <w:rFonts w:asciiTheme="minorHAnsi" w:hAnsiTheme="minorHAnsi" w:cstheme="minorHAnsi"/>
        </w:rPr>
      </w:pPr>
      <w:hyperlink r:id="rId2" w:history="1">
        <w:r w:rsidR="00271E75" w:rsidRPr="00494FC1">
          <w:rPr>
            <w:rStyle w:val="Hipervnculo"/>
            <w:rFonts w:ascii="ITC Avant Garde" w:hAnsi="ITC Avant Garde" w:cstheme="minorHAnsi"/>
            <w:sz w:val="14"/>
            <w:szCs w:val="14"/>
          </w:rPr>
          <w:t>http://www.ift.org.mx/sites/default/files/conocenos/pleno/sesiones/acuerdoliga/pitfext270217119verpub_2.pdf</w:t>
        </w:r>
      </w:hyperlink>
    </w:p>
  </w:footnote>
  <w:footnote w:id="4">
    <w:p w14:paraId="447CA61C" w14:textId="7777777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Disponibles en:</w:t>
      </w:r>
    </w:p>
    <w:p w14:paraId="7CFD4733" w14:textId="77777777" w:rsidR="00625CB1" w:rsidRPr="00494FC1" w:rsidRDefault="00625CB1" w:rsidP="00625CB1">
      <w:pPr>
        <w:pStyle w:val="Textonotapie"/>
        <w:rPr>
          <w:rFonts w:ascii="ITC Avant Garde" w:hAnsi="ITC Avant Garde"/>
          <w:sz w:val="14"/>
          <w:szCs w:val="14"/>
        </w:rPr>
      </w:pPr>
      <w:r w:rsidRPr="00494FC1">
        <w:rPr>
          <w:rFonts w:ascii="ITC Avant Garde" w:hAnsi="ITC Avant Garde"/>
          <w:sz w:val="14"/>
          <w:szCs w:val="14"/>
        </w:rPr>
        <w:t>Servicios móviles</w:t>
      </w:r>
    </w:p>
    <w:p w14:paraId="1BA1773A" w14:textId="77777777" w:rsidR="00625CB1" w:rsidRPr="00494FC1" w:rsidRDefault="00494FC1" w:rsidP="00625CB1">
      <w:pPr>
        <w:pStyle w:val="Textonotapie"/>
        <w:rPr>
          <w:rFonts w:ascii="ITC Avant Garde" w:hAnsi="ITC Avant Garde"/>
          <w:sz w:val="14"/>
          <w:szCs w:val="14"/>
        </w:rPr>
      </w:pPr>
      <w:hyperlink r:id="rId3" w:history="1">
        <w:r w:rsidR="00625CB1" w:rsidRPr="00494FC1">
          <w:rPr>
            <w:rStyle w:val="Hipervnculo"/>
            <w:rFonts w:ascii="ITC Avant Garde" w:hAnsi="ITC Avant Garde"/>
            <w:sz w:val="14"/>
            <w:szCs w:val="14"/>
          </w:rPr>
          <w:t>http://www.ift.org.mx/sites/default/files/contenidogeneral/politica-regulatoria/pift120917548.pdf</w:t>
        </w:r>
      </w:hyperlink>
    </w:p>
    <w:p w14:paraId="1C679DC0" w14:textId="77777777" w:rsidR="00625CB1" w:rsidRPr="00494FC1" w:rsidRDefault="00625CB1" w:rsidP="00625CB1">
      <w:pPr>
        <w:pStyle w:val="Textonotapie"/>
        <w:rPr>
          <w:rFonts w:ascii="ITC Avant Garde" w:hAnsi="ITC Avant Garde"/>
          <w:sz w:val="14"/>
          <w:szCs w:val="14"/>
        </w:rPr>
      </w:pPr>
      <w:r w:rsidRPr="00494FC1">
        <w:rPr>
          <w:rFonts w:ascii="ITC Avant Garde" w:hAnsi="ITC Avant Garde"/>
          <w:sz w:val="14"/>
          <w:szCs w:val="14"/>
        </w:rPr>
        <w:t>Servicios fijos</w:t>
      </w:r>
    </w:p>
    <w:p w14:paraId="4E1B92A2" w14:textId="77777777" w:rsidR="00625CB1" w:rsidRPr="00494FC1" w:rsidRDefault="00494FC1" w:rsidP="00625CB1">
      <w:pPr>
        <w:pStyle w:val="Textonotapie"/>
        <w:rPr>
          <w:rFonts w:ascii="ITC Avant Garde" w:hAnsi="ITC Avant Garde"/>
          <w:sz w:val="14"/>
          <w:szCs w:val="14"/>
        </w:rPr>
      </w:pPr>
      <w:hyperlink r:id="rId4" w:history="1">
        <w:r w:rsidR="00625CB1" w:rsidRPr="00494FC1">
          <w:rPr>
            <w:rStyle w:val="Hipervnculo"/>
            <w:rFonts w:ascii="ITC Avant Garde" w:hAnsi="ITC Avant Garde"/>
            <w:sz w:val="14"/>
            <w:szCs w:val="14"/>
          </w:rPr>
          <w:t>http://www.ift.org.mx/sites/default/files/contenidogeneral/politica-regulatoria/pift120917549_1.pdf</w:t>
        </w:r>
      </w:hyperlink>
    </w:p>
    <w:p w14:paraId="12D5406C" w14:textId="77777777" w:rsidR="00625CB1" w:rsidRPr="00494FC1" w:rsidRDefault="00625CB1" w:rsidP="00625CB1">
      <w:pPr>
        <w:pStyle w:val="Textonotapie"/>
        <w:rPr>
          <w:rFonts w:ascii="ITC Avant Garde" w:hAnsi="ITC Avant Garde"/>
          <w:sz w:val="14"/>
          <w:szCs w:val="14"/>
        </w:rPr>
      </w:pPr>
    </w:p>
  </w:footnote>
  <w:footnote w:id="5">
    <w:p w14:paraId="39630C08" w14:textId="782E4143" w:rsidR="00D57B94" w:rsidRPr="00494FC1" w:rsidRDefault="00D57B94" w:rsidP="00625CB1">
      <w:pPr>
        <w:pStyle w:val="Textonotapie"/>
        <w:jc w:val="both"/>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“Operador Similarmente Eficiente”, </w:t>
      </w:r>
      <w:r w:rsidR="00E9708D" w:rsidRPr="00494FC1">
        <w:rPr>
          <w:rFonts w:ascii="ITC Avant Garde" w:hAnsi="ITC Avant Garde"/>
          <w:sz w:val="14"/>
          <w:szCs w:val="14"/>
        </w:rPr>
        <w:t xml:space="preserve">del acrónimo </w:t>
      </w:r>
      <w:r w:rsidRPr="00494FC1">
        <w:rPr>
          <w:rFonts w:ascii="ITC Avant Garde" w:hAnsi="ITC Avant Garde"/>
          <w:sz w:val="14"/>
          <w:szCs w:val="14"/>
        </w:rPr>
        <w:t>en inglés “Similarly Efficient Operator”.</w:t>
      </w:r>
    </w:p>
  </w:footnote>
  <w:footnote w:id="6">
    <w:p w14:paraId="5DAC9FA6" w14:textId="0FA638C6" w:rsidR="00D57B94" w:rsidRPr="00494FC1" w:rsidRDefault="00D57B94" w:rsidP="00625CB1">
      <w:pPr>
        <w:pStyle w:val="Textonotapie"/>
        <w:jc w:val="both"/>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Derivado del estándar de “Costos Incrementales de Largo Plazo” (“Long Run Incremental Costs”</w:t>
      </w:r>
      <w:r w:rsidR="00E9708D" w:rsidRPr="00494FC1">
        <w:rPr>
          <w:rFonts w:ascii="ITC Avant Garde" w:hAnsi="ITC Avant Garde"/>
          <w:sz w:val="14"/>
          <w:szCs w:val="14"/>
        </w:rPr>
        <w:t>, del acrónimo en inglés “LRIC”</w:t>
      </w:r>
      <w:r w:rsidRPr="00494FC1">
        <w:rPr>
          <w:rFonts w:ascii="ITC Avant Garde" w:hAnsi="ITC Avant Garde"/>
          <w:sz w:val="14"/>
          <w:szCs w:val="14"/>
        </w:rPr>
        <w:t>), el estándar LRIC+ refiere a “LRIC más un márgen para recuperar costos compartidos y comunes”.</w:t>
      </w:r>
    </w:p>
  </w:footnote>
  <w:footnote w:id="7">
    <w:p w14:paraId="5946A15F" w14:textId="39D477A5" w:rsidR="008754B4" w:rsidRPr="00625CB1" w:rsidRDefault="008754B4">
      <w:pPr>
        <w:pStyle w:val="Textonotapie"/>
        <w:rPr>
          <w:rFonts w:ascii="ITC Avant Garde" w:hAnsi="ITC Avant Garde"/>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“Costos Completamente Distribuidos”, del </w:t>
      </w:r>
      <w:r w:rsidR="00E9708D" w:rsidRPr="00494FC1">
        <w:rPr>
          <w:rFonts w:ascii="ITC Avant Garde" w:hAnsi="ITC Avant Garde"/>
          <w:sz w:val="14"/>
          <w:szCs w:val="14"/>
        </w:rPr>
        <w:t>acrónimo</w:t>
      </w:r>
      <w:r w:rsidRPr="00494FC1">
        <w:rPr>
          <w:rFonts w:ascii="ITC Avant Garde" w:hAnsi="ITC Avant Garde"/>
          <w:sz w:val="14"/>
          <w:szCs w:val="14"/>
        </w:rPr>
        <w:t xml:space="preserve"> en inglés “Fully Allocated Costs”.</w:t>
      </w:r>
    </w:p>
  </w:footnote>
  <w:footnote w:id="8">
    <w:p w14:paraId="3724DCCD" w14:textId="5559E4B7" w:rsidR="00787028" w:rsidRPr="00494FC1" w:rsidRDefault="00787028" w:rsidP="00625CB1">
      <w:pPr>
        <w:pStyle w:val="Textonotapie"/>
        <w:jc w:val="both"/>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Los de la empresa </w:t>
      </w:r>
      <w:r w:rsidR="00625CB1" w:rsidRPr="00494FC1">
        <w:rPr>
          <w:rFonts w:ascii="ITC Avant Garde" w:hAnsi="ITC Avant Garde"/>
          <w:sz w:val="14"/>
          <w:szCs w:val="14"/>
        </w:rPr>
        <w:t>regulada</w:t>
      </w:r>
      <w:r w:rsidRPr="00494FC1">
        <w:rPr>
          <w:rFonts w:ascii="ITC Avant Garde" w:hAnsi="ITC Avant Garde"/>
          <w:sz w:val="14"/>
          <w:szCs w:val="14"/>
        </w:rPr>
        <w:t xml:space="preserve"> o enfoque de operador igualmente eficiente</w:t>
      </w:r>
      <w:r w:rsidR="00E9708D" w:rsidRPr="00494FC1">
        <w:rPr>
          <w:rFonts w:ascii="ITC Avant Garde" w:hAnsi="ITC Avant Garde"/>
          <w:sz w:val="14"/>
          <w:szCs w:val="14"/>
        </w:rPr>
        <w:t>, del acrónimo en inglés "</w:t>
      </w:r>
      <w:proofErr w:type="spellStart"/>
      <w:r w:rsidR="00E9708D" w:rsidRPr="00494FC1">
        <w:rPr>
          <w:rFonts w:ascii="ITC Avant Garde" w:hAnsi="ITC Avant Garde"/>
          <w:sz w:val="14"/>
          <w:szCs w:val="14"/>
        </w:rPr>
        <w:t>Equally</w:t>
      </w:r>
      <w:proofErr w:type="spellEnd"/>
      <w:r w:rsidR="00E9708D" w:rsidRPr="00494FC1">
        <w:rPr>
          <w:rFonts w:ascii="ITC Avant Garde" w:hAnsi="ITC Avant Garde"/>
          <w:sz w:val="14"/>
          <w:szCs w:val="14"/>
        </w:rPr>
        <w:t xml:space="preserve"> </w:t>
      </w:r>
      <w:proofErr w:type="spellStart"/>
      <w:r w:rsidR="00E9708D" w:rsidRPr="00494FC1">
        <w:rPr>
          <w:rFonts w:ascii="ITC Avant Garde" w:hAnsi="ITC Avant Garde"/>
          <w:sz w:val="14"/>
          <w:szCs w:val="14"/>
        </w:rPr>
        <w:t>Efficient</w:t>
      </w:r>
      <w:proofErr w:type="spellEnd"/>
      <w:r w:rsidR="00E9708D" w:rsidRPr="00494FC1">
        <w:rPr>
          <w:rFonts w:ascii="ITC Avant Garde" w:hAnsi="ITC Avant Garde"/>
          <w:sz w:val="14"/>
          <w:szCs w:val="14"/>
        </w:rPr>
        <w:t xml:space="preserve"> </w:t>
      </w:r>
      <w:proofErr w:type="spellStart"/>
      <w:r w:rsidR="00E9708D" w:rsidRPr="00494FC1">
        <w:rPr>
          <w:rFonts w:ascii="ITC Avant Garde" w:hAnsi="ITC Avant Garde"/>
          <w:sz w:val="14"/>
          <w:szCs w:val="14"/>
        </w:rPr>
        <w:t>Operator</w:t>
      </w:r>
      <w:proofErr w:type="spellEnd"/>
      <w:r w:rsidR="00E9708D" w:rsidRPr="00494FC1">
        <w:rPr>
          <w:rFonts w:ascii="ITC Avant Garde" w:hAnsi="ITC Avant Garde"/>
          <w:sz w:val="14"/>
          <w:szCs w:val="14"/>
        </w:rPr>
        <w:t>".</w:t>
      </w:r>
    </w:p>
  </w:footnote>
  <w:footnote w:id="9">
    <w:p w14:paraId="0B32DE1D" w14:textId="795408FD" w:rsidR="007712B7" w:rsidRPr="007433CE" w:rsidRDefault="007712B7" w:rsidP="007712B7">
      <w:pPr>
        <w:pStyle w:val="Textonotapie"/>
        <w:jc w:val="both"/>
        <w:rPr>
          <w:rFonts w:ascii="ITC Avant Garde" w:hAnsi="ITC Avant Garde"/>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Los de la empresa </w:t>
      </w:r>
      <w:r w:rsidR="00625CB1" w:rsidRPr="00494FC1">
        <w:rPr>
          <w:rFonts w:ascii="ITC Avant Garde" w:hAnsi="ITC Avant Garde"/>
          <w:sz w:val="14"/>
          <w:szCs w:val="14"/>
        </w:rPr>
        <w:t>regulada</w:t>
      </w:r>
      <w:r w:rsidRPr="00494FC1">
        <w:rPr>
          <w:rFonts w:ascii="ITC Avant Garde" w:hAnsi="ITC Avant Garde"/>
          <w:sz w:val="14"/>
          <w:szCs w:val="14"/>
        </w:rPr>
        <w:t xml:space="preserve"> o enfoque de operador igualmente eficiente, del acrónimo en inglés "</w:t>
      </w:r>
      <w:proofErr w:type="spellStart"/>
      <w:r w:rsidRPr="00494FC1">
        <w:rPr>
          <w:rFonts w:ascii="ITC Avant Garde" w:hAnsi="ITC Avant Garde"/>
          <w:sz w:val="14"/>
          <w:szCs w:val="14"/>
        </w:rPr>
        <w:t>Equally</w:t>
      </w:r>
      <w:proofErr w:type="spellEnd"/>
      <w:r w:rsidRPr="00494FC1">
        <w:rPr>
          <w:rFonts w:ascii="ITC Avant Garde" w:hAnsi="ITC Avant Garde"/>
          <w:sz w:val="14"/>
          <w:szCs w:val="14"/>
        </w:rPr>
        <w:t xml:space="preserve"> </w:t>
      </w:r>
      <w:proofErr w:type="spellStart"/>
      <w:r w:rsidRPr="00494FC1">
        <w:rPr>
          <w:rFonts w:ascii="ITC Avant Garde" w:hAnsi="ITC Avant Garde"/>
          <w:sz w:val="14"/>
          <w:szCs w:val="14"/>
        </w:rPr>
        <w:t>Efficient</w:t>
      </w:r>
      <w:proofErr w:type="spellEnd"/>
      <w:r w:rsidRPr="00494FC1">
        <w:rPr>
          <w:rFonts w:ascii="ITC Avant Garde" w:hAnsi="ITC Avant Garde"/>
          <w:sz w:val="14"/>
          <w:szCs w:val="14"/>
        </w:rPr>
        <w:t xml:space="preserve"> </w:t>
      </w:r>
      <w:proofErr w:type="spellStart"/>
      <w:r w:rsidRPr="00494FC1">
        <w:rPr>
          <w:rFonts w:ascii="ITC Avant Garde" w:hAnsi="ITC Avant Garde"/>
          <w:sz w:val="14"/>
          <w:szCs w:val="14"/>
        </w:rPr>
        <w:t>Operator</w:t>
      </w:r>
      <w:proofErr w:type="spellEnd"/>
      <w:r w:rsidRPr="00494FC1">
        <w:rPr>
          <w:rFonts w:ascii="ITC Avant Garde" w:hAnsi="ITC Avant Garde"/>
          <w:sz w:val="14"/>
          <w:szCs w:val="14"/>
        </w:rPr>
        <w:t>".</w:t>
      </w:r>
    </w:p>
  </w:footnote>
  <w:footnote w:id="10">
    <w:p w14:paraId="1F3C4206" w14:textId="7777777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Las medidas asimétricas vigentes se encuentran disponibles en los siguientes enlaces: </w:t>
      </w:r>
    </w:p>
    <w:p w14:paraId="65BD90E2" w14:textId="77777777" w:rsidR="00625CB1" w:rsidRPr="00494FC1" w:rsidRDefault="00625CB1" w:rsidP="00625CB1">
      <w:pPr>
        <w:pStyle w:val="Textonotapie"/>
        <w:rPr>
          <w:rFonts w:ascii="ITC Avant Garde" w:hAnsi="ITC Avant Garde"/>
          <w:sz w:val="14"/>
          <w:szCs w:val="14"/>
        </w:rPr>
      </w:pPr>
      <w:r w:rsidRPr="00494FC1">
        <w:rPr>
          <w:rFonts w:ascii="ITC Avant Garde" w:hAnsi="ITC Avant Garde"/>
          <w:sz w:val="14"/>
          <w:szCs w:val="14"/>
        </w:rPr>
        <w:t>Anexo 1:</w:t>
      </w:r>
    </w:p>
    <w:p w14:paraId="346C0A7D" w14:textId="77777777" w:rsidR="00625CB1" w:rsidRPr="00494FC1" w:rsidRDefault="00494FC1" w:rsidP="00625CB1">
      <w:pPr>
        <w:pStyle w:val="Textonotapie"/>
        <w:rPr>
          <w:rFonts w:ascii="ITC Avant Garde" w:hAnsi="ITC Avant Garde"/>
          <w:sz w:val="14"/>
          <w:szCs w:val="14"/>
        </w:rPr>
      </w:pPr>
      <w:hyperlink r:id="rId5" w:history="1">
        <w:r w:rsidR="00625CB1" w:rsidRPr="00494FC1">
          <w:rPr>
            <w:rFonts w:ascii="ITC Avant Garde" w:hAnsi="ITC Avant Garde"/>
            <w:sz w:val="14"/>
            <w:szCs w:val="14"/>
          </w:rPr>
          <w:t>http://www.ift.org.mx/sites/default/files/anexo_1_medidas_2014-2017-2020_telecom.pdf</w:t>
        </w:r>
      </w:hyperlink>
    </w:p>
    <w:p w14:paraId="2FDB35D4" w14:textId="77777777" w:rsidR="00625CB1" w:rsidRPr="00494FC1" w:rsidRDefault="00625CB1" w:rsidP="00625CB1">
      <w:pPr>
        <w:pStyle w:val="Textonotapie"/>
        <w:rPr>
          <w:rFonts w:ascii="ITC Avant Garde" w:hAnsi="ITC Avant Garde"/>
          <w:sz w:val="14"/>
          <w:szCs w:val="14"/>
        </w:rPr>
      </w:pPr>
      <w:r w:rsidRPr="00494FC1">
        <w:rPr>
          <w:rFonts w:ascii="ITC Avant Garde" w:hAnsi="ITC Avant Garde"/>
          <w:sz w:val="14"/>
          <w:szCs w:val="14"/>
        </w:rPr>
        <w:t xml:space="preserve">Anexo 2: </w:t>
      </w:r>
    </w:p>
    <w:p w14:paraId="07ACC662" w14:textId="77777777" w:rsidR="00625CB1" w:rsidRPr="00494FC1" w:rsidRDefault="00494FC1" w:rsidP="00625CB1">
      <w:pPr>
        <w:pStyle w:val="Textonotapie"/>
        <w:rPr>
          <w:rFonts w:ascii="ITC Avant Garde" w:hAnsi="ITC Avant Garde"/>
          <w:sz w:val="14"/>
          <w:szCs w:val="14"/>
        </w:rPr>
      </w:pPr>
      <w:hyperlink r:id="rId6" w:history="1">
        <w:r w:rsidR="00625CB1" w:rsidRPr="00494FC1">
          <w:rPr>
            <w:rFonts w:ascii="ITC Avant Garde" w:hAnsi="ITC Avant Garde"/>
            <w:sz w:val="14"/>
            <w:szCs w:val="14"/>
          </w:rPr>
          <w:t>http://www.ift.org.mx/sites/default/files/anexo_2_12.pdf</w:t>
        </w:r>
      </w:hyperlink>
    </w:p>
    <w:p w14:paraId="0A435234" w14:textId="77777777" w:rsidR="00625CB1" w:rsidRPr="00494FC1" w:rsidRDefault="00625CB1" w:rsidP="00625CB1">
      <w:pPr>
        <w:pStyle w:val="Textonotapie"/>
        <w:rPr>
          <w:rFonts w:ascii="ITC Avant Garde" w:hAnsi="ITC Avant Garde"/>
          <w:sz w:val="14"/>
          <w:szCs w:val="14"/>
        </w:rPr>
      </w:pPr>
      <w:r w:rsidRPr="00494FC1">
        <w:rPr>
          <w:rFonts w:ascii="ITC Avant Garde" w:hAnsi="ITC Avant Garde"/>
          <w:sz w:val="14"/>
          <w:szCs w:val="14"/>
        </w:rPr>
        <w:t>Anexo 3:</w:t>
      </w:r>
    </w:p>
    <w:p w14:paraId="53B55BFF" w14:textId="77777777" w:rsidR="00625CB1" w:rsidRPr="00494FC1" w:rsidRDefault="00494FC1" w:rsidP="00625CB1">
      <w:pPr>
        <w:pStyle w:val="Textonotapie"/>
        <w:rPr>
          <w:rFonts w:ascii="ITC Avant Garde" w:hAnsi="ITC Avant Garde"/>
          <w:sz w:val="14"/>
          <w:szCs w:val="14"/>
        </w:rPr>
      </w:pPr>
      <w:hyperlink r:id="rId7" w:history="1">
        <w:r w:rsidR="00625CB1" w:rsidRPr="00494FC1">
          <w:rPr>
            <w:rFonts w:ascii="ITC Avant Garde" w:hAnsi="ITC Avant Garde"/>
            <w:sz w:val="14"/>
            <w:szCs w:val="14"/>
          </w:rPr>
          <w:t>http://www.ift.org.mx/sites/default/files/anexo_3_medidas_2014-2017-2020_telecom.pdf</w:t>
        </w:r>
      </w:hyperlink>
    </w:p>
    <w:p w14:paraId="6F972DEF" w14:textId="77777777" w:rsidR="00625CB1" w:rsidRPr="00494FC1" w:rsidRDefault="00625CB1" w:rsidP="00625CB1">
      <w:pPr>
        <w:pStyle w:val="Textonotapie"/>
        <w:rPr>
          <w:rFonts w:ascii="ITC Avant Garde" w:hAnsi="ITC Avant Garde"/>
          <w:sz w:val="14"/>
          <w:szCs w:val="14"/>
        </w:rPr>
      </w:pPr>
    </w:p>
  </w:footnote>
  <w:footnote w:id="11">
    <w:p w14:paraId="0127047C" w14:textId="7777777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Disponible en: </w:t>
      </w:r>
      <w:hyperlink r:id="rId8" w:history="1">
        <w:r w:rsidRPr="00494FC1">
          <w:rPr>
            <w:rStyle w:val="Hipervnculo"/>
            <w:rFonts w:ascii="ITC Avant Garde" w:hAnsi="ITC Avant Garde"/>
            <w:sz w:val="14"/>
            <w:szCs w:val="14"/>
          </w:rPr>
          <w:t>http://www.ift.org.mx/sites/default/files/conocenos/pleno/sesiones/acuerdoliga/vppift270218130.pdf</w:t>
        </w:r>
      </w:hyperlink>
      <w:r w:rsidRPr="00494FC1">
        <w:rPr>
          <w:rFonts w:ascii="ITC Avant Garde" w:hAnsi="ITC Avant Garde"/>
          <w:sz w:val="14"/>
          <w:szCs w:val="14"/>
        </w:rPr>
        <w:t xml:space="preserve"> </w:t>
      </w:r>
    </w:p>
  </w:footnote>
  <w:footnote w:id="12">
    <w:p w14:paraId="1BC759CA" w14:textId="7777777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 en: https://www.dof.gob.mx/nota_detalle.php?codigo=5509546&amp;fecha=29/12/2017</w:t>
      </w:r>
    </w:p>
  </w:footnote>
  <w:footnote w:id="13">
    <w:p w14:paraId="49CC6BC1" w14:textId="7777777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 en: https://www.dof.gob.mx/nota_detalle.php?codigo=5546889&amp;fecha=19/12/2018</w:t>
      </w:r>
    </w:p>
  </w:footnote>
  <w:footnote w:id="14">
    <w:p w14:paraId="424EAEFE" w14:textId="77777777" w:rsidR="00625CB1" w:rsidRDefault="00625CB1" w:rsidP="00625CB1">
      <w:pPr>
        <w:pStyle w:val="Textonotapie"/>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 en: https://www.dof.gob.mx/nota_detalle.php?codigo=5596251&amp;fecha=07/07/2020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5DD3A" w14:textId="0CE72290" w:rsidR="00271E75" w:rsidRPr="007A6974" w:rsidRDefault="00271E75"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EAECB8D" wp14:editId="62C39199">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D54A813" w14:textId="5BDD6A8D" w:rsidR="00271E75" w:rsidRPr="00F36A5D" w:rsidRDefault="007C525F" w:rsidP="004D5EAB">
    <w:pPr>
      <w:pStyle w:val="Encabezado"/>
      <w:ind w:left="3119"/>
      <w:jc w:val="both"/>
      <w:rPr>
        <w:rFonts w:ascii="ITC Avant Garde" w:hAnsi="ITC Avant Garde"/>
        <w:b/>
        <w:sz w:val="20"/>
      </w:rPr>
    </w:pPr>
    <w:r w:rsidRPr="007C525F">
      <w:rPr>
        <w:rFonts w:ascii="ITC Avant Garde" w:hAnsi="ITC Avant Garde"/>
        <w:b/>
        <w:sz w:val="20"/>
      </w:rPr>
      <w:t xml:space="preserve">Consulta pública de integración sobre las propuestas de actualización de las metodologías, términos y condiciones para llevar a cabo las pruebas de replicabilidad económica </w:t>
    </w:r>
  </w:p>
  <w:p w14:paraId="63C0CEF9" w14:textId="77777777" w:rsidR="00271E75" w:rsidRPr="007A6974" w:rsidRDefault="00271E75"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03B58F53" wp14:editId="6748167A">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30E9D7"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779"/>
    <w:multiLevelType w:val="hybridMultilevel"/>
    <w:tmpl w:val="DD98B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2706"/>
    <w:multiLevelType w:val="hybridMultilevel"/>
    <w:tmpl w:val="9858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833E30"/>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25B091A"/>
    <w:multiLevelType w:val="hybridMultilevel"/>
    <w:tmpl w:val="E87EB962"/>
    <w:lvl w:ilvl="0" w:tplc="7D361FB6">
      <w:start w:val="1"/>
      <w:numFmt w:val="upperRoman"/>
      <w:pStyle w:val="Ttulo2"/>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98776C"/>
    <w:multiLevelType w:val="hybridMultilevel"/>
    <w:tmpl w:val="84E231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2911CB"/>
    <w:multiLevelType w:val="hybridMultilevel"/>
    <w:tmpl w:val="AEB01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EA611B"/>
    <w:multiLevelType w:val="hybridMultilevel"/>
    <w:tmpl w:val="C276B7BA"/>
    <w:lvl w:ilvl="0" w:tplc="080A000F">
      <w:start w:val="1"/>
      <w:numFmt w:val="decimal"/>
      <w:lvlText w:val="%1."/>
      <w:lvlJc w:val="left"/>
      <w:pPr>
        <w:ind w:left="1493" w:hanging="360"/>
      </w:pPr>
    </w:lvl>
    <w:lvl w:ilvl="1" w:tplc="080A0019" w:tentative="1">
      <w:start w:val="1"/>
      <w:numFmt w:val="lowerLetter"/>
      <w:lvlText w:val="%2."/>
      <w:lvlJc w:val="left"/>
      <w:pPr>
        <w:ind w:left="2213" w:hanging="360"/>
      </w:pPr>
    </w:lvl>
    <w:lvl w:ilvl="2" w:tplc="080A001B" w:tentative="1">
      <w:start w:val="1"/>
      <w:numFmt w:val="lowerRoman"/>
      <w:lvlText w:val="%3."/>
      <w:lvlJc w:val="right"/>
      <w:pPr>
        <w:ind w:left="2933" w:hanging="180"/>
      </w:pPr>
    </w:lvl>
    <w:lvl w:ilvl="3" w:tplc="080A000F" w:tentative="1">
      <w:start w:val="1"/>
      <w:numFmt w:val="decimal"/>
      <w:lvlText w:val="%4."/>
      <w:lvlJc w:val="left"/>
      <w:pPr>
        <w:ind w:left="3653" w:hanging="360"/>
      </w:pPr>
    </w:lvl>
    <w:lvl w:ilvl="4" w:tplc="080A0019" w:tentative="1">
      <w:start w:val="1"/>
      <w:numFmt w:val="lowerLetter"/>
      <w:lvlText w:val="%5."/>
      <w:lvlJc w:val="left"/>
      <w:pPr>
        <w:ind w:left="4373" w:hanging="360"/>
      </w:pPr>
    </w:lvl>
    <w:lvl w:ilvl="5" w:tplc="080A001B" w:tentative="1">
      <w:start w:val="1"/>
      <w:numFmt w:val="lowerRoman"/>
      <w:lvlText w:val="%6."/>
      <w:lvlJc w:val="right"/>
      <w:pPr>
        <w:ind w:left="5093" w:hanging="180"/>
      </w:pPr>
    </w:lvl>
    <w:lvl w:ilvl="6" w:tplc="080A000F" w:tentative="1">
      <w:start w:val="1"/>
      <w:numFmt w:val="decimal"/>
      <w:lvlText w:val="%7."/>
      <w:lvlJc w:val="left"/>
      <w:pPr>
        <w:ind w:left="5813" w:hanging="360"/>
      </w:pPr>
    </w:lvl>
    <w:lvl w:ilvl="7" w:tplc="080A0019" w:tentative="1">
      <w:start w:val="1"/>
      <w:numFmt w:val="lowerLetter"/>
      <w:lvlText w:val="%8."/>
      <w:lvlJc w:val="left"/>
      <w:pPr>
        <w:ind w:left="6533" w:hanging="360"/>
      </w:pPr>
    </w:lvl>
    <w:lvl w:ilvl="8" w:tplc="080A001B" w:tentative="1">
      <w:start w:val="1"/>
      <w:numFmt w:val="lowerRoman"/>
      <w:lvlText w:val="%9."/>
      <w:lvlJc w:val="right"/>
      <w:pPr>
        <w:ind w:left="7253" w:hanging="180"/>
      </w:pPr>
    </w:lvl>
  </w:abstractNum>
  <w:abstractNum w:abstractNumId="8"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443371"/>
    <w:multiLevelType w:val="hybridMultilevel"/>
    <w:tmpl w:val="4C6AEBD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67702AC"/>
    <w:multiLevelType w:val="hybridMultilevel"/>
    <w:tmpl w:val="5C3E0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E28C6"/>
    <w:multiLevelType w:val="hybridMultilevel"/>
    <w:tmpl w:val="C276B7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233EB3"/>
    <w:multiLevelType w:val="hybridMultilevel"/>
    <w:tmpl w:val="5204D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D67C20"/>
    <w:multiLevelType w:val="hybridMultilevel"/>
    <w:tmpl w:val="39BC3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0E4D4C"/>
    <w:multiLevelType w:val="hybridMultilevel"/>
    <w:tmpl w:val="C276B7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53745AF"/>
    <w:multiLevelType w:val="hybridMultilevel"/>
    <w:tmpl w:val="23FE1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4F155F"/>
    <w:multiLevelType w:val="hybridMultilevel"/>
    <w:tmpl w:val="386E3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F51D98"/>
    <w:multiLevelType w:val="hybridMultilevel"/>
    <w:tmpl w:val="F8DED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036801"/>
    <w:multiLevelType w:val="hybridMultilevel"/>
    <w:tmpl w:val="C9C63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8"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5301B2"/>
    <w:multiLevelType w:val="hybridMultilevel"/>
    <w:tmpl w:val="6C5EC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BD6158"/>
    <w:multiLevelType w:val="hybridMultilevel"/>
    <w:tmpl w:val="591876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5B6329"/>
    <w:multiLevelType w:val="hybridMultilevel"/>
    <w:tmpl w:val="324CE1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55318"/>
    <w:multiLevelType w:val="hybridMultilevel"/>
    <w:tmpl w:val="0666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A11215"/>
    <w:multiLevelType w:val="hybridMultilevel"/>
    <w:tmpl w:val="B3FA01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37" w15:restartNumberingAfterBreak="0">
    <w:nsid w:val="6A812308"/>
    <w:multiLevelType w:val="hybridMultilevel"/>
    <w:tmpl w:val="D37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1281E"/>
    <w:multiLevelType w:val="hybridMultilevel"/>
    <w:tmpl w:val="7DD03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D1058B"/>
    <w:multiLevelType w:val="hybridMultilevel"/>
    <w:tmpl w:val="AC061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541153"/>
    <w:multiLevelType w:val="hybridMultilevel"/>
    <w:tmpl w:val="5FD613F2"/>
    <w:lvl w:ilvl="0" w:tplc="8AC670DE">
      <w:numFmt w:val="bullet"/>
      <w:lvlText w:val="-"/>
      <w:lvlJc w:val="left"/>
      <w:pPr>
        <w:ind w:left="1070" w:hanging="71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43" w15:restartNumberingAfterBreak="0">
    <w:nsid w:val="740958AF"/>
    <w:multiLevelType w:val="hybridMultilevel"/>
    <w:tmpl w:val="CC36DE90"/>
    <w:lvl w:ilvl="0" w:tplc="C3ECADD4">
      <w:start w:val="1"/>
      <w:numFmt w:val="decimal"/>
      <w:lvlText w:val="%1."/>
      <w:lvlJc w:val="left"/>
      <w:pPr>
        <w:ind w:left="770" w:hanging="360"/>
      </w:pPr>
      <w:rPr>
        <w:b/>
        <w:bCs/>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44" w15:restartNumberingAfterBreak="0">
    <w:nsid w:val="76BB48BB"/>
    <w:multiLevelType w:val="hybridMultilevel"/>
    <w:tmpl w:val="C9266DDC"/>
    <w:lvl w:ilvl="0" w:tplc="080A0001">
      <w:start w:val="1"/>
      <w:numFmt w:val="bullet"/>
      <w:lvlText w:val=""/>
      <w:lvlJc w:val="left"/>
      <w:pPr>
        <w:ind w:left="710" w:hanging="71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6"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
  </w:num>
  <w:num w:numId="3">
    <w:abstractNumId w:val="8"/>
  </w:num>
  <w:num w:numId="4">
    <w:abstractNumId w:val="21"/>
  </w:num>
  <w:num w:numId="5">
    <w:abstractNumId w:val="35"/>
  </w:num>
  <w:num w:numId="6">
    <w:abstractNumId w:val="19"/>
  </w:num>
  <w:num w:numId="7">
    <w:abstractNumId w:val="28"/>
  </w:num>
  <w:num w:numId="8">
    <w:abstractNumId w:val="32"/>
  </w:num>
  <w:num w:numId="9">
    <w:abstractNumId w:val="17"/>
  </w:num>
  <w:num w:numId="10">
    <w:abstractNumId w:val="4"/>
  </w:num>
  <w:num w:numId="11">
    <w:abstractNumId w:val="39"/>
  </w:num>
  <w:num w:numId="12">
    <w:abstractNumId w:val="25"/>
  </w:num>
  <w:num w:numId="13">
    <w:abstractNumId w:val="42"/>
  </w:num>
  <w:num w:numId="14">
    <w:abstractNumId w:val="27"/>
  </w:num>
  <w:num w:numId="15">
    <w:abstractNumId w:val="36"/>
  </w:num>
  <w:num w:numId="16">
    <w:abstractNumId w:val="24"/>
  </w:num>
  <w:num w:numId="17">
    <w:abstractNumId w:val="46"/>
  </w:num>
  <w:num w:numId="18">
    <w:abstractNumId w:val="20"/>
  </w:num>
  <w:num w:numId="19">
    <w:abstractNumId w:val="12"/>
  </w:num>
  <w:num w:numId="20">
    <w:abstractNumId w:val="33"/>
  </w:num>
  <w:num w:numId="21">
    <w:abstractNumId w:val="2"/>
  </w:num>
  <w:num w:numId="22">
    <w:abstractNumId w:val="45"/>
  </w:num>
  <w:num w:numId="23">
    <w:abstractNumId w:val="3"/>
    <w:lvlOverride w:ilvl="0">
      <w:startOverride w:val="1"/>
    </w:lvlOverride>
  </w:num>
  <w:num w:numId="24">
    <w:abstractNumId w:val="40"/>
  </w:num>
  <w:num w:numId="25">
    <w:abstractNumId w:val="30"/>
  </w:num>
  <w:num w:numId="26">
    <w:abstractNumId w:val="5"/>
  </w:num>
  <w:num w:numId="27">
    <w:abstractNumId w:val="31"/>
  </w:num>
  <w:num w:numId="28">
    <w:abstractNumId w:val="37"/>
  </w:num>
  <w:num w:numId="29">
    <w:abstractNumId w:val="10"/>
  </w:num>
  <w:num w:numId="30">
    <w:abstractNumId w:val="11"/>
  </w:num>
  <w:num w:numId="31">
    <w:abstractNumId w:val="15"/>
  </w:num>
  <w:num w:numId="32">
    <w:abstractNumId w:val="7"/>
  </w:num>
  <w:num w:numId="33">
    <w:abstractNumId w:val="6"/>
  </w:num>
  <w:num w:numId="34">
    <w:abstractNumId w:val="18"/>
  </w:num>
  <w:num w:numId="35">
    <w:abstractNumId w:val="29"/>
  </w:num>
  <w:num w:numId="36">
    <w:abstractNumId w:val="41"/>
  </w:num>
  <w:num w:numId="37">
    <w:abstractNumId w:val="44"/>
  </w:num>
  <w:num w:numId="38">
    <w:abstractNumId w:val="3"/>
    <w:lvlOverride w:ilvl="0">
      <w:startOverride w:val="1"/>
    </w:lvlOverride>
  </w:num>
  <w:num w:numId="39">
    <w:abstractNumId w:val="43"/>
  </w:num>
  <w:num w:numId="40">
    <w:abstractNumId w:val="23"/>
  </w:num>
  <w:num w:numId="41">
    <w:abstractNumId w:val="22"/>
  </w:num>
  <w:num w:numId="42">
    <w:abstractNumId w:val="38"/>
  </w:num>
  <w:num w:numId="43">
    <w:abstractNumId w:val="9"/>
  </w:num>
  <w:num w:numId="44">
    <w:abstractNumId w:val="34"/>
  </w:num>
  <w:num w:numId="45">
    <w:abstractNumId w:val="0"/>
  </w:num>
  <w:num w:numId="46">
    <w:abstractNumId w:val="1"/>
  </w:num>
  <w:num w:numId="47">
    <w:abstractNumId w:val="16"/>
  </w:num>
  <w:num w:numId="48">
    <w:abstractNumId w:val="14"/>
  </w:num>
  <w:num w:numId="49">
    <w:abstractNumId w:val="13"/>
  </w:num>
  <w:num w:numId="5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31"/>
    <w:rsid w:val="00005DB7"/>
    <w:rsid w:val="00011C87"/>
    <w:rsid w:val="00014493"/>
    <w:rsid w:val="000149AB"/>
    <w:rsid w:val="00015130"/>
    <w:rsid w:val="0001600D"/>
    <w:rsid w:val="000237FA"/>
    <w:rsid w:val="00023AF7"/>
    <w:rsid w:val="000253EE"/>
    <w:rsid w:val="00025623"/>
    <w:rsid w:val="00026723"/>
    <w:rsid w:val="00030E6E"/>
    <w:rsid w:val="000324FE"/>
    <w:rsid w:val="0003476F"/>
    <w:rsid w:val="000356DE"/>
    <w:rsid w:val="0003626C"/>
    <w:rsid w:val="00040722"/>
    <w:rsid w:val="00043DCB"/>
    <w:rsid w:val="00051577"/>
    <w:rsid w:val="000549F6"/>
    <w:rsid w:val="000553DD"/>
    <w:rsid w:val="00062C1D"/>
    <w:rsid w:val="0007778B"/>
    <w:rsid w:val="00082D5D"/>
    <w:rsid w:val="0008701D"/>
    <w:rsid w:val="0009088D"/>
    <w:rsid w:val="0009104D"/>
    <w:rsid w:val="00092755"/>
    <w:rsid w:val="000931D8"/>
    <w:rsid w:val="00094041"/>
    <w:rsid w:val="00097B00"/>
    <w:rsid w:val="000A0CEF"/>
    <w:rsid w:val="000A0F69"/>
    <w:rsid w:val="000A112D"/>
    <w:rsid w:val="000A5CFB"/>
    <w:rsid w:val="000A6067"/>
    <w:rsid w:val="000A619B"/>
    <w:rsid w:val="000A6255"/>
    <w:rsid w:val="000B49E0"/>
    <w:rsid w:val="000B5C31"/>
    <w:rsid w:val="000B71C0"/>
    <w:rsid w:val="000C1B54"/>
    <w:rsid w:val="000C1C30"/>
    <w:rsid w:val="000C476E"/>
    <w:rsid w:val="000D07E4"/>
    <w:rsid w:val="000D2838"/>
    <w:rsid w:val="000D6674"/>
    <w:rsid w:val="000D7FFA"/>
    <w:rsid w:val="000E0501"/>
    <w:rsid w:val="000E41EA"/>
    <w:rsid w:val="000E41F3"/>
    <w:rsid w:val="000E54B6"/>
    <w:rsid w:val="000E55B0"/>
    <w:rsid w:val="000E727B"/>
    <w:rsid w:val="000E7D0E"/>
    <w:rsid w:val="000F0139"/>
    <w:rsid w:val="00100C9C"/>
    <w:rsid w:val="00102148"/>
    <w:rsid w:val="00105E55"/>
    <w:rsid w:val="001124B6"/>
    <w:rsid w:val="00112B88"/>
    <w:rsid w:val="0011622B"/>
    <w:rsid w:val="00117324"/>
    <w:rsid w:val="001207EF"/>
    <w:rsid w:val="00120D05"/>
    <w:rsid w:val="00132257"/>
    <w:rsid w:val="001331D8"/>
    <w:rsid w:val="001413ED"/>
    <w:rsid w:val="00145E17"/>
    <w:rsid w:val="00156FCD"/>
    <w:rsid w:val="00160352"/>
    <w:rsid w:val="00164AE9"/>
    <w:rsid w:val="00166A3F"/>
    <w:rsid w:val="00170916"/>
    <w:rsid w:val="00174196"/>
    <w:rsid w:val="00175A93"/>
    <w:rsid w:val="00182FC1"/>
    <w:rsid w:val="001937D1"/>
    <w:rsid w:val="001947E2"/>
    <w:rsid w:val="001A1DF6"/>
    <w:rsid w:val="001A3C45"/>
    <w:rsid w:val="001A57DB"/>
    <w:rsid w:val="001A5C6A"/>
    <w:rsid w:val="001B1359"/>
    <w:rsid w:val="001B369B"/>
    <w:rsid w:val="001B5184"/>
    <w:rsid w:val="001B676D"/>
    <w:rsid w:val="001C0864"/>
    <w:rsid w:val="001C11B0"/>
    <w:rsid w:val="001C1A6D"/>
    <w:rsid w:val="001C7102"/>
    <w:rsid w:val="001D07E4"/>
    <w:rsid w:val="001D2868"/>
    <w:rsid w:val="001D4AB1"/>
    <w:rsid w:val="001E0388"/>
    <w:rsid w:val="001F1F43"/>
    <w:rsid w:val="001F6CEA"/>
    <w:rsid w:val="0020440A"/>
    <w:rsid w:val="002107F6"/>
    <w:rsid w:val="002124FB"/>
    <w:rsid w:val="00217A22"/>
    <w:rsid w:val="00221089"/>
    <w:rsid w:val="00222886"/>
    <w:rsid w:val="00225373"/>
    <w:rsid w:val="002266C2"/>
    <w:rsid w:val="00232A61"/>
    <w:rsid w:val="00246FA5"/>
    <w:rsid w:val="00260C4C"/>
    <w:rsid w:val="00264F97"/>
    <w:rsid w:val="00266BE0"/>
    <w:rsid w:val="002701F5"/>
    <w:rsid w:val="00271E75"/>
    <w:rsid w:val="00272B83"/>
    <w:rsid w:val="002771ED"/>
    <w:rsid w:val="00280134"/>
    <w:rsid w:val="00280D8D"/>
    <w:rsid w:val="002811C3"/>
    <w:rsid w:val="002823DE"/>
    <w:rsid w:val="00297840"/>
    <w:rsid w:val="002A0A47"/>
    <w:rsid w:val="002A5F52"/>
    <w:rsid w:val="002A7E04"/>
    <w:rsid w:val="002A7EC6"/>
    <w:rsid w:val="002B1AD7"/>
    <w:rsid w:val="002B4BB2"/>
    <w:rsid w:val="002B62A4"/>
    <w:rsid w:val="002B63D8"/>
    <w:rsid w:val="002C0D35"/>
    <w:rsid w:val="002C2640"/>
    <w:rsid w:val="002C3201"/>
    <w:rsid w:val="002D159F"/>
    <w:rsid w:val="002D17C4"/>
    <w:rsid w:val="002D18DE"/>
    <w:rsid w:val="002D34FE"/>
    <w:rsid w:val="002D6946"/>
    <w:rsid w:val="002E6C44"/>
    <w:rsid w:val="002F489E"/>
    <w:rsid w:val="002F678D"/>
    <w:rsid w:val="00301F89"/>
    <w:rsid w:val="00307092"/>
    <w:rsid w:val="0031183C"/>
    <w:rsid w:val="00315763"/>
    <w:rsid w:val="00316DC1"/>
    <w:rsid w:val="00323B07"/>
    <w:rsid w:val="00323F3A"/>
    <w:rsid w:val="00331DFF"/>
    <w:rsid w:val="00332319"/>
    <w:rsid w:val="0033448A"/>
    <w:rsid w:val="003353FC"/>
    <w:rsid w:val="0034067D"/>
    <w:rsid w:val="00340A4E"/>
    <w:rsid w:val="00350692"/>
    <w:rsid w:val="00352375"/>
    <w:rsid w:val="003548B4"/>
    <w:rsid w:val="00357CAA"/>
    <w:rsid w:val="00360DFD"/>
    <w:rsid w:val="003613DA"/>
    <w:rsid w:val="00361F92"/>
    <w:rsid w:val="00362C5C"/>
    <w:rsid w:val="00375A83"/>
    <w:rsid w:val="00380392"/>
    <w:rsid w:val="00380AF6"/>
    <w:rsid w:val="00380FDD"/>
    <w:rsid w:val="0038199D"/>
    <w:rsid w:val="00381D5B"/>
    <w:rsid w:val="00391756"/>
    <w:rsid w:val="003932AE"/>
    <w:rsid w:val="00394200"/>
    <w:rsid w:val="003A2325"/>
    <w:rsid w:val="003A44D2"/>
    <w:rsid w:val="003A7417"/>
    <w:rsid w:val="003A7C5A"/>
    <w:rsid w:val="003B524B"/>
    <w:rsid w:val="003B6BA1"/>
    <w:rsid w:val="003C0377"/>
    <w:rsid w:val="003C038E"/>
    <w:rsid w:val="003D0DF8"/>
    <w:rsid w:val="003D1364"/>
    <w:rsid w:val="003D1CAC"/>
    <w:rsid w:val="003D2703"/>
    <w:rsid w:val="003D7579"/>
    <w:rsid w:val="003E4BED"/>
    <w:rsid w:val="003E5478"/>
    <w:rsid w:val="003E55FE"/>
    <w:rsid w:val="003E7D11"/>
    <w:rsid w:val="003F0722"/>
    <w:rsid w:val="003F4DE4"/>
    <w:rsid w:val="003F603E"/>
    <w:rsid w:val="0041087B"/>
    <w:rsid w:val="00410F8E"/>
    <w:rsid w:val="004141B1"/>
    <w:rsid w:val="00420DD3"/>
    <w:rsid w:val="004317BC"/>
    <w:rsid w:val="0043365D"/>
    <w:rsid w:val="0043404E"/>
    <w:rsid w:val="00435168"/>
    <w:rsid w:val="004368BF"/>
    <w:rsid w:val="00440E1A"/>
    <w:rsid w:val="00444217"/>
    <w:rsid w:val="00444EAF"/>
    <w:rsid w:val="00450FCD"/>
    <w:rsid w:val="004510A1"/>
    <w:rsid w:val="00454377"/>
    <w:rsid w:val="00460E7A"/>
    <w:rsid w:val="00461A06"/>
    <w:rsid w:val="004646F0"/>
    <w:rsid w:val="00464849"/>
    <w:rsid w:val="00464AE1"/>
    <w:rsid w:val="0046559B"/>
    <w:rsid w:val="004666A6"/>
    <w:rsid w:val="00474104"/>
    <w:rsid w:val="0047696E"/>
    <w:rsid w:val="004775AE"/>
    <w:rsid w:val="004939AF"/>
    <w:rsid w:val="00494FC1"/>
    <w:rsid w:val="004970C4"/>
    <w:rsid w:val="004A0202"/>
    <w:rsid w:val="004A1FE1"/>
    <w:rsid w:val="004A79E0"/>
    <w:rsid w:val="004B053F"/>
    <w:rsid w:val="004B0CA6"/>
    <w:rsid w:val="004B5044"/>
    <w:rsid w:val="004C4695"/>
    <w:rsid w:val="004D3BE2"/>
    <w:rsid w:val="004D5EAB"/>
    <w:rsid w:val="004D64DD"/>
    <w:rsid w:val="004D7960"/>
    <w:rsid w:val="004E2A3A"/>
    <w:rsid w:val="004E2C4B"/>
    <w:rsid w:val="004E4B70"/>
    <w:rsid w:val="004E5176"/>
    <w:rsid w:val="004F0CF7"/>
    <w:rsid w:val="004F0F70"/>
    <w:rsid w:val="004F17BB"/>
    <w:rsid w:val="004F4C27"/>
    <w:rsid w:val="004F62DC"/>
    <w:rsid w:val="004F7BB5"/>
    <w:rsid w:val="005012E2"/>
    <w:rsid w:val="00502BB2"/>
    <w:rsid w:val="00510155"/>
    <w:rsid w:val="00511FAE"/>
    <w:rsid w:val="00517B43"/>
    <w:rsid w:val="005214C7"/>
    <w:rsid w:val="0052296A"/>
    <w:rsid w:val="00523087"/>
    <w:rsid w:val="0052558F"/>
    <w:rsid w:val="005332DC"/>
    <w:rsid w:val="00535E24"/>
    <w:rsid w:val="0053724F"/>
    <w:rsid w:val="00543708"/>
    <w:rsid w:val="00544606"/>
    <w:rsid w:val="00545F79"/>
    <w:rsid w:val="00546B04"/>
    <w:rsid w:val="00546C4E"/>
    <w:rsid w:val="00546F00"/>
    <w:rsid w:val="00551194"/>
    <w:rsid w:val="005520AA"/>
    <w:rsid w:val="00553B51"/>
    <w:rsid w:val="00553C7B"/>
    <w:rsid w:val="00555B10"/>
    <w:rsid w:val="00560477"/>
    <w:rsid w:val="00564A19"/>
    <w:rsid w:val="0056758A"/>
    <w:rsid w:val="00570F3A"/>
    <w:rsid w:val="00575EFD"/>
    <w:rsid w:val="005801A3"/>
    <w:rsid w:val="00582214"/>
    <w:rsid w:val="00584CB6"/>
    <w:rsid w:val="0058551F"/>
    <w:rsid w:val="005876C4"/>
    <w:rsid w:val="00595786"/>
    <w:rsid w:val="005A1A0F"/>
    <w:rsid w:val="005A5671"/>
    <w:rsid w:val="005A653C"/>
    <w:rsid w:val="005B0125"/>
    <w:rsid w:val="005B2C1D"/>
    <w:rsid w:val="005B3E9A"/>
    <w:rsid w:val="005B7378"/>
    <w:rsid w:val="005C0435"/>
    <w:rsid w:val="005C06DB"/>
    <w:rsid w:val="005C072E"/>
    <w:rsid w:val="005C67EA"/>
    <w:rsid w:val="005D1637"/>
    <w:rsid w:val="005D1DEE"/>
    <w:rsid w:val="005D2CC9"/>
    <w:rsid w:val="005D622C"/>
    <w:rsid w:val="005D6DB0"/>
    <w:rsid w:val="005E0B50"/>
    <w:rsid w:val="005E55BF"/>
    <w:rsid w:val="005F0265"/>
    <w:rsid w:val="005F2BA4"/>
    <w:rsid w:val="005F4DEC"/>
    <w:rsid w:val="00600500"/>
    <w:rsid w:val="00600DB8"/>
    <w:rsid w:val="006020E6"/>
    <w:rsid w:val="00603B41"/>
    <w:rsid w:val="00605BD9"/>
    <w:rsid w:val="00612A41"/>
    <w:rsid w:val="006223B2"/>
    <w:rsid w:val="00623761"/>
    <w:rsid w:val="00623F6F"/>
    <w:rsid w:val="006240BB"/>
    <w:rsid w:val="00625CB1"/>
    <w:rsid w:val="0062657D"/>
    <w:rsid w:val="00626BE6"/>
    <w:rsid w:val="00627B2B"/>
    <w:rsid w:val="00634948"/>
    <w:rsid w:val="0064308C"/>
    <w:rsid w:val="006430BF"/>
    <w:rsid w:val="0065082F"/>
    <w:rsid w:val="00657E2B"/>
    <w:rsid w:val="006601AF"/>
    <w:rsid w:val="0066476F"/>
    <w:rsid w:val="00670385"/>
    <w:rsid w:val="00670A0E"/>
    <w:rsid w:val="00675B67"/>
    <w:rsid w:val="0067607D"/>
    <w:rsid w:val="0067625F"/>
    <w:rsid w:val="006774EA"/>
    <w:rsid w:val="0068054F"/>
    <w:rsid w:val="00683443"/>
    <w:rsid w:val="00687D65"/>
    <w:rsid w:val="00694AE5"/>
    <w:rsid w:val="006A1D68"/>
    <w:rsid w:val="006A2672"/>
    <w:rsid w:val="006A3CD3"/>
    <w:rsid w:val="006A6D93"/>
    <w:rsid w:val="006B0B12"/>
    <w:rsid w:val="006B50CD"/>
    <w:rsid w:val="006C25ED"/>
    <w:rsid w:val="006C672B"/>
    <w:rsid w:val="006E248A"/>
    <w:rsid w:val="006E361A"/>
    <w:rsid w:val="006E48D6"/>
    <w:rsid w:val="006F1AB2"/>
    <w:rsid w:val="006F219A"/>
    <w:rsid w:val="006F5989"/>
    <w:rsid w:val="006F7B29"/>
    <w:rsid w:val="00702727"/>
    <w:rsid w:val="00703850"/>
    <w:rsid w:val="00707E48"/>
    <w:rsid w:val="00714C32"/>
    <w:rsid w:val="007163E5"/>
    <w:rsid w:val="00717244"/>
    <w:rsid w:val="00717B72"/>
    <w:rsid w:val="00720D64"/>
    <w:rsid w:val="0072603E"/>
    <w:rsid w:val="00726A4C"/>
    <w:rsid w:val="00732143"/>
    <w:rsid w:val="00735DEE"/>
    <w:rsid w:val="0074187C"/>
    <w:rsid w:val="00743BCA"/>
    <w:rsid w:val="007440B2"/>
    <w:rsid w:val="0074626C"/>
    <w:rsid w:val="007473C3"/>
    <w:rsid w:val="007628D0"/>
    <w:rsid w:val="00762996"/>
    <w:rsid w:val="00763495"/>
    <w:rsid w:val="007644BA"/>
    <w:rsid w:val="007712B7"/>
    <w:rsid w:val="00772969"/>
    <w:rsid w:val="0077357C"/>
    <w:rsid w:val="00775562"/>
    <w:rsid w:val="00775F83"/>
    <w:rsid w:val="007843CF"/>
    <w:rsid w:val="00787028"/>
    <w:rsid w:val="0079076D"/>
    <w:rsid w:val="00796743"/>
    <w:rsid w:val="007978CB"/>
    <w:rsid w:val="007A1B7C"/>
    <w:rsid w:val="007A1E11"/>
    <w:rsid w:val="007A2C22"/>
    <w:rsid w:val="007A3BB3"/>
    <w:rsid w:val="007A5394"/>
    <w:rsid w:val="007A6974"/>
    <w:rsid w:val="007A752F"/>
    <w:rsid w:val="007B40A5"/>
    <w:rsid w:val="007B6347"/>
    <w:rsid w:val="007B703D"/>
    <w:rsid w:val="007C1346"/>
    <w:rsid w:val="007C2ED0"/>
    <w:rsid w:val="007C525F"/>
    <w:rsid w:val="007C53CF"/>
    <w:rsid w:val="007C561D"/>
    <w:rsid w:val="007D4688"/>
    <w:rsid w:val="007D4A23"/>
    <w:rsid w:val="007D610C"/>
    <w:rsid w:val="007E04FB"/>
    <w:rsid w:val="007E0959"/>
    <w:rsid w:val="007E29E9"/>
    <w:rsid w:val="007E4261"/>
    <w:rsid w:val="007E7B44"/>
    <w:rsid w:val="007F305E"/>
    <w:rsid w:val="007F4DB5"/>
    <w:rsid w:val="007F6983"/>
    <w:rsid w:val="007F732C"/>
    <w:rsid w:val="00800852"/>
    <w:rsid w:val="00804BB7"/>
    <w:rsid w:val="00805E1E"/>
    <w:rsid w:val="00806141"/>
    <w:rsid w:val="008200BE"/>
    <w:rsid w:val="00821743"/>
    <w:rsid w:val="008219F6"/>
    <w:rsid w:val="00821F94"/>
    <w:rsid w:val="00824DB7"/>
    <w:rsid w:val="008271AB"/>
    <w:rsid w:val="00833D48"/>
    <w:rsid w:val="00835F7D"/>
    <w:rsid w:val="008406AA"/>
    <w:rsid w:val="00854FBE"/>
    <w:rsid w:val="0086154B"/>
    <w:rsid w:val="00861D6A"/>
    <w:rsid w:val="008654B1"/>
    <w:rsid w:val="008658B5"/>
    <w:rsid w:val="008667C7"/>
    <w:rsid w:val="008711D6"/>
    <w:rsid w:val="00873E7E"/>
    <w:rsid w:val="008754B4"/>
    <w:rsid w:val="0087596E"/>
    <w:rsid w:val="00876E3E"/>
    <w:rsid w:val="008843FB"/>
    <w:rsid w:val="0089041C"/>
    <w:rsid w:val="00893186"/>
    <w:rsid w:val="008A337C"/>
    <w:rsid w:val="008A5565"/>
    <w:rsid w:val="008B15CE"/>
    <w:rsid w:val="008C679D"/>
    <w:rsid w:val="008D106B"/>
    <w:rsid w:val="008D1888"/>
    <w:rsid w:val="008D1C47"/>
    <w:rsid w:val="008D4C7A"/>
    <w:rsid w:val="008D6A1D"/>
    <w:rsid w:val="008E2476"/>
    <w:rsid w:val="008F16D3"/>
    <w:rsid w:val="008F2B1A"/>
    <w:rsid w:val="008F4468"/>
    <w:rsid w:val="008F5E99"/>
    <w:rsid w:val="008F5F75"/>
    <w:rsid w:val="008F63B1"/>
    <w:rsid w:val="00903C94"/>
    <w:rsid w:val="00905C74"/>
    <w:rsid w:val="0091193C"/>
    <w:rsid w:val="00912EF9"/>
    <w:rsid w:val="00913F1B"/>
    <w:rsid w:val="00915CEA"/>
    <w:rsid w:val="009160D3"/>
    <w:rsid w:val="00924E06"/>
    <w:rsid w:val="00931546"/>
    <w:rsid w:val="009346DD"/>
    <w:rsid w:val="0094150D"/>
    <w:rsid w:val="00942344"/>
    <w:rsid w:val="009426CC"/>
    <w:rsid w:val="00944B2E"/>
    <w:rsid w:val="009555A5"/>
    <w:rsid w:val="00956B99"/>
    <w:rsid w:val="00957DB8"/>
    <w:rsid w:val="009602FF"/>
    <w:rsid w:val="009639AF"/>
    <w:rsid w:val="00970730"/>
    <w:rsid w:val="009708CD"/>
    <w:rsid w:val="00975C25"/>
    <w:rsid w:val="0098095A"/>
    <w:rsid w:val="00981D2D"/>
    <w:rsid w:val="0098316E"/>
    <w:rsid w:val="009868BF"/>
    <w:rsid w:val="00987672"/>
    <w:rsid w:val="0099287E"/>
    <w:rsid w:val="009A7F3C"/>
    <w:rsid w:val="009B2022"/>
    <w:rsid w:val="009B360E"/>
    <w:rsid w:val="009B3834"/>
    <w:rsid w:val="009B5A35"/>
    <w:rsid w:val="009C1B2E"/>
    <w:rsid w:val="009C5A1F"/>
    <w:rsid w:val="009C6A6F"/>
    <w:rsid w:val="009C6C17"/>
    <w:rsid w:val="009D0EF4"/>
    <w:rsid w:val="009D3DDA"/>
    <w:rsid w:val="009D5669"/>
    <w:rsid w:val="009E072C"/>
    <w:rsid w:val="009E197F"/>
    <w:rsid w:val="009E43A3"/>
    <w:rsid w:val="009F7734"/>
    <w:rsid w:val="00A003A6"/>
    <w:rsid w:val="00A00824"/>
    <w:rsid w:val="00A0235F"/>
    <w:rsid w:val="00A023DF"/>
    <w:rsid w:val="00A03F6E"/>
    <w:rsid w:val="00A04017"/>
    <w:rsid w:val="00A078AE"/>
    <w:rsid w:val="00A11685"/>
    <w:rsid w:val="00A11BA0"/>
    <w:rsid w:val="00A1372C"/>
    <w:rsid w:val="00A20F02"/>
    <w:rsid w:val="00A25465"/>
    <w:rsid w:val="00A25B7E"/>
    <w:rsid w:val="00A3221E"/>
    <w:rsid w:val="00A3420E"/>
    <w:rsid w:val="00A344DA"/>
    <w:rsid w:val="00A454F4"/>
    <w:rsid w:val="00A57E13"/>
    <w:rsid w:val="00A60361"/>
    <w:rsid w:val="00A610BA"/>
    <w:rsid w:val="00A614ED"/>
    <w:rsid w:val="00A62E59"/>
    <w:rsid w:val="00A62F73"/>
    <w:rsid w:val="00A63006"/>
    <w:rsid w:val="00A7050F"/>
    <w:rsid w:val="00A74360"/>
    <w:rsid w:val="00A749B3"/>
    <w:rsid w:val="00A74B5C"/>
    <w:rsid w:val="00A751A5"/>
    <w:rsid w:val="00A75A67"/>
    <w:rsid w:val="00A82080"/>
    <w:rsid w:val="00A84815"/>
    <w:rsid w:val="00A84C80"/>
    <w:rsid w:val="00A85F71"/>
    <w:rsid w:val="00A917C8"/>
    <w:rsid w:val="00A91838"/>
    <w:rsid w:val="00A92B29"/>
    <w:rsid w:val="00A932CC"/>
    <w:rsid w:val="00A95ED3"/>
    <w:rsid w:val="00A96AF4"/>
    <w:rsid w:val="00AA1D52"/>
    <w:rsid w:val="00AA296F"/>
    <w:rsid w:val="00AA4A00"/>
    <w:rsid w:val="00AA643D"/>
    <w:rsid w:val="00AA70C3"/>
    <w:rsid w:val="00AB20E8"/>
    <w:rsid w:val="00AB2D19"/>
    <w:rsid w:val="00AB3B1E"/>
    <w:rsid w:val="00AB454C"/>
    <w:rsid w:val="00AB597A"/>
    <w:rsid w:val="00AC3842"/>
    <w:rsid w:val="00AC59FE"/>
    <w:rsid w:val="00AD0D63"/>
    <w:rsid w:val="00AD1814"/>
    <w:rsid w:val="00AD5147"/>
    <w:rsid w:val="00AD6B57"/>
    <w:rsid w:val="00AE3C2C"/>
    <w:rsid w:val="00AE734C"/>
    <w:rsid w:val="00AE778E"/>
    <w:rsid w:val="00AF0094"/>
    <w:rsid w:val="00AF01FA"/>
    <w:rsid w:val="00AF29F6"/>
    <w:rsid w:val="00AF6EE1"/>
    <w:rsid w:val="00B02079"/>
    <w:rsid w:val="00B05076"/>
    <w:rsid w:val="00B10B89"/>
    <w:rsid w:val="00B13E6D"/>
    <w:rsid w:val="00B14B27"/>
    <w:rsid w:val="00B16509"/>
    <w:rsid w:val="00B17D0B"/>
    <w:rsid w:val="00B20E15"/>
    <w:rsid w:val="00B21444"/>
    <w:rsid w:val="00B273CC"/>
    <w:rsid w:val="00B3275B"/>
    <w:rsid w:val="00B404ED"/>
    <w:rsid w:val="00B44129"/>
    <w:rsid w:val="00B4445C"/>
    <w:rsid w:val="00B50BAB"/>
    <w:rsid w:val="00B533DC"/>
    <w:rsid w:val="00B6657B"/>
    <w:rsid w:val="00B70568"/>
    <w:rsid w:val="00B72399"/>
    <w:rsid w:val="00B73420"/>
    <w:rsid w:val="00B8341D"/>
    <w:rsid w:val="00B859BA"/>
    <w:rsid w:val="00B86143"/>
    <w:rsid w:val="00B875CD"/>
    <w:rsid w:val="00B92F94"/>
    <w:rsid w:val="00B97A10"/>
    <w:rsid w:val="00B97BF9"/>
    <w:rsid w:val="00BA7FC7"/>
    <w:rsid w:val="00BB2031"/>
    <w:rsid w:val="00BB2332"/>
    <w:rsid w:val="00BB25F2"/>
    <w:rsid w:val="00BB33A5"/>
    <w:rsid w:val="00BB5605"/>
    <w:rsid w:val="00BC1094"/>
    <w:rsid w:val="00BC2221"/>
    <w:rsid w:val="00BC355E"/>
    <w:rsid w:val="00BC5050"/>
    <w:rsid w:val="00BC5B94"/>
    <w:rsid w:val="00BC68E9"/>
    <w:rsid w:val="00BD1C21"/>
    <w:rsid w:val="00BD3D09"/>
    <w:rsid w:val="00BE3A25"/>
    <w:rsid w:val="00BF33B5"/>
    <w:rsid w:val="00BF3828"/>
    <w:rsid w:val="00BF5F18"/>
    <w:rsid w:val="00BF7F9F"/>
    <w:rsid w:val="00C05AA3"/>
    <w:rsid w:val="00C12C64"/>
    <w:rsid w:val="00C1692A"/>
    <w:rsid w:val="00C209CD"/>
    <w:rsid w:val="00C24AF4"/>
    <w:rsid w:val="00C26242"/>
    <w:rsid w:val="00C30CBF"/>
    <w:rsid w:val="00C32290"/>
    <w:rsid w:val="00C3334C"/>
    <w:rsid w:val="00C35A85"/>
    <w:rsid w:val="00C35DB6"/>
    <w:rsid w:val="00C41536"/>
    <w:rsid w:val="00C417F7"/>
    <w:rsid w:val="00C41926"/>
    <w:rsid w:val="00C42DD1"/>
    <w:rsid w:val="00C474AE"/>
    <w:rsid w:val="00C510C8"/>
    <w:rsid w:val="00C512C8"/>
    <w:rsid w:val="00C53026"/>
    <w:rsid w:val="00C535AE"/>
    <w:rsid w:val="00C53E35"/>
    <w:rsid w:val="00C56B77"/>
    <w:rsid w:val="00C60ADB"/>
    <w:rsid w:val="00C61A78"/>
    <w:rsid w:val="00C63CEB"/>
    <w:rsid w:val="00C67A95"/>
    <w:rsid w:val="00C72469"/>
    <w:rsid w:val="00C82970"/>
    <w:rsid w:val="00C83664"/>
    <w:rsid w:val="00C84908"/>
    <w:rsid w:val="00C84BB4"/>
    <w:rsid w:val="00C8622C"/>
    <w:rsid w:val="00C900FF"/>
    <w:rsid w:val="00C91CE4"/>
    <w:rsid w:val="00C935BB"/>
    <w:rsid w:val="00C973EC"/>
    <w:rsid w:val="00CA32F5"/>
    <w:rsid w:val="00CA4D5D"/>
    <w:rsid w:val="00CA670F"/>
    <w:rsid w:val="00CB1D5D"/>
    <w:rsid w:val="00CB5DC7"/>
    <w:rsid w:val="00CB7035"/>
    <w:rsid w:val="00CB7780"/>
    <w:rsid w:val="00CC2A01"/>
    <w:rsid w:val="00CC382A"/>
    <w:rsid w:val="00CC53F7"/>
    <w:rsid w:val="00CD0188"/>
    <w:rsid w:val="00CD426A"/>
    <w:rsid w:val="00CD4835"/>
    <w:rsid w:val="00CD6EC5"/>
    <w:rsid w:val="00CE0836"/>
    <w:rsid w:val="00CE419D"/>
    <w:rsid w:val="00CF05A7"/>
    <w:rsid w:val="00CF3895"/>
    <w:rsid w:val="00CF7018"/>
    <w:rsid w:val="00D02122"/>
    <w:rsid w:val="00D0240E"/>
    <w:rsid w:val="00D06A7E"/>
    <w:rsid w:val="00D10727"/>
    <w:rsid w:val="00D13998"/>
    <w:rsid w:val="00D13CA5"/>
    <w:rsid w:val="00D162EC"/>
    <w:rsid w:val="00D22B9D"/>
    <w:rsid w:val="00D26BAF"/>
    <w:rsid w:val="00D32A71"/>
    <w:rsid w:val="00D334B0"/>
    <w:rsid w:val="00D34848"/>
    <w:rsid w:val="00D35F1C"/>
    <w:rsid w:val="00D362B6"/>
    <w:rsid w:val="00D41A26"/>
    <w:rsid w:val="00D42A21"/>
    <w:rsid w:val="00D44C48"/>
    <w:rsid w:val="00D472B6"/>
    <w:rsid w:val="00D47A99"/>
    <w:rsid w:val="00D50117"/>
    <w:rsid w:val="00D57B94"/>
    <w:rsid w:val="00D60BD2"/>
    <w:rsid w:val="00D64EAC"/>
    <w:rsid w:val="00D71751"/>
    <w:rsid w:val="00D721C7"/>
    <w:rsid w:val="00D745BF"/>
    <w:rsid w:val="00D76089"/>
    <w:rsid w:val="00D768D7"/>
    <w:rsid w:val="00D81FAE"/>
    <w:rsid w:val="00D84343"/>
    <w:rsid w:val="00D84C43"/>
    <w:rsid w:val="00D90A1A"/>
    <w:rsid w:val="00D94F82"/>
    <w:rsid w:val="00D96838"/>
    <w:rsid w:val="00DA060B"/>
    <w:rsid w:val="00DA5776"/>
    <w:rsid w:val="00DB2ACE"/>
    <w:rsid w:val="00DB357E"/>
    <w:rsid w:val="00DC0CC8"/>
    <w:rsid w:val="00DC3C6C"/>
    <w:rsid w:val="00DC7F45"/>
    <w:rsid w:val="00DD2558"/>
    <w:rsid w:val="00DD5DBF"/>
    <w:rsid w:val="00DE08D1"/>
    <w:rsid w:val="00DE3F9F"/>
    <w:rsid w:val="00DF154A"/>
    <w:rsid w:val="00DF46B6"/>
    <w:rsid w:val="00DF5B3F"/>
    <w:rsid w:val="00DF5CB5"/>
    <w:rsid w:val="00DF5FFC"/>
    <w:rsid w:val="00E005CD"/>
    <w:rsid w:val="00E04A07"/>
    <w:rsid w:val="00E051E5"/>
    <w:rsid w:val="00E0525B"/>
    <w:rsid w:val="00E10170"/>
    <w:rsid w:val="00E14B46"/>
    <w:rsid w:val="00E14B83"/>
    <w:rsid w:val="00E161CB"/>
    <w:rsid w:val="00E17493"/>
    <w:rsid w:val="00E23470"/>
    <w:rsid w:val="00E23C25"/>
    <w:rsid w:val="00E24B7E"/>
    <w:rsid w:val="00E24F8F"/>
    <w:rsid w:val="00E27E0A"/>
    <w:rsid w:val="00E32E10"/>
    <w:rsid w:val="00E43784"/>
    <w:rsid w:val="00E44666"/>
    <w:rsid w:val="00E4524F"/>
    <w:rsid w:val="00E523F8"/>
    <w:rsid w:val="00E53A00"/>
    <w:rsid w:val="00E53BFF"/>
    <w:rsid w:val="00E57341"/>
    <w:rsid w:val="00E62A8C"/>
    <w:rsid w:val="00E64007"/>
    <w:rsid w:val="00E65CC5"/>
    <w:rsid w:val="00E71AFE"/>
    <w:rsid w:val="00E7534A"/>
    <w:rsid w:val="00E75FC9"/>
    <w:rsid w:val="00E842FA"/>
    <w:rsid w:val="00E84A72"/>
    <w:rsid w:val="00E927ED"/>
    <w:rsid w:val="00E944B2"/>
    <w:rsid w:val="00E94ABF"/>
    <w:rsid w:val="00E9708D"/>
    <w:rsid w:val="00EA094D"/>
    <w:rsid w:val="00EA6ACC"/>
    <w:rsid w:val="00EA7686"/>
    <w:rsid w:val="00EB04C8"/>
    <w:rsid w:val="00EB1D99"/>
    <w:rsid w:val="00EB22EB"/>
    <w:rsid w:val="00EC144A"/>
    <w:rsid w:val="00EC1B74"/>
    <w:rsid w:val="00EC277F"/>
    <w:rsid w:val="00EC297B"/>
    <w:rsid w:val="00EC32C5"/>
    <w:rsid w:val="00ED0227"/>
    <w:rsid w:val="00ED0CAD"/>
    <w:rsid w:val="00ED42B1"/>
    <w:rsid w:val="00ED7239"/>
    <w:rsid w:val="00EE0C46"/>
    <w:rsid w:val="00EE3517"/>
    <w:rsid w:val="00EE4BFF"/>
    <w:rsid w:val="00EF1F63"/>
    <w:rsid w:val="00EF340D"/>
    <w:rsid w:val="00EF7941"/>
    <w:rsid w:val="00F04E72"/>
    <w:rsid w:val="00F12126"/>
    <w:rsid w:val="00F12555"/>
    <w:rsid w:val="00F13080"/>
    <w:rsid w:val="00F14403"/>
    <w:rsid w:val="00F17CDD"/>
    <w:rsid w:val="00F212B2"/>
    <w:rsid w:val="00F222FB"/>
    <w:rsid w:val="00F362D7"/>
    <w:rsid w:val="00F36A5D"/>
    <w:rsid w:val="00F411B8"/>
    <w:rsid w:val="00F44904"/>
    <w:rsid w:val="00F45347"/>
    <w:rsid w:val="00F45EB4"/>
    <w:rsid w:val="00F54225"/>
    <w:rsid w:val="00F55269"/>
    <w:rsid w:val="00F552F3"/>
    <w:rsid w:val="00F6104F"/>
    <w:rsid w:val="00F62889"/>
    <w:rsid w:val="00F6437C"/>
    <w:rsid w:val="00F65F85"/>
    <w:rsid w:val="00F67857"/>
    <w:rsid w:val="00F72DD7"/>
    <w:rsid w:val="00F812E3"/>
    <w:rsid w:val="00F81ED8"/>
    <w:rsid w:val="00F84B54"/>
    <w:rsid w:val="00F85C4C"/>
    <w:rsid w:val="00F913F0"/>
    <w:rsid w:val="00F94642"/>
    <w:rsid w:val="00F97305"/>
    <w:rsid w:val="00FA17DF"/>
    <w:rsid w:val="00FA28C2"/>
    <w:rsid w:val="00FA311D"/>
    <w:rsid w:val="00FA794B"/>
    <w:rsid w:val="00FB1016"/>
    <w:rsid w:val="00FB76D1"/>
    <w:rsid w:val="00FC2926"/>
    <w:rsid w:val="00FD1C45"/>
    <w:rsid w:val="00FD29A2"/>
    <w:rsid w:val="00FD35A8"/>
    <w:rsid w:val="00FD4CCC"/>
    <w:rsid w:val="00FD54BA"/>
    <w:rsid w:val="00FD7AA3"/>
    <w:rsid w:val="00FE5B9C"/>
    <w:rsid w:val="00FF656D"/>
    <w:rsid w:val="00FF7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1C4FE"/>
  <w15:chartTrackingRefBased/>
  <w15:docId w15:val="{D8D9ECBF-E343-4E30-95FA-9886D7C9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3353FC"/>
    <w:pPr>
      <w:spacing w:after="0"/>
      <w:jc w:val="center"/>
      <w:outlineLvl w:val="0"/>
    </w:pPr>
    <w:rPr>
      <w:rFonts w:ascii="ITC Avant Garde" w:hAnsi="ITC Avant Garde"/>
      <w:b/>
    </w:rPr>
  </w:style>
  <w:style w:type="paragraph" w:styleId="Ttulo2">
    <w:name w:val="heading 2"/>
    <w:basedOn w:val="Listavistosa-nfasis11"/>
    <w:next w:val="Normal"/>
    <w:link w:val="Ttulo2Car"/>
    <w:uiPriority w:val="9"/>
    <w:unhideWhenUsed/>
    <w:qFormat/>
    <w:rsid w:val="003353FC"/>
    <w:pPr>
      <w:numPr>
        <w:numId w:val="2"/>
      </w:numPr>
      <w:spacing w:after="0" w:line="240" w:lineRule="auto"/>
      <w:jc w:val="center"/>
      <w:outlineLvl w:val="1"/>
    </w:pPr>
    <w:rPr>
      <w:rFonts w:ascii="ITC Avant Garde" w:eastAsia="Times New Roman" w:hAnsi="ITC Avant Garde"/>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0">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F36A5D"/>
    <w:pPr>
      <w:ind w:left="708"/>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
    <w:basedOn w:val="Normal"/>
    <w:link w:val="TextonotapieCar"/>
    <w:uiPriority w:val="99"/>
    <w:unhideWhenUsed/>
    <w:qFormat/>
    <w:rsid w:val="00E17493"/>
    <w:pPr>
      <w:spacing w:after="0" w:line="240" w:lineRule="auto"/>
    </w:pPr>
    <w:rPr>
      <w:sz w:val="20"/>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
    <w:link w:val="Textonotapie"/>
    <w:uiPriority w:val="99"/>
    <w:rsid w:val="00E17493"/>
    <w:rPr>
      <w:lang w:eastAsia="en-US"/>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
    <w:uiPriority w:val="99"/>
    <w:unhideWhenUsed/>
    <w:qFormat/>
    <w:rsid w:val="00E17493"/>
    <w:rPr>
      <w:vertAlign w:val="superscript"/>
    </w:rPr>
  </w:style>
  <w:style w:type="paragraph" w:customStyle="1" w:styleId="Listavistosa-nfasis11">
    <w:name w:val="Lista vistosa - Énfasis 11"/>
    <w:basedOn w:val="Normal"/>
    <w:uiPriority w:val="34"/>
    <w:qFormat/>
    <w:rsid w:val="000553DD"/>
    <w:pPr>
      <w:ind w:left="720"/>
      <w:contextualSpacing/>
    </w:pPr>
  </w:style>
  <w:style w:type="paragraph" w:styleId="Textonotaalfinal">
    <w:name w:val="endnote text"/>
    <w:basedOn w:val="Normal"/>
    <w:link w:val="TextonotaalfinalCar"/>
    <w:uiPriority w:val="99"/>
    <w:semiHidden/>
    <w:unhideWhenUsed/>
    <w:rsid w:val="00A614ED"/>
    <w:rPr>
      <w:sz w:val="20"/>
      <w:szCs w:val="20"/>
    </w:rPr>
  </w:style>
  <w:style w:type="character" w:customStyle="1" w:styleId="TextonotaalfinalCar">
    <w:name w:val="Texto nota al final Car"/>
    <w:link w:val="Textonotaalfinal"/>
    <w:uiPriority w:val="99"/>
    <w:semiHidden/>
    <w:rsid w:val="00A614ED"/>
    <w:rPr>
      <w:lang w:eastAsia="en-US"/>
    </w:rPr>
  </w:style>
  <w:style w:type="character" w:styleId="Refdenotaalfinal">
    <w:name w:val="endnote reference"/>
    <w:uiPriority w:val="99"/>
    <w:semiHidden/>
    <w:unhideWhenUsed/>
    <w:rsid w:val="00A614ED"/>
    <w:rPr>
      <w:vertAlign w:val="superscript"/>
    </w:rPr>
  </w:style>
  <w:style w:type="character" w:styleId="Hipervnculovisitado">
    <w:name w:val="FollowedHyperlink"/>
    <w:basedOn w:val="Fuentedeprrafopredeter"/>
    <w:uiPriority w:val="99"/>
    <w:semiHidden/>
    <w:unhideWhenUsed/>
    <w:rsid w:val="00957DB8"/>
    <w:rPr>
      <w:color w:val="954F72" w:themeColor="followedHyperlink"/>
      <w:u w:val="single"/>
    </w:rPr>
  </w:style>
  <w:style w:type="character" w:customStyle="1" w:styleId="Ttulo1Car">
    <w:name w:val="Título 1 Car"/>
    <w:basedOn w:val="Fuentedeprrafopredeter"/>
    <w:link w:val="Ttulo1"/>
    <w:uiPriority w:val="9"/>
    <w:rsid w:val="003353FC"/>
    <w:rPr>
      <w:rFonts w:ascii="ITC Avant Garde" w:hAnsi="ITC Avant Garde"/>
      <w:b/>
      <w:sz w:val="22"/>
      <w:szCs w:val="22"/>
      <w:lang w:eastAsia="en-US"/>
    </w:rPr>
  </w:style>
  <w:style w:type="character" w:customStyle="1" w:styleId="Ttulo2Car">
    <w:name w:val="Título 2 Car"/>
    <w:basedOn w:val="Fuentedeprrafopredeter"/>
    <w:link w:val="Ttulo2"/>
    <w:uiPriority w:val="9"/>
    <w:rsid w:val="003353FC"/>
    <w:rPr>
      <w:rFonts w:ascii="ITC Avant Garde" w:eastAsia="Times New Roman" w:hAnsi="ITC Avant Garde"/>
      <w:b/>
      <w:bCs/>
      <w:sz w:val="22"/>
      <w:szCs w:val="22"/>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C32290"/>
    <w:rPr>
      <w:sz w:val="22"/>
      <w:szCs w:val="22"/>
      <w:lang w:eastAsia="en-US"/>
    </w:rPr>
  </w:style>
  <w:style w:type="character" w:styleId="Mencinsinresolver">
    <w:name w:val="Unresolved Mention"/>
    <w:basedOn w:val="Fuentedeprrafopredeter"/>
    <w:uiPriority w:val="99"/>
    <w:semiHidden/>
    <w:unhideWhenUsed/>
    <w:rsid w:val="006E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3625">
      <w:bodyDiv w:val="1"/>
      <w:marLeft w:val="0"/>
      <w:marRight w:val="0"/>
      <w:marTop w:val="0"/>
      <w:marBottom w:val="0"/>
      <w:divBdr>
        <w:top w:val="none" w:sz="0" w:space="0" w:color="auto"/>
        <w:left w:val="none" w:sz="0" w:space="0" w:color="auto"/>
        <w:bottom w:val="none" w:sz="0" w:space="0" w:color="auto"/>
        <w:right w:val="none" w:sz="0" w:space="0" w:color="auto"/>
      </w:divBdr>
    </w:div>
    <w:div w:id="343046923">
      <w:bodyDiv w:val="1"/>
      <w:marLeft w:val="0"/>
      <w:marRight w:val="0"/>
      <w:marTop w:val="0"/>
      <w:marBottom w:val="0"/>
      <w:divBdr>
        <w:top w:val="none" w:sz="0" w:space="0" w:color="auto"/>
        <w:left w:val="none" w:sz="0" w:space="0" w:color="auto"/>
        <w:bottom w:val="none" w:sz="0" w:space="0" w:color="auto"/>
        <w:right w:val="none" w:sz="0" w:space="0" w:color="auto"/>
      </w:divBdr>
    </w:div>
    <w:div w:id="446968455">
      <w:bodyDiv w:val="1"/>
      <w:marLeft w:val="0"/>
      <w:marRight w:val="0"/>
      <w:marTop w:val="0"/>
      <w:marBottom w:val="0"/>
      <w:divBdr>
        <w:top w:val="none" w:sz="0" w:space="0" w:color="auto"/>
        <w:left w:val="none" w:sz="0" w:space="0" w:color="auto"/>
        <w:bottom w:val="none" w:sz="0" w:space="0" w:color="auto"/>
        <w:right w:val="none" w:sz="0" w:space="0" w:color="auto"/>
      </w:divBdr>
    </w:div>
    <w:div w:id="713237067">
      <w:bodyDiv w:val="1"/>
      <w:marLeft w:val="0"/>
      <w:marRight w:val="0"/>
      <w:marTop w:val="0"/>
      <w:marBottom w:val="0"/>
      <w:divBdr>
        <w:top w:val="none" w:sz="0" w:space="0" w:color="auto"/>
        <w:left w:val="none" w:sz="0" w:space="0" w:color="auto"/>
        <w:bottom w:val="none" w:sz="0" w:space="0" w:color="auto"/>
        <w:right w:val="none" w:sz="0" w:space="0" w:color="auto"/>
      </w:divBdr>
    </w:div>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1033919207">
      <w:bodyDiv w:val="1"/>
      <w:marLeft w:val="0"/>
      <w:marRight w:val="0"/>
      <w:marTop w:val="0"/>
      <w:marBottom w:val="0"/>
      <w:divBdr>
        <w:top w:val="none" w:sz="0" w:space="0" w:color="auto"/>
        <w:left w:val="none" w:sz="0" w:space="0" w:color="auto"/>
        <w:bottom w:val="none" w:sz="0" w:space="0" w:color="auto"/>
        <w:right w:val="none" w:sz="0" w:space="0" w:color="auto"/>
      </w:divBdr>
    </w:div>
    <w:div w:id="106502948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00204626">
      <w:bodyDiv w:val="1"/>
      <w:marLeft w:val="0"/>
      <w:marRight w:val="0"/>
      <w:marTop w:val="0"/>
      <w:marBottom w:val="0"/>
      <w:divBdr>
        <w:top w:val="none" w:sz="0" w:space="0" w:color="auto"/>
        <w:left w:val="none" w:sz="0" w:space="0" w:color="auto"/>
        <w:bottom w:val="none" w:sz="0" w:space="0" w:color="auto"/>
        <w:right w:val="none" w:sz="0" w:space="0" w:color="auto"/>
      </w:divBdr>
    </w:div>
    <w:div w:id="1455564860">
      <w:bodyDiv w:val="1"/>
      <w:marLeft w:val="0"/>
      <w:marRight w:val="0"/>
      <w:marTop w:val="0"/>
      <w:marBottom w:val="0"/>
      <w:divBdr>
        <w:top w:val="none" w:sz="0" w:space="0" w:color="auto"/>
        <w:left w:val="none" w:sz="0" w:space="0" w:color="auto"/>
        <w:bottom w:val="none" w:sz="0" w:space="0" w:color="auto"/>
        <w:right w:val="none" w:sz="0" w:space="0" w:color="auto"/>
      </w:divBdr>
    </w:div>
    <w:div w:id="1540971608">
      <w:bodyDiv w:val="1"/>
      <w:marLeft w:val="0"/>
      <w:marRight w:val="0"/>
      <w:marTop w:val="0"/>
      <w:marBottom w:val="0"/>
      <w:divBdr>
        <w:top w:val="none" w:sz="0" w:space="0" w:color="auto"/>
        <w:left w:val="none" w:sz="0" w:space="0" w:color="auto"/>
        <w:bottom w:val="none" w:sz="0" w:space="0" w:color="auto"/>
        <w:right w:val="none" w:sz="0" w:space="0" w:color="auto"/>
      </w:divBdr>
    </w:div>
    <w:div w:id="1575166828">
      <w:bodyDiv w:val="1"/>
      <w:marLeft w:val="0"/>
      <w:marRight w:val="0"/>
      <w:marTop w:val="0"/>
      <w:marBottom w:val="0"/>
      <w:divBdr>
        <w:top w:val="none" w:sz="0" w:space="0" w:color="auto"/>
        <w:left w:val="none" w:sz="0" w:space="0" w:color="auto"/>
        <w:bottom w:val="none" w:sz="0" w:space="0" w:color="auto"/>
        <w:right w:val="none" w:sz="0" w:space="0" w:color="auto"/>
      </w:divBdr>
    </w:div>
    <w:div w:id="1779325287">
      <w:bodyDiv w:val="1"/>
      <w:marLeft w:val="0"/>
      <w:marRight w:val="0"/>
      <w:marTop w:val="0"/>
      <w:marBottom w:val="0"/>
      <w:divBdr>
        <w:top w:val="none" w:sz="0" w:space="0" w:color="auto"/>
        <w:left w:val="none" w:sz="0" w:space="0" w:color="auto"/>
        <w:bottom w:val="none" w:sz="0" w:space="0" w:color="auto"/>
        <w:right w:val="none" w:sz="0" w:space="0" w:color="auto"/>
      </w:divBdr>
    </w:div>
    <w:div w:id="1894270239">
      <w:bodyDiv w:val="1"/>
      <w:marLeft w:val="0"/>
      <w:marRight w:val="0"/>
      <w:marTop w:val="0"/>
      <w:marBottom w:val="0"/>
      <w:divBdr>
        <w:top w:val="none" w:sz="0" w:space="0" w:color="auto"/>
        <w:left w:val="none" w:sz="0" w:space="0" w:color="auto"/>
        <w:bottom w:val="none" w:sz="0" w:space="0" w:color="auto"/>
        <w:right w:val="none" w:sz="0" w:space="0" w:color="auto"/>
      </w:divBdr>
    </w:div>
    <w:div w:id="1996445220">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3005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yel.munoz@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licabilidad.2021@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ctor.maldonado@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emi.quiroz@ift.org.m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ocenos/pleno/sesiones/acuerdoliga/vppift270218130.pdf" TargetMode="External"/><Relationship Id="rId3" Type="http://schemas.openxmlformats.org/officeDocument/2006/relationships/hyperlink" Target="http://www.ift.org.mx/sites/default/files/contenidogeneral/politica-regulatoria/pift120917548.pdf" TargetMode="External"/><Relationship Id="rId7" Type="http://schemas.openxmlformats.org/officeDocument/2006/relationships/hyperlink" Target="http://www.ift.org.mx/sites/default/files/anexo_3_medidas_2014-2017-2020_telecom.pdf" TargetMode="External"/><Relationship Id="rId2" Type="http://schemas.openxmlformats.org/officeDocument/2006/relationships/hyperlink" Target="http://www.ift.org.mx/sites/default/files/conocenos/pleno/sesiones/acuerdoliga/pitfext270217119verpub_2.pdf" TargetMode="External"/><Relationship Id="rId1" Type="http://schemas.openxmlformats.org/officeDocument/2006/relationships/hyperlink" Target="http://dof.gob.mx/nota_detalle.php?codigo=5512847&amp;fecha=12/02/2018" TargetMode="External"/><Relationship Id="rId6" Type="http://schemas.openxmlformats.org/officeDocument/2006/relationships/hyperlink" Target="http://www.ift.org.mx/sites/default/files/anexo_2_12.pdf" TargetMode="External"/><Relationship Id="rId5" Type="http://schemas.openxmlformats.org/officeDocument/2006/relationships/hyperlink" Target="http://www.ift.org.mx/sites/default/files/anexo_1_medidas_2014-2017-2020_telecom.pdf" TargetMode="External"/><Relationship Id="rId4" Type="http://schemas.openxmlformats.org/officeDocument/2006/relationships/hyperlink" Target="http://www.ift.org.mx/sites/default/files/contenidogeneral/politica-regulatoria/pift120917549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668F8EA0F84D7995D86D2FF88722F7"/>
        <w:category>
          <w:name w:val="General"/>
          <w:gallery w:val="placeholder"/>
        </w:category>
        <w:types>
          <w:type w:val="bbPlcHdr"/>
        </w:types>
        <w:behaviors>
          <w:behavior w:val="content"/>
        </w:behaviors>
        <w:guid w:val="{BFC99D28-EF43-488D-8802-06E3C16157CE}"/>
      </w:docPartPr>
      <w:docPartBody>
        <w:p w:rsidR="00D42487" w:rsidRDefault="00232032" w:rsidP="00232032">
          <w:pPr>
            <w:pStyle w:val="46668F8EA0F84D7995D86D2FF88722F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32"/>
    <w:rsid w:val="001354C6"/>
    <w:rsid w:val="001B765F"/>
    <w:rsid w:val="00232032"/>
    <w:rsid w:val="00353B88"/>
    <w:rsid w:val="008F4B0A"/>
    <w:rsid w:val="009E19AA"/>
    <w:rsid w:val="00B534DB"/>
    <w:rsid w:val="00BC2203"/>
    <w:rsid w:val="00D42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2032"/>
  </w:style>
  <w:style w:type="paragraph" w:customStyle="1" w:styleId="46668F8EA0F84D7995D86D2FF88722F7">
    <w:name w:val="46668F8EA0F84D7995D86D2FF88722F7"/>
    <w:rsid w:val="0023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83B9B-D364-4D1B-BA86-D109FE90929F}">
  <ds:schemaRefs>
    <ds:schemaRef ds:uri="http://schemas.microsoft.com/sharepoint/v3/contenttype/forms"/>
  </ds:schemaRefs>
</ds:datastoreItem>
</file>

<file path=customXml/itemProps2.xml><?xml version="1.0" encoding="utf-8"?>
<ds:datastoreItem xmlns:ds="http://schemas.openxmlformats.org/officeDocument/2006/customXml" ds:itemID="{603A5DFE-2009-423F-8AD2-70898EBB3E64}">
  <ds:schemaRefs>
    <ds:schemaRef ds:uri="http://schemas.openxmlformats.org/officeDocument/2006/bibliography"/>
  </ds:schemaRefs>
</ds:datastoreItem>
</file>

<file path=customXml/itemProps3.xml><?xml version="1.0" encoding="utf-8"?>
<ds:datastoreItem xmlns:ds="http://schemas.openxmlformats.org/officeDocument/2006/customXml" ds:itemID="{CD264531-A5F5-4196-9588-84F49F25CAA8}">
  <ds:schemaRefs>
    <ds:schemaRef ds:uri="http://purl.org/dc/dcmitype/"/>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C5BA8AD-2460-4C90-BB61-1822027A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4980</Words>
  <Characters>27392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32308</CharactersWithSpaces>
  <SharedDoc>false</SharedDoc>
  <HLinks>
    <vt:vector size="66" baseType="variant">
      <vt:variant>
        <vt:i4>2162780</vt:i4>
      </vt:variant>
      <vt:variant>
        <vt:i4>18</vt:i4>
      </vt:variant>
      <vt:variant>
        <vt:i4>0</vt:i4>
      </vt:variant>
      <vt:variant>
        <vt:i4>5</vt:i4>
      </vt:variant>
      <vt:variant>
        <vt:lpwstr>http://www.ift.org.mx/sites/default/files/anexo_1_medidas_2014-2017_aep_radiodifusion.pdf</vt:lpwstr>
      </vt:variant>
      <vt:variant>
        <vt:lpwstr/>
      </vt: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2949181</vt:i4>
      </vt:variant>
      <vt:variant>
        <vt:i4>9</vt:i4>
      </vt:variant>
      <vt:variant>
        <vt:i4>0</vt:i4>
      </vt:variant>
      <vt:variant>
        <vt:i4>5</vt:i4>
      </vt:variant>
      <vt:variant>
        <vt:lpwstr>http://www.ift.org.mx/sites/default/files/conocenos/pleno/sesiones/acuerdoliga/pift181120437acc.pdf</vt:lpwstr>
      </vt:variant>
      <vt:variant>
        <vt:lpwstr/>
      </vt:variant>
      <vt:variant>
        <vt:i4>8323118</vt:i4>
      </vt:variant>
      <vt:variant>
        <vt:i4>6</vt:i4>
      </vt:variant>
      <vt:variant>
        <vt:i4>0</vt:i4>
      </vt:variant>
      <vt:variant>
        <vt:i4>5</vt:i4>
      </vt:variant>
      <vt:variant>
        <vt:lpwstr>http://www.ift.org.mx/node/9701</vt:lpwstr>
      </vt:variant>
      <vt:variant>
        <vt:lpwstr/>
      </vt:variant>
      <vt:variant>
        <vt:i4>720912</vt:i4>
      </vt:variant>
      <vt:variant>
        <vt:i4>3</vt:i4>
      </vt:variant>
      <vt:variant>
        <vt:i4>0</vt:i4>
      </vt:variant>
      <vt:variant>
        <vt:i4>5</vt:i4>
      </vt:variant>
      <vt:variant>
        <vt:lpwstr>http://www.ift.org.mx/industria/politica-regulatoria/preponderancia-radiodifusion/resolucion-ift-determina-grupos-interes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Victor Daniel Maldonado Garibay</cp:lastModifiedBy>
  <cp:revision>5</cp:revision>
  <dcterms:created xsi:type="dcterms:W3CDTF">2021-12-07T21:48:00Z</dcterms:created>
  <dcterms:modified xsi:type="dcterms:W3CDTF">2021-12-14T17:51:00Z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