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22853504" w:rsidR="00501ADF" w:rsidRPr="00451B7D" w:rsidRDefault="00501ADF" w:rsidP="00501ADF">
            <w:pPr>
              <w:jc w:val="both"/>
              <w:rPr>
                <w:rFonts w:ascii="ITC Avant Garde" w:hAnsi="ITC Avant Garde"/>
                <w:b/>
                <w:sz w:val="18"/>
                <w:szCs w:val="18"/>
              </w:rPr>
            </w:pPr>
            <w:bookmarkStart w:id="0" w:name="_GoBack"/>
            <w:bookmarkEnd w:id="0"/>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442F50ED" w14:textId="612F1C62" w:rsidR="0068307E" w:rsidRPr="00451B7D" w:rsidRDefault="00DD5FF4" w:rsidP="00501ADF">
            <w:pPr>
              <w:jc w:val="both"/>
              <w:rPr>
                <w:rFonts w:ascii="ITC Avant Garde" w:hAnsi="ITC Avant Garde"/>
                <w:sz w:val="18"/>
                <w:szCs w:val="18"/>
              </w:rPr>
            </w:pPr>
            <w:r w:rsidRPr="007F2294">
              <w:rPr>
                <w:rFonts w:ascii="ITC Avant Garde" w:hAnsi="ITC Avant Garde"/>
                <w:sz w:val="18"/>
                <w:szCs w:val="18"/>
              </w:rPr>
              <w:t>Unidad de Política Regulatori</w:t>
            </w:r>
            <w:r>
              <w:rPr>
                <w:rFonts w:ascii="ITC Avant Garde" w:hAnsi="ITC Avant Garde"/>
                <w:sz w:val="18"/>
                <w:szCs w:val="18"/>
              </w:rPr>
              <w:t>a</w:t>
            </w: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6360D2ED" w14:textId="631447B1" w:rsidR="0068307E" w:rsidRPr="00451B7D" w:rsidRDefault="009A5C21" w:rsidP="00501ADF">
            <w:pPr>
              <w:jc w:val="both"/>
              <w:rPr>
                <w:rFonts w:ascii="ITC Avant Garde" w:hAnsi="ITC Avant Garde"/>
                <w:sz w:val="18"/>
                <w:szCs w:val="18"/>
              </w:rPr>
            </w:pPr>
            <w:r w:rsidRPr="003A00E5">
              <w:rPr>
                <w:rFonts w:ascii="ITC Avant Garde" w:hAnsi="ITC Avant Garde"/>
                <w:sz w:val="18"/>
                <w:szCs w:val="18"/>
              </w:rPr>
              <w:t xml:space="preserve">Acuerdo mediante </w:t>
            </w:r>
            <w:r w:rsidR="001F415A" w:rsidRPr="003A00E5">
              <w:rPr>
                <w:rFonts w:ascii="ITC Avant Garde" w:hAnsi="ITC Avant Garde"/>
                <w:sz w:val="18"/>
                <w:szCs w:val="18"/>
              </w:rPr>
              <w:t xml:space="preserve">el cual el </w:t>
            </w:r>
            <w:r w:rsidR="00CB1A4F" w:rsidRPr="003A00E5">
              <w:rPr>
                <w:rFonts w:ascii="ITC Avant Garde" w:hAnsi="ITC Avant Garde"/>
                <w:sz w:val="18"/>
                <w:szCs w:val="18"/>
              </w:rPr>
              <w:t>P</w:t>
            </w:r>
            <w:r w:rsidR="001F415A" w:rsidRPr="003A00E5">
              <w:rPr>
                <w:rFonts w:ascii="ITC Avant Garde" w:hAnsi="ITC Avant Garde"/>
                <w:sz w:val="18"/>
                <w:szCs w:val="18"/>
              </w:rPr>
              <w:t xml:space="preserve">leno del Instituto Federal de Telecomunicaciones </w:t>
            </w:r>
            <w:r w:rsidR="00E74602" w:rsidRPr="003A00E5">
              <w:rPr>
                <w:rFonts w:ascii="ITC Avant Garde" w:hAnsi="ITC Avant Garde"/>
                <w:sz w:val="18"/>
                <w:szCs w:val="18"/>
              </w:rPr>
              <w:t xml:space="preserve">define los términos y </w:t>
            </w:r>
            <w:r w:rsidR="001F415A" w:rsidRPr="003A00E5">
              <w:rPr>
                <w:rFonts w:ascii="ITC Avant Garde" w:hAnsi="ITC Avant Garde"/>
                <w:sz w:val="18"/>
                <w:szCs w:val="18"/>
              </w:rPr>
              <w:t xml:space="preserve">formato </w:t>
            </w:r>
            <w:r w:rsidR="00E74602" w:rsidRPr="003A00E5">
              <w:rPr>
                <w:rFonts w:ascii="ITC Avant Garde" w:hAnsi="ITC Avant Garde"/>
                <w:sz w:val="18"/>
                <w:szCs w:val="18"/>
              </w:rPr>
              <w:t>relativos al informe que deberán presentar los concesionarios y autorizados que presten el servicio de acceso a Internet conforme a lo establecido en el Acuerdo P/IFT/EXT/280621/13.</w:t>
            </w: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1FABAEE7" w14:textId="77777777" w:rsidR="00DD5FF4" w:rsidRPr="007F2294" w:rsidRDefault="00DD5FF4" w:rsidP="00DD5FF4">
            <w:pPr>
              <w:rPr>
                <w:rFonts w:ascii="ITC Avant Garde" w:hAnsi="ITC Avant Garde"/>
                <w:sz w:val="18"/>
                <w:szCs w:val="18"/>
              </w:rPr>
            </w:pPr>
            <w:r w:rsidRPr="007F2294">
              <w:rPr>
                <w:rFonts w:ascii="ITC Avant Garde" w:hAnsi="ITC Avant Garde"/>
                <w:sz w:val="18"/>
                <w:szCs w:val="18"/>
              </w:rPr>
              <w:t>Nombre: Adriana Helena Cruz León</w:t>
            </w:r>
          </w:p>
          <w:p w14:paraId="18619F86" w14:textId="77777777" w:rsidR="00DD5FF4" w:rsidRPr="007F2294" w:rsidRDefault="00DD5FF4" w:rsidP="00DD5FF4">
            <w:pPr>
              <w:rPr>
                <w:rFonts w:ascii="ITC Avant Garde" w:hAnsi="ITC Avant Garde"/>
                <w:sz w:val="18"/>
                <w:szCs w:val="18"/>
              </w:rPr>
            </w:pPr>
            <w:r w:rsidRPr="007F2294">
              <w:rPr>
                <w:rFonts w:ascii="ITC Avant Garde" w:hAnsi="ITC Avant Garde"/>
                <w:sz w:val="18"/>
                <w:szCs w:val="18"/>
              </w:rPr>
              <w:t>Teléfono: 5015 4185</w:t>
            </w:r>
          </w:p>
          <w:p w14:paraId="3FAE8274" w14:textId="20E4E3CB" w:rsidR="0068307E" w:rsidRPr="00DD5FF4" w:rsidRDefault="00DD5FF4" w:rsidP="00DD5FF4">
            <w:pPr>
              <w:rPr>
                <w:rFonts w:ascii="ITC Avant Garde" w:hAnsi="ITC Avant Garde"/>
                <w:sz w:val="18"/>
                <w:szCs w:val="18"/>
              </w:rPr>
            </w:pPr>
            <w:r w:rsidRPr="007F2294">
              <w:rPr>
                <w:rFonts w:ascii="ITC Avant Garde" w:hAnsi="ITC Avant Garde"/>
                <w:sz w:val="18"/>
                <w:szCs w:val="18"/>
              </w:rPr>
              <w:t xml:space="preserve">Correo electrónico: </w:t>
            </w:r>
            <w:hyperlink r:id="rId11" w:history="1">
              <w:r w:rsidR="003A41A7" w:rsidRPr="00AA3931">
                <w:rPr>
                  <w:rStyle w:val="Hipervnculo"/>
                  <w:rFonts w:ascii="ITC Avant Garde" w:hAnsi="ITC Avant Garde"/>
                  <w:sz w:val="18"/>
                  <w:szCs w:val="18"/>
                </w:rPr>
                <w:t>adriana.cruz@ift.org.mx</w:t>
              </w:r>
            </w:hyperlink>
            <w:r w:rsidR="003A41A7">
              <w:rPr>
                <w:rFonts w:ascii="ITC Avant Garde" w:hAnsi="ITC Avant Garde"/>
                <w:sz w:val="18"/>
                <w:szCs w:val="18"/>
              </w:rPr>
              <w:t xml:space="preserve"> </w:t>
            </w:r>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40835262" w:rsidR="0068307E" w:rsidRPr="000C6F39" w:rsidRDefault="000C6F39" w:rsidP="0068307E">
            <w:pPr>
              <w:jc w:val="center"/>
              <w:rPr>
                <w:rFonts w:ascii="ITC Avant Garde" w:hAnsi="ITC Avant Garde"/>
                <w:sz w:val="18"/>
                <w:szCs w:val="18"/>
              </w:rPr>
            </w:pPr>
            <w:r w:rsidRPr="000C6F39">
              <w:rPr>
                <w:rFonts w:ascii="ITC Avant Garde" w:hAnsi="ITC Avant Garde"/>
                <w:sz w:val="18"/>
                <w:szCs w:val="18"/>
              </w:rPr>
              <w:t>29</w:t>
            </w:r>
            <w:r w:rsidR="0068307E" w:rsidRPr="000C6F39">
              <w:rPr>
                <w:rFonts w:ascii="ITC Avant Garde" w:hAnsi="ITC Avant Garde"/>
                <w:sz w:val="18"/>
                <w:szCs w:val="18"/>
              </w:rPr>
              <w:t>/</w:t>
            </w:r>
            <w:r w:rsidR="00C333EF" w:rsidRPr="000C6F39">
              <w:rPr>
                <w:rFonts w:ascii="ITC Avant Garde" w:hAnsi="ITC Avant Garde"/>
                <w:sz w:val="18"/>
                <w:szCs w:val="18"/>
              </w:rPr>
              <w:t>11</w:t>
            </w:r>
            <w:r w:rsidR="0068307E" w:rsidRPr="000C6F39">
              <w:rPr>
                <w:rFonts w:ascii="ITC Avant Garde" w:hAnsi="ITC Avant Garde"/>
                <w:sz w:val="18"/>
                <w:szCs w:val="18"/>
              </w:rPr>
              <w:t>/</w:t>
            </w:r>
            <w:r w:rsidR="00DD5FF4" w:rsidRPr="000C6F39">
              <w:rPr>
                <w:rFonts w:ascii="ITC Avant Garde" w:hAnsi="ITC Avant Garde"/>
                <w:sz w:val="18"/>
                <w:szCs w:val="18"/>
              </w:rPr>
              <w:t>2021</w:t>
            </w:r>
          </w:p>
        </w:tc>
      </w:tr>
      <w:tr w:rsidR="0068307E" w:rsidRPr="00E74602"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05E40B99" w:rsidR="0068307E" w:rsidRPr="000C6F39" w:rsidRDefault="006B7A68" w:rsidP="0068307E">
            <w:pPr>
              <w:jc w:val="center"/>
              <w:rPr>
                <w:rFonts w:ascii="ITC Avant Garde" w:hAnsi="ITC Avant Garde"/>
                <w:sz w:val="18"/>
                <w:szCs w:val="18"/>
                <w:lang w:val="en-US"/>
              </w:rPr>
            </w:pPr>
            <w:r w:rsidRPr="000C6F39">
              <w:rPr>
                <w:rFonts w:ascii="ITC Avant Garde" w:hAnsi="ITC Avant Garde"/>
                <w:sz w:val="18"/>
                <w:szCs w:val="18"/>
                <w:lang w:val="en-US"/>
              </w:rPr>
              <w:t>2</w:t>
            </w:r>
            <w:r w:rsidR="00725B25" w:rsidRPr="000C6F39">
              <w:rPr>
                <w:rFonts w:ascii="ITC Avant Garde" w:hAnsi="ITC Avant Garde"/>
                <w:sz w:val="18"/>
                <w:szCs w:val="18"/>
                <w:lang w:val="en-US"/>
              </w:rPr>
              <w:t>0</w:t>
            </w:r>
            <w:r w:rsidR="0068307E" w:rsidRPr="000C6F39">
              <w:rPr>
                <w:rFonts w:ascii="ITC Avant Garde" w:hAnsi="ITC Avant Garde"/>
                <w:sz w:val="18"/>
                <w:szCs w:val="18"/>
                <w:lang w:val="en-US"/>
              </w:rPr>
              <w:t>/</w:t>
            </w:r>
            <w:r w:rsidR="00725B25" w:rsidRPr="000C6F39">
              <w:rPr>
                <w:rFonts w:ascii="ITC Avant Garde" w:hAnsi="ITC Avant Garde"/>
                <w:sz w:val="18"/>
                <w:szCs w:val="18"/>
                <w:lang w:val="en-US"/>
              </w:rPr>
              <w:t>12</w:t>
            </w:r>
            <w:r w:rsidR="0068307E" w:rsidRPr="000C6F39">
              <w:rPr>
                <w:rFonts w:ascii="ITC Avant Garde" w:hAnsi="ITC Avant Garde"/>
                <w:sz w:val="18"/>
                <w:szCs w:val="18"/>
                <w:lang w:val="en-US"/>
              </w:rPr>
              <w:t>/</w:t>
            </w:r>
            <w:r w:rsidR="00DD5FF4" w:rsidRPr="000C6F39">
              <w:rPr>
                <w:rFonts w:ascii="ITC Avant Garde" w:hAnsi="ITC Avant Garde"/>
                <w:sz w:val="18"/>
                <w:szCs w:val="18"/>
                <w:lang w:val="en-US"/>
              </w:rPr>
              <w:t>2021</w:t>
            </w:r>
            <w:r w:rsidR="00D23BD5" w:rsidRPr="000C6F39">
              <w:rPr>
                <w:rFonts w:ascii="ITC Avant Garde" w:hAnsi="ITC Avant Garde"/>
                <w:sz w:val="18"/>
                <w:szCs w:val="18"/>
                <w:lang w:val="en-US"/>
              </w:rPr>
              <w:t xml:space="preserve"> a </w:t>
            </w:r>
            <w:r w:rsidRPr="000C6F39">
              <w:rPr>
                <w:rFonts w:ascii="ITC Avant Garde" w:hAnsi="ITC Avant Garde"/>
                <w:sz w:val="18"/>
                <w:szCs w:val="18"/>
                <w:lang w:val="en-US"/>
              </w:rPr>
              <w:t>28</w:t>
            </w:r>
            <w:r w:rsidR="00D23BD5" w:rsidRPr="000C6F39">
              <w:rPr>
                <w:rFonts w:ascii="ITC Avant Garde" w:hAnsi="ITC Avant Garde"/>
                <w:sz w:val="18"/>
                <w:szCs w:val="18"/>
                <w:lang w:val="en-US"/>
              </w:rPr>
              <w:t>/</w:t>
            </w:r>
            <w:r w:rsidR="00725B25" w:rsidRPr="000C6F39">
              <w:rPr>
                <w:rFonts w:ascii="ITC Avant Garde" w:hAnsi="ITC Avant Garde"/>
                <w:sz w:val="18"/>
                <w:szCs w:val="18"/>
                <w:lang w:val="en-US"/>
              </w:rPr>
              <w:t>01</w:t>
            </w:r>
            <w:r w:rsidR="00D23BD5" w:rsidRPr="000C6F39">
              <w:rPr>
                <w:rFonts w:ascii="ITC Avant Garde" w:hAnsi="ITC Avant Garde"/>
                <w:sz w:val="18"/>
                <w:szCs w:val="18"/>
                <w:lang w:val="en-US"/>
              </w:rPr>
              <w:t>/</w:t>
            </w:r>
            <w:r w:rsidR="00DD5FF4" w:rsidRPr="000C6F39">
              <w:rPr>
                <w:rFonts w:ascii="ITC Avant Garde" w:hAnsi="ITC Avant Garde"/>
                <w:sz w:val="18"/>
                <w:szCs w:val="18"/>
                <w:lang w:val="en-US"/>
              </w:rPr>
              <w:t>202</w:t>
            </w:r>
            <w:r w:rsidR="00725B25" w:rsidRPr="000C6F39">
              <w:rPr>
                <w:rFonts w:ascii="ITC Avant Garde" w:hAnsi="ITC Avant Garde"/>
                <w:sz w:val="18"/>
                <w:szCs w:val="18"/>
                <w:lang w:val="en-US"/>
              </w:rPr>
              <w:t>2</w:t>
            </w:r>
          </w:p>
        </w:tc>
      </w:tr>
    </w:tbl>
    <w:p w14:paraId="4B5AD09D" w14:textId="77777777" w:rsidR="00501ADF" w:rsidRPr="00DD5FF4" w:rsidRDefault="00501ADF" w:rsidP="00BD4FEF">
      <w:pPr>
        <w:spacing w:after="120" w:line="240" w:lineRule="auto"/>
        <w:jc w:val="both"/>
        <w:rPr>
          <w:rFonts w:ascii="ITC Avant Garde" w:hAnsi="ITC Avant Garde"/>
          <w:sz w:val="18"/>
          <w:szCs w:val="18"/>
          <w:lang w:val="en-US"/>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8A48B0">
        <w:tc>
          <w:tcPr>
            <w:tcW w:w="8828" w:type="dxa"/>
            <w:shd w:val="clear" w:color="auto" w:fill="FFFFFF" w:themeFill="background1"/>
          </w:tcPr>
          <w:p w14:paraId="42717F55" w14:textId="3B3F928D" w:rsidR="001932FC" w:rsidRPr="00451B7D" w:rsidRDefault="001932FC" w:rsidP="008A48B0">
            <w:pPr>
              <w:shd w:val="clear" w:color="auto" w:fill="FFFFFF" w:themeFill="background1"/>
              <w:jc w:val="both"/>
              <w:rPr>
                <w:rFonts w:ascii="ITC Avant Garde" w:hAnsi="ITC Avant Garde"/>
                <w:b/>
                <w:sz w:val="18"/>
                <w:szCs w:val="18"/>
              </w:rPr>
            </w:pPr>
            <w:bookmarkStart w:id="1" w:name="_Hlk87528441"/>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52A634B0" w14:textId="77777777" w:rsidR="005B2E60" w:rsidRDefault="005B2E60" w:rsidP="00586BB4">
            <w:pPr>
              <w:shd w:val="clear" w:color="auto" w:fill="FFFFFF" w:themeFill="background1"/>
              <w:jc w:val="both"/>
              <w:rPr>
                <w:rFonts w:ascii="ITC Avant Garde" w:hAnsi="ITC Avant Garde"/>
                <w:sz w:val="18"/>
                <w:szCs w:val="18"/>
              </w:rPr>
            </w:pPr>
          </w:p>
          <w:p w14:paraId="3EC03058" w14:textId="26914609" w:rsidR="00673DBC" w:rsidRDefault="00673DBC">
            <w:pPr>
              <w:spacing w:after="120" w:line="23" w:lineRule="atLeast"/>
              <w:jc w:val="both"/>
              <w:rPr>
                <w:rFonts w:ascii="ITC Avant Garde" w:hAnsi="ITC Avant Garde"/>
                <w:sz w:val="18"/>
                <w:szCs w:val="18"/>
              </w:rPr>
            </w:pPr>
            <w:r>
              <w:rPr>
                <w:rFonts w:ascii="ITC Avant Garde" w:hAnsi="ITC Avant Garde"/>
                <w:sz w:val="18"/>
                <w:szCs w:val="18"/>
              </w:rPr>
              <w:t>L</w:t>
            </w:r>
            <w:r w:rsidRPr="00621F10">
              <w:rPr>
                <w:rFonts w:ascii="ITC Avant Garde" w:hAnsi="ITC Avant Garde"/>
                <w:sz w:val="18"/>
                <w:szCs w:val="18"/>
              </w:rPr>
              <w:t xml:space="preserve">as condiciones actuales de crecimiento en el tráfico de datos </w:t>
            </w:r>
            <w:r>
              <w:rPr>
                <w:rFonts w:ascii="ITC Avant Garde" w:hAnsi="ITC Avant Garde"/>
                <w:sz w:val="18"/>
                <w:szCs w:val="18"/>
              </w:rPr>
              <w:t>del servicio de Internet fijo y móvil</w:t>
            </w:r>
            <w:r>
              <w:rPr>
                <w:rStyle w:val="Refdenotaalpie"/>
                <w:rFonts w:ascii="ITC Avant Garde" w:hAnsi="ITC Avant Garde"/>
                <w:sz w:val="18"/>
                <w:szCs w:val="18"/>
              </w:rPr>
              <w:footnoteReference w:id="2"/>
            </w:r>
            <w:r>
              <w:rPr>
                <w:rFonts w:ascii="ITC Avant Garde" w:hAnsi="ITC Avant Garde"/>
                <w:sz w:val="18"/>
                <w:szCs w:val="18"/>
              </w:rPr>
              <w:t>, así como el aumento en el número de líneas</w:t>
            </w:r>
            <w:r w:rsidRPr="00621F10">
              <w:rPr>
                <w:rFonts w:ascii="ITC Avant Garde" w:hAnsi="ITC Avant Garde"/>
                <w:sz w:val="18"/>
                <w:szCs w:val="18"/>
              </w:rPr>
              <w:t xml:space="preserve"> </w:t>
            </w:r>
            <w:r>
              <w:rPr>
                <w:rFonts w:ascii="ITC Avant Garde" w:hAnsi="ITC Avant Garde"/>
                <w:sz w:val="18"/>
                <w:szCs w:val="18"/>
              </w:rPr>
              <w:t>ha llevado a que</w:t>
            </w:r>
            <w:r w:rsidRPr="00621F10">
              <w:rPr>
                <w:rFonts w:ascii="ITC Avant Garde" w:hAnsi="ITC Avant Garde"/>
                <w:sz w:val="18"/>
                <w:szCs w:val="18"/>
              </w:rPr>
              <w:t xml:space="preserve"> los PSI</w:t>
            </w:r>
            <w:r w:rsidR="00E73C45">
              <w:rPr>
                <w:rStyle w:val="Refdenotaalpie"/>
                <w:rFonts w:ascii="ITC Avant Garde" w:hAnsi="ITC Avant Garde"/>
                <w:sz w:val="18"/>
                <w:szCs w:val="18"/>
              </w:rPr>
              <w:footnoteReference w:id="3"/>
            </w:r>
            <w:r w:rsidRPr="00621F10">
              <w:rPr>
                <w:rFonts w:ascii="ITC Avant Garde" w:hAnsi="ITC Avant Garde"/>
                <w:sz w:val="18"/>
                <w:szCs w:val="18"/>
              </w:rPr>
              <w:t xml:space="preserve"> implementan distintas técnicas de gestión de tráfico y administración de red a efecto de hacer un uso más eficiente de la red y de gestionar de mejor forma el tráfico que cursa por las redes con el propósito de garantizar la </w:t>
            </w:r>
            <w:r>
              <w:rPr>
                <w:rFonts w:ascii="ITC Avant Garde" w:hAnsi="ITC Avant Garde"/>
                <w:sz w:val="18"/>
                <w:szCs w:val="18"/>
              </w:rPr>
              <w:t>capacidad,</w:t>
            </w:r>
            <w:r w:rsidRPr="00621F10">
              <w:rPr>
                <w:rFonts w:ascii="ITC Avant Garde" w:hAnsi="ITC Avant Garde"/>
                <w:sz w:val="18"/>
                <w:szCs w:val="18"/>
              </w:rPr>
              <w:t xml:space="preserve"> calidad y velocidad del servicio de acceso a Internet que contratan los usuarios; no obstante, también existen interrogantes respecto de los alcances e implicaciones que pueden tener tales técnicas y las afectaciones que podría generar su implementación </w:t>
            </w:r>
            <w:r w:rsidR="00F93417">
              <w:rPr>
                <w:rFonts w:ascii="ITC Avant Garde" w:hAnsi="ITC Avant Garde"/>
                <w:sz w:val="18"/>
                <w:szCs w:val="18"/>
              </w:rPr>
              <w:t>para los usuarios finales</w:t>
            </w:r>
            <w:r w:rsidRPr="00621F10">
              <w:rPr>
                <w:rFonts w:ascii="ITC Avant Garde" w:hAnsi="ITC Avant Garde"/>
                <w:sz w:val="18"/>
                <w:szCs w:val="18"/>
              </w:rPr>
              <w:t>.</w:t>
            </w:r>
            <w:r w:rsidRPr="00D0687B">
              <w:rPr>
                <w:rFonts w:ascii="ITC Avant Garde" w:hAnsi="ITC Avant Garde"/>
                <w:sz w:val="18"/>
                <w:szCs w:val="18"/>
              </w:rPr>
              <w:t xml:space="preserve"> </w:t>
            </w:r>
          </w:p>
          <w:p w14:paraId="298FCD13" w14:textId="498061B1" w:rsidR="00FC1BA4" w:rsidRDefault="00F93417" w:rsidP="00E73C45">
            <w:pPr>
              <w:shd w:val="clear" w:color="auto" w:fill="FFFFFF" w:themeFill="background1"/>
              <w:spacing w:after="120"/>
              <w:jc w:val="both"/>
              <w:rPr>
                <w:rFonts w:ascii="ITC Avant Garde" w:hAnsi="ITC Avant Garde"/>
                <w:sz w:val="18"/>
                <w:szCs w:val="18"/>
              </w:rPr>
            </w:pPr>
            <w:r>
              <w:rPr>
                <w:rFonts w:ascii="ITC Avant Garde" w:hAnsi="ITC Avant Garde"/>
                <w:sz w:val="18"/>
                <w:szCs w:val="18"/>
              </w:rPr>
              <w:t>Al respecto, e</w:t>
            </w:r>
            <w:r w:rsidR="00E0098C">
              <w:rPr>
                <w:rFonts w:ascii="ITC Avant Garde" w:hAnsi="ITC Avant Garde"/>
                <w:sz w:val="18"/>
                <w:szCs w:val="18"/>
              </w:rPr>
              <w:t>l</w:t>
            </w:r>
            <w:r w:rsidR="00E0098C" w:rsidRPr="00FC1BA4">
              <w:rPr>
                <w:rFonts w:ascii="ITC Avant Garde" w:hAnsi="ITC Avant Garde"/>
                <w:sz w:val="18"/>
                <w:szCs w:val="18"/>
              </w:rPr>
              <w:t xml:space="preserve"> </w:t>
            </w:r>
            <w:r w:rsidR="00FC1BA4" w:rsidRPr="00FC1BA4">
              <w:rPr>
                <w:rFonts w:ascii="ITC Avant Garde" w:hAnsi="ITC Avant Garde"/>
                <w:sz w:val="18"/>
                <w:szCs w:val="18"/>
              </w:rPr>
              <w:t xml:space="preserve">artículo 145 </w:t>
            </w:r>
            <w:r w:rsidR="00E0098C">
              <w:rPr>
                <w:rFonts w:ascii="ITC Avant Garde" w:hAnsi="ITC Avant Garde"/>
                <w:sz w:val="18"/>
                <w:szCs w:val="18"/>
              </w:rPr>
              <w:t>de</w:t>
            </w:r>
            <w:r w:rsidR="00FC1BA4" w:rsidRPr="00FC1BA4">
              <w:rPr>
                <w:rFonts w:ascii="ITC Avant Garde" w:hAnsi="ITC Avant Garde"/>
                <w:sz w:val="18"/>
                <w:szCs w:val="18"/>
              </w:rPr>
              <w:t xml:space="preserve"> la LFTR</w:t>
            </w:r>
            <w:r w:rsidR="00F6354E" w:rsidRPr="001E5C69">
              <w:rPr>
                <w:rStyle w:val="Refdenotaalpie"/>
                <w:rFonts w:ascii="ITC Avant Garde" w:hAnsi="ITC Avant Garde"/>
                <w:sz w:val="18"/>
                <w:szCs w:val="18"/>
              </w:rPr>
              <w:footnoteReference w:id="4"/>
            </w:r>
            <w:r w:rsidR="00FC1BA4" w:rsidRPr="00FC1BA4">
              <w:rPr>
                <w:rFonts w:ascii="ITC Avant Garde" w:hAnsi="ITC Avant Garde"/>
                <w:sz w:val="18"/>
                <w:szCs w:val="18"/>
              </w:rPr>
              <w:t xml:space="preserve"> establece que los concesionarios y autorizados podrán tomar las medidas o acciones necesarias para la gestión de tráfico y administración de red conforme a las políticas autorizadas por el Instituto</w:t>
            </w:r>
            <w:r w:rsidR="000744AF">
              <w:rPr>
                <w:rStyle w:val="Refdenotaalpie"/>
                <w:rFonts w:ascii="ITC Avant Garde" w:hAnsi="ITC Avant Garde"/>
                <w:sz w:val="18"/>
                <w:szCs w:val="18"/>
              </w:rPr>
              <w:footnoteReference w:id="5"/>
            </w:r>
            <w:r w:rsidR="00FC1BA4" w:rsidRPr="00FC1BA4">
              <w:rPr>
                <w:rFonts w:ascii="ITC Avant Garde" w:hAnsi="ITC Avant Garde"/>
                <w:sz w:val="18"/>
                <w:szCs w:val="18"/>
              </w:rPr>
              <w:t xml:space="preserve">, a fin de garantizar la velocidad y calidad contratada por el usuario, siempre que ello no constituya una práctica contraria a la competencia y libre concurrencia. </w:t>
            </w:r>
            <w:r w:rsidR="00E0098C">
              <w:rPr>
                <w:rFonts w:ascii="ITC Avant Garde" w:hAnsi="ITC Avant Garde"/>
                <w:sz w:val="18"/>
                <w:szCs w:val="18"/>
              </w:rPr>
              <w:t xml:space="preserve">Por su parte, el artículo 146 de la LFTR </w:t>
            </w:r>
            <w:r w:rsidR="00E415A5" w:rsidRPr="00E415A5">
              <w:rPr>
                <w:rFonts w:ascii="ITC Avant Garde" w:hAnsi="ITC Avant Garde"/>
                <w:sz w:val="18"/>
                <w:szCs w:val="18"/>
              </w:rPr>
              <w:t>establece que los concesionarios y autorizados que presten el servicio de acceso a Internet deben respetar la capacidad, velocidad y calidad contratada por el usuario, con independencia del contenido, origen, destino, terminal o aplicación, así como de los servicios que se provean a través de Internet</w:t>
            </w:r>
            <w:r w:rsidR="00E415A5">
              <w:rPr>
                <w:rFonts w:ascii="ITC Avant Garde" w:hAnsi="ITC Avant Garde"/>
                <w:sz w:val="18"/>
                <w:szCs w:val="18"/>
              </w:rPr>
              <w:t xml:space="preserve">. </w:t>
            </w:r>
            <w:r w:rsidR="00FC1BA4" w:rsidRPr="00FC1BA4">
              <w:rPr>
                <w:rFonts w:ascii="ITC Avant Garde" w:hAnsi="ITC Avant Garde"/>
                <w:sz w:val="18"/>
                <w:szCs w:val="18"/>
              </w:rPr>
              <w:t xml:space="preserve">Por lo </w:t>
            </w:r>
            <w:r w:rsidR="004718C1">
              <w:rPr>
                <w:rFonts w:ascii="ITC Avant Garde" w:hAnsi="ITC Avant Garde"/>
                <w:sz w:val="18"/>
                <w:szCs w:val="18"/>
              </w:rPr>
              <w:t>tanto</w:t>
            </w:r>
            <w:r w:rsidR="00FC1BA4" w:rsidRPr="00FC1BA4">
              <w:rPr>
                <w:rFonts w:ascii="ITC Avant Garde" w:hAnsi="ITC Avant Garde"/>
                <w:sz w:val="18"/>
                <w:szCs w:val="18"/>
              </w:rPr>
              <w:t>, los PSI deberán sujetarse a los lineamientos de carácter general que al efecto expida el Instituto conforme a los principios de libre elección, no discriminación, privacidad, transparencia e información, calidad y desarrollo sostenido de la infraestructura.</w:t>
            </w:r>
          </w:p>
          <w:p w14:paraId="4E85196A" w14:textId="041C783B" w:rsidR="00FC1BA4" w:rsidRDefault="00FC1BA4" w:rsidP="00E73C45">
            <w:pPr>
              <w:shd w:val="clear" w:color="auto" w:fill="FFFFFF" w:themeFill="background1"/>
              <w:spacing w:after="120"/>
              <w:jc w:val="both"/>
              <w:rPr>
                <w:rFonts w:ascii="ITC Avant Garde" w:hAnsi="ITC Avant Garde"/>
                <w:sz w:val="18"/>
                <w:szCs w:val="18"/>
              </w:rPr>
            </w:pPr>
            <w:r w:rsidRPr="00FC1BA4">
              <w:rPr>
                <w:rFonts w:ascii="ITC Avant Garde" w:hAnsi="ITC Avant Garde"/>
                <w:sz w:val="18"/>
                <w:szCs w:val="18"/>
              </w:rPr>
              <w:t>Ante ello, el Instituto aprobó el 28 de junio del 2021 los Lineamientos</w:t>
            </w:r>
            <w:r w:rsidR="00F93417">
              <w:rPr>
                <w:rFonts w:ascii="ITC Avant Garde" w:hAnsi="ITC Avant Garde"/>
                <w:sz w:val="18"/>
                <w:szCs w:val="18"/>
              </w:rPr>
              <w:t xml:space="preserve"> para </w:t>
            </w:r>
            <w:r w:rsidR="00F93417" w:rsidRPr="00915560">
              <w:rPr>
                <w:rFonts w:ascii="ITC Avant Garde" w:hAnsi="ITC Avant Garde"/>
                <w:sz w:val="18"/>
                <w:szCs w:val="18"/>
              </w:rPr>
              <w:t>la gestión de tráfico y administración de red a que deberán sujetarse los concesionarios y autorizados que</w:t>
            </w:r>
            <w:r w:rsidR="00F93417">
              <w:rPr>
                <w:rFonts w:ascii="ITC Avant Garde" w:hAnsi="ITC Avant Garde"/>
                <w:sz w:val="18"/>
                <w:szCs w:val="18"/>
              </w:rPr>
              <w:t xml:space="preserve"> </w:t>
            </w:r>
            <w:r w:rsidR="00F93417" w:rsidRPr="00915560">
              <w:rPr>
                <w:rFonts w:ascii="ITC Avant Garde" w:hAnsi="ITC Avant Garde"/>
                <w:sz w:val="18"/>
                <w:szCs w:val="18"/>
              </w:rPr>
              <w:t>presten el servicio de acceso a Internet</w:t>
            </w:r>
            <w:r w:rsidR="00F93417">
              <w:rPr>
                <w:rStyle w:val="Refdenotaalpie"/>
                <w:rFonts w:ascii="ITC Avant Garde" w:hAnsi="ITC Avant Garde"/>
                <w:sz w:val="18"/>
                <w:szCs w:val="18"/>
              </w:rPr>
              <w:footnoteReference w:id="6"/>
            </w:r>
            <w:r w:rsidR="00F93417">
              <w:rPr>
                <w:rFonts w:ascii="ITC Avant Garde" w:hAnsi="ITC Avant Garde"/>
                <w:sz w:val="18"/>
                <w:szCs w:val="18"/>
              </w:rPr>
              <w:t xml:space="preserve"> (en lo sucesivo, los “Lineamientos”)</w:t>
            </w:r>
            <w:r w:rsidRPr="00FC1BA4">
              <w:rPr>
                <w:rFonts w:ascii="ITC Avant Garde" w:hAnsi="ITC Avant Garde"/>
                <w:sz w:val="18"/>
                <w:szCs w:val="18"/>
              </w:rPr>
              <w:t xml:space="preserve">, a través de los cuales se establecieron obligaciones respecto a: i) las políticas de gestión de tráfico y administración de red que los PSI podrán implementar atendiendo a condiciones técnicas, </w:t>
            </w:r>
            <w:proofErr w:type="spellStart"/>
            <w:r w:rsidRPr="00FC1BA4">
              <w:rPr>
                <w:rFonts w:ascii="ITC Avant Garde" w:hAnsi="ITC Avant Garde"/>
                <w:sz w:val="18"/>
                <w:szCs w:val="18"/>
              </w:rPr>
              <w:t>ii</w:t>
            </w:r>
            <w:proofErr w:type="spellEnd"/>
            <w:r w:rsidRPr="00FC1BA4">
              <w:rPr>
                <w:rFonts w:ascii="ITC Avant Garde" w:hAnsi="ITC Avant Garde"/>
                <w:sz w:val="18"/>
                <w:szCs w:val="18"/>
              </w:rPr>
              <w:t xml:space="preserve">) salvaguardas para los </w:t>
            </w:r>
            <w:r w:rsidRPr="00FC1BA4">
              <w:rPr>
                <w:rFonts w:ascii="ITC Avant Garde" w:hAnsi="ITC Avant Garde"/>
                <w:sz w:val="18"/>
                <w:szCs w:val="18"/>
              </w:rPr>
              <w:lastRenderedPageBreak/>
              <w:t xml:space="preserve">servicios de acceso a Internet que pueden prestar los PSI asociadas al acceso patrocinado a contenidos, aplicaciones y servicios, </w:t>
            </w:r>
            <w:proofErr w:type="spellStart"/>
            <w:r w:rsidRPr="00FC1BA4">
              <w:rPr>
                <w:rFonts w:ascii="ITC Avant Garde" w:hAnsi="ITC Avant Garde"/>
                <w:sz w:val="18"/>
                <w:szCs w:val="18"/>
              </w:rPr>
              <w:t>iii</w:t>
            </w:r>
            <w:proofErr w:type="spellEnd"/>
            <w:r w:rsidRPr="00FC1BA4">
              <w:rPr>
                <w:rFonts w:ascii="ITC Avant Garde" w:hAnsi="ITC Avant Garde"/>
                <w:sz w:val="18"/>
                <w:szCs w:val="18"/>
              </w:rPr>
              <w:t xml:space="preserve">) la delimitación de la frontera entre el servicio de acceso a Internet respecto de otros que puedan proveerse por la misma red pública de telecomunicaciones, favoreciendo que la prestación de estos servicios no sea en detrimento de la calidad del servicio de acceso a Internet, </w:t>
            </w:r>
            <w:proofErr w:type="spellStart"/>
            <w:r w:rsidRPr="00FC1BA4">
              <w:rPr>
                <w:rFonts w:ascii="ITC Avant Garde" w:hAnsi="ITC Avant Garde"/>
                <w:sz w:val="18"/>
                <w:szCs w:val="18"/>
              </w:rPr>
              <w:t>iv</w:t>
            </w:r>
            <w:proofErr w:type="spellEnd"/>
            <w:r w:rsidRPr="00FC1BA4">
              <w:rPr>
                <w:rFonts w:ascii="ITC Avant Garde" w:hAnsi="ITC Avant Garde"/>
                <w:sz w:val="18"/>
                <w:szCs w:val="18"/>
              </w:rPr>
              <w:t>) permitir la libre elección de los usuarios finales respecto a los equipos terminales que utilizará, siempre y cuando estén homologados, v) transparencia respecto a las políticas de gestión de tráfico y administración de red que implementan los PSI, y las ofertas de servicios que se ponen a disposición de los usuarios finales y vi) el seguimiento que el Instituto dará a la implementación de los Lineamientos.</w:t>
            </w:r>
          </w:p>
          <w:p w14:paraId="592183B3" w14:textId="6200D7B2" w:rsidR="007E5910" w:rsidRPr="00FC1BA4" w:rsidRDefault="00FC1BA4" w:rsidP="00BD4FEF">
            <w:pPr>
              <w:spacing w:after="240"/>
              <w:jc w:val="both"/>
              <w:rPr>
                <w:rFonts w:ascii="ITC Avant Garde" w:hAnsi="ITC Avant Garde"/>
                <w:sz w:val="18"/>
                <w:lang w:eastAsia="es-MX"/>
              </w:rPr>
            </w:pPr>
            <w:r w:rsidRPr="00FC1BA4">
              <w:rPr>
                <w:rFonts w:ascii="ITC Avant Garde" w:hAnsi="ITC Avant Garde"/>
                <w:sz w:val="18"/>
                <w:lang w:eastAsia="es-MX"/>
              </w:rPr>
              <w:t>S</w:t>
            </w:r>
            <w:r w:rsidR="00F93417">
              <w:rPr>
                <w:rFonts w:ascii="ITC Avant Garde" w:hAnsi="ITC Avant Garde"/>
                <w:sz w:val="18"/>
                <w:lang w:eastAsia="es-MX"/>
              </w:rPr>
              <w:t>i</w:t>
            </w:r>
            <w:r w:rsidRPr="00FC1BA4">
              <w:rPr>
                <w:rFonts w:ascii="ITC Avant Garde" w:hAnsi="ITC Avant Garde"/>
                <w:sz w:val="18"/>
                <w:lang w:eastAsia="es-MX"/>
              </w:rPr>
              <w:t xml:space="preserve"> bien en los Lineamientos se señala que los PSI podrán implementar políticas de gestión de tráfico y administración de red atendiendo a criterios técnicos, fueron establecidas </w:t>
            </w:r>
            <w:r w:rsidR="00B56D41">
              <w:rPr>
                <w:rFonts w:ascii="ITC Avant Garde" w:hAnsi="ITC Avant Garde"/>
                <w:sz w:val="18"/>
                <w:lang w:eastAsia="es-MX"/>
              </w:rPr>
              <w:t xml:space="preserve">diversas </w:t>
            </w:r>
            <w:r w:rsidRPr="00FC1BA4">
              <w:rPr>
                <w:rFonts w:ascii="ITC Avant Garde" w:hAnsi="ITC Avant Garde"/>
                <w:sz w:val="18"/>
                <w:lang w:eastAsia="es-MX"/>
              </w:rPr>
              <w:t xml:space="preserve">salvaguardas </w:t>
            </w:r>
            <w:r w:rsidR="00B56D41">
              <w:rPr>
                <w:rFonts w:ascii="ITC Avant Garde" w:hAnsi="ITC Avant Garde"/>
                <w:sz w:val="18"/>
                <w:lang w:eastAsia="es-MX"/>
              </w:rPr>
              <w:t>respecto a las ofertas del servicio de acceso a Internet y otros servicios de telecomunicaciones</w:t>
            </w:r>
            <w:r w:rsidR="00237BEC">
              <w:rPr>
                <w:rFonts w:ascii="ITC Avant Garde" w:hAnsi="ITC Avant Garde"/>
                <w:sz w:val="18"/>
                <w:lang w:eastAsia="es-MX"/>
              </w:rPr>
              <w:t>.</w:t>
            </w:r>
            <w:r w:rsidRPr="00FC1BA4" w:rsidDel="00B56D41">
              <w:rPr>
                <w:rFonts w:ascii="ITC Avant Garde" w:hAnsi="ITC Avant Garde"/>
                <w:sz w:val="18"/>
                <w:lang w:eastAsia="es-MX"/>
              </w:rPr>
              <w:t xml:space="preserve"> </w:t>
            </w:r>
            <w:r w:rsidRPr="00FC1BA4">
              <w:rPr>
                <w:rFonts w:ascii="ITC Avant Garde" w:hAnsi="ITC Avant Garde"/>
                <w:sz w:val="18"/>
                <w:lang w:eastAsia="es-MX"/>
              </w:rPr>
              <w:t xml:space="preserve">En tal sentido, el Instituto </w:t>
            </w:r>
            <w:r w:rsidR="00B56D41">
              <w:rPr>
                <w:rFonts w:ascii="ITC Avant Garde" w:hAnsi="ITC Avant Garde"/>
                <w:sz w:val="18"/>
                <w:lang w:eastAsia="es-MX"/>
              </w:rPr>
              <w:t>estableció en los Lineamientos que, afecto de</w:t>
            </w:r>
            <w:r w:rsidRPr="00FC1BA4">
              <w:rPr>
                <w:rFonts w:ascii="ITC Avant Garde" w:hAnsi="ITC Avant Garde"/>
                <w:sz w:val="18"/>
                <w:lang w:eastAsia="es-MX"/>
              </w:rPr>
              <w:t xml:space="preserve"> </w:t>
            </w:r>
            <w:r w:rsidR="00B56D41">
              <w:rPr>
                <w:rFonts w:ascii="ITC Avant Garde" w:hAnsi="ITC Avant Garde"/>
                <w:sz w:val="18"/>
                <w:lang w:eastAsia="es-MX"/>
              </w:rPr>
              <w:t>dar</w:t>
            </w:r>
            <w:r w:rsidRPr="00FC1BA4">
              <w:rPr>
                <w:rFonts w:ascii="ITC Avant Garde" w:hAnsi="ITC Avant Garde"/>
                <w:sz w:val="18"/>
                <w:lang w:eastAsia="es-MX"/>
              </w:rPr>
              <w:t xml:space="preserve"> seguimiento de </w:t>
            </w:r>
            <w:r w:rsidR="000A4D34">
              <w:rPr>
                <w:rFonts w:ascii="ITC Avant Garde" w:hAnsi="ITC Avant Garde"/>
                <w:sz w:val="18"/>
                <w:lang w:eastAsia="es-MX"/>
              </w:rPr>
              <w:t>su</w:t>
            </w:r>
            <w:r w:rsidR="000A4D34" w:rsidRPr="00FC1BA4">
              <w:rPr>
                <w:rFonts w:ascii="ITC Avant Garde" w:hAnsi="ITC Avant Garde"/>
                <w:sz w:val="18"/>
                <w:lang w:eastAsia="es-MX"/>
              </w:rPr>
              <w:t xml:space="preserve"> </w:t>
            </w:r>
            <w:r w:rsidRPr="00FC1BA4">
              <w:rPr>
                <w:rFonts w:ascii="ITC Avant Garde" w:hAnsi="ITC Avant Garde"/>
                <w:sz w:val="18"/>
                <w:lang w:eastAsia="es-MX"/>
              </w:rPr>
              <w:t xml:space="preserve">implementación </w:t>
            </w:r>
            <w:r w:rsidR="00B56D41">
              <w:rPr>
                <w:rFonts w:ascii="ITC Avant Garde" w:hAnsi="ITC Avant Garde"/>
                <w:sz w:val="18"/>
                <w:lang w:eastAsia="es-MX"/>
              </w:rPr>
              <w:t>y</w:t>
            </w:r>
            <w:r w:rsidRPr="00FC1BA4" w:rsidDel="00B56D41">
              <w:rPr>
                <w:rFonts w:ascii="ITC Avant Garde" w:hAnsi="ITC Avant Garde"/>
                <w:sz w:val="18"/>
                <w:lang w:eastAsia="es-MX"/>
              </w:rPr>
              <w:t xml:space="preserve"> </w:t>
            </w:r>
            <w:r w:rsidRPr="00FC1BA4">
              <w:rPr>
                <w:rFonts w:ascii="ITC Avant Garde" w:hAnsi="ITC Avant Garde"/>
                <w:sz w:val="18"/>
                <w:lang w:eastAsia="es-MX"/>
              </w:rPr>
              <w:t xml:space="preserve">mitigar las asimetrías de información entre los PSI y el Instituto respecto a las ofertas del servicio de acceso a Internet y otros servicios de telecomunicaciones, los PSI </w:t>
            </w:r>
            <w:r w:rsidR="000A4D34">
              <w:rPr>
                <w:rFonts w:ascii="ITC Avant Garde" w:hAnsi="ITC Avant Garde"/>
                <w:sz w:val="18"/>
                <w:lang w:eastAsia="es-MX"/>
              </w:rPr>
              <w:t xml:space="preserve">deben </w:t>
            </w:r>
            <w:r w:rsidRPr="00FC1BA4">
              <w:rPr>
                <w:rFonts w:ascii="ITC Avant Garde" w:hAnsi="ITC Avant Garde"/>
                <w:sz w:val="18"/>
                <w:lang w:eastAsia="es-MX"/>
              </w:rPr>
              <w:t>entreg</w:t>
            </w:r>
            <w:r w:rsidR="000A4D34">
              <w:rPr>
                <w:rFonts w:ascii="ITC Avant Garde" w:hAnsi="ITC Avant Garde"/>
                <w:sz w:val="18"/>
                <w:lang w:eastAsia="es-MX"/>
              </w:rPr>
              <w:t>ar</w:t>
            </w:r>
            <w:r w:rsidRPr="00FC1BA4">
              <w:rPr>
                <w:rFonts w:ascii="ITC Avant Garde" w:hAnsi="ITC Avant Garde"/>
                <w:sz w:val="18"/>
                <w:lang w:eastAsia="es-MX"/>
              </w:rPr>
              <w:t xml:space="preserve"> información de manera periódica bajo términos y formatos definidos conforme a lo siguiente:</w:t>
            </w:r>
          </w:p>
          <w:p w14:paraId="4395C85E" w14:textId="77777777" w:rsidR="00FC1BA4" w:rsidRPr="00FC1BA4" w:rsidRDefault="00FC1BA4" w:rsidP="00FC1BA4">
            <w:pPr>
              <w:pStyle w:val="CitaTextual"/>
              <w:rPr>
                <w:rFonts w:ascii="ITC Avant Garde" w:hAnsi="ITC Avant Garde"/>
                <w:sz w:val="14"/>
                <w:lang w:eastAsia="es-MX"/>
              </w:rPr>
            </w:pPr>
            <w:r w:rsidRPr="00FC1BA4">
              <w:rPr>
                <w:rFonts w:ascii="ITC Avant Garde" w:hAnsi="ITC Avant Garde"/>
                <w:b/>
                <w:bCs/>
                <w:sz w:val="14"/>
                <w:lang w:eastAsia="es-MX"/>
              </w:rPr>
              <w:t>“Artículo 11.</w:t>
            </w:r>
            <w:r w:rsidRPr="00FC1BA4">
              <w:rPr>
                <w:rFonts w:ascii="ITC Avant Garde" w:hAnsi="ITC Avant Garde"/>
                <w:sz w:val="14"/>
                <w:lang w:eastAsia="es-MX"/>
              </w:rPr>
              <w:t xml:space="preserve"> Los PSI que cuenten con ofertas con patrocinio de datos en términos de la fracción I del artículo 8, que provean acceso a contenidos, aplicaciones y/o servicios en términos del artículo 9 y/o que provean servicios en términos del artículo 10 </w:t>
            </w:r>
            <w:r w:rsidRPr="00FC1BA4">
              <w:rPr>
                <w:rFonts w:ascii="ITC Avant Garde" w:hAnsi="ITC Avant Garde"/>
                <w:b/>
                <w:bCs/>
                <w:sz w:val="14"/>
                <w:lang w:eastAsia="es-MX"/>
              </w:rPr>
              <w:t>deberán presentar ante el Instituto, en formato electrónico editable dentro de los 10 (diez) días hábiles siguientes al término de cada semestre, en los términos y formato que al efecto determine el Instituto, un informe semestral</w:t>
            </w:r>
            <w:r w:rsidRPr="00FC1BA4">
              <w:rPr>
                <w:rFonts w:ascii="ITC Avant Garde" w:hAnsi="ITC Avant Garde"/>
                <w:sz w:val="14"/>
                <w:lang w:eastAsia="es-MX"/>
              </w:rPr>
              <w:t xml:space="preserve"> que incluya, al menos, lo siguiente:</w:t>
            </w:r>
          </w:p>
          <w:p w14:paraId="64349058" w14:textId="77777777" w:rsidR="00FC1BA4" w:rsidRPr="00FC1BA4" w:rsidRDefault="00FC1BA4" w:rsidP="00FC1BA4">
            <w:pPr>
              <w:pStyle w:val="CitaTextual"/>
              <w:rPr>
                <w:rFonts w:ascii="ITC Avant Garde" w:hAnsi="ITC Avant Garde"/>
                <w:sz w:val="14"/>
                <w:lang w:eastAsia="es-MX"/>
              </w:rPr>
            </w:pPr>
            <w:r w:rsidRPr="00FC1BA4">
              <w:rPr>
                <w:rFonts w:ascii="ITC Avant Garde" w:hAnsi="ITC Avant Garde"/>
                <w:sz w:val="14"/>
                <w:lang w:eastAsia="es-MX"/>
              </w:rPr>
              <w:t>I.     Respecto a las ofertas con patrocinio de datos, la referencia al contenido, aplicación o servicio patrocinado, la persona física o moral que patrocina los datos y el folio de inscripción del Registro Público de Concesiones que contenga la tarifa contratada.</w:t>
            </w:r>
          </w:p>
          <w:p w14:paraId="4F9263C6" w14:textId="77777777" w:rsidR="00FC1BA4" w:rsidRPr="00FC1BA4" w:rsidRDefault="00FC1BA4" w:rsidP="00FC1BA4">
            <w:pPr>
              <w:pStyle w:val="CitaTextual"/>
              <w:rPr>
                <w:rFonts w:ascii="ITC Avant Garde" w:hAnsi="ITC Avant Garde"/>
                <w:sz w:val="14"/>
                <w:lang w:eastAsia="es-MX"/>
              </w:rPr>
            </w:pPr>
            <w:r w:rsidRPr="00FC1BA4">
              <w:rPr>
                <w:rFonts w:ascii="ITC Avant Garde" w:hAnsi="ITC Avant Garde"/>
                <w:sz w:val="14"/>
                <w:lang w:eastAsia="es-MX"/>
              </w:rPr>
              <w:t>II.     Respecto a las ofertas de servicios en términos del artículo 10, un listado y descripción de cada uno de los servicios provistos en el periodo reportado.”</w:t>
            </w:r>
          </w:p>
          <w:p w14:paraId="3E0A7AAC" w14:textId="77777777" w:rsidR="00FC1BA4" w:rsidRPr="00FC1BA4" w:rsidRDefault="00FC1BA4" w:rsidP="00FC1BA4">
            <w:pPr>
              <w:pStyle w:val="CitaTextual"/>
              <w:rPr>
                <w:rFonts w:ascii="ITC Avant Garde" w:hAnsi="ITC Avant Garde"/>
                <w:sz w:val="14"/>
                <w:lang w:eastAsia="es-MX"/>
              </w:rPr>
            </w:pPr>
            <w:r w:rsidRPr="00FC1BA4">
              <w:rPr>
                <w:rFonts w:ascii="ITC Avant Garde" w:hAnsi="ITC Avant Garde"/>
                <w:sz w:val="14"/>
                <w:lang w:eastAsia="es-MX"/>
              </w:rPr>
              <w:t>(énfasis añadido)</w:t>
            </w:r>
          </w:p>
          <w:p w14:paraId="2A755F9D" w14:textId="533D1652" w:rsidR="00FC1BA4" w:rsidRDefault="00FC1BA4" w:rsidP="00E73C45">
            <w:pPr>
              <w:spacing w:after="120"/>
              <w:jc w:val="both"/>
              <w:rPr>
                <w:rFonts w:ascii="ITC Avant Garde" w:hAnsi="ITC Avant Garde"/>
                <w:sz w:val="18"/>
                <w:lang w:eastAsia="es-MX"/>
              </w:rPr>
            </w:pPr>
            <w:r w:rsidRPr="00FC1BA4">
              <w:rPr>
                <w:rFonts w:ascii="ITC Avant Garde" w:hAnsi="ITC Avant Garde"/>
                <w:sz w:val="18"/>
                <w:lang w:eastAsia="es-MX"/>
              </w:rPr>
              <w:t xml:space="preserve">Es así </w:t>
            </w:r>
            <w:r w:rsidR="00673DBC">
              <w:rPr>
                <w:rFonts w:ascii="ITC Avant Garde" w:hAnsi="ITC Avant Garde"/>
                <w:sz w:val="18"/>
                <w:lang w:eastAsia="es-MX"/>
              </w:rPr>
              <w:t>como</w:t>
            </w:r>
            <w:r w:rsidRPr="00FC1BA4">
              <w:rPr>
                <w:rFonts w:ascii="ITC Avant Garde" w:hAnsi="ITC Avant Garde"/>
                <w:sz w:val="18"/>
                <w:lang w:eastAsia="es-MX"/>
              </w:rPr>
              <w:t>, a fin de brindar certeza jurídica sobre los términos y formato en los que los PSI deberán atender la obligación de entrega del informe semestral respecto a las ofertas de patrocinio de datos y otros servicios de telecomunicaciones, el Instituto señaló en el artículo Cuarto Transitorio de los Lineamientos que se emitiría el formato para la entrega de estos</w:t>
            </w:r>
            <w:r w:rsidR="006952BD">
              <w:rPr>
                <w:rFonts w:ascii="ITC Avant Garde" w:hAnsi="ITC Avant Garde"/>
                <w:sz w:val="18"/>
                <w:lang w:eastAsia="es-MX"/>
              </w:rPr>
              <w:t xml:space="preserve"> a más tardar al cierre del primer trimestre del 2022</w:t>
            </w:r>
            <w:r w:rsidRPr="00FC1BA4">
              <w:rPr>
                <w:rFonts w:ascii="ITC Avant Garde" w:hAnsi="ITC Avant Garde"/>
                <w:sz w:val="18"/>
                <w:lang w:eastAsia="es-MX"/>
              </w:rPr>
              <w:t>.</w:t>
            </w:r>
          </w:p>
          <w:p w14:paraId="2FC52798" w14:textId="41A5031B" w:rsidR="00673DBC" w:rsidRDefault="00673DBC" w:rsidP="00E73C45">
            <w:pPr>
              <w:shd w:val="clear" w:color="auto" w:fill="FFFFFF" w:themeFill="background1"/>
              <w:spacing w:after="120"/>
              <w:jc w:val="both"/>
              <w:rPr>
                <w:rFonts w:ascii="ITC Avant Garde" w:hAnsi="ITC Avant Garde"/>
                <w:sz w:val="18"/>
                <w:szCs w:val="18"/>
              </w:rPr>
            </w:pPr>
            <w:r>
              <w:rPr>
                <w:rFonts w:ascii="ITC Avant Garde" w:hAnsi="ITC Avant Garde"/>
                <w:sz w:val="18"/>
                <w:szCs w:val="18"/>
              </w:rPr>
              <w:t xml:space="preserve">Por lo tanto, la presente propuesta de regulación se desarrolla como parte del seguimiento a los Lineamientos y tiene por objeto establecer los términos y formato al que deberán sujetarse los </w:t>
            </w:r>
            <w:r w:rsidRPr="00FC1BA4">
              <w:rPr>
                <w:rFonts w:ascii="ITC Avant Garde" w:hAnsi="ITC Avant Garde"/>
                <w:sz w:val="18"/>
                <w:szCs w:val="18"/>
              </w:rPr>
              <w:t>PSI</w:t>
            </w:r>
            <w:r w:rsidR="009E081E">
              <w:rPr>
                <w:rFonts w:ascii="ITC Avant Garde" w:hAnsi="ITC Avant Garde"/>
                <w:sz w:val="18"/>
                <w:szCs w:val="18"/>
              </w:rPr>
              <w:t xml:space="preserve"> </w:t>
            </w:r>
            <w:r>
              <w:rPr>
                <w:rFonts w:ascii="ITC Avant Garde" w:hAnsi="ITC Avant Garde"/>
                <w:sz w:val="18"/>
                <w:szCs w:val="18"/>
              </w:rPr>
              <w:t>al presentar el informe semestral de ofertas de patrocinio de datos y otros servicios de telecomunicaciones.</w:t>
            </w:r>
          </w:p>
          <w:p w14:paraId="213BDB08" w14:textId="5380AE5D" w:rsidR="00500072" w:rsidRDefault="00500072" w:rsidP="00E73C45">
            <w:pPr>
              <w:spacing w:after="120"/>
              <w:jc w:val="both"/>
              <w:rPr>
                <w:rFonts w:ascii="ITC Avant Garde" w:hAnsi="ITC Avant Garde"/>
                <w:sz w:val="18"/>
                <w:lang w:eastAsia="es-MX"/>
              </w:rPr>
            </w:pPr>
            <w:r>
              <w:rPr>
                <w:rFonts w:ascii="ITC Avant Garde" w:hAnsi="ITC Avant Garde"/>
                <w:sz w:val="18"/>
                <w:lang w:eastAsia="es-MX"/>
              </w:rPr>
              <w:t xml:space="preserve">Los objetivos generales del Anteproyecto son: </w:t>
            </w:r>
          </w:p>
          <w:p w14:paraId="378D0461" w14:textId="6276C5AA" w:rsidR="00500072" w:rsidRDefault="00500072" w:rsidP="00E73C45">
            <w:pPr>
              <w:pStyle w:val="Prrafodelista"/>
              <w:numPr>
                <w:ilvl w:val="0"/>
                <w:numId w:val="18"/>
              </w:numPr>
              <w:spacing w:after="120"/>
              <w:contextualSpacing w:val="0"/>
              <w:jc w:val="both"/>
              <w:rPr>
                <w:rFonts w:ascii="ITC Avant Garde" w:hAnsi="ITC Avant Garde"/>
                <w:sz w:val="18"/>
                <w:lang w:eastAsia="es-MX"/>
              </w:rPr>
            </w:pPr>
            <w:r>
              <w:rPr>
                <w:rFonts w:ascii="ITC Avant Garde" w:hAnsi="ITC Avant Garde"/>
                <w:sz w:val="18"/>
                <w:lang w:eastAsia="es-MX"/>
              </w:rPr>
              <w:t xml:space="preserve">Emitir los términos y el formato para presentar el informe trimestral en términos del artículo 11 y Cuarto Transitorio de los Lineamientos. </w:t>
            </w:r>
          </w:p>
          <w:p w14:paraId="0189E4AD" w14:textId="40168074" w:rsidR="00500072" w:rsidRDefault="00500072" w:rsidP="00E73C45">
            <w:pPr>
              <w:pStyle w:val="Prrafodelista"/>
              <w:numPr>
                <w:ilvl w:val="0"/>
                <w:numId w:val="18"/>
              </w:numPr>
              <w:spacing w:after="120"/>
              <w:contextualSpacing w:val="0"/>
              <w:jc w:val="both"/>
              <w:rPr>
                <w:rFonts w:ascii="ITC Avant Garde" w:hAnsi="ITC Avant Garde"/>
                <w:sz w:val="18"/>
                <w:lang w:eastAsia="es-MX"/>
              </w:rPr>
            </w:pPr>
            <w:r>
              <w:rPr>
                <w:rFonts w:ascii="ITC Avant Garde" w:hAnsi="ITC Avant Garde"/>
                <w:sz w:val="18"/>
                <w:lang w:eastAsia="es-MX"/>
              </w:rPr>
              <w:t xml:space="preserve">Facilitar la entrega de la presentación de la información periódica de ofertas de patrocinio de datos y otros servicios de telecomunicaciones. </w:t>
            </w:r>
          </w:p>
          <w:p w14:paraId="3A4AC173" w14:textId="085E0ED0" w:rsidR="00500072" w:rsidRPr="00802302" w:rsidRDefault="00500072" w:rsidP="00E73C45">
            <w:pPr>
              <w:pStyle w:val="Prrafodelista"/>
              <w:numPr>
                <w:ilvl w:val="0"/>
                <w:numId w:val="18"/>
              </w:numPr>
              <w:spacing w:after="120"/>
              <w:contextualSpacing w:val="0"/>
              <w:jc w:val="both"/>
              <w:rPr>
                <w:rFonts w:ascii="ITC Avant Garde" w:hAnsi="ITC Avant Garde"/>
                <w:sz w:val="18"/>
                <w:lang w:eastAsia="es-MX"/>
              </w:rPr>
            </w:pPr>
            <w:r>
              <w:rPr>
                <w:rFonts w:ascii="ITC Avant Garde" w:hAnsi="ITC Avant Garde"/>
                <w:sz w:val="18"/>
                <w:lang w:eastAsia="es-MX"/>
              </w:rPr>
              <w:t xml:space="preserve">Favorecer la homologación de la información que presentarán los PSI. </w:t>
            </w:r>
          </w:p>
          <w:p w14:paraId="77B70C94" w14:textId="4B7D2F24" w:rsidR="009316CB" w:rsidRPr="00451B7D" w:rsidRDefault="00CB356D" w:rsidP="00E73C45">
            <w:pPr>
              <w:shd w:val="clear" w:color="auto" w:fill="FFFFFF" w:themeFill="background1"/>
              <w:spacing w:after="120"/>
              <w:jc w:val="both"/>
              <w:rPr>
                <w:rFonts w:ascii="ITC Avant Garde" w:hAnsi="ITC Avant Garde"/>
                <w:sz w:val="18"/>
                <w:szCs w:val="18"/>
              </w:rPr>
            </w:pPr>
            <w:r>
              <w:rPr>
                <w:rFonts w:ascii="ITC Avant Garde" w:hAnsi="ITC Avant Garde"/>
                <w:sz w:val="18"/>
                <w:szCs w:val="18"/>
              </w:rPr>
              <w:t>En este sentido es relevante señalar que la emisión de los términos y el formato para presentar el informe trimestral no genera obligaciones adicionales para los PSI puesto que la entrega de dicho informe ya estaba contemplada desde la emisión de los Lineamientos.</w:t>
            </w:r>
            <w:r w:rsidR="001653DD">
              <w:rPr>
                <w:rFonts w:ascii="ITC Avant Garde" w:hAnsi="ITC Avant Garde"/>
                <w:sz w:val="18"/>
                <w:szCs w:val="18"/>
              </w:rPr>
              <w:t xml:space="preserve"> </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4CC01DA5" w14:textId="77777777" w:rsidTr="00B41497">
        <w:tc>
          <w:tcPr>
            <w:tcW w:w="8828" w:type="dxa"/>
          </w:tcPr>
          <w:bookmarkEnd w:id="1"/>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E73C45">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70C214DD" w:rsidR="00B41497" w:rsidRPr="00451B7D" w:rsidRDefault="00B41497" w:rsidP="00E73C45">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w:t>
                  </w:r>
                  <w:proofErr w:type="gramStart"/>
                  <w:r w:rsidRPr="00451B7D">
                    <w:rPr>
                      <w:rFonts w:ascii="ITC Avant Garde" w:hAnsi="ITC Avant Garde"/>
                      <w:sz w:val="18"/>
                      <w:szCs w:val="18"/>
                    </w:rPr>
                    <w:t>( )</w:t>
                  </w:r>
                  <w:proofErr w:type="gramEnd"/>
                  <w:r w:rsidRPr="00451B7D">
                    <w:rPr>
                      <w:rFonts w:ascii="ITC Avant Garde" w:hAnsi="ITC Avant Garde"/>
                      <w:sz w:val="18"/>
                      <w:szCs w:val="18"/>
                    </w:rPr>
                    <w:t xml:space="preserve"> No (</w:t>
                  </w:r>
                  <w:r w:rsidR="00CC2E95">
                    <w:rPr>
                      <w:rFonts w:ascii="ITC Avant Garde" w:hAnsi="ITC Avant Garde"/>
                      <w:sz w:val="18"/>
                      <w:szCs w:val="18"/>
                    </w:rPr>
                    <w:t>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7CA4A6B4" w14:textId="6E1FCC52" w:rsidR="00596FDE" w:rsidRDefault="001719BC" w:rsidP="004162E2">
                  <w:pPr>
                    <w:framePr w:hSpace="141" w:wrap="around" w:vAnchor="text" w:hAnchor="margin" w:y="356"/>
                    <w:jc w:val="both"/>
                    <w:rPr>
                      <w:rFonts w:ascii="ITC Avant Garde" w:hAnsi="ITC Avant Garde"/>
                      <w:sz w:val="18"/>
                      <w:szCs w:val="18"/>
                    </w:rPr>
                  </w:pPr>
                  <w:r>
                    <w:rPr>
                      <w:rFonts w:ascii="ITC Avant Garde" w:hAnsi="ITC Avant Garde"/>
                      <w:sz w:val="18"/>
                      <w:szCs w:val="18"/>
                    </w:rPr>
                    <w:t>N/A</w:t>
                  </w:r>
                </w:p>
                <w:p w14:paraId="40DA22A2" w14:textId="77777777" w:rsidR="000C16BC" w:rsidRPr="00451B7D" w:rsidRDefault="000C16BC" w:rsidP="004162E2">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BD4FEF">
      <w:pPr>
        <w:spacing w:after="120"/>
        <w:jc w:val="both"/>
        <w:rPr>
          <w:rFonts w:ascii="ITC Avant Garde" w:hAnsi="ITC Avant Garde"/>
          <w:sz w:val="18"/>
          <w:szCs w:val="18"/>
        </w:rPr>
      </w:pPr>
    </w:p>
    <w:p w14:paraId="49EDF348" w14:textId="77777777" w:rsidR="00B41497" w:rsidRPr="00451B7D" w:rsidRDefault="00B41497" w:rsidP="00BD4FEF">
      <w:pPr>
        <w:spacing w:after="120"/>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F75E13">
        <w:tc>
          <w:tcPr>
            <w:tcW w:w="8828" w:type="dxa"/>
          </w:tcPr>
          <w:p w14:paraId="695C7A4C" w14:textId="60C0AEAD" w:rsidR="00BE7D1C" w:rsidRPr="00451B7D" w:rsidRDefault="00BE7D1C" w:rsidP="00F75E13">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5BC228E8" w:rsidR="00BE7D1C" w:rsidRDefault="00BE7D1C" w:rsidP="00F75E13">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42A844D7" w14:textId="77777777" w:rsidR="001870AF" w:rsidRPr="00451B7D" w:rsidRDefault="001870AF" w:rsidP="00F75E13">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F75E13">
              <w:tc>
                <w:tcPr>
                  <w:tcW w:w="1876" w:type="dxa"/>
                  <w:tcBorders>
                    <w:bottom w:val="single" w:sz="12" w:space="0" w:color="auto"/>
                  </w:tcBorders>
                  <w:shd w:val="clear" w:color="auto" w:fill="A8D08D" w:themeFill="accent6" w:themeFillTint="99"/>
                </w:tcPr>
                <w:p w14:paraId="68667C9B" w14:textId="77777777" w:rsidR="00BE7D1C" w:rsidRPr="00451B7D" w:rsidRDefault="00BE7D1C" w:rsidP="00F75E13">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F75E13">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F75E13">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00F75E13">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53EC0B26" w:rsidR="00BE7D1C" w:rsidRPr="00451B7D" w:rsidRDefault="001C5416" w:rsidP="00F75E13">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60D5F57" w14:textId="114471F5" w:rsidR="00BE7D1C" w:rsidRPr="00451B7D" w:rsidRDefault="001719BC" w:rsidP="00F75E13">
                  <w:pPr>
                    <w:jc w:val="center"/>
                    <w:rPr>
                      <w:rFonts w:ascii="ITC Avant Garde" w:hAnsi="ITC Avant Garde"/>
                      <w:sz w:val="18"/>
                      <w:szCs w:val="18"/>
                    </w:rPr>
                  </w:pPr>
                  <w:r>
                    <w:rPr>
                      <w:rFonts w:ascii="ITC Avant Garde" w:hAnsi="ITC Avant Garde"/>
                      <w:sz w:val="18"/>
                      <w:szCs w:val="18"/>
                    </w:rPr>
                    <w:t>No realizar ninguna acción al respecto</w:t>
                  </w:r>
                </w:p>
              </w:tc>
              <w:tc>
                <w:tcPr>
                  <w:tcW w:w="3969" w:type="dxa"/>
                </w:tcPr>
                <w:p w14:paraId="30EB1536" w14:textId="5205EB7A" w:rsidR="006336BA" w:rsidRDefault="003436DD" w:rsidP="007A4155">
                  <w:pPr>
                    <w:jc w:val="both"/>
                    <w:rPr>
                      <w:rFonts w:ascii="ITC Avant Garde" w:hAnsi="ITC Avant Garde"/>
                      <w:sz w:val="18"/>
                      <w:szCs w:val="18"/>
                    </w:rPr>
                  </w:pPr>
                  <w:r>
                    <w:rPr>
                      <w:rFonts w:ascii="ITC Avant Garde" w:hAnsi="ITC Avant Garde"/>
                      <w:sz w:val="18"/>
                      <w:szCs w:val="18"/>
                    </w:rPr>
                    <w:t>No es una opción posible no emitir el formato toda vez que se encuentra estipulado en los Lineamientos</w:t>
                  </w:r>
                  <w:r w:rsidR="004718C1">
                    <w:rPr>
                      <w:rFonts w:ascii="ITC Avant Garde" w:hAnsi="ITC Avant Garde"/>
                      <w:sz w:val="18"/>
                      <w:szCs w:val="18"/>
                    </w:rPr>
                    <w:t>;</w:t>
                  </w:r>
                  <w:r w:rsidR="00D87A00">
                    <w:rPr>
                      <w:rFonts w:ascii="ITC Avant Garde" w:hAnsi="ITC Avant Garde"/>
                      <w:sz w:val="18"/>
                      <w:szCs w:val="18"/>
                    </w:rPr>
                    <w:t xml:space="preserve"> </w:t>
                  </w:r>
                  <w:r w:rsidR="005B3CA1">
                    <w:rPr>
                      <w:rFonts w:ascii="ITC Avant Garde" w:hAnsi="ITC Avant Garde"/>
                      <w:sz w:val="18"/>
                      <w:szCs w:val="18"/>
                    </w:rPr>
                    <w:t>específicamente en el</w:t>
                  </w:r>
                  <w:r>
                    <w:rPr>
                      <w:rFonts w:ascii="ITC Avant Garde" w:hAnsi="ITC Avant Garde"/>
                      <w:sz w:val="18"/>
                      <w:szCs w:val="18"/>
                    </w:rPr>
                    <w:t xml:space="preserve"> artículo </w:t>
                  </w:r>
                  <w:r w:rsidR="006336BA">
                    <w:rPr>
                      <w:rFonts w:ascii="ITC Avant Garde" w:hAnsi="ITC Avant Garde"/>
                      <w:sz w:val="18"/>
                      <w:szCs w:val="18"/>
                    </w:rPr>
                    <w:t xml:space="preserve">Cuarto Transitorio </w:t>
                  </w:r>
                  <w:r w:rsidR="005B3CA1">
                    <w:rPr>
                      <w:rFonts w:ascii="ITC Avant Garde" w:hAnsi="ITC Avant Garde"/>
                      <w:sz w:val="18"/>
                      <w:szCs w:val="18"/>
                    </w:rPr>
                    <w:t>se</w:t>
                  </w:r>
                  <w:r w:rsidR="006336BA">
                    <w:rPr>
                      <w:rFonts w:ascii="ITC Avant Garde" w:hAnsi="ITC Avant Garde"/>
                      <w:sz w:val="18"/>
                      <w:szCs w:val="18"/>
                    </w:rPr>
                    <w:t xml:space="preserve"> indicó que el </w:t>
                  </w:r>
                  <w:r w:rsidR="006336BA" w:rsidRPr="006336BA">
                    <w:rPr>
                      <w:rFonts w:ascii="ITC Avant Garde" w:hAnsi="ITC Avant Garde"/>
                      <w:sz w:val="18"/>
                      <w:szCs w:val="18"/>
                    </w:rPr>
                    <w:t>Instituto Federal de Telecomunicaciones</w:t>
                  </w:r>
                  <w:r w:rsidR="006336BA">
                    <w:rPr>
                      <w:rFonts w:ascii="ITC Avant Garde" w:hAnsi="ITC Avant Garde"/>
                      <w:sz w:val="18"/>
                      <w:szCs w:val="18"/>
                    </w:rPr>
                    <w:t xml:space="preserve"> publicaría en el Diario Oficial de la Federación el formato para la entrega del informe al que se refiere el artículo 11 de los Lineamientos a más tardar al cierre del primer trimestre de 2022. </w:t>
                  </w:r>
                </w:p>
                <w:p w14:paraId="30521BA4" w14:textId="77777777" w:rsidR="005B3CA1" w:rsidRDefault="005B3CA1" w:rsidP="004D6580">
                  <w:pPr>
                    <w:jc w:val="both"/>
                    <w:rPr>
                      <w:rFonts w:ascii="ITC Avant Garde" w:hAnsi="ITC Avant Garde"/>
                      <w:sz w:val="18"/>
                      <w:szCs w:val="18"/>
                    </w:rPr>
                  </w:pPr>
                </w:p>
                <w:p w14:paraId="3A0F5AC2" w14:textId="4F130EDB" w:rsidR="005B3CA1" w:rsidRPr="00451B7D" w:rsidRDefault="004355B1" w:rsidP="008C7C2E">
                  <w:pPr>
                    <w:jc w:val="both"/>
                    <w:rPr>
                      <w:rFonts w:ascii="ITC Avant Garde" w:hAnsi="ITC Avant Garde"/>
                      <w:sz w:val="18"/>
                      <w:szCs w:val="18"/>
                    </w:rPr>
                  </w:pPr>
                  <w:r>
                    <w:rPr>
                      <w:rFonts w:ascii="ITC Avant Garde" w:hAnsi="ITC Avant Garde"/>
                      <w:sz w:val="18"/>
                      <w:szCs w:val="18"/>
                    </w:rPr>
                    <w:t xml:space="preserve">Además, en caso de no emitir el formato, los </w:t>
                  </w:r>
                  <w:r w:rsidR="00EB3E0A">
                    <w:rPr>
                      <w:rFonts w:ascii="ITC Avant Garde" w:hAnsi="ITC Avant Garde"/>
                      <w:sz w:val="18"/>
                      <w:szCs w:val="18"/>
                    </w:rPr>
                    <w:t>PSI</w:t>
                  </w:r>
                  <w:r>
                    <w:rPr>
                      <w:rFonts w:ascii="ITC Avant Garde" w:hAnsi="ITC Avant Garde"/>
                      <w:sz w:val="18"/>
                      <w:szCs w:val="18"/>
                    </w:rPr>
                    <w:t xml:space="preserve"> tendrían que presentar el informe de ofertas de patrocinio de datos y otros servicios de telecomunicaciones sin tener una línea clara </w:t>
                  </w:r>
                  <w:r w:rsidR="00B753D6">
                    <w:rPr>
                      <w:rFonts w:ascii="ITC Avant Garde" w:hAnsi="ITC Avant Garde"/>
                      <w:sz w:val="18"/>
                      <w:szCs w:val="18"/>
                    </w:rPr>
                    <w:t>sobre cómo debería entregar el informe</w:t>
                  </w:r>
                  <w:r w:rsidR="004718C1">
                    <w:rPr>
                      <w:rFonts w:ascii="ITC Avant Garde" w:hAnsi="ITC Avant Garde"/>
                      <w:sz w:val="18"/>
                      <w:szCs w:val="18"/>
                    </w:rPr>
                    <w:t>, o bien, pudiera no presentar información hasta en tanto el Instituto emita el formato respectivo</w:t>
                  </w:r>
                  <w:r w:rsidR="008C7C2E">
                    <w:rPr>
                      <w:rFonts w:ascii="ITC Avant Garde" w:hAnsi="ITC Avant Garde"/>
                      <w:sz w:val="18"/>
                      <w:szCs w:val="18"/>
                    </w:rPr>
                    <w:t>.</w:t>
                  </w:r>
                  <w:r w:rsidR="00B753D6">
                    <w:rPr>
                      <w:rFonts w:ascii="ITC Avant Garde" w:hAnsi="ITC Avant Garde"/>
                      <w:sz w:val="18"/>
                      <w:szCs w:val="18"/>
                    </w:rPr>
                    <w:t xml:space="preserve"> </w:t>
                  </w:r>
                </w:p>
              </w:tc>
            </w:tr>
            <w:tr w:rsidR="00BE7D1C" w:rsidRPr="00451B7D" w14:paraId="504B2907" w14:textId="77777777" w:rsidTr="00F75E13">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2565BC43" w:rsidR="00BE7D1C" w:rsidRPr="00451B7D" w:rsidRDefault="009F4375" w:rsidP="00F75E13">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45F86C45" w14:textId="3B0D56A8" w:rsidR="00BE7D1C" w:rsidRPr="00451B7D" w:rsidRDefault="004D6580" w:rsidP="00F75E13">
                  <w:pPr>
                    <w:jc w:val="center"/>
                    <w:rPr>
                      <w:rFonts w:ascii="ITC Avant Garde" w:hAnsi="ITC Avant Garde"/>
                      <w:sz w:val="18"/>
                      <w:szCs w:val="18"/>
                    </w:rPr>
                  </w:pPr>
                  <w:r w:rsidRPr="004D6580">
                    <w:rPr>
                      <w:rFonts w:ascii="ITC Avant Garde" w:hAnsi="ITC Avant Garde"/>
                      <w:sz w:val="18"/>
                      <w:szCs w:val="18"/>
                    </w:rPr>
                    <w:t>Emitir regulación optativa para los sujetos regulados</w:t>
                  </w:r>
                </w:p>
              </w:tc>
              <w:tc>
                <w:tcPr>
                  <w:tcW w:w="3969" w:type="dxa"/>
                </w:tcPr>
                <w:p w14:paraId="50F66259" w14:textId="0EFC389F" w:rsidR="008C7C2E" w:rsidRDefault="009F4375" w:rsidP="008C7C2E">
                  <w:pPr>
                    <w:jc w:val="both"/>
                    <w:rPr>
                      <w:rFonts w:ascii="ITC Avant Garde" w:hAnsi="ITC Avant Garde"/>
                      <w:sz w:val="18"/>
                      <w:szCs w:val="18"/>
                    </w:rPr>
                  </w:pPr>
                  <w:r>
                    <w:rPr>
                      <w:rFonts w:ascii="ITC Avant Garde" w:hAnsi="ITC Avant Garde"/>
                      <w:sz w:val="18"/>
                      <w:szCs w:val="18"/>
                    </w:rPr>
                    <w:t xml:space="preserve">Cambiar la emisión del formato por un escrito libre u otro tipo de presentación de la información </w:t>
                  </w:r>
                  <w:r w:rsidR="00062EC9">
                    <w:rPr>
                      <w:rFonts w:ascii="ITC Avant Garde" w:hAnsi="ITC Avant Garde"/>
                      <w:sz w:val="18"/>
                      <w:szCs w:val="18"/>
                    </w:rPr>
                    <w:t xml:space="preserve">provocaría </w:t>
                  </w:r>
                  <w:r w:rsidR="00E9175C">
                    <w:rPr>
                      <w:rFonts w:ascii="ITC Avant Garde" w:hAnsi="ITC Avant Garde"/>
                      <w:sz w:val="18"/>
                      <w:szCs w:val="18"/>
                    </w:rPr>
                    <w:t xml:space="preserve">que la </w:t>
                  </w:r>
                  <w:r w:rsidR="00062EC9">
                    <w:rPr>
                      <w:rFonts w:ascii="ITC Avant Garde" w:hAnsi="ITC Avant Garde"/>
                      <w:sz w:val="18"/>
                      <w:szCs w:val="18"/>
                    </w:rPr>
                    <w:t>entrega del informe por part</w:t>
                  </w:r>
                  <w:r w:rsidR="00B21887">
                    <w:rPr>
                      <w:rFonts w:ascii="ITC Avant Garde" w:hAnsi="ITC Avant Garde"/>
                      <w:sz w:val="18"/>
                      <w:szCs w:val="18"/>
                    </w:rPr>
                    <w:t>e</w:t>
                  </w:r>
                  <w:r w:rsidR="00062EC9">
                    <w:rPr>
                      <w:rFonts w:ascii="ITC Avant Garde" w:hAnsi="ITC Avant Garde"/>
                      <w:sz w:val="18"/>
                      <w:szCs w:val="18"/>
                    </w:rPr>
                    <w:t xml:space="preserve"> de los </w:t>
                  </w:r>
                  <w:r w:rsidR="006C3680">
                    <w:rPr>
                      <w:rFonts w:ascii="ITC Avant Garde" w:hAnsi="ITC Avant Garde"/>
                      <w:sz w:val="18"/>
                      <w:szCs w:val="18"/>
                    </w:rPr>
                    <w:t>PSI</w:t>
                  </w:r>
                  <w:r w:rsidR="00062EC9">
                    <w:rPr>
                      <w:rFonts w:ascii="ITC Avant Garde" w:hAnsi="ITC Avant Garde"/>
                      <w:sz w:val="18"/>
                      <w:szCs w:val="18"/>
                    </w:rPr>
                    <w:t xml:space="preserve"> </w:t>
                  </w:r>
                  <w:r w:rsidR="00E9175C">
                    <w:rPr>
                      <w:rFonts w:ascii="ITC Avant Garde" w:hAnsi="ITC Avant Garde"/>
                      <w:sz w:val="18"/>
                      <w:szCs w:val="18"/>
                    </w:rPr>
                    <w:t xml:space="preserve">fuera </w:t>
                  </w:r>
                  <w:r w:rsidR="00B21887">
                    <w:rPr>
                      <w:rFonts w:ascii="ITC Avant Garde" w:hAnsi="ITC Avant Garde"/>
                      <w:sz w:val="18"/>
                      <w:szCs w:val="18"/>
                    </w:rPr>
                    <w:t>desigual entre proveedores</w:t>
                  </w:r>
                  <w:r w:rsidR="008C7C2E">
                    <w:rPr>
                      <w:rFonts w:ascii="ITC Avant Garde" w:hAnsi="ITC Avant Garde"/>
                      <w:sz w:val="18"/>
                      <w:szCs w:val="18"/>
                    </w:rPr>
                    <w:t xml:space="preserve">, lo cual no </w:t>
                  </w:r>
                  <w:r w:rsidR="008C7C2E">
                    <w:rPr>
                      <w:rFonts w:ascii="ITC Avant Garde" w:hAnsi="ITC Avant Garde"/>
                      <w:sz w:val="18"/>
                      <w:szCs w:val="18"/>
                    </w:rPr>
                    <w:lastRenderedPageBreak/>
                    <w:t xml:space="preserve">otorga certeza jurídica a los PSI e impide que el Instituto </w:t>
                  </w:r>
                  <w:r w:rsidR="00E9175C">
                    <w:rPr>
                      <w:rFonts w:ascii="ITC Avant Garde" w:hAnsi="ITC Avant Garde"/>
                      <w:sz w:val="18"/>
                      <w:szCs w:val="18"/>
                    </w:rPr>
                    <w:t>cuente</w:t>
                  </w:r>
                  <w:r w:rsidR="008C7C2E">
                    <w:rPr>
                      <w:rFonts w:ascii="ITC Avant Garde" w:hAnsi="ITC Avant Garde"/>
                      <w:sz w:val="18"/>
                      <w:szCs w:val="18"/>
                    </w:rPr>
                    <w:t xml:space="preserve"> con información completa y comparable para emitir el </w:t>
                  </w:r>
                  <w:r w:rsidR="00E9175C">
                    <w:rPr>
                      <w:rFonts w:ascii="ITC Avant Garde" w:hAnsi="ITC Avant Garde"/>
                      <w:sz w:val="18"/>
                      <w:szCs w:val="18"/>
                    </w:rPr>
                    <w:t xml:space="preserve">informe </w:t>
                  </w:r>
                  <w:r w:rsidR="008C7C2E">
                    <w:rPr>
                      <w:rFonts w:ascii="ITC Avant Garde" w:hAnsi="ITC Avant Garde"/>
                      <w:sz w:val="18"/>
                      <w:szCs w:val="18"/>
                    </w:rPr>
                    <w:t>anual</w:t>
                  </w:r>
                  <w:r w:rsidR="00E9175C">
                    <w:rPr>
                      <w:rFonts w:ascii="ITC Avant Garde" w:hAnsi="ITC Avant Garde"/>
                      <w:sz w:val="18"/>
                      <w:szCs w:val="18"/>
                    </w:rPr>
                    <w:t xml:space="preserve"> del seguimiento a la implementación de los Lineamientos</w:t>
                  </w:r>
                  <w:r w:rsidR="008C7C2E">
                    <w:rPr>
                      <w:rFonts w:ascii="ITC Avant Garde" w:hAnsi="ITC Avant Garde"/>
                      <w:sz w:val="18"/>
                      <w:szCs w:val="18"/>
                    </w:rPr>
                    <w:t>.</w:t>
                  </w:r>
                </w:p>
                <w:p w14:paraId="6EEB5DFD" w14:textId="77777777" w:rsidR="008C7C2E" w:rsidRDefault="008C7C2E" w:rsidP="004D6580">
                  <w:pPr>
                    <w:jc w:val="both"/>
                    <w:rPr>
                      <w:rFonts w:ascii="ITC Avant Garde" w:hAnsi="ITC Avant Garde"/>
                      <w:sz w:val="18"/>
                      <w:szCs w:val="18"/>
                    </w:rPr>
                  </w:pPr>
                </w:p>
                <w:p w14:paraId="30DC3A1F" w14:textId="51725DD4" w:rsidR="004D6580" w:rsidRDefault="00B21887" w:rsidP="004D6580">
                  <w:pPr>
                    <w:jc w:val="both"/>
                    <w:rPr>
                      <w:rFonts w:ascii="ITC Avant Garde" w:hAnsi="ITC Avant Garde"/>
                      <w:sz w:val="18"/>
                      <w:szCs w:val="18"/>
                    </w:rPr>
                  </w:pPr>
                  <w:r>
                    <w:rPr>
                      <w:rFonts w:ascii="ITC Avant Garde" w:hAnsi="ITC Avant Garde"/>
                      <w:sz w:val="18"/>
                      <w:szCs w:val="18"/>
                    </w:rPr>
                    <w:t xml:space="preserve">Esto provocaría que </w:t>
                  </w:r>
                  <w:r w:rsidR="006C3680">
                    <w:rPr>
                      <w:rFonts w:ascii="ITC Avant Garde" w:hAnsi="ITC Avant Garde"/>
                      <w:sz w:val="18"/>
                      <w:szCs w:val="18"/>
                    </w:rPr>
                    <w:t xml:space="preserve">en caso de que hiciera falta información el Instituto la requeriría </w:t>
                  </w:r>
                  <w:r w:rsidR="007C5DD6">
                    <w:rPr>
                      <w:rFonts w:ascii="ITC Avant Garde" w:hAnsi="ITC Avant Garde"/>
                      <w:sz w:val="18"/>
                      <w:szCs w:val="18"/>
                    </w:rPr>
                    <w:t>de manera específica para cada sujeto regulado</w:t>
                  </w:r>
                  <w:r w:rsidR="00E9175C">
                    <w:rPr>
                      <w:rFonts w:ascii="ITC Avant Garde" w:hAnsi="ITC Avant Garde"/>
                      <w:sz w:val="18"/>
                      <w:szCs w:val="18"/>
                    </w:rPr>
                    <w:t>,</w:t>
                  </w:r>
                  <w:r w:rsidR="006C3680">
                    <w:rPr>
                      <w:rFonts w:ascii="ITC Avant Garde" w:hAnsi="ITC Avant Garde"/>
                      <w:sz w:val="18"/>
                      <w:szCs w:val="18"/>
                    </w:rPr>
                    <w:t xml:space="preserve"> provocando </w:t>
                  </w:r>
                  <w:r w:rsidR="008C7C2E">
                    <w:rPr>
                      <w:rFonts w:ascii="ITC Avant Garde" w:hAnsi="ITC Avant Garde"/>
                      <w:sz w:val="18"/>
                      <w:szCs w:val="18"/>
                    </w:rPr>
                    <w:t>una mayor carga regulatoria para</w:t>
                  </w:r>
                  <w:r w:rsidR="006C3680">
                    <w:rPr>
                      <w:rFonts w:ascii="ITC Avant Garde" w:hAnsi="ITC Avant Garde"/>
                      <w:sz w:val="18"/>
                      <w:szCs w:val="18"/>
                    </w:rPr>
                    <w:t xml:space="preserve"> los PSI. </w:t>
                  </w:r>
                </w:p>
                <w:p w14:paraId="665E7213" w14:textId="0274BC3A" w:rsidR="008C7C2E" w:rsidRPr="00451B7D" w:rsidRDefault="008C7C2E" w:rsidP="008C7C2E">
                  <w:pPr>
                    <w:jc w:val="both"/>
                    <w:rPr>
                      <w:rFonts w:ascii="ITC Avant Garde" w:hAnsi="ITC Avant Garde"/>
                      <w:sz w:val="18"/>
                      <w:szCs w:val="18"/>
                    </w:rPr>
                  </w:pPr>
                </w:p>
              </w:tc>
            </w:tr>
            <w:tr w:rsidR="00E9175C" w:rsidRPr="00451B7D" w14:paraId="7A2E9070" w14:textId="77777777" w:rsidTr="00F75E13">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4FF98A0" w14:textId="7D051BBB" w:rsidR="00E9175C" w:rsidRDefault="00E9175C" w:rsidP="00F75E13">
                  <w:pPr>
                    <w:rPr>
                      <w:rFonts w:ascii="ITC Avant Garde" w:hAnsi="ITC Avant Garde"/>
                      <w:i/>
                      <w:sz w:val="18"/>
                      <w:szCs w:val="18"/>
                    </w:rPr>
                  </w:pPr>
                  <w:r>
                    <w:rPr>
                      <w:rFonts w:ascii="ITC Avant Garde" w:hAnsi="ITC Avant Garde"/>
                      <w:i/>
                      <w:sz w:val="18"/>
                      <w:szCs w:val="18"/>
                    </w:rPr>
                    <w:lastRenderedPageBreak/>
                    <w:t>Emitir regulación</w:t>
                  </w:r>
                </w:p>
              </w:tc>
              <w:tc>
                <w:tcPr>
                  <w:tcW w:w="2684" w:type="dxa"/>
                  <w:tcBorders>
                    <w:left w:val="single" w:sz="12" w:space="0" w:color="auto"/>
                  </w:tcBorders>
                </w:tcPr>
                <w:p w14:paraId="2C8EE05B" w14:textId="54F3530F" w:rsidR="00E9175C" w:rsidRPr="004D6580" w:rsidRDefault="00E9175C" w:rsidP="00F75E13">
                  <w:pPr>
                    <w:jc w:val="center"/>
                    <w:rPr>
                      <w:rFonts w:ascii="ITC Avant Garde" w:hAnsi="ITC Avant Garde"/>
                      <w:sz w:val="18"/>
                      <w:szCs w:val="18"/>
                    </w:rPr>
                  </w:pPr>
                  <w:r w:rsidRPr="00D00C35">
                    <w:rPr>
                      <w:rFonts w:ascii="ITC Avant Garde" w:hAnsi="ITC Avant Garde"/>
                      <w:sz w:val="18"/>
                      <w:szCs w:val="18"/>
                    </w:rPr>
                    <w:t>Emitir los términos y el formato</w:t>
                  </w:r>
                </w:p>
              </w:tc>
              <w:tc>
                <w:tcPr>
                  <w:tcW w:w="3969" w:type="dxa"/>
                </w:tcPr>
                <w:p w14:paraId="7498C55C" w14:textId="15A7E3EF" w:rsidR="00E9175C" w:rsidRDefault="00E9175C" w:rsidP="008C7C2E">
                  <w:pPr>
                    <w:jc w:val="both"/>
                    <w:rPr>
                      <w:rFonts w:ascii="ITC Avant Garde" w:hAnsi="ITC Avant Garde"/>
                      <w:sz w:val="18"/>
                      <w:szCs w:val="18"/>
                    </w:rPr>
                  </w:pPr>
                  <w:r>
                    <w:rPr>
                      <w:rFonts w:ascii="ITC Avant Garde" w:hAnsi="ITC Avant Garde"/>
                      <w:sz w:val="18"/>
                      <w:szCs w:val="18"/>
                    </w:rPr>
                    <w:t>Toda vez que se encuentra estipulado</w:t>
                  </w:r>
                  <w:r>
                    <w:t xml:space="preserve"> </w:t>
                  </w:r>
                  <w:r w:rsidRPr="00E9175C">
                    <w:rPr>
                      <w:rFonts w:ascii="ITC Avant Garde" w:hAnsi="ITC Avant Garde"/>
                      <w:sz w:val="18"/>
                      <w:szCs w:val="18"/>
                    </w:rPr>
                    <w:t xml:space="preserve">en el artículo Cuarto Transitorio </w:t>
                  </w:r>
                  <w:r>
                    <w:rPr>
                      <w:rFonts w:ascii="ITC Avant Garde" w:hAnsi="ITC Avant Garde"/>
                      <w:sz w:val="18"/>
                      <w:szCs w:val="18"/>
                    </w:rPr>
                    <w:t>de los Lineamientos que se publicarían los términos y el formato</w:t>
                  </w:r>
                  <w:r w:rsidRPr="00E9175C">
                    <w:rPr>
                      <w:rFonts w:ascii="ITC Avant Garde" w:hAnsi="ITC Avant Garde"/>
                      <w:sz w:val="18"/>
                      <w:szCs w:val="18"/>
                    </w:rPr>
                    <w:t xml:space="preserve"> en el Diario Oficial de la Federación para la entrega del informe al que se refiere el artículo 11 de los </w:t>
                  </w:r>
                  <w:r w:rsidR="00C61AC7">
                    <w:rPr>
                      <w:rFonts w:ascii="ITC Avant Garde" w:hAnsi="ITC Avant Garde"/>
                      <w:sz w:val="18"/>
                      <w:szCs w:val="18"/>
                    </w:rPr>
                    <w:t>referidos lineamientos</w:t>
                  </w:r>
                  <w:r>
                    <w:rPr>
                      <w:rFonts w:ascii="ITC Avant Garde" w:hAnsi="ITC Avant Garde"/>
                      <w:sz w:val="18"/>
                      <w:szCs w:val="18"/>
                    </w:rPr>
                    <w:t>, la propuesta de regulación es consistente con el marco regulatorio</w:t>
                  </w:r>
                  <w:r w:rsidR="00C61AC7">
                    <w:rPr>
                      <w:rFonts w:ascii="ITC Avant Garde" w:hAnsi="ITC Avant Garde"/>
                      <w:sz w:val="18"/>
                      <w:szCs w:val="18"/>
                    </w:rPr>
                    <w:t xml:space="preserve"> vigente</w:t>
                  </w:r>
                  <w:r>
                    <w:rPr>
                      <w:rFonts w:ascii="ITC Avant Garde" w:hAnsi="ITC Avant Garde"/>
                      <w:sz w:val="18"/>
                      <w:szCs w:val="18"/>
                    </w:rPr>
                    <w:t>.</w:t>
                  </w:r>
                </w:p>
                <w:p w14:paraId="3B987AA3" w14:textId="77777777" w:rsidR="00E9175C" w:rsidRDefault="00E9175C" w:rsidP="008C7C2E">
                  <w:pPr>
                    <w:jc w:val="both"/>
                    <w:rPr>
                      <w:rFonts w:ascii="ITC Avant Garde" w:hAnsi="ITC Avant Garde"/>
                      <w:sz w:val="18"/>
                      <w:szCs w:val="18"/>
                    </w:rPr>
                  </w:pPr>
                </w:p>
                <w:p w14:paraId="0041DFAD" w14:textId="5ADB719F" w:rsidR="00E9175C" w:rsidRDefault="00E9175C" w:rsidP="008C7C2E">
                  <w:pPr>
                    <w:jc w:val="both"/>
                    <w:rPr>
                      <w:rFonts w:ascii="ITC Avant Garde" w:hAnsi="ITC Avant Garde"/>
                      <w:sz w:val="18"/>
                      <w:szCs w:val="18"/>
                    </w:rPr>
                  </w:pPr>
                  <w:r>
                    <w:rPr>
                      <w:rFonts w:ascii="ITC Avant Garde" w:hAnsi="ITC Avant Garde"/>
                      <w:sz w:val="18"/>
                      <w:szCs w:val="18"/>
                    </w:rPr>
                    <w:t>Además, contar con un formato estandarizado para la entrega del informe semestral da claridad y seguridad jurídica a los PSI puestos que estos conocen la información que deben entregar.</w:t>
                  </w:r>
                </w:p>
              </w:tc>
            </w:tr>
          </w:tbl>
          <w:p w14:paraId="3DD0A069" w14:textId="77777777" w:rsidR="00BE7D1C" w:rsidRPr="00451B7D" w:rsidRDefault="00BE7D1C" w:rsidP="00F75E13">
            <w:pPr>
              <w:jc w:val="both"/>
              <w:rPr>
                <w:rFonts w:ascii="ITC Avant Garde" w:hAnsi="ITC Avant Garde"/>
                <w:sz w:val="18"/>
                <w:szCs w:val="18"/>
              </w:rPr>
            </w:pPr>
          </w:p>
        </w:tc>
      </w:tr>
    </w:tbl>
    <w:p w14:paraId="51FDB038" w14:textId="77777777" w:rsidR="00634DE8" w:rsidRPr="00451B7D" w:rsidRDefault="00634DE8" w:rsidP="00BD4FEF">
      <w:pPr>
        <w:spacing w:after="120" w:line="240" w:lineRule="auto"/>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F75E13">
        <w:tc>
          <w:tcPr>
            <w:tcW w:w="8828" w:type="dxa"/>
          </w:tcPr>
          <w:p w14:paraId="34F02CB1" w14:textId="324C7F87" w:rsidR="00BE7D1C" w:rsidRPr="00451B7D" w:rsidRDefault="00BE7D1C" w:rsidP="00F75E13">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7CEF5AB6" w14:textId="2BC88E58" w:rsidR="00BE7D1C" w:rsidRDefault="00BE7D1C" w:rsidP="00F75E13">
            <w:pPr>
              <w:jc w:val="both"/>
              <w:rPr>
                <w:rFonts w:ascii="ITC Avant Garde" w:hAnsi="ITC Avant Garde"/>
                <w:sz w:val="18"/>
                <w:szCs w:val="18"/>
              </w:rPr>
            </w:pPr>
          </w:p>
          <w:p w14:paraId="1355ADCD" w14:textId="00908C40" w:rsidR="00A711A5" w:rsidRDefault="00CA1533" w:rsidP="00BD4FEF">
            <w:pPr>
              <w:spacing w:after="120"/>
              <w:jc w:val="both"/>
              <w:rPr>
                <w:rFonts w:ascii="ITC Avant Garde" w:hAnsi="ITC Avant Garde"/>
                <w:sz w:val="18"/>
                <w:szCs w:val="18"/>
              </w:rPr>
            </w:pPr>
            <w:r>
              <w:rPr>
                <w:rFonts w:ascii="ITC Avant Garde" w:hAnsi="ITC Avant Garde"/>
                <w:sz w:val="18"/>
                <w:szCs w:val="18"/>
              </w:rPr>
              <w:t xml:space="preserve">La propuesta de regulación </w:t>
            </w:r>
            <w:r w:rsidR="00A711A5">
              <w:rPr>
                <w:rFonts w:ascii="ITC Avant Garde" w:hAnsi="ITC Avant Garde"/>
                <w:sz w:val="18"/>
                <w:szCs w:val="18"/>
              </w:rPr>
              <w:t xml:space="preserve">no genera costos de cumplimiento </w:t>
            </w:r>
            <w:r w:rsidR="001870AF">
              <w:rPr>
                <w:rFonts w:ascii="ITC Avant Garde" w:hAnsi="ITC Avant Garde"/>
                <w:sz w:val="18"/>
                <w:szCs w:val="18"/>
              </w:rPr>
              <w:t>considerando</w:t>
            </w:r>
            <w:r w:rsidR="00A711A5">
              <w:rPr>
                <w:rFonts w:ascii="ITC Avant Garde" w:hAnsi="ITC Avant Garde"/>
                <w:sz w:val="18"/>
                <w:szCs w:val="18"/>
              </w:rPr>
              <w:t xml:space="preserve"> los siguientes puntos: </w:t>
            </w:r>
          </w:p>
          <w:p w14:paraId="4EFEE6D1" w14:textId="5407C909" w:rsidR="00EB713D" w:rsidRPr="00BD4FEF" w:rsidRDefault="00193A89" w:rsidP="00BD4FEF">
            <w:pPr>
              <w:pStyle w:val="Prrafodelista"/>
              <w:numPr>
                <w:ilvl w:val="0"/>
                <w:numId w:val="17"/>
              </w:numPr>
              <w:spacing w:after="120"/>
              <w:ind w:left="714" w:hanging="357"/>
              <w:contextualSpacing w:val="0"/>
              <w:jc w:val="both"/>
              <w:rPr>
                <w:rFonts w:ascii="ITC Avant Garde" w:hAnsi="ITC Avant Garde"/>
                <w:sz w:val="18"/>
                <w:szCs w:val="18"/>
              </w:rPr>
            </w:pPr>
            <w:r w:rsidRPr="00FD4106">
              <w:rPr>
                <w:rFonts w:ascii="ITC Avant Garde" w:hAnsi="ITC Avant Garde"/>
                <w:sz w:val="18"/>
                <w:szCs w:val="18"/>
              </w:rPr>
              <w:t xml:space="preserve">Las obligaciones para los regulados y, por </w:t>
            </w:r>
            <w:r w:rsidR="00FD4106" w:rsidRPr="00FD4106">
              <w:rPr>
                <w:rFonts w:ascii="ITC Avant Garde" w:hAnsi="ITC Avant Garde"/>
                <w:sz w:val="18"/>
                <w:szCs w:val="18"/>
              </w:rPr>
              <w:t>ende,</w:t>
            </w:r>
            <w:r w:rsidRPr="00FD4106">
              <w:rPr>
                <w:rFonts w:ascii="ITC Avant Garde" w:hAnsi="ITC Avant Garde"/>
                <w:sz w:val="18"/>
                <w:szCs w:val="18"/>
              </w:rPr>
              <w:t xml:space="preserve"> sus costos de </w:t>
            </w:r>
            <w:r w:rsidR="00FD4106" w:rsidRPr="00FD4106">
              <w:rPr>
                <w:rFonts w:ascii="ITC Avant Garde" w:hAnsi="ITC Avant Garde"/>
                <w:sz w:val="18"/>
                <w:szCs w:val="18"/>
              </w:rPr>
              <w:t xml:space="preserve">cumplimiento derivaron de la emisión de los Lineamientos, en tanto el Anteproyecto que ahora se somete a consulta pública </w:t>
            </w:r>
            <w:r w:rsidR="00A711A5">
              <w:rPr>
                <w:rFonts w:ascii="ITC Avant Garde" w:hAnsi="ITC Avant Garde"/>
                <w:sz w:val="18"/>
                <w:szCs w:val="18"/>
              </w:rPr>
              <w:t>t</w:t>
            </w:r>
            <w:r w:rsidR="00CA1533" w:rsidRPr="00A711A5">
              <w:rPr>
                <w:rFonts w:ascii="ITC Avant Garde" w:hAnsi="ITC Avant Garde"/>
                <w:sz w:val="18"/>
                <w:szCs w:val="18"/>
              </w:rPr>
              <w:t>iene por objeto establecer los términos y formato bajo los cuales los PSI deberán entregar al Instituto el informe semestral al que hace referencia el artículo 11 de los Lineamientos</w:t>
            </w:r>
            <w:r w:rsidR="00FD4106">
              <w:rPr>
                <w:rFonts w:ascii="ITC Avant Garde" w:hAnsi="ITC Avant Garde"/>
                <w:sz w:val="18"/>
                <w:szCs w:val="18"/>
              </w:rPr>
              <w:t>, por lo cual no se genera ninguna obligación adicional</w:t>
            </w:r>
            <w:r w:rsidR="00CA1533" w:rsidRPr="00FD4106">
              <w:rPr>
                <w:rFonts w:ascii="ITC Avant Garde" w:hAnsi="ITC Avant Garde"/>
                <w:sz w:val="18"/>
                <w:szCs w:val="18"/>
              </w:rPr>
              <w:t>.</w:t>
            </w:r>
            <w:r w:rsidR="00C402D0" w:rsidRPr="00A711A5">
              <w:rPr>
                <w:rFonts w:ascii="ITC Avant Garde" w:hAnsi="ITC Avant Garde"/>
                <w:sz w:val="18"/>
                <w:szCs w:val="18"/>
              </w:rPr>
              <w:t xml:space="preserve"> </w:t>
            </w:r>
          </w:p>
          <w:p w14:paraId="26192670" w14:textId="098138D0" w:rsidR="00457A33" w:rsidRPr="00BD4FEF" w:rsidRDefault="00A711A5" w:rsidP="00BD4FEF">
            <w:pPr>
              <w:pStyle w:val="Prrafodelista"/>
              <w:numPr>
                <w:ilvl w:val="0"/>
                <w:numId w:val="11"/>
              </w:numPr>
              <w:spacing w:after="120"/>
              <w:ind w:left="714" w:hanging="357"/>
              <w:contextualSpacing w:val="0"/>
              <w:jc w:val="both"/>
              <w:rPr>
                <w:rFonts w:ascii="ITC Avant Garde" w:hAnsi="ITC Avant Garde"/>
                <w:sz w:val="18"/>
                <w:szCs w:val="18"/>
              </w:rPr>
            </w:pPr>
            <w:r w:rsidRPr="00811FF0">
              <w:rPr>
                <w:rFonts w:ascii="ITC Avant Garde" w:hAnsi="ITC Avant Garde"/>
                <w:sz w:val="18"/>
                <w:szCs w:val="18"/>
              </w:rPr>
              <w:t xml:space="preserve">El </w:t>
            </w:r>
            <w:r w:rsidR="00EB713D">
              <w:rPr>
                <w:rFonts w:ascii="ITC Avant Garde" w:hAnsi="ITC Avant Garde"/>
                <w:sz w:val="18"/>
                <w:szCs w:val="18"/>
              </w:rPr>
              <w:t>Ante</w:t>
            </w:r>
            <w:r w:rsidRPr="00811FF0">
              <w:rPr>
                <w:rFonts w:ascii="ITC Avant Garde" w:hAnsi="ITC Avant Garde"/>
                <w:sz w:val="18"/>
                <w:szCs w:val="18"/>
              </w:rPr>
              <w:t xml:space="preserve">proyecto se </w:t>
            </w:r>
            <w:r w:rsidR="00EB713D">
              <w:rPr>
                <w:rFonts w:ascii="ITC Avant Garde" w:hAnsi="ITC Avant Garde"/>
                <w:sz w:val="18"/>
                <w:szCs w:val="18"/>
              </w:rPr>
              <w:t>propone</w:t>
            </w:r>
            <w:r w:rsidR="00EB713D" w:rsidRPr="00811FF0">
              <w:rPr>
                <w:rFonts w:ascii="ITC Avant Garde" w:hAnsi="ITC Avant Garde"/>
                <w:sz w:val="18"/>
                <w:szCs w:val="18"/>
              </w:rPr>
              <w:t xml:space="preserve"> </w:t>
            </w:r>
            <w:r w:rsidRPr="00811FF0">
              <w:rPr>
                <w:rFonts w:ascii="ITC Avant Garde" w:hAnsi="ITC Avant Garde"/>
                <w:sz w:val="18"/>
                <w:szCs w:val="18"/>
              </w:rPr>
              <w:t>con la intención de emplear la simplificación administrativa</w:t>
            </w:r>
            <w:r w:rsidR="00811FF0" w:rsidRPr="00811FF0">
              <w:rPr>
                <w:rFonts w:ascii="ITC Avant Garde" w:hAnsi="ITC Avant Garde"/>
                <w:sz w:val="18"/>
                <w:szCs w:val="18"/>
              </w:rPr>
              <w:t>. Los resultados de la regulación propuesta implican el cumplimiento de la obligación de presentación del informe en un formato que facilitará a los PSI la entrega del informe que deriva del trámite “Presentación del informe de ofertas de patrocinio de datos y otros servicios de telecomunicaciones”.</w:t>
            </w:r>
          </w:p>
          <w:p w14:paraId="504F5058" w14:textId="3C75218A" w:rsidR="00BE7D1C" w:rsidRDefault="00E22FD1" w:rsidP="0063553F">
            <w:pPr>
              <w:jc w:val="both"/>
              <w:rPr>
                <w:rFonts w:ascii="ITC Avant Garde" w:hAnsi="ITC Avant Garde"/>
                <w:sz w:val="18"/>
                <w:szCs w:val="18"/>
              </w:rPr>
            </w:pPr>
            <w:r>
              <w:rPr>
                <w:rFonts w:ascii="ITC Avant Garde" w:hAnsi="ITC Avant Garde"/>
                <w:sz w:val="18"/>
                <w:szCs w:val="18"/>
              </w:rPr>
              <w:t>El presente análisis se presenta de</w:t>
            </w:r>
            <w:r w:rsidR="002007AB" w:rsidRPr="00E14FB6">
              <w:rPr>
                <w:rFonts w:ascii="ITC Avant Garde" w:hAnsi="ITC Avant Garde"/>
                <w:sz w:val="18"/>
                <w:szCs w:val="18"/>
              </w:rPr>
              <w:t xml:space="preserve"> acuerdo </w:t>
            </w:r>
            <w:r w:rsidR="00572596">
              <w:rPr>
                <w:rFonts w:ascii="ITC Avant Garde" w:hAnsi="ITC Avant Garde"/>
                <w:sz w:val="18"/>
                <w:szCs w:val="18"/>
              </w:rPr>
              <w:t>con el</w:t>
            </w:r>
            <w:r w:rsidR="002007AB" w:rsidRPr="00E14FB6">
              <w:rPr>
                <w:rFonts w:ascii="ITC Avant Garde" w:hAnsi="ITC Avant Garde"/>
                <w:sz w:val="18"/>
                <w:szCs w:val="18"/>
              </w:rPr>
              <w:t xml:space="preserve"> último párrafo del artículo Vigésimo Primero de los Lineamientos de Consulta Pública y Análisis de Impacto Regulatorio, </w:t>
            </w:r>
            <w:r>
              <w:rPr>
                <w:rFonts w:ascii="ITC Avant Garde" w:hAnsi="ITC Avant Garde"/>
                <w:sz w:val="18"/>
                <w:szCs w:val="18"/>
              </w:rPr>
              <w:t xml:space="preserve">en el que se indica que, </w:t>
            </w:r>
            <w:r w:rsidR="002007AB" w:rsidRPr="00E14FB6">
              <w:rPr>
                <w:rFonts w:ascii="ITC Avant Garde" w:hAnsi="ITC Avant Garde"/>
                <w:sz w:val="18"/>
                <w:szCs w:val="18"/>
              </w:rPr>
              <w:t xml:space="preserve">si a la entrada en vigor de un Anteproyecto </w:t>
            </w:r>
            <w:r w:rsidR="00C65E87">
              <w:rPr>
                <w:rFonts w:ascii="ITC Avant Garde" w:hAnsi="ITC Avant Garde"/>
                <w:sz w:val="18"/>
                <w:szCs w:val="18"/>
              </w:rPr>
              <w:t>e</w:t>
            </w:r>
            <w:r w:rsidR="002007AB" w:rsidRPr="00E14FB6">
              <w:rPr>
                <w:rFonts w:ascii="ITC Avant Garde" w:hAnsi="ITC Avant Garde"/>
                <w:sz w:val="18"/>
                <w:szCs w:val="18"/>
              </w:rPr>
              <w:t xml:space="preserve">ste no generará nuevos costos de cumplimiento, deberá ir acompañado de un </w:t>
            </w:r>
            <w:r w:rsidRPr="00E14FB6">
              <w:rPr>
                <w:rFonts w:ascii="ITC Avant Garde" w:hAnsi="ITC Avant Garde"/>
                <w:sz w:val="18"/>
                <w:szCs w:val="18"/>
              </w:rPr>
              <w:t>A</w:t>
            </w:r>
            <w:r>
              <w:rPr>
                <w:rFonts w:ascii="ITC Avant Garde" w:hAnsi="ITC Avant Garde"/>
                <w:sz w:val="18"/>
                <w:szCs w:val="18"/>
              </w:rPr>
              <w:t>nálisis de Nulo Impacto Regulatorio (ANIR).</w:t>
            </w:r>
          </w:p>
          <w:p w14:paraId="05780536" w14:textId="17E53C84" w:rsidR="009316CB" w:rsidRPr="00451B7D" w:rsidRDefault="009316CB" w:rsidP="0063553F">
            <w:pPr>
              <w:jc w:val="both"/>
              <w:rPr>
                <w:rFonts w:ascii="ITC Avant Garde" w:hAnsi="ITC Avant Garde"/>
                <w:sz w:val="18"/>
                <w:szCs w:val="18"/>
              </w:rPr>
            </w:pPr>
          </w:p>
        </w:tc>
      </w:tr>
    </w:tbl>
    <w:p w14:paraId="1C286EAA" w14:textId="77777777" w:rsidR="00BE7D1C" w:rsidRPr="00451B7D" w:rsidRDefault="00BE7D1C" w:rsidP="00BD4FEF">
      <w:pPr>
        <w:spacing w:after="120"/>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lastRenderedPageBreak/>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lastRenderedPageBreak/>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4D23378A"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4A7C30" w:rsidRPr="00451B7D">
              <w:rPr>
                <w:rFonts w:ascii="ITC Avant Garde" w:hAnsi="ITC Avant Garde"/>
                <w:sz w:val="18"/>
                <w:szCs w:val="18"/>
              </w:rPr>
              <w:t xml:space="preserve"> </w:t>
            </w:r>
            <w:r w:rsidR="000D44C7">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75D6CD4F"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7"/>
            </w:r>
            <w:r w:rsidRPr="007C425A">
              <w:rPr>
                <w:rFonts w:ascii="ITC Avant Garde" w:hAnsi="ITC Avant Garde"/>
                <w:sz w:val="18"/>
                <w:szCs w:val="18"/>
              </w:rPr>
              <w:t>.</w:t>
            </w:r>
          </w:p>
        </w:tc>
        <w:tc>
          <w:tcPr>
            <w:tcW w:w="1462" w:type="dxa"/>
          </w:tcPr>
          <w:p w14:paraId="2F1452FB" w14:textId="6EBB7C8E"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4A7C30" w:rsidRPr="00451B7D">
              <w:rPr>
                <w:rFonts w:ascii="ITC Avant Garde" w:hAnsi="ITC Avant Garde"/>
                <w:sz w:val="18"/>
                <w:szCs w:val="18"/>
              </w:rPr>
              <w:t xml:space="preserve"> </w:t>
            </w:r>
            <w:r w:rsidR="0032420F">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59F99A2E"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 </w:t>
            </w:r>
            <w:r w:rsidR="0032420F">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579CB8A4"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 </w:t>
            </w:r>
            <w:r w:rsidR="0032420F">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21E27DA7" w14:textId="77777777" w:rsidR="00E21B49" w:rsidRPr="00451B7D" w:rsidRDefault="00E21B49" w:rsidP="00E21B49">
      <w:pPr>
        <w:jc w:val="both"/>
        <w:rPr>
          <w:rFonts w:ascii="ITC Avant Garde" w:hAnsi="ITC Avant Garde"/>
          <w:sz w:val="18"/>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CA52CA" w14:paraId="20AA8AE7" w14:textId="77777777" w:rsidTr="00A73AD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6219200" w14:textId="77777777" w:rsidR="00CA52CA" w:rsidRDefault="00CA52CA" w:rsidP="00CA52CA">
            <w:pPr>
              <w:jc w:val="both"/>
              <w:rPr>
                <w:rFonts w:ascii="ITC Avant Garde" w:hAnsi="ITC Avant Garde"/>
                <w:sz w:val="18"/>
                <w:szCs w:val="18"/>
              </w:rPr>
            </w:pPr>
          </w:p>
          <w:p w14:paraId="10B3B821" w14:textId="41678DAE" w:rsidR="00CA52CA" w:rsidRPr="00CA52CA" w:rsidRDefault="00CA52CA" w:rsidP="00CA52CA">
            <w:pPr>
              <w:pStyle w:val="Prrafodelista"/>
              <w:numPr>
                <w:ilvl w:val="0"/>
                <w:numId w:val="10"/>
              </w:numPr>
              <w:jc w:val="both"/>
              <w:rPr>
                <w:rFonts w:ascii="ITC Avant Garde" w:hAnsi="ITC Avant Garde"/>
                <w:sz w:val="18"/>
                <w:szCs w:val="18"/>
              </w:rPr>
            </w:pPr>
            <w:r w:rsidRPr="00CA52CA">
              <w:rPr>
                <w:rFonts w:ascii="ITC Avant Garde" w:hAnsi="ITC Avant Garde"/>
                <w:sz w:val="18"/>
                <w:szCs w:val="18"/>
              </w:rPr>
              <w:t>Ley Federal de Telecomunicaciones y Radiodifusión</w:t>
            </w:r>
            <w:r>
              <w:rPr>
                <w:rFonts w:ascii="ITC Avant Garde" w:hAnsi="ITC Avant Garde"/>
                <w:sz w:val="18"/>
                <w:szCs w:val="18"/>
              </w:rPr>
              <w:t xml:space="preserve">, disponible en: </w:t>
            </w:r>
            <w:hyperlink r:id="rId12" w:history="1">
              <w:r w:rsidRPr="00AA3931">
                <w:rPr>
                  <w:rStyle w:val="Hipervnculo"/>
                  <w:rFonts w:ascii="ITC Avant Garde" w:hAnsi="ITC Avant Garde"/>
                  <w:sz w:val="18"/>
                  <w:szCs w:val="18"/>
                </w:rPr>
                <w:t>http://www.diputados.gob.mx/LeyesBiblio/pdf/LFTR_200521.pdf</w:t>
              </w:r>
            </w:hyperlink>
            <w:r>
              <w:rPr>
                <w:rFonts w:ascii="ITC Avant Garde" w:hAnsi="ITC Avant Garde"/>
                <w:sz w:val="18"/>
                <w:szCs w:val="18"/>
              </w:rPr>
              <w:t xml:space="preserve"> </w:t>
            </w:r>
          </w:p>
          <w:p w14:paraId="0336F5D1" w14:textId="799AC2CB" w:rsidR="00CA52CA" w:rsidRDefault="00CA52CA" w:rsidP="00CA52CA">
            <w:pPr>
              <w:pStyle w:val="Prrafodelista"/>
              <w:numPr>
                <w:ilvl w:val="0"/>
                <w:numId w:val="10"/>
              </w:numPr>
              <w:jc w:val="both"/>
              <w:rPr>
                <w:rFonts w:ascii="ITC Avant Garde" w:hAnsi="ITC Avant Garde"/>
                <w:sz w:val="18"/>
                <w:szCs w:val="18"/>
              </w:rPr>
            </w:pPr>
            <w:r w:rsidRPr="00CA52CA">
              <w:rPr>
                <w:rFonts w:ascii="ITC Avant Garde" w:hAnsi="ITC Avant Garde"/>
                <w:sz w:val="18"/>
                <w:szCs w:val="18"/>
              </w:rPr>
              <w:t>Lineamientos para la gestión de tráfico y administración de red a que deberán sujetarse los concesionarios y autorizados que presten el servicio de acceso a Internet</w:t>
            </w:r>
            <w:r>
              <w:rPr>
                <w:rFonts w:ascii="ITC Avant Garde" w:hAnsi="ITC Avant Garde"/>
                <w:sz w:val="18"/>
                <w:szCs w:val="18"/>
              </w:rPr>
              <w:t xml:space="preserve">, disponible en: </w:t>
            </w:r>
            <w:hyperlink r:id="rId13" w:history="1">
              <w:r w:rsidRPr="00AA3931">
                <w:rPr>
                  <w:rStyle w:val="Hipervnculo"/>
                  <w:rFonts w:ascii="ITC Avant Garde" w:hAnsi="ITC Avant Garde"/>
                  <w:sz w:val="18"/>
                  <w:szCs w:val="18"/>
                </w:rPr>
                <w:t>https://www.dof.gob.mx/nota_detalle.php?codigo=5622965&amp;fecha=05/07/2021</w:t>
              </w:r>
            </w:hyperlink>
          </w:p>
          <w:p w14:paraId="1FEBFBC3" w14:textId="43DEAA53" w:rsidR="000A4D34" w:rsidRDefault="000A4D34" w:rsidP="00DB5FF3">
            <w:pPr>
              <w:pStyle w:val="Prrafodelista"/>
              <w:numPr>
                <w:ilvl w:val="0"/>
                <w:numId w:val="10"/>
              </w:numPr>
              <w:jc w:val="both"/>
              <w:rPr>
                <w:rFonts w:ascii="ITC Avant Garde" w:hAnsi="ITC Avant Garde"/>
                <w:sz w:val="18"/>
                <w:szCs w:val="18"/>
              </w:rPr>
            </w:pPr>
            <w:r>
              <w:rPr>
                <w:rFonts w:ascii="ITC Avant Garde" w:hAnsi="ITC Avant Garde"/>
                <w:sz w:val="18"/>
                <w:szCs w:val="18"/>
              </w:rPr>
              <w:t>Banco de Información de Telecomunicaciones</w:t>
            </w:r>
            <w:r w:rsidR="009F1483" w:rsidRPr="009F1483">
              <w:rPr>
                <w:rFonts w:ascii="ITC Avant Garde" w:hAnsi="ITC Avant Garde"/>
                <w:sz w:val="18"/>
                <w:szCs w:val="18"/>
              </w:rPr>
              <w:t xml:space="preserve"> </w:t>
            </w:r>
          </w:p>
          <w:p w14:paraId="1B1F34D9" w14:textId="50390313" w:rsidR="009F1483" w:rsidRPr="00E73C45" w:rsidRDefault="000A4D34" w:rsidP="00E73C45">
            <w:pPr>
              <w:pStyle w:val="Prrafodelista"/>
              <w:jc w:val="both"/>
              <w:rPr>
                <w:rStyle w:val="Hipervnculo"/>
              </w:rPr>
            </w:pPr>
            <w:r w:rsidRPr="00E73C45">
              <w:rPr>
                <w:rStyle w:val="Hipervnculo"/>
                <w:rFonts w:ascii="ITC Avant Garde" w:hAnsi="ITC Avant Garde"/>
                <w:sz w:val="18"/>
                <w:szCs w:val="18"/>
              </w:rPr>
              <w:t>https://bit.ift.org.mx/BitWebApp/</w:t>
            </w:r>
          </w:p>
          <w:p w14:paraId="7CDC0B4D" w14:textId="477441AB" w:rsidR="009F1483" w:rsidRPr="009F1483" w:rsidRDefault="009F1483" w:rsidP="00E73C45">
            <w:pPr>
              <w:pStyle w:val="Prrafodelista"/>
              <w:jc w:val="both"/>
              <w:rPr>
                <w:rFonts w:ascii="ITC Avant Garde" w:hAnsi="ITC Avant Garde"/>
                <w:sz w:val="18"/>
                <w:szCs w:val="18"/>
              </w:rPr>
            </w:pPr>
          </w:p>
        </w:tc>
      </w:tr>
    </w:tbl>
    <w:p w14:paraId="499F7232" w14:textId="77777777" w:rsidR="0086684A" w:rsidRPr="00CA52CA" w:rsidRDefault="0086684A" w:rsidP="0086684A">
      <w:pPr>
        <w:jc w:val="both"/>
        <w:rPr>
          <w:rFonts w:ascii="ITC Avant Garde" w:hAnsi="ITC Avant Garde"/>
          <w:sz w:val="18"/>
          <w:szCs w:val="18"/>
        </w:rPr>
      </w:pPr>
    </w:p>
    <w:sectPr w:rsidR="0086684A" w:rsidRPr="00CA52CA">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87F0C" w14:textId="77777777" w:rsidR="00BE0359" w:rsidRDefault="00BE0359" w:rsidP="00501ADF">
      <w:pPr>
        <w:spacing w:after="0" w:line="240" w:lineRule="auto"/>
      </w:pPr>
      <w:r>
        <w:separator/>
      </w:r>
    </w:p>
  </w:endnote>
  <w:endnote w:type="continuationSeparator" w:id="0">
    <w:p w14:paraId="69FE634A" w14:textId="77777777" w:rsidR="00BE0359" w:rsidRDefault="00BE0359" w:rsidP="00501ADF">
      <w:pPr>
        <w:spacing w:after="0" w:line="240" w:lineRule="auto"/>
      </w:pPr>
      <w:r>
        <w:continuationSeparator/>
      </w:r>
    </w:p>
  </w:endnote>
  <w:endnote w:type="continuationNotice" w:id="1">
    <w:p w14:paraId="66F6E2BD" w14:textId="77777777" w:rsidR="00BE0359" w:rsidRDefault="00BE03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ITC Avant Garde Book Obliqu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455668091"/>
      <w:docPartObj>
        <w:docPartGallery w:val="Page Numbers (Bottom of Page)"/>
        <w:docPartUnique/>
      </w:docPartObj>
    </w:sdtPr>
    <w:sdtEndPr>
      <w:rPr>
        <w:rFonts w:ascii="ITC Avant Garde" w:hAnsi="ITC Avant Garde"/>
      </w:rPr>
    </w:sdtEndPr>
    <w:sdtContent>
      <w:sdt>
        <w:sdtPr>
          <w:rPr>
            <w:sz w:val="16"/>
            <w:szCs w:val="16"/>
          </w:rPr>
          <w:id w:val="-1769616900"/>
          <w:docPartObj>
            <w:docPartGallery w:val="Page Numbers (Top of Page)"/>
            <w:docPartUnique/>
          </w:docPartObj>
        </w:sdtPr>
        <w:sdtEndPr>
          <w:rPr>
            <w:rFonts w:ascii="ITC Avant Garde" w:hAnsi="ITC Avant Garde"/>
          </w:rPr>
        </w:sdtEndPr>
        <w:sdtContent>
          <w:p w14:paraId="4887E92B" w14:textId="40999B1A" w:rsidR="00BE28F5" w:rsidRPr="003A607F" w:rsidRDefault="00BE28F5">
            <w:pPr>
              <w:pStyle w:val="Piedepgina"/>
              <w:jc w:val="right"/>
              <w:rPr>
                <w:rFonts w:ascii="ITC Avant Garde" w:hAnsi="ITC Avant Garde"/>
                <w:sz w:val="16"/>
                <w:szCs w:val="16"/>
              </w:rPr>
            </w:pPr>
            <w:r w:rsidRPr="003A607F">
              <w:rPr>
                <w:rFonts w:ascii="ITC Avant Garde" w:hAnsi="ITC Avant Garde"/>
                <w:b/>
                <w:bCs/>
                <w:sz w:val="16"/>
                <w:szCs w:val="16"/>
              </w:rPr>
              <w:fldChar w:fldCharType="begin"/>
            </w:r>
            <w:r w:rsidRPr="003A607F">
              <w:rPr>
                <w:rFonts w:ascii="ITC Avant Garde" w:hAnsi="ITC Avant Garde"/>
                <w:b/>
                <w:bCs/>
                <w:sz w:val="16"/>
                <w:szCs w:val="16"/>
              </w:rPr>
              <w:instrText>PAGE</w:instrText>
            </w:r>
            <w:r w:rsidRPr="003A607F">
              <w:rPr>
                <w:rFonts w:ascii="ITC Avant Garde" w:hAnsi="ITC Avant Garde"/>
                <w:b/>
                <w:bCs/>
                <w:sz w:val="16"/>
                <w:szCs w:val="16"/>
              </w:rPr>
              <w:fldChar w:fldCharType="separate"/>
            </w:r>
            <w:r w:rsidRPr="003A607F">
              <w:rPr>
                <w:rFonts w:ascii="ITC Avant Garde" w:hAnsi="ITC Avant Garde"/>
                <w:b/>
                <w:bCs/>
                <w:noProof/>
                <w:sz w:val="16"/>
                <w:szCs w:val="16"/>
              </w:rPr>
              <w:t>1</w:t>
            </w:r>
            <w:r w:rsidRPr="003A607F">
              <w:rPr>
                <w:rFonts w:ascii="ITC Avant Garde" w:hAnsi="ITC Avant Garde"/>
                <w:b/>
                <w:bCs/>
                <w:sz w:val="16"/>
                <w:szCs w:val="16"/>
              </w:rPr>
              <w:fldChar w:fldCharType="end"/>
            </w:r>
          </w:p>
        </w:sdtContent>
      </w:sdt>
    </w:sdtContent>
  </w:sdt>
  <w:p w14:paraId="2108E346" w14:textId="77777777" w:rsidR="00BE28F5" w:rsidRDefault="00BE28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8BF5D" w14:textId="77777777" w:rsidR="00BE0359" w:rsidRDefault="00BE0359" w:rsidP="00501ADF">
      <w:pPr>
        <w:spacing w:after="0" w:line="240" w:lineRule="auto"/>
      </w:pPr>
      <w:r>
        <w:separator/>
      </w:r>
    </w:p>
  </w:footnote>
  <w:footnote w:type="continuationSeparator" w:id="0">
    <w:p w14:paraId="7540B72F" w14:textId="77777777" w:rsidR="00BE0359" w:rsidRDefault="00BE0359" w:rsidP="00501ADF">
      <w:pPr>
        <w:spacing w:after="0" w:line="240" w:lineRule="auto"/>
      </w:pPr>
      <w:r>
        <w:continuationSeparator/>
      </w:r>
    </w:p>
  </w:footnote>
  <w:footnote w:type="continuationNotice" w:id="1">
    <w:p w14:paraId="499BD2BF" w14:textId="77777777" w:rsidR="00BE0359" w:rsidRDefault="00BE0359">
      <w:pPr>
        <w:spacing w:after="0" w:line="240" w:lineRule="auto"/>
      </w:pPr>
    </w:p>
  </w:footnote>
  <w:footnote w:id="2">
    <w:p w14:paraId="6E0B8798" w14:textId="31794B6F" w:rsidR="00BE28F5" w:rsidRPr="008C75CC" w:rsidRDefault="00BE28F5" w:rsidP="00673DBC">
      <w:pPr>
        <w:pStyle w:val="Textonotapie"/>
        <w:rPr>
          <w:rFonts w:ascii="ITC Avant Garde" w:hAnsi="ITC Avant Garde"/>
          <w:sz w:val="16"/>
          <w:szCs w:val="16"/>
        </w:rPr>
      </w:pPr>
      <w:r w:rsidRPr="008C75CC">
        <w:rPr>
          <w:rStyle w:val="Refdenotaalpie"/>
          <w:rFonts w:ascii="ITC Avant Garde" w:hAnsi="ITC Avant Garde"/>
          <w:sz w:val="16"/>
          <w:szCs w:val="16"/>
        </w:rPr>
        <w:footnoteRef/>
      </w:r>
      <w:r w:rsidRPr="008C75CC">
        <w:rPr>
          <w:rFonts w:ascii="ITC Avant Garde" w:hAnsi="ITC Avant Garde"/>
          <w:sz w:val="16"/>
          <w:szCs w:val="16"/>
        </w:rPr>
        <w:t xml:space="preserve"> De información disponible en el Banco de Información de Telecomunicaciones, el tráfico de datos de servicios móviles ha pasado de 22,502 TB en 2015 a 440,218 TB para el año 2020</w:t>
      </w:r>
      <w:r>
        <w:rPr>
          <w:rFonts w:ascii="ITC Avant Garde" w:hAnsi="ITC Avant Garde"/>
          <w:sz w:val="16"/>
          <w:szCs w:val="16"/>
        </w:rPr>
        <w:t>. Mientras que en el caso del servicio de internet fijo se observa un incremento en el número de accesos a planes o paquetes de 10 Mbps a menos de 100 Mbps.</w:t>
      </w:r>
    </w:p>
  </w:footnote>
  <w:footnote w:id="3">
    <w:p w14:paraId="6F90F198" w14:textId="77777777" w:rsidR="00BE28F5" w:rsidRPr="00452459" w:rsidRDefault="00BE28F5" w:rsidP="00E73C45">
      <w:pPr>
        <w:pStyle w:val="Textonotapie"/>
        <w:jc w:val="both"/>
        <w:rPr>
          <w:rFonts w:ascii="ITC Avant Garde" w:hAnsi="ITC Avant Garde"/>
          <w:sz w:val="16"/>
          <w:szCs w:val="16"/>
        </w:rPr>
      </w:pPr>
      <w:r w:rsidRPr="00452459">
        <w:rPr>
          <w:rStyle w:val="Refdenotaalpie"/>
          <w:rFonts w:ascii="ITC Avant Garde" w:hAnsi="ITC Avant Garde"/>
          <w:sz w:val="16"/>
          <w:szCs w:val="16"/>
        </w:rPr>
        <w:footnoteRef/>
      </w:r>
      <w:r w:rsidRPr="00452459">
        <w:rPr>
          <w:rFonts w:ascii="ITC Avant Garde" w:hAnsi="ITC Avant Garde"/>
          <w:sz w:val="16"/>
          <w:szCs w:val="16"/>
        </w:rPr>
        <w:t xml:space="preserve"> Proveedores de servicio de acceso a Internet</w:t>
      </w:r>
    </w:p>
  </w:footnote>
  <w:footnote w:id="4">
    <w:p w14:paraId="643B27FF" w14:textId="77777777" w:rsidR="00BE28F5" w:rsidRPr="000744AF" w:rsidRDefault="00BE28F5" w:rsidP="00621F10">
      <w:pPr>
        <w:pStyle w:val="Textonotapie"/>
        <w:jc w:val="both"/>
        <w:rPr>
          <w:rFonts w:ascii="ITC Avant Garde" w:hAnsi="ITC Avant Garde"/>
          <w:sz w:val="16"/>
          <w:szCs w:val="16"/>
        </w:rPr>
      </w:pPr>
      <w:r w:rsidRPr="000744AF">
        <w:rPr>
          <w:rStyle w:val="Refdenotaalpie"/>
          <w:rFonts w:ascii="ITC Avant Garde" w:hAnsi="ITC Avant Garde"/>
          <w:sz w:val="16"/>
          <w:szCs w:val="16"/>
        </w:rPr>
        <w:footnoteRef/>
      </w:r>
      <w:r w:rsidRPr="000744AF">
        <w:rPr>
          <w:rFonts w:ascii="ITC Avant Garde" w:hAnsi="ITC Avant Garde"/>
          <w:sz w:val="16"/>
          <w:szCs w:val="16"/>
        </w:rPr>
        <w:t xml:space="preserve"> Ley Federal de Telecomunicaciones y Radiodifusión</w:t>
      </w:r>
    </w:p>
  </w:footnote>
  <w:footnote w:id="5">
    <w:p w14:paraId="19B7F682" w14:textId="4091553F" w:rsidR="00BE28F5" w:rsidRPr="000744AF" w:rsidRDefault="00BE28F5" w:rsidP="00621F10">
      <w:pPr>
        <w:pStyle w:val="Textonotapie"/>
        <w:jc w:val="both"/>
        <w:rPr>
          <w:rFonts w:ascii="ITC Avant Garde" w:hAnsi="ITC Avant Garde"/>
          <w:sz w:val="16"/>
          <w:szCs w:val="16"/>
        </w:rPr>
      </w:pPr>
      <w:r w:rsidRPr="000744AF">
        <w:rPr>
          <w:rStyle w:val="Refdenotaalpie"/>
          <w:rFonts w:ascii="ITC Avant Garde" w:hAnsi="ITC Avant Garde"/>
          <w:sz w:val="16"/>
          <w:szCs w:val="16"/>
        </w:rPr>
        <w:footnoteRef/>
      </w:r>
      <w:r w:rsidRPr="000744AF">
        <w:rPr>
          <w:rFonts w:ascii="ITC Avant Garde" w:hAnsi="ITC Avant Garde"/>
          <w:sz w:val="16"/>
          <w:szCs w:val="16"/>
        </w:rPr>
        <w:t xml:space="preserve"> Instituto Federal de Telecomunicaciones</w:t>
      </w:r>
    </w:p>
  </w:footnote>
  <w:footnote w:id="6">
    <w:p w14:paraId="7A8B2670" w14:textId="77777777" w:rsidR="00BE28F5" w:rsidRPr="008F7C16" w:rsidRDefault="00BE28F5" w:rsidP="00F93417">
      <w:pPr>
        <w:pStyle w:val="Textonotapie"/>
        <w:jc w:val="both"/>
        <w:rPr>
          <w:rFonts w:ascii="ITC Avant Garde" w:hAnsi="ITC Avant Garde"/>
          <w:sz w:val="16"/>
          <w:szCs w:val="16"/>
        </w:rPr>
      </w:pPr>
      <w:r w:rsidRPr="008F7C16">
        <w:rPr>
          <w:rStyle w:val="Refdenotaalpie"/>
          <w:rFonts w:ascii="ITC Avant Garde" w:hAnsi="ITC Avant Garde"/>
          <w:sz w:val="16"/>
          <w:szCs w:val="16"/>
        </w:rPr>
        <w:footnoteRef/>
      </w:r>
      <w:r>
        <w:rPr>
          <w:rFonts w:ascii="ITC Avant Garde" w:hAnsi="ITC Avant Garde"/>
          <w:sz w:val="16"/>
          <w:szCs w:val="16"/>
        </w:rPr>
        <w:t xml:space="preserve"> Aprobados mediante </w:t>
      </w:r>
      <w:r w:rsidRPr="00C333EF">
        <w:rPr>
          <w:rFonts w:ascii="ITC Avant Garde" w:hAnsi="ITC Avant Garde"/>
          <w:sz w:val="16"/>
          <w:szCs w:val="16"/>
        </w:rPr>
        <w:t>Acuerdo P/IFT/EXT/280621/13</w:t>
      </w:r>
      <w:r>
        <w:rPr>
          <w:rFonts w:ascii="ITC Avant Garde" w:hAnsi="ITC Avant Garde"/>
          <w:sz w:val="16"/>
          <w:szCs w:val="16"/>
        </w:rPr>
        <w:t>.</w:t>
      </w:r>
    </w:p>
  </w:footnote>
  <w:footnote w:id="7">
    <w:p w14:paraId="05EB7592" w14:textId="595FC95B" w:rsidR="00BE28F5" w:rsidRPr="00DB5FF3" w:rsidRDefault="00BE28F5" w:rsidP="00BA4E93">
      <w:pPr>
        <w:pStyle w:val="Textonotapie"/>
        <w:jc w:val="both"/>
        <w:rPr>
          <w:rFonts w:ascii="ITC Avant Garde" w:hAnsi="ITC Avant Garde"/>
          <w:sz w:val="16"/>
          <w:szCs w:val="16"/>
        </w:rPr>
      </w:pPr>
      <w:r w:rsidRPr="00DB5FF3">
        <w:rPr>
          <w:rStyle w:val="Refdenotaalpie"/>
          <w:rFonts w:ascii="ITC Avant Garde" w:hAnsi="ITC Avant Garde"/>
          <w:sz w:val="16"/>
          <w:szCs w:val="16"/>
        </w:rPr>
        <w:footnoteRef/>
      </w:r>
      <w:r w:rsidRPr="00DB5FF3">
        <w:rPr>
          <w:rFonts w:ascii="ITC Avant Garde" w:hAnsi="ITC Avant Garde"/>
          <w:sz w:val="16"/>
          <w:szCs w:val="16"/>
        </w:rPr>
        <w:t xml:space="preserve"> 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2E28D8F2" w14:textId="69931C01" w:rsidR="00BE28F5" w:rsidRPr="00525271" w:rsidRDefault="00BE28F5" w:rsidP="00525271">
      <w:pPr>
        <w:pStyle w:val="Textonotapie"/>
        <w:jc w:val="both"/>
        <w:rPr>
          <w:rFonts w:ascii="ITC Avant Garde" w:hAnsi="ITC Avant Garde"/>
          <w:sz w:val="16"/>
          <w:szCs w:val="16"/>
        </w:rPr>
      </w:pPr>
      <w:r w:rsidRPr="00DB5FF3">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Pr="00DB5FF3">
          <w:rPr>
            <w:rStyle w:val="Hipervnculo"/>
            <w:rFonts w:ascii="ITC Avant Garde" w:hAnsi="ITC Avant Garde"/>
            <w:sz w:val="16"/>
            <w:szCs w:val="16"/>
          </w:rPr>
          <w:t>http://www.diputados.gob.mx/LeyesBiblio/pdf/LGMR_180518.pdf</w:t>
        </w:r>
      </w:hyperlink>
      <w:r>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BE28F5" w:rsidRPr="00501ADF" w:rsidRDefault="00BE28F5"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5824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58241"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BE28F5" w:rsidRPr="00451B7D" w:rsidRDefault="00BE28F5" w:rsidP="00804F49">
                          <w:pPr>
                            <w:jc w:val="right"/>
                            <w:rPr>
                              <w:rFonts w:ascii="ITC Avant Garde" w:hAnsi="ITC Avant Garde"/>
                              <w:sz w:val="20"/>
                            </w:rPr>
                          </w:pPr>
                          <w:r w:rsidRPr="00451B7D">
                            <w:rPr>
                              <w:rFonts w:ascii="ITC Avant Garde" w:hAnsi="ITC Avant Garde"/>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BE28F5" w:rsidRPr="00451B7D" w:rsidRDefault="00BE28F5" w:rsidP="00804F49">
                    <w:pPr>
                      <w:jc w:val="right"/>
                      <w:rPr>
                        <w:rFonts w:ascii="ITC Avant Garde" w:hAnsi="ITC Avant Garde"/>
                        <w:sz w:val="20"/>
                      </w:rPr>
                    </w:pPr>
                    <w:r w:rsidRPr="00451B7D">
                      <w:rPr>
                        <w:rFonts w:ascii="ITC Avant Garde" w:hAnsi="ITC Avant Garde"/>
                        <w:sz w:val="20"/>
                      </w:rPr>
                      <w:t>ANÁLISIS DE NULO IMPACTO REGULATORIO</w:t>
                    </w:r>
                  </w:p>
                </w:txbxContent>
              </v:textbox>
              <w10:wrap type="square" anchorx="margin"/>
            </v:shape>
          </w:pict>
        </mc:Fallback>
      </mc:AlternateContent>
    </w:r>
  </w:p>
  <w:p w14:paraId="27882036" w14:textId="37A00500" w:rsidR="00BE28F5" w:rsidRDefault="00BE28F5">
    <w:pPr>
      <w:pStyle w:val="Encabezado"/>
    </w:pPr>
  </w:p>
  <w:p w14:paraId="2C48871E" w14:textId="77777777" w:rsidR="00BE28F5" w:rsidRDefault="00BE28F5">
    <w:pPr>
      <w:pStyle w:val="Encabezado"/>
    </w:pPr>
  </w:p>
  <w:p w14:paraId="75745905" w14:textId="19BBBECD" w:rsidR="00BE28F5" w:rsidRDefault="00BE28F5">
    <w:pPr>
      <w:pStyle w:val="Encabezado"/>
    </w:pPr>
    <w:r>
      <w:rPr>
        <w:noProof/>
        <w:lang w:eastAsia="es-MX"/>
      </w:rPr>
      <mc:AlternateContent>
        <mc:Choice Requires="wps">
          <w:drawing>
            <wp:anchor distT="0" distB="0" distL="114300" distR="114300" simplePos="0" relativeHeight="251658240"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27E67CB6"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BE28F5" w:rsidRDefault="00BE28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81052"/>
    <w:multiLevelType w:val="hybridMultilevel"/>
    <w:tmpl w:val="63BCA7B6"/>
    <w:lvl w:ilvl="0" w:tplc="659EE8B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335FFB"/>
    <w:multiLevelType w:val="hybridMultilevel"/>
    <w:tmpl w:val="05AAC29A"/>
    <w:lvl w:ilvl="0" w:tplc="D2580FAE">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A93BA1"/>
    <w:multiLevelType w:val="hybridMultilevel"/>
    <w:tmpl w:val="D15EA886"/>
    <w:lvl w:ilvl="0" w:tplc="5CBC327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0D31CB"/>
    <w:multiLevelType w:val="hybridMultilevel"/>
    <w:tmpl w:val="C87CD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835D4"/>
    <w:multiLevelType w:val="hybridMultilevel"/>
    <w:tmpl w:val="9208B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7E0392"/>
    <w:multiLevelType w:val="hybridMultilevel"/>
    <w:tmpl w:val="17509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A65BB1"/>
    <w:multiLevelType w:val="hybridMultilevel"/>
    <w:tmpl w:val="C64A8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8B449E"/>
    <w:multiLevelType w:val="hybridMultilevel"/>
    <w:tmpl w:val="36C21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D473E3"/>
    <w:multiLevelType w:val="hybridMultilevel"/>
    <w:tmpl w:val="15FA81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C26EB6"/>
    <w:multiLevelType w:val="hybridMultilevel"/>
    <w:tmpl w:val="41468CBA"/>
    <w:lvl w:ilvl="0" w:tplc="9B8E28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1037358"/>
    <w:multiLevelType w:val="hybridMultilevel"/>
    <w:tmpl w:val="B47802A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69A82189"/>
    <w:multiLevelType w:val="hybridMultilevel"/>
    <w:tmpl w:val="7A406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AD00690"/>
    <w:multiLevelType w:val="hybridMultilevel"/>
    <w:tmpl w:val="E86E824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6F52F2"/>
    <w:multiLevelType w:val="hybridMultilevel"/>
    <w:tmpl w:val="5CF47F20"/>
    <w:lvl w:ilvl="0" w:tplc="CDB05E4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320658D"/>
    <w:multiLevelType w:val="hybridMultilevel"/>
    <w:tmpl w:val="BB72A940"/>
    <w:lvl w:ilvl="0" w:tplc="D1BEFD8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9"/>
  </w:num>
  <w:num w:numId="3">
    <w:abstractNumId w:val="11"/>
  </w:num>
  <w:num w:numId="4">
    <w:abstractNumId w:val="2"/>
  </w:num>
  <w:num w:numId="5">
    <w:abstractNumId w:val="4"/>
  </w:num>
  <w:num w:numId="6">
    <w:abstractNumId w:val="0"/>
  </w:num>
  <w:num w:numId="7">
    <w:abstractNumId w:val="3"/>
  </w:num>
  <w:num w:numId="8">
    <w:abstractNumId w:val="1"/>
  </w:num>
  <w:num w:numId="9">
    <w:abstractNumId w:val="8"/>
  </w:num>
  <w:num w:numId="10">
    <w:abstractNumId w:val="10"/>
  </w:num>
  <w:num w:numId="11">
    <w:abstractNumId w:val="5"/>
  </w:num>
  <w:num w:numId="12">
    <w:abstractNumId w:val="16"/>
  </w:num>
  <w:num w:numId="13">
    <w:abstractNumId w:val="7"/>
  </w:num>
  <w:num w:numId="14">
    <w:abstractNumId w:val="15"/>
  </w:num>
  <w:num w:numId="15">
    <w:abstractNumId w:val="17"/>
  </w:num>
  <w:num w:numId="16">
    <w:abstractNumId w:val="13"/>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33B4"/>
    <w:rsid w:val="00007235"/>
    <w:rsid w:val="00021824"/>
    <w:rsid w:val="00021FB4"/>
    <w:rsid w:val="00044D30"/>
    <w:rsid w:val="00046B2A"/>
    <w:rsid w:val="00046FEA"/>
    <w:rsid w:val="00056AE8"/>
    <w:rsid w:val="00056CB4"/>
    <w:rsid w:val="0005742C"/>
    <w:rsid w:val="00062EC9"/>
    <w:rsid w:val="0006342A"/>
    <w:rsid w:val="0006478F"/>
    <w:rsid w:val="0007110F"/>
    <w:rsid w:val="000730B9"/>
    <w:rsid w:val="0007407C"/>
    <w:rsid w:val="000744AF"/>
    <w:rsid w:val="0007474B"/>
    <w:rsid w:val="000750C3"/>
    <w:rsid w:val="00084057"/>
    <w:rsid w:val="000A0C30"/>
    <w:rsid w:val="000A4D34"/>
    <w:rsid w:val="000B37E3"/>
    <w:rsid w:val="000C16BC"/>
    <w:rsid w:val="000C2696"/>
    <w:rsid w:val="000C62D3"/>
    <w:rsid w:val="000C6F39"/>
    <w:rsid w:val="000D0EEE"/>
    <w:rsid w:val="000D401B"/>
    <w:rsid w:val="000D44C7"/>
    <w:rsid w:val="000D7AAC"/>
    <w:rsid w:val="000E3EF8"/>
    <w:rsid w:val="000E6A13"/>
    <w:rsid w:val="000F1A6B"/>
    <w:rsid w:val="000F1F87"/>
    <w:rsid w:val="000F4483"/>
    <w:rsid w:val="000F4B7C"/>
    <w:rsid w:val="000F669B"/>
    <w:rsid w:val="00104A1D"/>
    <w:rsid w:val="00114342"/>
    <w:rsid w:val="001221FF"/>
    <w:rsid w:val="00132D74"/>
    <w:rsid w:val="001371A0"/>
    <w:rsid w:val="001408CD"/>
    <w:rsid w:val="0014372D"/>
    <w:rsid w:val="0014459B"/>
    <w:rsid w:val="0016098A"/>
    <w:rsid w:val="0016406C"/>
    <w:rsid w:val="001653DD"/>
    <w:rsid w:val="00165407"/>
    <w:rsid w:val="00167BB6"/>
    <w:rsid w:val="001719BC"/>
    <w:rsid w:val="00177F7B"/>
    <w:rsid w:val="00181A32"/>
    <w:rsid w:val="00185F08"/>
    <w:rsid w:val="001870AF"/>
    <w:rsid w:val="00190BC3"/>
    <w:rsid w:val="001910EB"/>
    <w:rsid w:val="001932FC"/>
    <w:rsid w:val="00193A89"/>
    <w:rsid w:val="00195DC0"/>
    <w:rsid w:val="001964D4"/>
    <w:rsid w:val="001A2D41"/>
    <w:rsid w:val="001A4E46"/>
    <w:rsid w:val="001A631D"/>
    <w:rsid w:val="001B4A51"/>
    <w:rsid w:val="001B58B4"/>
    <w:rsid w:val="001C0F9E"/>
    <w:rsid w:val="001C537C"/>
    <w:rsid w:val="001C5416"/>
    <w:rsid w:val="001C7964"/>
    <w:rsid w:val="001D42E5"/>
    <w:rsid w:val="001E26FE"/>
    <w:rsid w:val="001E5C69"/>
    <w:rsid w:val="001F2913"/>
    <w:rsid w:val="001F34BD"/>
    <w:rsid w:val="001F415A"/>
    <w:rsid w:val="001F4858"/>
    <w:rsid w:val="002007AB"/>
    <w:rsid w:val="00206939"/>
    <w:rsid w:val="00206C6C"/>
    <w:rsid w:val="0021031A"/>
    <w:rsid w:val="00211C96"/>
    <w:rsid w:val="002273B7"/>
    <w:rsid w:val="00236865"/>
    <w:rsid w:val="00236A4B"/>
    <w:rsid w:val="00237BEC"/>
    <w:rsid w:val="00247811"/>
    <w:rsid w:val="00247B33"/>
    <w:rsid w:val="00260F86"/>
    <w:rsid w:val="002655CD"/>
    <w:rsid w:val="00272EA4"/>
    <w:rsid w:val="0027403E"/>
    <w:rsid w:val="00276796"/>
    <w:rsid w:val="00285035"/>
    <w:rsid w:val="00285AA7"/>
    <w:rsid w:val="00286334"/>
    <w:rsid w:val="00286496"/>
    <w:rsid w:val="0029196D"/>
    <w:rsid w:val="00295E97"/>
    <w:rsid w:val="002A3215"/>
    <w:rsid w:val="002C1432"/>
    <w:rsid w:val="002D28C7"/>
    <w:rsid w:val="002E04E0"/>
    <w:rsid w:val="002F675F"/>
    <w:rsid w:val="0030055F"/>
    <w:rsid w:val="003039BF"/>
    <w:rsid w:val="00305C11"/>
    <w:rsid w:val="003063C3"/>
    <w:rsid w:val="00310FC5"/>
    <w:rsid w:val="00311A6D"/>
    <w:rsid w:val="00313F2E"/>
    <w:rsid w:val="003172AE"/>
    <w:rsid w:val="003225DA"/>
    <w:rsid w:val="00323167"/>
    <w:rsid w:val="00324113"/>
    <w:rsid w:val="0032420F"/>
    <w:rsid w:val="00324F9F"/>
    <w:rsid w:val="00326874"/>
    <w:rsid w:val="00331643"/>
    <w:rsid w:val="00333B41"/>
    <w:rsid w:val="003403C9"/>
    <w:rsid w:val="00341A15"/>
    <w:rsid w:val="00342BF8"/>
    <w:rsid w:val="003436DD"/>
    <w:rsid w:val="00343EBC"/>
    <w:rsid w:val="00344362"/>
    <w:rsid w:val="00356F98"/>
    <w:rsid w:val="00361AE2"/>
    <w:rsid w:val="00363A13"/>
    <w:rsid w:val="00365FA7"/>
    <w:rsid w:val="00367BB4"/>
    <w:rsid w:val="00370368"/>
    <w:rsid w:val="00372BF7"/>
    <w:rsid w:val="0037670D"/>
    <w:rsid w:val="00380615"/>
    <w:rsid w:val="00385DE9"/>
    <w:rsid w:val="0039169A"/>
    <w:rsid w:val="003949C0"/>
    <w:rsid w:val="003A00E5"/>
    <w:rsid w:val="003A22A2"/>
    <w:rsid w:val="003A22A5"/>
    <w:rsid w:val="003A41A7"/>
    <w:rsid w:val="003A4E45"/>
    <w:rsid w:val="003A607F"/>
    <w:rsid w:val="003A72BC"/>
    <w:rsid w:val="003A7E71"/>
    <w:rsid w:val="003A7FF0"/>
    <w:rsid w:val="003B1734"/>
    <w:rsid w:val="003B48A5"/>
    <w:rsid w:val="003B7414"/>
    <w:rsid w:val="003B784A"/>
    <w:rsid w:val="003B7FBD"/>
    <w:rsid w:val="003C5804"/>
    <w:rsid w:val="003E1D84"/>
    <w:rsid w:val="003F05E7"/>
    <w:rsid w:val="003F4F6D"/>
    <w:rsid w:val="00400935"/>
    <w:rsid w:val="00403FC1"/>
    <w:rsid w:val="00404130"/>
    <w:rsid w:val="004162E2"/>
    <w:rsid w:val="00416C88"/>
    <w:rsid w:val="004226AE"/>
    <w:rsid w:val="00431BAA"/>
    <w:rsid w:val="00432EB4"/>
    <w:rsid w:val="004355B1"/>
    <w:rsid w:val="0043569C"/>
    <w:rsid w:val="00442E2C"/>
    <w:rsid w:val="00451B7D"/>
    <w:rsid w:val="00452459"/>
    <w:rsid w:val="00454B5C"/>
    <w:rsid w:val="00456557"/>
    <w:rsid w:val="004579F8"/>
    <w:rsid w:val="00457A33"/>
    <w:rsid w:val="00460122"/>
    <w:rsid w:val="004603F7"/>
    <w:rsid w:val="004718C1"/>
    <w:rsid w:val="00481347"/>
    <w:rsid w:val="0049127C"/>
    <w:rsid w:val="00492903"/>
    <w:rsid w:val="004A0093"/>
    <w:rsid w:val="004A7C30"/>
    <w:rsid w:val="004B0FE7"/>
    <w:rsid w:val="004B1E5A"/>
    <w:rsid w:val="004B6836"/>
    <w:rsid w:val="004C1999"/>
    <w:rsid w:val="004D2380"/>
    <w:rsid w:val="004D3942"/>
    <w:rsid w:val="004D41D1"/>
    <w:rsid w:val="004D6580"/>
    <w:rsid w:val="004E0AA9"/>
    <w:rsid w:val="004E0DA9"/>
    <w:rsid w:val="004E58A6"/>
    <w:rsid w:val="00500072"/>
    <w:rsid w:val="00501ADF"/>
    <w:rsid w:val="0050422C"/>
    <w:rsid w:val="00507AE7"/>
    <w:rsid w:val="00513AE3"/>
    <w:rsid w:val="00517E40"/>
    <w:rsid w:val="00525271"/>
    <w:rsid w:val="0053031D"/>
    <w:rsid w:val="005319D5"/>
    <w:rsid w:val="00556FB8"/>
    <w:rsid w:val="00572596"/>
    <w:rsid w:val="00574743"/>
    <w:rsid w:val="00582B10"/>
    <w:rsid w:val="00582BC2"/>
    <w:rsid w:val="00585EA0"/>
    <w:rsid w:val="00586BB4"/>
    <w:rsid w:val="00591D71"/>
    <w:rsid w:val="005969C8"/>
    <w:rsid w:val="00596FDE"/>
    <w:rsid w:val="005A06B2"/>
    <w:rsid w:val="005A40FB"/>
    <w:rsid w:val="005B0624"/>
    <w:rsid w:val="005B2C92"/>
    <w:rsid w:val="005B2E60"/>
    <w:rsid w:val="005B3CA1"/>
    <w:rsid w:val="005B5B44"/>
    <w:rsid w:val="005C44A8"/>
    <w:rsid w:val="005E4188"/>
    <w:rsid w:val="005F79F0"/>
    <w:rsid w:val="0061370C"/>
    <w:rsid w:val="0062128B"/>
    <w:rsid w:val="00621F10"/>
    <w:rsid w:val="006220C6"/>
    <w:rsid w:val="00623EB8"/>
    <w:rsid w:val="0062703D"/>
    <w:rsid w:val="006336BA"/>
    <w:rsid w:val="00634B22"/>
    <w:rsid w:val="00634DE8"/>
    <w:rsid w:val="0063553F"/>
    <w:rsid w:val="00636F34"/>
    <w:rsid w:val="00641D09"/>
    <w:rsid w:val="00643CEC"/>
    <w:rsid w:val="00645186"/>
    <w:rsid w:val="00646E3F"/>
    <w:rsid w:val="00647FB6"/>
    <w:rsid w:val="006618B2"/>
    <w:rsid w:val="006717D5"/>
    <w:rsid w:val="00673DBC"/>
    <w:rsid w:val="0067487C"/>
    <w:rsid w:val="0067660D"/>
    <w:rsid w:val="0068307E"/>
    <w:rsid w:val="00684447"/>
    <w:rsid w:val="00690382"/>
    <w:rsid w:val="006951EB"/>
    <w:rsid w:val="006952BD"/>
    <w:rsid w:val="006A2227"/>
    <w:rsid w:val="006A3A0E"/>
    <w:rsid w:val="006A4776"/>
    <w:rsid w:val="006A678D"/>
    <w:rsid w:val="006A6861"/>
    <w:rsid w:val="006B3DE1"/>
    <w:rsid w:val="006B6DC9"/>
    <w:rsid w:val="006B7A68"/>
    <w:rsid w:val="006C3680"/>
    <w:rsid w:val="006C5EB7"/>
    <w:rsid w:val="006D7556"/>
    <w:rsid w:val="006D7A08"/>
    <w:rsid w:val="006F6586"/>
    <w:rsid w:val="007018A1"/>
    <w:rsid w:val="00712636"/>
    <w:rsid w:val="00714252"/>
    <w:rsid w:val="00715F67"/>
    <w:rsid w:val="00720E3B"/>
    <w:rsid w:val="00723F4D"/>
    <w:rsid w:val="007254D8"/>
    <w:rsid w:val="00725B25"/>
    <w:rsid w:val="0074323F"/>
    <w:rsid w:val="00747E32"/>
    <w:rsid w:val="00750565"/>
    <w:rsid w:val="00754201"/>
    <w:rsid w:val="0075448C"/>
    <w:rsid w:val="007602CF"/>
    <w:rsid w:val="0076488A"/>
    <w:rsid w:val="00767AFB"/>
    <w:rsid w:val="007712FA"/>
    <w:rsid w:val="00774356"/>
    <w:rsid w:val="00782BBB"/>
    <w:rsid w:val="00787B5B"/>
    <w:rsid w:val="007906D0"/>
    <w:rsid w:val="00790B52"/>
    <w:rsid w:val="007A37D6"/>
    <w:rsid w:val="007A4155"/>
    <w:rsid w:val="007A651B"/>
    <w:rsid w:val="007C121D"/>
    <w:rsid w:val="007C3654"/>
    <w:rsid w:val="007C425A"/>
    <w:rsid w:val="007C47F4"/>
    <w:rsid w:val="007C5DD6"/>
    <w:rsid w:val="007D07B6"/>
    <w:rsid w:val="007D382A"/>
    <w:rsid w:val="007D4E5B"/>
    <w:rsid w:val="007E13AD"/>
    <w:rsid w:val="007E5910"/>
    <w:rsid w:val="007E59C9"/>
    <w:rsid w:val="007E75A3"/>
    <w:rsid w:val="007E79B2"/>
    <w:rsid w:val="007F2CCD"/>
    <w:rsid w:val="007F37BF"/>
    <w:rsid w:val="00801FED"/>
    <w:rsid w:val="00802302"/>
    <w:rsid w:val="00803954"/>
    <w:rsid w:val="00804F49"/>
    <w:rsid w:val="00806C1B"/>
    <w:rsid w:val="00811FF0"/>
    <w:rsid w:val="008135FB"/>
    <w:rsid w:val="00814A48"/>
    <w:rsid w:val="00817169"/>
    <w:rsid w:val="00827470"/>
    <w:rsid w:val="00832332"/>
    <w:rsid w:val="0084560D"/>
    <w:rsid w:val="008554B8"/>
    <w:rsid w:val="00857EB2"/>
    <w:rsid w:val="0086114B"/>
    <w:rsid w:val="00861702"/>
    <w:rsid w:val="0086684A"/>
    <w:rsid w:val="00870931"/>
    <w:rsid w:val="00876D05"/>
    <w:rsid w:val="00884E25"/>
    <w:rsid w:val="0089187A"/>
    <w:rsid w:val="00893D61"/>
    <w:rsid w:val="008A1704"/>
    <w:rsid w:val="008A48B0"/>
    <w:rsid w:val="008B1A9A"/>
    <w:rsid w:val="008C49CF"/>
    <w:rsid w:val="008C75CC"/>
    <w:rsid w:val="008C76AF"/>
    <w:rsid w:val="008C7C2E"/>
    <w:rsid w:val="008D3FAC"/>
    <w:rsid w:val="008D5B99"/>
    <w:rsid w:val="008E1AD3"/>
    <w:rsid w:val="008E3011"/>
    <w:rsid w:val="008F7C16"/>
    <w:rsid w:val="009015E7"/>
    <w:rsid w:val="00901D86"/>
    <w:rsid w:val="009058DB"/>
    <w:rsid w:val="00906C25"/>
    <w:rsid w:val="00911216"/>
    <w:rsid w:val="00914E2A"/>
    <w:rsid w:val="00915560"/>
    <w:rsid w:val="009316CB"/>
    <w:rsid w:val="0093343E"/>
    <w:rsid w:val="009442FD"/>
    <w:rsid w:val="00946CB4"/>
    <w:rsid w:val="009505DF"/>
    <w:rsid w:val="009616CB"/>
    <w:rsid w:val="00963961"/>
    <w:rsid w:val="009656B1"/>
    <w:rsid w:val="00966193"/>
    <w:rsid w:val="009664C5"/>
    <w:rsid w:val="00975CCB"/>
    <w:rsid w:val="009806B7"/>
    <w:rsid w:val="009861DD"/>
    <w:rsid w:val="00986E23"/>
    <w:rsid w:val="009A5C21"/>
    <w:rsid w:val="009B0E07"/>
    <w:rsid w:val="009C41D1"/>
    <w:rsid w:val="009C79FB"/>
    <w:rsid w:val="009D10E1"/>
    <w:rsid w:val="009D2338"/>
    <w:rsid w:val="009D5C70"/>
    <w:rsid w:val="009D73E5"/>
    <w:rsid w:val="009D74EC"/>
    <w:rsid w:val="009E0723"/>
    <w:rsid w:val="009E081E"/>
    <w:rsid w:val="009E2F03"/>
    <w:rsid w:val="009E7949"/>
    <w:rsid w:val="009F1483"/>
    <w:rsid w:val="009F237F"/>
    <w:rsid w:val="009F4375"/>
    <w:rsid w:val="00A047F0"/>
    <w:rsid w:val="00A1622C"/>
    <w:rsid w:val="00A43726"/>
    <w:rsid w:val="00A46969"/>
    <w:rsid w:val="00A46BC1"/>
    <w:rsid w:val="00A61785"/>
    <w:rsid w:val="00A62E47"/>
    <w:rsid w:val="00A711A5"/>
    <w:rsid w:val="00A7211D"/>
    <w:rsid w:val="00A73AD8"/>
    <w:rsid w:val="00A76830"/>
    <w:rsid w:val="00A81C3A"/>
    <w:rsid w:val="00A855B0"/>
    <w:rsid w:val="00AA2276"/>
    <w:rsid w:val="00AA4CB3"/>
    <w:rsid w:val="00AC5F6E"/>
    <w:rsid w:val="00AD3CF7"/>
    <w:rsid w:val="00AE15D2"/>
    <w:rsid w:val="00AF4E1A"/>
    <w:rsid w:val="00AF5F0F"/>
    <w:rsid w:val="00B0305D"/>
    <w:rsid w:val="00B14F3E"/>
    <w:rsid w:val="00B15A83"/>
    <w:rsid w:val="00B21887"/>
    <w:rsid w:val="00B222AF"/>
    <w:rsid w:val="00B22E96"/>
    <w:rsid w:val="00B2360F"/>
    <w:rsid w:val="00B24AB5"/>
    <w:rsid w:val="00B266BD"/>
    <w:rsid w:val="00B32137"/>
    <w:rsid w:val="00B327B5"/>
    <w:rsid w:val="00B32DDD"/>
    <w:rsid w:val="00B33AE3"/>
    <w:rsid w:val="00B36464"/>
    <w:rsid w:val="00B41497"/>
    <w:rsid w:val="00B4199E"/>
    <w:rsid w:val="00B43D57"/>
    <w:rsid w:val="00B51923"/>
    <w:rsid w:val="00B56D41"/>
    <w:rsid w:val="00B60E5C"/>
    <w:rsid w:val="00B6461E"/>
    <w:rsid w:val="00B74C55"/>
    <w:rsid w:val="00B74F10"/>
    <w:rsid w:val="00B753D6"/>
    <w:rsid w:val="00B778BE"/>
    <w:rsid w:val="00B77B4B"/>
    <w:rsid w:val="00B80184"/>
    <w:rsid w:val="00B9525D"/>
    <w:rsid w:val="00BA0F10"/>
    <w:rsid w:val="00BA4E93"/>
    <w:rsid w:val="00BA519E"/>
    <w:rsid w:val="00BB1083"/>
    <w:rsid w:val="00BB73BA"/>
    <w:rsid w:val="00BC212E"/>
    <w:rsid w:val="00BC2FF7"/>
    <w:rsid w:val="00BC396D"/>
    <w:rsid w:val="00BD06F5"/>
    <w:rsid w:val="00BD4FEF"/>
    <w:rsid w:val="00BD69D4"/>
    <w:rsid w:val="00BD795B"/>
    <w:rsid w:val="00BE0359"/>
    <w:rsid w:val="00BE0E6F"/>
    <w:rsid w:val="00BE2834"/>
    <w:rsid w:val="00BE28F5"/>
    <w:rsid w:val="00BE3328"/>
    <w:rsid w:val="00BE7D1C"/>
    <w:rsid w:val="00BF3C5B"/>
    <w:rsid w:val="00BF4635"/>
    <w:rsid w:val="00C101F9"/>
    <w:rsid w:val="00C104B0"/>
    <w:rsid w:val="00C12288"/>
    <w:rsid w:val="00C21C36"/>
    <w:rsid w:val="00C333EF"/>
    <w:rsid w:val="00C37872"/>
    <w:rsid w:val="00C402D0"/>
    <w:rsid w:val="00C53388"/>
    <w:rsid w:val="00C5470D"/>
    <w:rsid w:val="00C61AC7"/>
    <w:rsid w:val="00C61D6A"/>
    <w:rsid w:val="00C65E87"/>
    <w:rsid w:val="00C739B2"/>
    <w:rsid w:val="00C83715"/>
    <w:rsid w:val="00C917FC"/>
    <w:rsid w:val="00C93223"/>
    <w:rsid w:val="00C96D21"/>
    <w:rsid w:val="00CA1533"/>
    <w:rsid w:val="00CA46C6"/>
    <w:rsid w:val="00CA52CA"/>
    <w:rsid w:val="00CA5588"/>
    <w:rsid w:val="00CB1A4F"/>
    <w:rsid w:val="00CB356D"/>
    <w:rsid w:val="00CB3710"/>
    <w:rsid w:val="00CB7105"/>
    <w:rsid w:val="00CB7570"/>
    <w:rsid w:val="00CC2E95"/>
    <w:rsid w:val="00CD01F0"/>
    <w:rsid w:val="00CE2EA1"/>
    <w:rsid w:val="00CE5422"/>
    <w:rsid w:val="00CE5524"/>
    <w:rsid w:val="00CE6D7E"/>
    <w:rsid w:val="00CF07B0"/>
    <w:rsid w:val="00CF6367"/>
    <w:rsid w:val="00CF642D"/>
    <w:rsid w:val="00CF7BB0"/>
    <w:rsid w:val="00D00C35"/>
    <w:rsid w:val="00D02DA9"/>
    <w:rsid w:val="00D0386B"/>
    <w:rsid w:val="00D0687B"/>
    <w:rsid w:val="00D1189B"/>
    <w:rsid w:val="00D221B5"/>
    <w:rsid w:val="00D23BD5"/>
    <w:rsid w:val="00D23D45"/>
    <w:rsid w:val="00D2791B"/>
    <w:rsid w:val="00D3119F"/>
    <w:rsid w:val="00D31AE9"/>
    <w:rsid w:val="00D55CA7"/>
    <w:rsid w:val="00D61084"/>
    <w:rsid w:val="00D74CB5"/>
    <w:rsid w:val="00D87A00"/>
    <w:rsid w:val="00DA48F2"/>
    <w:rsid w:val="00DA5F4C"/>
    <w:rsid w:val="00DB01FA"/>
    <w:rsid w:val="00DB5FF3"/>
    <w:rsid w:val="00DB64CB"/>
    <w:rsid w:val="00DC126D"/>
    <w:rsid w:val="00DC47E7"/>
    <w:rsid w:val="00DC4E2B"/>
    <w:rsid w:val="00DD0A85"/>
    <w:rsid w:val="00DD5FF4"/>
    <w:rsid w:val="00DE0FE3"/>
    <w:rsid w:val="00DE455B"/>
    <w:rsid w:val="00DE4BF3"/>
    <w:rsid w:val="00DE560F"/>
    <w:rsid w:val="00DE6F24"/>
    <w:rsid w:val="00DF332A"/>
    <w:rsid w:val="00DF6519"/>
    <w:rsid w:val="00E0098C"/>
    <w:rsid w:val="00E046F4"/>
    <w:rsid w:val="00E060E6"/>
    <w:rsid w:val="00E145C9"/>
    <w:rsid w:val="00E14FB6"/>
    <w:rsid w:val="00E16506"/>
    <w:rsid w:val="00E209BB"/>
    <w:rsid w:val="00E21B49"/>
    <w:rsid w:val="00E22FD1"/>
    <w:rsid w:val="00E27972"/>
    <w:rsid w:val="00E3400C"/>
    <w:rsid w:val="00E4128C"/>
    <w:rsid w:val="00E415A5"/>
    <w:rsid w:val="00E43DC2"/>
    <w:rsid w:val="00E55888"/>
    <w:rsid w:val="00E6080B"/>
    <w:rsid w:val="00E73C45"/>
    <w:rsid w:val="00E74602"/>
    <w:rsid w:val="00E74D11"/>
    <w:rsid w:val="00E768BA"/>
    <w:rsid w:val="00E8340B"/>
    <w:rsid w:val="00E91186"/>
    <w:rsid w:val="00E91518"/>
    <w:rsid w:val="00E9175C"/>
    <w:rsid w:val="00E97184"/>
    <w:rsid w:val="00EA3A3C"/>
    <w:rsid w:val="00EA65D7"/>
    <w:rsid w:val="00EB3E0A"/>
    <w:rsid w:val="00EB713D"/>
    <w:rsid w:val="00EC65A7"/>
    <w:rsid w:val="00ED3BA6"/>
    <w:rsid w:val="00EE263E"/>
    <w:rsid w:val="00EE3D31"/>
    <w:rsid w:val="00EE6FE8"/>
    <w:rsid w:val="00EF72A4"/>
    <w:rsid w:val="00F03289"/>
    <w:rsid w:val="00F07B43"/>
    <w:rsid w:val="00F20C6A"/>
    <w:rsid w:val="00F249E7"/>
    <w:rsid w:val="00F31821"/>
    <w:rsid w:val="00F342A4"/>
    <w:rsid w:val="00F3661F"/>
    <w:rsid w:val="00F37E08"/>
    <w:rsid w:val="00F52E8A"/>
    <w:rsid w:val="00F537D8"/>
    <w:rsid w:val="00F569A7"/>
    <w:rsid w:val="00F573AF"/>
    <w:rsid w:val="00F6354E"/>
    <w:rsid w:val="00F65ECD"/>
    <w:rsid w:val="00F74768"/>
    <w:rsid w:val="00F75427"/>
    <w:rsid w:val="00F75C80"/>
    <w:rsid w:val="00F75E13"/>
    <w:rsid w:val="00F82287"/>
    <w:rsid w:val="00F9299E"/>
    <w:rsid w:val="00F93417"/>
    <w:rsid w:val="00F94A28"/>
    <w:rsid w:val="00FA6FA1"/>
    <w:rsid w:val="00FB1455"/>
    <w:rsid w:val="00FB158A"/>
    <w:rsid w:val="00FB1BE5"/>
    <w:rsid w:val="00FB4FEA"/>
    <w:rsid w:val="00FB58BA"/>
    <w:rsid w:val="00FC1BA4"/>
    <w:rsid w:val="00FC5B45"/>
    <w:rsid w:val="00FD121A"/>
    <w:rsid w:val="00FD4106"/>
    <w:rsid w:val="00FE174F"/>
    <w:rsid w:val="00FF2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AA126CA7-5631-42FD-93AD-A3A59A3F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eración 1,Listas,lp1,* Romano,1er nivel minusculas,prueba1,CNBV Parrafo1,4 Viñ 1nivel,Cuadrícula media 1 - Énfasis 21,Estilo0,Romano,Romanos,Bullet List,FooterText,numbered,List Paragraph1,Bulletr List Paragraph,列出段落,列出段落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aliases w:val="~FootnoteText,SF píe,Pie depágina,Footnote Text Char1,Footnote Text Char Char1,Footnote Text Char4 Char Char,Footnote Text Char1 Char1 Char1 Char,Footnote Text Char Char1 Char1 Char Char,Footnote Text Char1 Char1 Char1 Char Char Char1,fn"/>
    <w:basedOn w:val="Normal"/>
    <w:link w:val="TextonotapieCar"/>
    <w:uiPriority w:val="99"/>
    <w:unhideWhenUsed/>
    <w:qFormat/>
    <w:rsid w:val="008E1AD3"/>
    <w:pPr>
      <w:spacing w:after="0" w:line="240" w:lineRule="auto"/>
    </w:pPr>
    <w:rPr>
      <w:sz w:val="20"/>
      <w:szCs w:val="20"/>
    </w:rPr>
  </w:style>
  <w:style w:type="character" w:customStyle="1" w:styleId="TextonotapieCar">
    <w:name w:val="Texto nota pie Car"/>
    <w:aliases w:val="~FootnoteText Car,SF píe Car,Pie depágina Car,Footnote Text Char1 Car,Footnote Text Char Char1 Car,Footnote Text Char4 Char Char Car,Footnote Text Char1 Char1 Char1 Char Car,Footnote Text Char Char1 Char1 Char Char Car,fn Car"/>
    <w:basedOn w:val="Fuentedeprrafopredeter"/>
    <w:link w:val="Textonotapie"/>
    <w:uiPriority w:val="99"/>
    <w:rsid w:val="008E1AD3"/>
    <w:rPr>
      <w:sz w:val="20"/>
      <w:szCs w:val="20"/>
    </w:rPr>
  </w:style>
  <w:style w:type="character" w:styleId="Refdenotaalpie">
    <w:name w:val="footnote reference"/>
    <w:aliases w:val="~FootnoteRef,Ref,de nota al pie,Ref. de nota al pie 2,Footnotes refss,Texto de nota al pie,Appel note de bas de page,referencia nota al pie,BVI fnr,Footnote number,f,4_G,16 Point,Superscript 6 Point,Texto nota al pie,o,fr,Style 12"/>
    <w:basedOn w:val="Fuentedeprrafopredeter"/>
    <w:uiPriority w:val="99"/>
    <w:unhideWhenUsed/>
    <w:qFormat/>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customStyle="1" w:styleId="PrrafodelistaCar">
    <w:name w:val="Párrafo de lista Car"/>
    <w:aliases w:val="Numeración 1 Car,Listas Car,lp1 Car,* Romano Car,1er nivel minusculas Car,prueba1 Car,CNBV Parrafo1 Car,4 Viñ 1nivel Car,Cuadrícula media 1 - Énfasis 21 Car,Estilo0 Car,Romano Car,Romanos Car,Bullet List Car,FooterText Car,列出段落 Car"/>
    <w:link w:val="Prrafodelista"/>
    <w:uiPriority w:val="34"/>
    <w:qFormat/>
    <w:locked/>
    <w:rsid w:val="00B51923"/>
  </w:style>
  <w:style w:type="character" w:styleId="Mencinsinresolver">
    <w:name w:val="Unresolved Mention"/>
    <w:basedOn w:val="Fuentedeprrafopredeter"/>
    <w:uiPriority w:val="99"/>
    <w:semiHidden/>
    <w:unhideWhenUsed/>
    <w:rsid w:val="00CA52CA"/>
    <w:rPr>
      <w:color w:val="605E5C"/>
      <w:shd w:val="clear" w:color="auto" w:fill="E1DFDD"/>
    </w:rPr>
  </w:style>
  <w:style w:type="character" w:styleId="Hipervnculovisitado">
    <w:name w:val="FollowedHyperlink"/>
    <w:basedOn w:val="Fuentedeprrafopredeter"/>
    <w:uiPriority w:val="99"/>
    <w:semiHidden/>
    <w:unhideWhenUsed/>
    <w:rsid w:val="007E13AD"/>
    <w:rPr>
      <w:color w:val="954F72" w:themeColor="followedHyperlink"/>
      <w:u w:val="single"/>
    </w:rPr>
  </w:style>
  <w:style w:type="paragraph" w:customStyle="1" w:styleId="CitaTextual">
    <w:name w:val="* Cita Textual"/>
    <w:basedOn w:val="Normal"/>
    <w:link w:val="CitaTextualCar"/>
    <w:qFormat/>
    <w:rsid w:val="00FC1BA4"/>
    <w:pPr>
      <w:spacing w:before="40" w:after="200" w:line="276" w:lineRule="auto"/>
      <w:ind w:left="567" w:right="567"/>
      <w:jc w:val="both"/>
    </w:pPr>
    <w:rPr>
      <w:rFonts w:ascii="Arial" w:hAnsi="Arial"/>
      <w:i/>
      <w:sz w:val="18"/>
    </w:rPr>
  </w:style>
  <w:style w:type="character" w:customStyle="1" w:styleId="CitaTextualCar">
    <w:name w:val="* Cita Textual Car"/>
    <w:basedOn w:val="Fuentedeprrafopredeter"/>
    <w:link w:val="CitaTextual"/>
    <w:rsid w:val="00FC1BA4"/>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f.gob.mx/nota_detalle.php?codigo=5622965&amp;fecha=05/07/202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putados.gob.mx/LeyesBiblio/pdf/LFTR_200521.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iana.cruz@ift.org.m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ITC Avant Garde Book Obliqu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0E5E95"/>
    <w:rsid w:val="00105EC6"/>
    <w:rsid w:val="00156B10"/>
    <w:rsid w:val="00162398"/>
    <w:rsid w:val="001A2523"/>
    <w:rsid w:val="002D1216"/>
    <w:rsid w:val="00361AF2"/>
    <w:rsid w:val="00504DE3"/>
    <w:rsid w:val="0051743B"/>
    <w:rsid w:val="00540EA6"/>
    <w:rsid w:val="0058081F"/>
    <w:rsid w:val="006020B4"/>
    <w:rsid w:val="006200CF"/>
    <w:rsid w:val="00622624"/>
    <w:rsid w:val="0067131A"/>
    <w:rsid w:val="007118CA"/>
    <w:rsid w:val="00760282"/>
    <w:rsid w:val="00760FAD"/>
    <w:rsid w:val="00895355"/>
    <w:rsid w:val="008B7271"/>
    <w:rsid w:val="00963F51"/>
    <w:rsid w:val="00981D52"/>
    <w:rsid w:val="00A80CA9"/>
    <w:rsid w:val="00AF1EF4"/>
    <w:rsid w:val="00B05362"/>
    <w:rsid w:val="00B234BA"/>
    <w:rsid w:val="00B53C30"/>
    <w:rsid w:val="00B748CE"/>
    <w:rsid w:val="00BD02AE"/>
    <w:rsid w:val="00BD59E5"/>
    <w:rsid w:val="00CF1BA4"/>
    <w:rsid w:val="00DB3940"/>
    <w:rsid w:val="00E75A8C"/>
    <w:rsid w:val="00EB2284"/>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EDC51ED0FF044B9A6C7B6F40DB6AFC" ma:contentTypeVersion="0" ma:contentTypeDescription="Crear nuevo documento." ma:contentTypeScope="" ma:versionID="c675d47cdf02547e535fce60653dd7b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580EA-C8EB-4F2D-B6E3-03C83C08E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4EF9FD-047B-4C49-AF94-5B832B82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2027</Words>
  <Characters>11153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4</cp:revision>
  <cp:lastPrinted>2021-12-16T18:34:00Z</cp:lastPrinted>
  <dcterms:created xsi:type="dcterms:W3CDTF">2021-12-07T19:45:00Z</dcterms:created>
  <dcterms:modified xsi:type="dcterms:W3CDTF">2021-12-16T18:35:00Z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0x01010091EDC51ED0FF044B9A6C7B6F40DB6AFC</vt:lpwstr>
  </property>
</Properties>
</file>