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BCDD" w14:textId="206DF93C" w:rsidR="00886F2A" w:rsidRDefault="00600C81" w:rsidP="00427261">
      <w:pPr>
        <w:spacing w:before="120" w:after="120" w:line="23" w:lineRule="atLeast"/>
        <w:ind w:left="708" w:hanging="708"/>
        <w:jc w:val="right"/>
        <w:rPr>
          <w:rFonts w:ascii="Arial" w:hAnsi="Arial" w:cs="Arial"/>
          <w:b/>
          <w:bCs/>
        </w:rPr>
      </w:pPr>
      <w:bookmarkStart w:id="0" w:name="_GoBack"/>
      <w:bookmarkEnd w:id="0"/>
      <w:r>
        <w:rPr>
          <w:rFonts w:ascii="Arial" w:hAnsi="Arial" w:cs="Arial"/>
          <w:b/>
          <w:bCs/>
        </w:rPr>
        <w:t>Instituto Federal de Telecomunicaciones</w:t>
      </w:r>
    </w:p>
    <w:p w14:paraId="35FF38C8" w14:textId="1B35E3D4" w:rsidR="00600C81" w:rsidRDefault="00600C81" w:rsidP="00D50B18">
      <w:pPr>
        <w:spacing w:before="120" w:after="120" w:line="23" w:lineRule="atLeast"/>
        <w:jc w:val="right"/>
        <w:rPr>
          <w:rFonts w:ascii="Arial" w:hAnsi="Arial" w:cs="Arial"/>
          <w:b/>
          <w:bCs/>
        </w:rPr>
      </w:pPr>
      <w:r>
        <w:rPr>
          <w:rFonts w:ascii="Arial" w:hAnsi="Arial" w:cs="Arial"/>
          <w:b/>
          <w:bCs/>
        </w:rPr>
        <w:t>Unida</w:t>
      </w:r>
      <w:r w:rsidR="00351BE8">
        <w:rPr>
          <w:rFonts w:ascii="Arial" w:hAnsi="Arial" w:cs="Arial"/>
          <w:b/>
          <w:bCs/>
        </w:rPr>
        <w:t>d</w:t>
      </w:r>
      <w:r>
        <w:rPr>
          <w:rFonts w:ascii="Arial" w:hAnsi="Arial" w:cs="Arial"/>
          <w:b/>
          <w:bCs/>
        </w:rPr>
        <w:t xml:space="preserve"> de Competencia Económica</w:t>
      </w:r>
    </w:p>
    <w:p w14:paraId="7D720584" w14:textId="1A4AA06D" w:rsidR="00736A66" w:rsidRDefault="00736A66" w:rsidP="00D50B18">
      <w:pPr>
        <w:spacing w:before="120" w:after="120" w:line="23" w:lineRule="atLeast"/>
        <w:jc w:val="right"/>
        <w:rPr>
          <w:rFonts w:ascii="Arial" w:hAnsi="Arial" w:cs="Arial"/>
          <w:b/>
          <w:bCs/>
        </w:rPr>
      </w:pPr>
    </w:p>
    <w:p w14:paraId="3BF938A9" w14:textId="055AE27D" w:rsidR="00736A66" w:rsidRDefault="00275B74" w:rsidP="00D50B18">
      <w:pPr>
        <w:spacing w:before="120" w:after="120" w:line="23" w:lineRule="atLeast"/>
        <w:jc w:val="right"/>
        <w:rPr>
          <w:rFonts w:ascii="Arial" w:hAnsi="Arial" w:cs="Arial"/>
          <w:b/>
          <w:bCs/>
        </w:rPr>
      </w:pPr>
      <w:r>
        <w:rPr>
          <w:rFonts w:ascii="Arial" w:hAnsi="Arial" w:cs="Arial"/>
          <w:b/>
          <w:bCs/>
        </w:rPr>
        <w:t>2</w:t>
      </w:r>
      <w:r w:rsidR="0056026C">
        <w:rPr>
          <w:rFonts w:ascii="Arial" w:hAnsi="Arial" w:cs="Arial"/>
          <w:b/>
          <w:bCs/>
        </w:rPr>
        <w:t>1</w:t>
      </w:r>
      <w:r w:rsidR="00736A66">
        <w:rPr>
          <w:rFonts w:ascii="Arial" w:hAnsi="Arial" w:cs="Arial"/>
          <w:b/>
          <w:bCs/>
        </w:rPr>
        <w:t xml:space="preserve"> de </w:t>
      </w:r>
      <w:r w:rsidR="0056026C">
        <w:rPr>
          <w:rFonts w:ascii="Arial" w:hAnsi="Arial" w:cs="Arial"/>
          <w:b/>
          <w:bCs/>
        </w:rPr>
        <w:t>enero</w:t>
      </w:r>
      <w:r w:rsidR="00736A66">
        <w:rPr>
          <w:rFonts w:ascii="Arial" w:hAnsi="Arial" w:cs="Arial"/>
          <w:b/>
          <w:bCs/>
        </w:rPr>
        <w:t xml:space="preserve"> de 202</w:t>
      </w:r>
      <w:r w:rsidR="0056026C">
        <w:rPr>
          <w:rFonts w:ascii="Arial" w:hAnsi="Arial" w:cs="Arial"/>
          <w:b/>
          <w:bCs/>
        </w:rPr>
        <w:t>2</w:t>
      </w:r>
    </w:p>
    <w:p w14:paraId="5DE94B1C" w14:textId="77777777" w:rsidR="00600C81" w:rsidRDefault="00600C81" w:rsidP="00D50B18">
      <w:pPr>
        <w:spacing w:before="120" w:after="120" w:line="23" w:lineRule="atLeast"/>
        <w:jc w:val="center"/>
        <w:rPr>
          <w:rFonts w:ascii="Arial" w:hAnsi="Arial" w:cs="Arial"/>
          <w:b/>
          <w:bCs/>
        </w:rPr>
      </w:pPr>
    </w:p>
    <w:p w14:paraId="6583A949" w14:textId="7BF7ACFF" w:rsidR="0088636C" w:rsidRDefault="0088636C" w:rsidP="00D50B18">
      <w:pPr>
        <w:spacing w:before="120" w:after="120" w:line="23" w:lineRule="atLeast"/>
        <w:jc w:val="both"/>
        <w:rPr>
          <w:rFonts w:ascii="Arial" w:hAnsi="Arial" w:cs="Arial"/>
          <w:b/>
          <w:bCs/>
        </w:rPr>
      </w:pPr>
      <w:r w:rsidRPr="00730154">
        <w:rPr>
          <w:rFonts w:ascii="Arial" w:hAnsi="Arial" w:cs="Arial"/>
          <w:b/>
          <w:bCs/>
        </w:rPr>
        <w:t xml:space="preserve">INFORME que presenta </w:t>
      </w:r>
      <w:r w:rsidR="006477AA">
        <w:rPr>
          <w:rFonts w:ascii="Arial" w:hAnsi="Arial" w:cs="Arial"/>
          <w:b/>
          <w:bCs/>
        </w:rPr>
        <w:t xml:space="preserve">la Unidad de Competencia Económica respecto a </w:t>
      </w:r>
      <w:r w:rsidRPr="00730154">
        <w:rPr>
          <w:rFonts w:ascii="Arial" w:hAnsi="Arial" w:cs="Arial"/>
          <w:b/>
          <w:bCs/>
        </w:rPr>
        <w:t>los comentarios</w:t>
      </w:r>
      <w:r w:rsidR="007039D8">
        <w:rPr>
          <w:rFonts w:ascii="Arial" w:hAnsi="Arial" w:cs="Arial"/>
          <w:b/>
          <w:bCs/>
        </w:rPr>
        <w:t xml:space="preserve">, opiniones y aportaciones </w:t>
      </w:r>
      <w:r w:rsidRPr="00730154">
        <w:rPr>
          <w:rFonts w:ascii="Arial" w:hAnsi="Arial" w:cs="Arial"/>
          <w:b/>
          <w:bCs/>
        </w:rPr>
        <w:t>recibidos durante la consulta pública del</w:t>
      </w:r>
      <w:r>
        <w:rPr>
          <w:rFonts w:ascii="Arial" w:hAnsi="Arial" w:cs="Arial"/>
          <w:b/>
          <w:bCs/>
        </w:rPr>
        <w:t xml:space="preserve"> </w:t>
      </w:r>
      <w:r w:rsidRPr="0088636C">
        <w:rPr>
          <w:rFonts w:ascii="Arial" w:hAnsi="Arial" w:cs="Arial"/>
          <w:b/>
          <w:bCs/>
          <w:i/>
          <w:iCs/>
        </w:rPr>
        <w:t>“</w:t>
      </w:r>
      <w:r w:rsidR="0056026C" w:rsidRPr="0056026C">
        <w:rPr>
          <w:rFonts w:ascii="Arial" w:hAnsi="Arial" w:cs="Arial"/>
          <w:b/>
          <w:bCs/>
          <w:i/>
          <w:iCs/>
        </w:rPr>
        <w:t>Anteproyecto de Lineamientos para la sustanciación a través de medios electrónicos de procedimientos y trámites a cargo de la Unidad de Competencia Económica del Instituto Federal de Telecomunicaciones</w:t>
      </w:r>
      <w:r w:rsidRPr="0088636C">
        <w:rPr>
          <w:rFonts w:ascii="Arial" w:hAnsi="Arial" w:cs="Arial"/>
          <w:b/>
          <w:bCs/>
          <w:i/>
          <w:iCs/>
        </w:rPr>
        <w:t>”</w:t>
      </w:r>
      <w:r>
        <w:rPr>
          <w:rFonts w:ascii="Arial" w:hAnsi="Arial" w:cs="Arial"/>
          <w:b/>
          <w:bCs/>
        </w:rPr>
        <w:t xml:space="preserve">, así como consideraciones </w:t>
      </w:r>
      <w:r w:rsidRPr="0088636C">
        <w:rPr>
          <w:rFonts w:ascii="Arial" w:hAnsi="Arial" w:cs="Arial"/>
          <w:b/>
          <w:bCs/>
        </w:rPr>
        <w:t>a los mismos</w:t>
      </w:r>
      <w:r w:rsidR="007039D8">
        <w:rPr>
          <w:rFonts w:ascii="Arial" w:hAnsi="Arial" w:cs="Arial"/>
          <w:b/>
          <w:bCs/>
        </w:rPr>
        <w:t xml:space="preserve"> (Informe de Consideraciones)</w:t>
      </w:r>
      <w:r>
        <w:rPr>
          <w:rFonts w:ascii="Arial" w:hAnsi="Arial" w:cs="Arial"/>
          <w:b/>
          <w:bCs/>
        </w:rPr>
        <w:t>.</w:t>
      </w:r>
    </w:p>
    <w:p w14:paraId="6855EF5B" w14:textId="77777777" w:rsidR="004A4B96" w:rsidRDefault="004A4B96" w:rsidP="00D50B18">
      <w:pPr>
        <w:spacing w:before="120" w:after="120" w:line="23" w:lineRule="atLeast"/>
        <w:jc w:val="both"/>
        <w:rPr>
          <w:rFonts w:ascii="Arial" w:hAnsi="Arial" w:cs="Arial"/>
          <w:b/>
          <w:bCs/>
        </w:rPr>
      </w:pPr>
    </w:p>
    <w:p w14:paraId="62541306" w14:textId="2CFC48DA" w:rsidR="00B9227A" w:rsidRPr="005C5B1C" w:rsidRDefault="00B9227A" w:rsidP="00D50B18">
      <w:pPr>
        <w:spacing w:before="120" w:after="120" w:line="23" w:lineRule="atLeast"/>
        <w:jc w:val="both"/>
        <w:rPr>
          <w:rFonts w:ascii="Arial" w:hAnsi="Arial" w:cs="Arial"/>
        </w:rPr>
      </w:pPr>
      <w:r w:rsidRPr="005C5B1C">
        <w:rPr>
          <w:rFonts w:ascii="Arial" w:hAnsi="Arial" w:cs="Arial"/>
          <w:b/>
          <w:bCs/>
        </w:rPr>
        <w:t>Presentación</w:t>
      </w:r>
    </w:p>
    <w:p w14:paraId="352F09EA" w14:textId="7AC99153" w:rsidR="00D703E0" w:rsidRDefault="007A1DE0" w:rsidP="00D50B18">
      <w:pPr>
        <w:spacing w:before="120" w:after="120" w:line="23" w:lineRule="atLeast"/>
        <w:jc w:val="both"/>
        <w:rPr>
          <w:rFonts w:ascii="Arial" w:hAnsi="Arial" w:cs="Arial"/>
        </w:rPr>
      </w:pPr>
      <w:r>
        <w:rPr>
          <w:rFonts w:ascii="Arial" w:hAnsi="Arial" w:cs="Arial"/>
        </w:rPr>
        <w:t>La Unidad de Competencia Económica</w:t>
      </w:r>
      <w:r w:rsidR="00C976EB">
        <w:rPr>
          <w:rFonts w:ascii="Arial" w:hAnsi="Arial" w:cs="Arial"/>
        </w:rPr>
        <w:t xml:space="preserve"> </w:t>
      </w:r>
      <w:r w:rsidR="004A4B96">
        <w:rPr>
          <w:rFonts w:ascii="Arial" w:hAnsi="Arial" w:cs="Arial"/>
        </w:rPr>
        <w:t xml:space="preserve">(UCE) </w:t>
      </w:r>
      <w:r>
        <w:rPr>
          <w:rFonts w:ascii="Arial" w:hAnsi="Arial" w:cs="Arial"/>
        </w:rPr>
        <w:t>del In</w:t>
      </w:r>
      <w:r w:rsidRPr="0088630D">
        <w:rPr>
          <w:rFonts w:ascii="Arial" w:hAnsi="Arial" w:cs="Arial"/>
        </w:rPr>
        <w:t>stituto Federal de Telecomunicaciones</w:t>
      </w:r>
      <w:r w:rsidR="004A4B96">
        <w:rPr>
          <w:rFonts w:ascii="Arial" w:hAnsi="Arial" w:cs="Arial"/>
        </w:rPr>
        <w:t xml:space="preserve"> (Instituto)</w:t>
      </w:r>
      <w:r w:rsidR="00B31779" w:rsidRPr="0088630D">
        <w:rPr>
          <w:rFonts w:ascii="Arial" w:hAnsi="Arial" w:cs="Arial"/>
        </w:rPr>
        <w:t xml:space="preserve"> presenta este Informe de Consideraciones en cumplimiento</w:t>
      </w:r>
      <w:r w:rsidR="000134ED">
        <w:rPr>
          <w:rFonts w:ascii="Arial" w:hAnsi="Arial" w:cs="Arial"/>
        </w:rPr>
        <w:t xml:space="preserve"> </w:t>
      </w:r>
      <w:r w:rsidR="0056026C">
        <w:rPr>
          <w:rFonts w:ascii="Arial" w:hAnsi="Arial" w:cs="Arial"/>
        </w:rPr>
        <w:t>del</w:t>
      </w:r>
      <w:r w:rsidR="000134ED">
        <w:rPr>
          <w:rFonts w:ascii="Arial" w:hAnsi="Arial" w:cs="Arial"/>
        </w:rPr>
        <w:t xml:space="preserve"> </w:t>
      </w:r>
      <w:r w:rsidR="000134ED" w:rsidRPr="00327E2B">
        <w:rPr>
          <w:rFonts w:ascii="Arial" w:hAnsi="Arial" w:cs="Arial"/>
        </w:rPr>
        <w:t xml:space="preserve">artículo 138, fracción II, de la Ley Federal de Competencia Económica, </w:t>
      </w:r>
      <w:r w:rsidR="0056026C">
        <w:rPr>
          <w:rFonts w:ascii="Arial" w:hAnsi="Arial" w:cs="Arial"/>
        </w:rPr>
        <w:t xml:space="preserve">el </w:t>
      </w:r>
      <w:r w:rsidR="000134ED" w:rsidRPr="00327E2B">
        <w:rPr>
          <w:rFonts w:ascii="Arial" w:hAnsi="Arial" w:cs="Arial"/>
        </w:rPr>
        <w:t xml:space="preserve">Acuerdo Tercero del </w:t>
      </w:r>
      <w:r w:rsidR="000134ED" w:rsidRPr="00327E2B">
        <w:rPr>
          <w:rFonts w:ascii="Arial" w:hAnsi="Arial" w:cs="Arial"/>
          <w:i/>
          <w:iCs/>
        </w:rPr>
        <w:t>Acuerdo mediante el cual el Pleno del Instituto Federal de Telecomunicaciones determina someter a Consulta Pública el “</w:t>
      </w:r>
      <w:r w:rsidR="0056026C" w:rsidRPr="0056026C">
        <w:rPr>
          <w:rFonts w:ascii="Arial" w:hAnsi="Arial" w:cs="Arial"/>
          <w:i/>
          <w:iCs/>
        </w:rPr>
        <w:t xml:space="preserve">Anteproyecto de </w:t>
      </w:r>
      <w:bookmarkStart w:id="1" w:name="_Hlk94023487"/>
      <w:r w:rsidR="0056026C" w:rsidRPr="0056026C">
        <w:rPr>
          <w:rFonts w:ascii="Arial" w:hAnsi="Arial" w:cs="Arial"/>
          <w:i/>
          <w:iCs/>
        </w:rPr>
        <w:t>Lineamientos para la sustanciación a través de medios electrónicos de procedimientos y trámites a cargo de la Unidad de Competencia Económica del Instituto Federal de Telecomunicaciones</w:t>
      </w:r>
      <w:bookmarkEnd w:id="1"/>
      <w:r w:rsidR="00261109">
        <w:rPr>
          <w:rFonts w:ascii="Arial" w:hAnsi="Arial" w:cs="Arial"/>
          <w:i/>
          <w:iCs/>
        </w:rPr>
        <w:t>”</w:t>
      </w:r>
      <w:r w:rsidR="000134ED">
        <w:rPr>
          <w:rFonts w:ascii="Arial" w:hAnsi="Arial" w:cs="Arial"/>
          <w:i/>
          <w:iCs/>
        </w:rPr>
        <w:t xml:space="preserve"> (</w:t>
      </w:r>
      <w:r w:rsidR="000134ED">
        <w:rPr>
          <w:rFonts w:ascii="Arial" w:hAnsi="Arial" w:cs="Arial"/>
        </w:rPr>
        <w:t>A</w:t>
      </w:r>
      <w:r w:rsidR="000134ED" w:rsidRPr="00730154">
        <w:rPr>
          <w:rFonts w:ascii="Arial" w:hAnsi="Arial" w:cs="Arial"/>
        </w:rPr>
        <w:t>cuerdo P/IFT</w:t>
      </w:r>
      <w:r w:rsidR="000134ED" w:rsidRPr="000134ED">
        <w:rPr>
          <w:rFonts w:ascii="Arial" w:hAnsi="Arial" w:cs="Arial"/>
        </w:rPr>
        <w:t>/0</w:t>
      </w:r>
      <w:r w:rsidR="0056026C">
        <w:rPr>
          <w:rFonts w:ascii="Arial" w:hAnsi="Arial" w:cs="Arial"/>
        </w:rPr>
        <w:t>311</w:t>
      </w:r>
      <w:r w:rsidR="000134ED" w:rsidRPr="000134ED">
        <w:rPr>
          <w:rFonts w:ascii="Arial" w:hAnsi="Arial" w:cs="Arial"/>
        </w:rPr>
        <w:t>21/</w:t>
      </w:r>
      <w:r w:rsidR="0056026C">
        <w:rPr>
          <w:rFonts w:ascii="Arial" w:hAnsi="Arial" w:cs="Arial"/>
        </w:rPr>
        <w:t>595</w:t>
      </w:r>
      <w:r w:rsidR="000134ED">
        <w:rPr>
          <w:rFonts w:ascii="Arial" w:hAnsi="Arial" w:cs="Arial"/>
          <w:i/>
          <w:iCs/>
        </w:rPr>
        <w:t>)</w:t>
      </w:r>
      <w:r w:rsidR="000134ED" w:rsidRPr="00327E2B">
        <w:rPr>
          <w:rFonts w:ascii="Arial" w:hAnsi="Arial" w:cs="Arial"/>
        </w:rPr>
        <w:t>, y el Lineamiento Noveno</w:t>
      </w:r>
      <w:r w:rsidR="00B31779" w:rsidRPr="0088630D">
        <w:rPr>
          <w:rFonts w:ascii="Arial" w:hAnsi="Arial" w:cs="Arial"/>
        </w:rPr>
        <w:t xml:space="preserve"> </w:t>
      </w:r>
      <w:r w:rsidR="0074301B">
        <w:rPr>
          <w:rFonts w:ascii="Arial" w:hAnsi="Arial" w:cs="Arial"/>
        </w:rPr>
        <w:t xml:space="preserve">de </w:t>
      </w:r>
      <w:r w:rsidR="00B31779" w:rsidRPr="0088630D">
        <w:rPr>
          <w:rFonts w:ascii="Arial" w:hAnsi="Arial" w:cs="Arial"/>
        </w:rPr>
        <w:t xml:space="preserve">los </w:t>
      </w:r>
      <w:r w:rsidR="00600C81" w:rsidRPr="0088630D">
        <w:rPr>
          <w:rFonts w:ascii="Arial" w:hAnsi="Arial" w:cs="Arial"/>
        </w:rPr>
        <w:t>Lineamientos de Consulta Pública y Análisis de Impacto</w:t>
      </w:r>
      <w:r w:rsidR="00600C81">
        <w:rPr>
          <w:rFonts w:ascii="Arial" w:hAnsi="Arial" w:cs="Arial"/>
        </w:rPr>
        <w:t xml:space="preserve"> Regulatorio del Instituto Federal de Telecomunicaciones</w:t>
      </w:r>
      <w:r w:rsidR="00F43731">
        <w:rPr>
          <w:rFonts w:ascii="Arial" w:hAnsi="Arial" w:cs="Arial"/>
        </w:rPr>
        <w:t>.</w:t>
      </w:r>
      <w:r w:rsidR="003142E8">
        <w:rPr>
          <w:rStyle w:val="Refdenotaalpie"/>
          <w:rFonts w:ascii="Arial" w:hAnsi="Arial" w:cs="Arial"/>
        </w:rPr>
        <w:footnoteReference w:id="2"/>
      </w:r>
      <w:r w:rsidR="00B77B08">
        <w:rPr>
          <w:rFonts w:ascii="Arial" w:hAnsi="Arial" w:cs="Arial"/>
        </w:rPr>
        <w:t xml:space="preserve"> </w:t>
      </w:r>
    </w:p>
    <w:p w14:paraId="658720ED" w14:textId="799E716F" w:rsidR="002E7781" w:rsidRDefault="00C976EB" w:rsidP="00D50B18">
      <w:pPr>
        <w:spacing w:before="120" w:after="120" w:line="23" w:lineRule="atLeast"/>
        <w:jc w:val="both"/>
        <w:rPr>
          <w:rFonts w:ascii="Arial" w:hAnsi="Arial" w:cs="Arial"/>
          <w:b/>
          <w:bCs/>
        </w:rPr>
      </w:pPr>
      <w:r w:rsidRPr="004116DA">
        <w:rPr>
          <w:rFonts w:ascii="Arial" w:hAnsi="Arial" w:cs="Arial"/>
          <w:b/>
          <w:bCs/>
        </w:rPr>
        <w:t>Glosario</w:t>
      </w:r>
    </w:p>
    <w:tbl>
      <w:tblPr>
        <w:tblW w:w="87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5"/>
        <w:gridCol w:w="7229"/>
      </w:tblGrid>
      <w:tr w:rsidR="009C3B88" w:rsidRPr="003E2214" w14:paraId="4D20B1FC" w14:textId="77777777" w:rsidTr="006445B0">
        <w:trPr>
          <w:trHeight w:val="77"/>
          <w:tblHeader/>
          <w:jc w:val="center"/>
        </w:trPr>
        <w:tc>
          <w:tcPr>
            <w:tcW w:w="1555" w:type="dxa"/>
            <w:shd w:val="clear" w:color="auto" w:fill="92D050"/>
            <w:vAlign w:val="center"/>
          </w:tcPr>
          <w:p w14:paraId="1F602FD4" w14:textId="77777777" w:rsidR="009C3B88" w:rsidRPr="009C3B88" w:rsidRDefault="009C3B88" w:rsidP="00846622">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Concepto</w:t>
            </w:r>
          </w:p>
        </w:tc>
        <w:tc>
          <w:tcPr>
            <w:tcW w:w="7229" w:type="dxa"/>
            <w:shd w:val="clear" w:color="auto" w:fill="92D050"/>
          </w:tcPr>
          <w:p w14:paraId="48179E4C" w14:textId="77777777" w:rsidR="009C3B88" w:rsidRPr="009C3B88" w:rsidRDefault="009C3B88" w:rsidP="00D50B18">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Significado</w:t>
            </w:r>
          </w:p>
        </w:tc>
      </w:tr>
      <w:tr w:rsidR="00261109" w:rsidRPr="003E2214" w14:paraId="109B1C63" w14:textId="77777777" w:rsidTr="006445B0">
        <w:trPr>
          <w:trHeight w:val="77"/>
          <w:jc w:val="center"/>
        </w:trPr>
        <w:tc>
          <w:tcPr>
            <w:tcW w:w="1555" w:type="dxa"/>
            <w:shd w:val="clear" w:color="auto" w:fill="auto"/>
            <w:vAlign w:val="center"/>
          </w:tcPr>
          <w:p w14:paraId="2F831A0B"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Anteproyecto</w:t>
            </w:r>
          </w:p>
        </w:tc>
        <w:tc>
          <w:tcPr>
            <w:tcW w:w="7229" w:type="dxa"/>
            <w:shd w:val="clear" w:color="auto" w:fill="auto"/>
          </w:tcPr>
          <w:p w14:paraId="538AD85C" w14:textId="1608BDB3" w:rsidR="00261109" w:rsidRPr="009C3B88" w:rsidRDefault="004116DA" w:rsidP="00261109">
            <w:pPr>
              <w:autoSpaceDE w:val="0"/>
              <w:autoSpaceDN w:val="0"/>
              <w:adjustRightInd w:val="0"/>
              <w:spacing w:before="120" w:after="120" w:line="23" w:lineRule="atLeast"/>
              <w:jc w:val="both"/>
              <w:rPr>
                <w:rFonts w:ascii="Arial" w:hAnsi="Arial" w:cs="Arial"/>
                <w:sz w:val="18"/>
                <w:szCs w:val="18"/>
              </w:rPr>
            </w:pPr>
            <w:r>
              <w:rPr>
                <w:rFonts w:ascii="Arial" w:hAnsi="Arial" w:cs="Arial"/>
                <w:sz w:val="18"/>
                <w:szCs w:val="18"/>
              </w:rPr>
              <w:t xml:space="preserve">Anteproyecto de </w:t>
            </w:r>
            <w:r w:rsidRPr="004116DA">
              <w:rPr>
                <w:rFonts w:ascii="Arial" w:hAnsi="Arial" w:cs="Arial"/>
                <w:sz w:val="18"/>
                <w:szCs w:val="18"/>
              </w:rPr>
              <w:t>Lineamientos para la sustanciación a través de medios electrónicos de procedimientos y trámites a cargo de la Unidad de Competencia Económica del Instituto Federal de Telecomunicaciones</w:t>
            </w:r>
          </w:p>
        </w:tc>
      </w:tr>
      <w:tr w:rsidR="00261109" w:rsidRPr="003E2214" w14:paraId="6A2311FB" w14:textId="77777777" w:rsidTr="006445B0">
        <w:trPr>
          <w:trHeight w:val="77"/>
          <w:jc w:val="center"/>
        </w:trPr>
        <w:tc>
          <w:tcPr>
            <w:tcW w:w="1555" w:type="dxa"/>
            <w:shd w:val="clear" w:color="auto" w:fill="auto"/>
            <w:vAlign w:val="center"/>
          </w:tcPr>
          <w:p w14:paraId="5E0DE7E3" w14:textId="2564051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46389B">
              <w:rPr>
                <w:rFonts w:ascii="Arial" w:hAnsi="Arial" w:cs="Arial"/>
                <w:b/>
                <w:sz w:val="18"/>
                <w:szCs w:val="18"/>
              </w:rPr>
              <w:t>COFECE</w:t>
            </w:r>
          </w:p>
        </w:tc>
        <w:tc>
          <w:tcPr>
            <w:tcW w:w="7229" w:type="dxa"/>
            <w:shd w:val="clear" w:color="auto" w:fill="auto"/>
          </w:tcPr>
          <w:p w14:paraId="5685E806" w14:textId="648478F4"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CB300E">
              <w:rPr>
                <w:rFonts w:ascii="Arial" w:hAnsi="Arial" w:cs="Arial"/>
                <w:sz w:val="18"/>
                <w:szCs w:val="18"/>
              </w:rPr>
              <w:t>Comisión Federal de Competencia Económica.</w:t>
            </w:r>
          </w:p>
        </w:tc>
      </w:tr>
      <w:tr w:rsidR="003A246E" w:rsidRPr="003E2214" w14:paraId="1847CB84" w14:textId="77777777" w:rsidTr="006445B0">
        <w:trPr>
          <w:trHeight w:val="77"/>
          <w:jc w:val="center"/>
        </w:trPr>
        <w:tc>
          <w:tcPr>
            <w:tcW w:w="1555" w:type="dxa"/>
            <w:shd w:val="clear" w:color="auto" w:fill="auto"/>
            <w:vAlign w:val="center"/>
          </w:tcPr>
          <w:p w14:paraId="5426ED48" w14:textId="3109FEE2" w:rsidR="003A246E" w:rsidRPr="0046389B" w:rsidRDefault="003A246E" w:rsidP="00261109">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Consulta Pública</w:t>
            </w:r>
          </w:p>
        </w:tc>
        <w:tc>
          <w:tcPr>
            <w:tcW w:w="7229" w:type="dxa"/>
            <w:shd w:val="clear" w:color="auto" w:fill="auto"/>
            <w:vAlign w:val="center"/>
          </w:tcPr>
          <w:p w14:paraId="7469C216" w14:textId="63581BC3" w:rsidR="003A246E" w:rsidRPr="00CB300E" w:rsidRDefault="003A246E" w:rsidP="00231E89">
            <w:pPr>
              <w:autoSpaceDE w:val="0"/>
              <w:autoSpaceDN w:val="0"/>
              <w:adjustRightInd w:val="0"/>
              <w:spacing w:before="120" w:after="120" w:line="23" w:lineRule="atLeast"/>
              <w:rPr>
                <w:rFonts w:ascii="Arial" w:hAnsi="Arial" w:cs="Arial"/>
                <w:sz w:val="18"/>
                <w:szCs w:val="18"/>
              </w:rPr>
            </w:pPr>
            <w:r>
              <w:rPr>
                <w:rFonts w:ascii="Arial" w:hAnsi="Arial" w:cs="Arial"/>
                <w:sz w:val="18"/>
                <w:szCs w:val="18"/>
              </w:rPr>
              <w:t>Consulta pública de</w:t>
            </w:r>
            <w:r w:rsidR="00BB2054">
              <w:rPr>
                <w:rFonts w:ascii="Arial" w:hAnsi="Arial" w:cs="Arial"/>
                <w:sz w:val="18"/>
                <w:szCs w:val="18"/>
              </w:rPr>
              <w:t>l</w:t>
            </w:r>
            <w:r>
              <w:rPr>
                <w:rFonts w:ascii="Arial" w:hAnsi="Arial" w:cs="Arial"/>
                <w:sz w:val="18"/>
                <w:szCs w:val="18"/>
              </w:rPr>
              <w:t xml:space="preserve"> Ante</w:t>
            </w:r>
            <w:r w:rsidR="00595F59">
              <w:rPr>
                <w:rFonts w:ascii="Arial" w:hAnsi="Arial" w:cs="Arial"/>
                <w:sz w:val="18"/>
                <w:szCs w:val="18"/>
              </w:rPr>
              <w:t>pr</w:t>
            </w:r>
            <w:r>
              <w:rPr>
                <w:rFonts w:ascii="Arial" w:hAnsi="Arial" w:cs="Arial"/>
                <w:sz w:val="18"/>
                <w:szCs w:val="18"/>
              </w:rPr>
              <w:t>oyecto.</w:t>
            </w:r>
          </w:p>
        </w:tc>
      </w:tr>
      <w:tr w:rsidR="00261109" w:rsidRPr="003E2214" w14:paraId="036BCE00" w14:textId="77777777" w:rsidTr="006445B0">
        <w:trPr>
          <w:trHeight w:val="77"/>
          <w:jc w:val="center"/>
        </w:trPr>
        <w:tc>
          <w:tcPr>
            <w:tcW w:w="1555" w:type="dxa"/>
            <w:shd w:val="clear" w:color="auto" w:fill="auto"/>
            <w:vAlign w:val="center"/>
          </w:tcPr>
          <w:p w14:paraId="4C3A2402"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CPEUM</w:t>
            </w:r>
          </w:p>
        </w:tc>
        <w:tc>
          <w:tcPr>
            <w:tcW w:w="7229" w:type="dxa"/>
            <w:shd w:val="clear" w:color="auto" w:fill="auto"/>
          </w:tcPr>
          <w:p w14:paraId="6D84317F"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Constitución Política de los Estados Unidos Mexicanos.</w:t>
            </w:r>
          </w:p>
        </w:tc>
      </w:tr>
      <w:tr w:rsidR="00261109" w:rsidRPr="003E2214" w14:paraId="072C7B3D" w14:textId="77777777" w:rsidTr="006445B0">
        <w:trPr>
          <w:trHeight w:val="77"/>
          <w:jc w:val="center"/>
        </w:trPr>
        <w:tc>
          <w:tcPr>
            <w:tcW w:w="1555" w:type="dxa"/>
            <w:shd w:val="clear" w:color="auto" w:fill="auto"/>
            <w:vAlign w:val="center"/>
          </w:tcPr>
          <w:p w14:paraId="5423DC16" w14:textId="6732660C"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lastRenderedPageBreak/>
              <w:t>DOF</w:t>
            </w:r>
          </w:p>
        </w:tc>
        <w:tc>
          <w:tcPr>
            <w:tcW w:w="7229" w:type="dxa"/>
            <w:shd w:val="clear" w:color="auto" w:fill="auto"/>
          </w:tcPr>
          <w:p w14:paraId="7EBF2CF4" w14:textId="1381BE18"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Diario Oficial de la Federación.</w:t>
            </w:r>
          </w:p>
        </w:tc>
      </w:tr>
      <w:tr w:rsidR="00261109" w:rsidRPr="003E2214" w14:paraId="3BB91452" w14:textId="77777777" w:rsidTr="006445B0">
        <w:trPr>
          <w:trHeight w:val="77"/>
          <w:jc w:val="center"/>
        </w:trPr>
        <w:tc>
          <w:tcPr>
            <w:tcW w:w="1555" w:type="dxa"/>
            <w:shd w:val="clear" w:color="auto" w:fill="auto"/>
            <w:vAlign w:val="center"/>
          </w:tcPr>
          <w:p w14:paraId="59CA8906"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Instituto</w:t>
            </w:r>
            <w:r w:rsidRPr="009C3B88">
              <w:rPr>
                <w:rFonts w:ascii="Arial" w:hAnsi="Arial" w:cs="Arial"/>
                <w:b/>
                <w:bCs/>
                <w:sz w:val="18"/>
                <w:szCs w:val="18"/>
              </w:rPr>
              <w:t xml:space="preserve"> o IFT</w:t>
            </w:r>
          </w:p>
        </w:tc>
        <w:tc>
          <w:tcPr>
            <w:tcW w:w="7229" w:type="dxa"/>
            <w:shd w:val="clear" w:color="auto" w:fill="auto"/>
          </w:tcPr>
          <w:p w14:paraId="49F79FC5" w14:textId="777777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Instituto Federal de Telecomunicaciones.</w:t>
            </w:r>
          </w:p>
        </w:tc>
      </w:tr>
      <w:tr w:rsidR="00261109" w:rsidRPr="003E2214" w14:paraId="73594182" w14:textId="77777777" w:rsidTr="006445B0">
        <w:trPr>
          <w:trHeight w:val="77"/>
          <w:jc w:val="center"/>
        </w:trPr>
        <w:tc>
          <w:tcPr>
            <w:tcW w:w="1555" w:type="dxa"/>
            <w:shd w:val="clear" w:color="auto" w:fill="auto"/>
            <w:vAlign w:val="center"/>
          </w:tcPr>
          <w:p w14:paraId="464D59C4" w14:textId="5DF0ABA4" w:rsidR="00261109" w:rsidRPr="009C3B88" w:rsidRDefault="00261109" w:rsidP="00261109">
            <w:pPr>
              <w:autoSpaceDE w:val="0"/>
              <w:autoSpaceDN w:val="0"/>
              <w:adjustRightInd w:val="0"/>
              <w:spacing w:before="120" w:after="120" w:line="23" w:lineRule="atLeast"/>
              <w:jc w:val="center"/>
              <w:rPr>
                <w:rFonts w:ascii="Arial" w:hAnsi="Arial" w:cs="Arial"/>
                <w:b/>
                <w:color w:val="FF0000"/>
                <w:sz w:val="18"/>
                <w:szCs w:val="18"/>
              </w:rPr>
            </w:pPr>
            <w:r w:rsidRPr="00881BE3">
              <w:rPr>
                <w:rFonts w:ascii="Arial" w:hAnsi="Arial" w:cs="Arial"/>
                <w:b/>
                <w:sz w:val="18"/>
                <w:szCs w:val="18"/>
              </w:rPr>
              <w:t>DRLFCE</w:t>
            </w:r>
          </w:p>
        </w:tc>
        <w:tc>
          <w:tcPr>
            <w:tcW w:w="7229" w:type="dxa"/>
            <w:shd w:val="clear" w:color="auto" w:fill="auto"/>
          </w:tcPr>
          <w:p w14:paraId="20799516" w14:textId="54B2A277"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395D35">
              <w:rPr>
                <w:rFonts w:ascii="Arial" w:hAnsi="Arial" w:cs="Arial"/>
                <w:sz w:val="18"/>
                <w:szCs w:val="18"/>
              </w:rPr>
              <w:t>Disposiciones Regulatorias de la Ley Federal de Competencia Económica para los sectores de telecomunicaciones y radiodifusión</w:t>
            </w:r>
            <w:r w:rsidRPr="004A2CE1">
              <w:rPr>
                <w:rFonts w:ascii="Arial" w:hAnsi="Arial" w:cs="Arial"/>
                <w:sz w:val="18"/>
                <w:szCs w:val="18"/>
              </w:rPr>
              <w:t>.</w:t>
            </w:r>
          </w:p>
        </w:tc>
      </w:tr>
      <w:tr w:rsidR="00261109" w:rsidRPr="003E2214" w14:paraId="73C559D9" w14:textId="77777777" w:rsidTr="006445B0">
        <w:trPr>
          <w:trHeight w:val="77"/>
          <w:jc w:val="center"/>
        </w:trPr>
        <w:tc>
          <w:tcPr>
            <w:tcW w:w="1555" w:type="dxa"/>
            <w:shd w:val="clear" w:color="auto" w:fill="auto"/>
            <w:vAlign w:val="center"/>
          </w:tcPr>
          <w:p w14:paraId="5BAC053E" w14:textId="0396EEA2"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LFCE</w:t>
            </w:r>
          </w:p>
        </w:tc>
        <w:tc>
          <w:tcPr>
            <w:tcW w:w="7229" w:type="dxa"/>
            <w:shd w:val="clear" w:color="auto" w:fill="auto"/>
          </w:tcPr>
          <w:p w14:paraId="71520CE3" w14:textId="13051855" w:rsidR="00261109" w:rsidRPr="009C3B88" w:rsidRDefault="00261109" w:rsidP="00261109">
            <w:pPr>
              <w:pStyle w:val="Textonotapie"/>
              <w:spacing w:before="120" w:after="120" w:line="23" w:lineRule="atLeast"/>
              <w:jc w:val="both"/>
              <w:rPr>
                <w:rFonts w:ascii="Arial" w:hAnsi="Arial" w:cs="Arial"/>
                <w:sz w:val="18"/>
                <w:szCs w:val="18"/>
              </w:rPr>
            </w:pPr>
            <w:r w:rsidRPr="009C3B88">
              <w:rPr>
                <w:rFonts w:ascii="Arial" w:hAnsi="Arial" w:cs="Arial"/>
                <w:sz w:val="18"/>
                <w:szCs w:val="18"/>
              </w:rPr>
              <w:t>Ley Federal de Competencia Económica</w:t>
            </w:r>
            <w:r>
              <w:rPr>
                <w:rFonts w:ascii="Arial" w:hAnsi="Arial" w:cs="Arial"/>
                <w:sz w:val="18"/>
                <w:szCs w:val="18"/>
              </w:rPr>
              <w:t>.</w:t>
            </w:r>
          </w:p>
        </w:tc>
      </w:tr>
      <w:tr w:rsidR="004116DA" w:rsidRPr="003E2214" w14:paraId="2451418B" w14:textId="77777777" w:rsidTr="006445B0">
        <w:trPr>
          <w:trHeight w:val="77"/>
          <w:jc w:val="center"/>
        </w:trPr>
        <w:tc>
          <w:tcPr>
            <w:tcW w:w="1555" w:type="dxa"/>
            <w:shd w:val="clear" w:color="auto" w:fill="auto"/>
            <w:vAlign w:val="center"/>
          </w:tcPr>
          <w:p w14:paraId="675D5419" w14:textId="08C86129" w:rsidR="004116DA" w:rsidRDefault="004116DA" w:rsidP="004116DA">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LFEA</w:t>
            </w:r>
          </w:p>
        </w:tc>
        <w:tc>
          <w:tcPr>
            <w:tcW w:w="7229" w:type="dxa"/>
            <w:shd w:val="clear" w:color="auto" w:fill="auto"/>
          </w:tcPr>
          <w:p w14:paraId="02702BE9" w14:textId="0A44135A" w:rsidR="004116DA" w:rsidRDefault="004116DA" w:rsidP="004116DA">
            <w:pPr>
              <w:pStyle w:val="Textonotapie"/>
              <w:spacing w:before="120" w:after="120" w:line="23" w:lineRule="atLeast"/>
              <w:jc w:val="both"/>
              <w:rPr>
                <w:rFonts w:ascii="Arial" w:hAnsi="Arial" w:cs="Arial"/>
                <w:sz w:val="18"/>
                <w:szCs w:val="18"/>
              </w:rPr>
            </w:pPr>
            <w:r>
              <w:rPr>
                <w:rFonts w:ascii="Arial" w:hAnsi="Arial" w:cs="Arial"/>
                <w:sz w:val="18"/>
                <w:szCs w:val="18"/>
              </w:rPr>
              <w:t>Ley de Firma Electrónica Avanzada</w:t>
            </w:r>
          </w:p>
        </w:tc>
      </w:tr>
      <w:tr w:rsidR="004116DA" w:rsidRPr="003E2214" w14:paraId="0850C504" w14:textId="77777777" w:rsidTr="006445B0">
        <w:trPr>
          <w:trHeight w:val="77"/>
          <w:jc w:val="center"/>
        </w:trPr>
        <w:tc>
          <w:tcPr>
            <w:tcW w:w="1555" w:type="dxa"/>
            <w:shd w:val="clear" w:color="auto" w:fill="auto"/>
            <w:vAlign w:val="center"/>
          </w:tcPr>
          <w:p w14:paraId="2A3DCCFE" w14:textId="3E5F0A1D" w:rsidR="004116DA" w:rsidRPr="009C3B88" w:rsidRDefault="004116DA" w:rsidP="00261109">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LFPA</w:t>
            </w:r>
          </w:p>
        </w:tc>
        <w:tc>
          <w:tcPr>
            <w:tcW w:w="7229" w:type="dxa"/>
            <w:shd w:val="clear" w:color="auto" w:fill="auto"/>
          </w:tcPr>
          <w:p w14:paraId="1FEDFEB2" w14:textId="61A36E57" w:rsidR="004116DA" w:rsidRPr="009C3B88" w:rsidRDefault="004116DA" w:rsidP="00261109">
            <w:pPr>
              <w:pStyle w:val="Textonotapie"/>
              <w:spacing w:before="120" w:after="120" w:line="23" w:lineRule="atLeast"/>
              <w:jc w:val="both"/>
              <w:rPr>
                <w:rFonts w:ascii="Arial" w:hAnsi="Arial" w:cs="Arial"/>
                <w:sz w:val="18"/>
                <w:szCs w:val="18"/>
              </w:rPr>
            </w:pPr>
            <w:r>
              <w:rPr>
                <w:rFonts w:ascii="Arial" w:hAnsi="Arial" w:cs="Arial"/>
                <w:sz w:val="18"/>
                <w:szCs w:val="18"/>
              </w:rPr>
              <w:t>Ley Federal de Procedimiento Administrativo</w:t>
            </w:r>
          </w:p>
        </w:tc>
      </w:tr>
      <w:tr w:rsidR="004116DA" w:rsidRPr="003E2214" w14:paraId="1182F8F0" w14:textId="77777777" w:rsidTr="006445B0">
        <w:trPr>
          <w:trHeight w:val="77"/>
          <w:jc w:val="center"/>
        </w:trPr>
        <w:tc>
          <w:tcPr>
            <w:tcW w:w="1555" w:type="dxa"/>
            <w:shd w:val="clear" w:color="auto" w:fill="auto"/>
            <w:vAlign w:val="center"/>
          </w:tcPr>
          <w:p w14:paraId="20858AFC" w14:textId="3F8A2551" w:rsidR="004116DA" w:rsidRPr="009C3B88" w:rsidRDefault="004116DA" w:rsidP="004116DA">
            <w:pPr>
              <w:autoSpaceDE w:val="0"/>
              <w:autoSpaceDN w:val="0"/>
              <w:adjustRightInd w:val="0"/>
              <w:spacing w:before="120" w:after="120" w:line="23" w:lineRule="atLeast"/>
              <w:jc w:val="center"/>
              <w:rPr>
                <w:rFonts w:ascii="Arial" w:hAnsi="Arial" w:cs="Arial"/>
                <w:b/>
                <w:sz w:val="18"/>
                <w:szCs w:val="18"/>
              </w:rPr>
            </w:pPr>
            <w:r>
              <w:rPr>
                <w:rFonts w:ascii="Arial" w:hAnsi="Arial" w:cs="Arial"/>
                <w:b/>
                <w:sz w:val="18"/>
                <w:szCs w:val="18"/>
              </w:rPr>
              <w:t>Lineamientos</w:t>
            </w:r>
          </w:p>
        </w:tc>
        <w:tc>
          <w:tcPr>
            <w:tcW w:w="7229" w:type="dxa"/>
            <w:shd w:val="clear" w:color="auto" w:fill="auto"/>
          </w:tcPr>
          <w:p w14:paraId="3E31A490" w14:textId="31C672C3" w:rsidR="004116DA" w:rsidRPr="005035E3" w:rsidRDefault="004116DA" w:rsidP="004116DA">
            <w:pPr>
              <w:autoSpaceDE w:val="0"/>
              <w:autoSpaceDN w:val="0"/>
              <w:adjustRightInd w:val="0"/>
              <w:spacing w:before="120" w:after="120" w:line="23" w:lineRule="atLeast"/>
              <w:jc w:val="both"/>
              <w:rPr>
                <w:rFonts w:ascii="Arial" w:hAnsi="Arial" w:cs="Arial"/>
                <w:sz w:val="18"/>
                <w:szCs w:val="18"/>
              </w:rPr>
            </w:pPr>
            <w:r w:rsidRPr="004116DA">
              <w:rPr>
                <w:rFonts w:ascii="Arial" w:hAnsi="Arial" w:cs="Arial"/>
                <w:sz w:val="18"/>
                <w:szCs w:val="18"/>
              </w:rPr>
              <w:t>Lineamientos para la sustanciación a través de medios electrónicos de procedimientos y trámites a cargo de la Unidad de Competencia Económica del Instituto Federal de Telecomunicaciones</w:t>
            </w:r>
          </w:p>
        </w:tc>
      </w:tr>
      <w:tr w:rsidR="00261109" w:rsidRPr="003E2214" w14:paraId="5161146F" w14:textId="77777777" w:rsidTr="006445B0">
        <w:trPr>
          <w:trHeight w:val="77"/>
          <w:jc w:val="center"/>
        </w:trPr>
        <w:tc>
          <w:tcPr>
            <w:tcW w:w="1555" w:type="dxa"/>
            <w:shd w:val="clear" w:color="auto" w:fill="auto"/>
            <w:vAlign w:val="center"/>
          </w:tcPr>
          <w:p w14:paraId="7514BD8F"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1</w:t>
            </w:r>
          </w:p>
        </w:tc>
        <w:tc>
          <w:tcPr>
            <w:tcW w:w="7229" w:type="dxa"/>
            <w:shd w:val="clear" w:color="auto" w:fill="auto"/>
          </w:tcPr>
          <w:p w14:paraId="37B90E29" w14:textId="4E76EE34" w:rsidR="00261109" w:rsidRPr="009C3B88" w:rsidRDefault="005035E3" w:rsidP="00261109">
            <w:pPr>
              <w:autoSpaceDE w:val="0"/>
              <w:autoSpaceDN w:val="0"/>
              <w:adjustRightInd w:val="0"/>
              <w:spacing w:before="120" w:after="120" w:line="23" w:lineRule="atLeast"/>
              <w:jc w:val="both"/>
              <w:rPr>
                <w:rFonts w:ascii="Arial" w:hAnsi="Arial" w:cs="Arial"/>
                <w:sz w:val="18"/>
                <w:szCs w:val="18"/>
              </w:rPr>
            </w:pPr>
            <w:r w:rsidRPr="005035E3">
              <w:rPr>
                <w:rFonts w:ascii="Arial" w:hAnsi="Arial" w:cs="Arial"/>
                <w:sz w:val="18"/>
                <w:szCs w:val="18"/>
              </w:rPr>
              <w:t>Mega Cable, S.A. de C.V.</w:t>
            </w:r>
          </w:p>
        </w:tc>
      </w:tr>
      <w:tr w:rsidR="00261109" w:rsidRPr="003E2214" w14:paraId="1F084277" w14:textId="77777777" w:rsidTr="006445B0">
        <w:trPr>
          <w:trHeight w:val="77"/>
          <w:jc w:val="center"/>
        </w:trPr>
        <w:tc>
          <w:tcPr>
            <w:tcW w:w="1555" w:type="dxa"/>
            <w:shd w:val="clear" w:color="auto" w:fill="auto"/>
            <w:vAlign w:val="center"/>
          </w:tcPr>
          <w:p w14:paraId="1459C27D"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2</w:t>
            </w:r>
          </w:p>
        </w:tc>
        <w:tc>
          <w:tcPr>
            <w:tcW w:w="7229" w:type="dxa"/>
            <w:shd w:val="clear" w:color="auto" w:fill="auto"/>
          </w:tcPr>
          <w:p w14:paraId="5286F8EB" w14:textId="6FDC531A" w:rsidR="00261109" w:rsidRPr="009C3B88" w:rsidRDefault="005035E3" w:rsidP="00261109">
            <w:pPr>
              <w:autoSpaceDE w:val="0"/>
              <w:autoSpaceDN w:val="0"/>
              <w:adjustRightInd w:val="0"/>
              <w:spacing w:before="120" w:after="120" w:line="23" w:lineRule="atLeast"/>
              <w:jc w:val="both"/>
              <w:rPr>
                <w:rFonts w:ascii="Arial" w:hAnsi="Arial" w:cs="Arial"/>
                <w:sz w:val="18"/>
                <w:szCs w:val="18"/>
              </w:rPr>
            </w:pPr>
            <w:r w:rsidRPr="005035E3">
              <w:rPr>
                <w:rFonts w:ascii="Arial" w:hAnsi="Arial" w:cs="Arial"/>
                <w:sz w:val="18"/>
                <w:szCs w:val="18"/>
              </w:rPr>
              <w:t xml:space="preserve">Cablevisión, S.A. de C.V., </w:t>
            </w:r>
            <w:proofErr w:type="spellStart"/>
            <w:r w:rsidRPr="005035E3">
              <w:rPr>
                <w:rFonts w:ascii="Arial" w:hAnsi="Arial" w:cs="Arial"/>
                <w:sz w:val="18"/>
                <w:szCs w:val="18"/>
              </w:rPr>
              <w:t>Operbes</w:t>
            </w:r>
            <w:proofErr w:type="spellEnd"/>
            <w:r w:rsidRPr="005035E3">
              <w:rPr>
                <w:rFonts w:ascii="Arial" w:hAnsi="Arial" w:cs="Arial"/>
                <w:sz w:val="18"/>
                <w:szCs w:val="18"/>
              </w:rPr>
              <w:t>, S.A. de C.V., Cablemás Telecomunicaciones, S.A. de C.V., México Red de Telecomunicaciones, S. de R.L. de C.V., Televisión Internacional, S.A. de C.V., Cablevisión Red, S.A. de C.V., y TV Cable de Oriente, S.A. de C.V.</w:t>
            </w:r>
          </w:p>
        </w:tc>
      </w:tr>
      <w:tr w:rsidR="00261109" w:rsidRPr="003E2214" w14:paraId="287FCDFD" w14:textId="77777777" w:rsidTr="006445B0">
        <w:trPr>
          <w:trHeight w:val="77"/>
          <w:jc w:val="center"/>
        </w:trPr>
        <w:tc>
          <w:tcPr>
            <w:tcW w:w="1555" w:type="dxa"/>
            <w:shd w:val="clear" w:color="auto" w:fill="auto"/>
            <w:vAlign w:val="center"/>
          </w:tcPr>
          <w:p w14:paraId="1AEA82B5"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3</w:t>
            </w:r>
          </w:p>
        </w:tc>
        <w:tc>
          <w:tcPr>
            <w:tcW w:w="7229" w:type="dxa"/>
            <w:shd w:val="clear" w:color="auto" w:fill="auto"/>
          </w:tcPr>
          <w:p w14:paraId="31A52B6D" w14:textId="4657C3F6" w:rsidR="00261109" w:rsidRPr="009C3B88" w:rsidRDefault="005035E3"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Carlos Mora Villalpando.</w:t>
            </w:r>
          </w:p>
        </w:tc>
      </w:tr>
      <w:tr w:rsidR="00261109" w:rsidRPr="003E2214" w14:paraId="4C79E292" w14:textId="77777777" w:rsidTr="006445B0">
        <w:trPr>
          <w:trHeight w:val="77"/>
          <w:jc w:val="center"/>
        </w:trPr>
        <w:tc>
          <w:tcPr>
            <w:tcW w:w="1555" w:type="dxa"/>
            <w:shd w:val="clear" w:color="auto" w:fill="auto"/>
            <w:vAlign w:val="center"/>
          </w:tcPr>
          <w:p w14:paraId="4A0E3123"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Participante 4</w:t>
            </w:r>
          </w:p>
        </w:tc>
        <w:tc>
          <w:tcPr>
            <w:tcW w:w="7229" w:type="dxa"/>
            <w:shd w:val="clear" w:color="auto" w:fill="auto"/>
          </w:tcPr>
          <w:p w14:paraId="1D7FD778" w14:textId="5A8EB88F" w:rsidR="00261109" w:rsidRPr="009C3B88" w:rsidRDefault="005035E3" w:rsidP="00261109">
            <w:pPr>
              <w:autoSpaceDE w:val="0"/>
              <w:autoSpaceDN w:val="0"/>
              <w:adjustRightInd w:val="0"/>
              <w:spacing w:before="120" w:after="120" w:line="23" w:lineRule="atLeast"/>
              <w:jc w:val="both"/>
              <w:rPr>
                <w:rFonts w:ascii="Arial" w:hAnsi="Arial" w:cs="Arial"/>
                <w:sz w:val="18"/>
                <w:szCs w:val="18"/>
              </w:rPr>
            </w:pPr>
            <w:r>
              <w:rPr>
                <w:rFonts w:ascii="Arial" w:hAnsi="Arial" w:cs="Arial"/>
                <w:sz w:val="18"/>
                <w:szCs w:val="18"/>
              </w:rPr>
              <w:t>Comisión Federal de Competencia Económica.</w:t>
            </w:r>
            <w:r w:rsidR="00261109" w:rsidRPr="009C3B88">
              <w:rPr>
                <w:rFonts w:ascii="Arial" w:hAnsi="Arial" w:cs="Arial"/>
                <w:sz w:val="18"/>
                <w:szCs w:val="18"/>
              </w:rPr>
              <w:t xml:space="preserve"> </w:t>
            </w:r>
          </w:p>
        </w:tc>
      </w:tr>
      <w:tr w:rsidR="00261109" w:rsidRPr="003E2214" w14:paraId="15BCB042" w14:textId="77777777" w:rsidTr="006445B0">
        <w:trPr>
          <w:trHeight w:val="77"/>
          <w:jc w:val="center"/>
        </w:trPr>
        <w:tc>
          <w:tcPr>
            <w:tcW w:w="1555" w:type="dxa"/>
            <w:shd w:val="clear" w:color="auto" w:fill="auto"/>
            <w:vAlign w:val="center"/>
          </w:tcPr>
          <w:p w14:paraId="7AF5DBEB"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Pleno</w:t>
            </w:r>
          </w:p>
        </w:tc>
        <w:tc>
          <w:tcPr>
            <w:tcW w:w="7229" w:type="dxa"/>
            <w:shd w:val="clear" w:color="auto" w:fill="auto"/>
          </w:tcPr>
          <w:p w14:paraId="4502C141" w14:textId="5E43B5E9"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B73257">
              <w:rPr>
                <w:rFonts w:ascii="Arial" w:hAnsi="Arial" w:cs="Arial"/>
                <w:sz w:val="18"/>
                <w:szCs w:val="18"/>
              </w:rPr>
              <w:t>Órgano máximo de gobierno del Instituto, integrado por siete Comisionados, incluyendo al Comisionado Presidente</w:t>
            </w:r>
            <w:r w:rsidRPr="009C3B88">
              <w:rPr>
                <w:rFonts w:ascii="Arial" w:hAnsi="Arial" w:cs="Arial"/>
                <w:sz w:val="18"/>
                <w:szCs w:val="18"/>
              </w:rPr>
              <w:t>.</w:t>
            </w:r>
          </w:p>
        </w:tc>
      </w:tr>
      <w:tr w:rsidR="00261109" w:rsidRPr="003E2214" w14:paraId="6D6C5F25" w14:textId="77777777" w:rsidTr="006445B0">
        <w:trPr>
          <w:trHeight w:val="77"/>
          <w:jc w:val="center"/>
        </w:trPr>
        <w:tc>
          <w:tcPr>
            <w:tcW w:w="1555" w:type="dxa"/>
            <w:shd w:val="clear" w:color="auto" w:fill="auto"/>
            <w:vAlign w:val="center"/>
          </w:tcPr>
          <w:p w14:paraId="387D7D25" w14:textId="77777777" w:rsidR="00261109" w:rsidRPr="009C3B88" w:rsidRDefault="00261109" w:rsidP="00261109">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UCE</w:t>
            </w:r>
          </w:p>
        </w:tc>
        <w:tc>
          <w:tcPr>
            <w:tcW w:w="7229" w:type="dxa"/>
            <w:shd w:val="clear" w:color="auto" w:fill="auto"/>
          </w:tcPr>
          <w:p w14:paraId="4136C690" w14:textId="33B12D58" w:rsidR="00261109" w:rsidRPr="009C3B88" w:rsidRDefault="00261109" w:rsidP="00261109">
            <w:pPr>
              <w:autoSpaceDE w:val="0"/>
              <w:autoSpaceDN w:val="0"/>
              <w:adjustRightInd w:val="0"/>
              <w:spacing w:before="120" w:after="120" w:line="23" w:lineRule="atLeast"/>
              <w:jc w:val="both"/>
              <w:rPr>
                <w:rFonts w:ascii="Arial" w:hAnsi="Arial" w:cs="Arial"/>
                <w:sz w:val="18"/>
                <w:szCs w:val="18"/>
              </w:rPr>
            </w:pPr>
            <w:r w:rsidRPr="009C3B88">
              <w:rPr>
                <w:rFonts w:ascii="Arial" w:hAnsi="Arial" w:cs="Arial"/>
                <w:sz w:val="18"/>
                <w:szCs w:val="18"/>
              </w:rPr>
              <w:t xml:space="preserve">Unidad de </w:t>
            </w:r>
            <w:r>
              <w:rPr>
                <w:rFonts w:ascii="Arial" w:hAnsi="Arial" w:cs="Arial"/>
                <w:sz w:val="18"/>
                <w:szCs w:val="18"/>
              </w:rPr>
              <w:t>C</w:t>
            </w:r>
            <w:r w:rsidRPr="009C3B88">
              <w:rPr>
                <w:rFonts w:ascii="Arial" w:hAnsi="Arial" w:cs="Arial"/>
                <w:sz w:val="18"/>
                <w:szCs w:val="18"/>
              </w:rPr>
              <w:t>ompetencia Económica</w:t>
            </w:r>
            <w:r>
              <w:rPr>
                <w:rFonts w:ascii="Arial" w:hAnsi="Arial" w:cs="Arial"/>
                <w:sz w:val="18"/>
                <w:szCs w:val="18"/>
              </w:rPr>
              <w:t xml:space="preserve"> </w:t>
            </w:r>
            <w:r w:rsidRPr="00C35F7D">
              <w:rPr>
                <w:rFonts w:ascii="Arial" w:hAnsi="Arial" w:cs="Arial"/>
                <w:sz w:val="18"/>
                <w:szCs w:val="18"/>
              </w:rPr>
              <w:t>del Instituto</w:t>
            </w:r>
            <w:r w:rsidRPr="009C3B88">
              <w:rPr>
                <w:rFonts w:ascii="Arial" w:hAnsi="Arial" w:cs="Arial"/>
                <w:sz w:val="18"/>
                <w:szCs w:val="18"/>
              </w:rPr>
              <w:t xml:space="preserve">. </w:t>
            </w:r>
            <w:r>
              <w:rPr>
                <w:rFonts w:ascii="Arial" w:hAnsi="Arial" w:cs="Arial"/>
                <w:sz w:val="18"/>
                <w:szCs w:val="18"/>
              </w:rPr>
              <w:t xml:space="preserve"> </w:t>
            </w:r>
          </w:p>
        </w:tc>
      </w:tr>
    </w:tbl>
    <w:p w14:paraId="691CA4BD" w14:textId="000EFA0C" w:rsidR="00BD0207" w:rsidRDefault="009C0C80" w:rsidP="005F39CC">
      <w:pPr>
        <w:spacing w:before="120" w:after="120" w:line="23" w:lineRule="atLeast"/>
        <w:jc w:val="both"/>
        <w:rPr>
          <w:rFonts w:ascii="Arial" w:hAnsi="Arial" w:cs="Arial"/>
          <w:b/>
          <w:bCs/>
        </w:rPr>
      </w:pPr>
      <w:r>
        <w:rPr>
          <w:rFonts w:ascii="Arial" w:hAnsi="Arial" w:cs="Arial"/>
          <w:b/>
          <w:bCs/>
        </w:rPr>
        <w:t>1</w:t>
      </w:r>
      <w:r w:rsidR="00BD0207" w:rsidRPr="00BD0207">
        <w:rPr>
          <w:rFonts w:ascii="Arial" w:hAnsi="Arial" w:cs="Arial"/>
          <w:b/>
          <w:bCs/>
        </w:rPr>
        <w:t>.</w:t>
      </w:r>
      <w:r w:rsidR="00BD0207">
        <w:rPr>
          <w:rFonts w:ascii="Arial" w:hAnsi="Arial" w:cs="Arial"/>
          <w:b/>
          <w:bCs/>
        </w:rPr>
        <w:t xml:space="preserve"> Fecha de Elaboración</w:t>
      </w:r>
      <w:r w:rsidR="007C1BEB">
        <w:rPr>
          <w:rFonts w:ascii="Arial" w:hAnsi="Arial" w:cs="Arial"/>
          <w:b/>
          <w:bCs/>
        </w:rPr>
        <w:t>.</w:t>
      </w:r>
    </w:p>
    <w:p w14:paraId="02977C6A" w14:textId="17A6F861" w:rsidR="00BD0207" w:rsidRPr="0088630D" w:rsidRDefault="00BD0207" w:rsidP="00D50B18">
      <w:pPr>
        <w:spacing w:before="120" w:after="120" w:line="23" w:lineRule="atLeast"/>
        <w:jc w:val="both"/>
        <w:rPr>
          <w:rFonts w:ascii="Arial" w:hAnsi="Arial" w:cs="Arial"/>
        </w:rPr>
      </w:pPr>
      <w:r>
        <w:rPr>
          <w:rFonts w:ascii="Arial" w:hAnsi="Arial" w:cs="Arial"/>
        </w:rPr>
        <w:t xml:space="preserve">El Informe se tiene por integrado el </w:t>
      </w:r>
      <w:r w:rsidR="00275B74">
        <w:rPr>
          <w:rFonts w:ascii="Arial" w:hAnsi="Arial" w:cs="Arial"/>
        </w:rPr>
        <w:t>2</w:t>
      </w:r>
      <w:r w:rsidR="0056026C">
        <w:rPr>
          <w:rFonts w:ascii="Arial" w:hAnsi="Arial" w:cs="Arial"/>
        </w:rPr>
        <w:t>1</w:t>
      </w:r>
      <w:r>
        <w:rPr>
          <w:rFonts w:ascii="Arial" w:hAnsi="Arial" w:cs="Arial"/>
        </w:rPr>
        <w:t xml:space="preserve"> de </w:t>
      </w:r>
      <w:r w:rsidR="0056026C">
        <w:rPr>
          <w:rFonts w:ascii="Arial" w:hAnsi="Arial" w:cs="Arial"/>
        </w:rPr>
        <w:t>enero</w:t>
      </w:r>
      <w:r w:rsidR="00275B74">
        <w:rPr>
          <w:rFonts w:ascii="Arial" w:hAnsi="Arial" w:cs="Arial"/>
        </w:rPr>
        <w:t xml:space="preserve"> </w:t>
      </w:r>
      <w:r>
        <w:rPr>
          <w:rFonts w:ascii="Arial" w:hAnsi="Arial" w:cs="Arial"/>
        </w:rPr>
        <w:t xml:space="preserve">de </w:t>
      </w:r>
      <w:r w:rsidR="00275B74">
        <w:rPr>
          <w:rFonts w:ascii="Arial" w:hAnsi="Arial" w:cs="Arial"/>
        </w:rPr>
        <w:t>202</w:t>
      </w:r>
      <w:r w:rsidR="0056026C">
        <w:rPr>
          <w:rFonts w:ascii="Arial" w:hAnsi="Arial" w:cs="Arial"/>
        </w:rPr>
        <w:t>2</w:t>
      </w:r>
      <w:r>
        <w:rPr>
          <w:rFonts w:ascii="Arial" w:hAnsi="Arial" w:cs="Arial"/>
        </w:rPr>
        <w:t>, dentro del plazo legal</w:t>
      </w:r>
      <w:r w:rsidR="00F94DA5">
        <w:rPr>
          <w:rFonts w:ascii="Arial" w:hAnsi="Arial" w:cs="Arial"/>
        </w:rPr>
        <w:t xml:space="preserve"> </w:t>
      </w:r>
      <w:r w:rsidRPr="0088630D">
        <w:rPr>
          <w:rFonts w:ascii="Arial" w:hAnsi="Arial" w:cs="Arial"/>
        </w:rPr>
        <w:t xml:space="preserve">de 30 </w:t>
      </w:r>
      <w:r w:rsidR="003F749B">
        <w:rPr>
          <w:rFonts w:ascii="Arial" w:hAnsi="Arial" w:cs="Arial"/>
        </w:rPr>
        <w:t xml:space="preserve">(treinta) </w:t>
      </w:r>
      <w:r w:rsidRPr="0088630D">
        <w:rPr>
          <w:rFonts w:ascii="Arial" w:hAnsi="Arial" w:cs="Arial"/>
        </w:rPr>
        <w:t xml:space="preserve">días hábiles posteriores a la conclusión de la consulta pública, </w:t>
      </w:r>
      <w:r w:rsidR="003F749B">
        <w:rPr>
          <w:rFonts w:ascii="Arial" w:hAnsi="Arial" w:cs="Arial"/>
        </w:rPr>
        <w:t xml:space="preserve">otorgado </w:t>
      </w:r>
      <w:r w:rsidRPr="0088630D">
        <w:rPr>
          <w:rFonts w:ascii="Arial" w:hAnsi="Arial" w:cs="Arial"/>
        </w:rPr>
        <w:t xml:space="preserve">en punto resolutivo Tercero del </w:t>
      </w:r>
      <w:r w:rsidR="00A01A48">
        <w:rPr>
          <w:rFonts w:ascii="Arial" w:hAnsi="Arial" w:cs="Arial"/>
        </w:rPr>
        <w:t>A</w:t>
      </w:r>
      <w:r w:rsidRPr="0088630D">
        <w:rPr>
          <w:rFonts w:ascii="Arial" w:hAnsi="Arial" w:cs="Arial"/>
        </w:rPr>
        <w:t xml:space="preserve">cuerdo </w:t>
      </w:r>
      <w:r w:rsidR="0056026C" w:rsidRPr="0056026C">
        <w:rPr>
          <w:rFonts w:ascii="Arial" w:hAnsi="Arial" w:cs="Arial"/>
        </w:rPr>
        <w:t>P/IFT/031121/595</w:t>
      </w:r>
      <w:r w:rsidR="0056026C">
        <w:rPr>
          <w:rFonts w:ascii="Arial" w:hAnsi="Arial" w:cs="Arial"/>
        </w:rPr>
        <w:t xml:space="preserve"> </w:t>
      </w:r>
      <w:r w:rsidRPr="0088630D">
        <w:rPr>
          <w:rFonts w:ascii="Arial" w:hAnsi="Arial" w:cs="Arial"/>
        </w:rPr>
        <w:t xml:space="preserve">y </w:t>
      </w:r>
      <w:r w:rsidR="00A01A48">
        <w:rPr>
          <w:rFonts w:ascii="Arial" w:hAnsi="Arial" w:cs="Arial"/>
        </w:rPr>
        <w:t xml:space="preserve">el </w:t>
      </w:r>
      <w:r w:rsidRPr="0088630D">
        <w:rPr>
          <w:rFonts w:ascii="Arial" w:hAnsi="Arial" w:cs="Arial"/>
        </w:rPr>
        <w:t>artículo 138, fracción II, de la</w:t>
      </w:r>
      <w:r w:rsidR="00C90E8B" w:rsidRPr="0088630D">
        <w:rPr>
          <w:rFonts w:ascii="Arial" w:hAnsi="Arial" w:cs="Arial"/>
        </w:rPr>
        <w:t xml:space="preserve"> LFCE</w:t>
      </w:r>
      <w:r w:rsidR="0088630D" w:rsidRPr="0088630D">
        <w:rPr>
          <w:rFonts w:ascii="Arial" w:hAnsi="Arial" w:cs="Arial"/>
        </w:rPr>
        <w:t>.</w:t>
      </w:r>
    </w:p>
    <w:p w14:paraId="3CFA5C50" w14:textId="6450766F" w:rsidR="001828DA" w:rsidRPr="0088630D" w:rsidRDefault="005F39CC" w:rsidP="00275B74">
      <w:pPr>
        <w:keepNext/>
        <w:spacing w:before="120" w:after="120" w:line="23" w:lineRule="atLeast"/>
        <w:jc w:val="both"/>
        <w:rPr>
          <w:rFonts w:ascii="Arial" w:hAnsi="Arial" w:cs="Arial"/>
          <w:b/>
          <w:bCs/>
        </w:rPr>
      </w:pPr>
      <w:r>
        <w:rPr>
          <w:rFonts w:ascii="Arial" w:hAnsi="Arial" w:cs="Arial"/>
          <w:b/>
          <w:bCs/>
        </w:rPr>
        <w:t>2</w:t>
      </w:r>
      <w:r w:rsidR="005C5B1C" w:rsidRPr="0088630D">
        <w:rPr>
          <w:rFonts w:ascii="Arial" w:hAnsi="Arial" w:cs="Arial"/>
          <w:b/>
          <w:bCs/>
        </w:rPr>
        <w:t xml:space="preserve">. </w:t>
      </w:r>
      <w:r w:rsidR="001828DA" w:rsidRPr="0088630D">
        <w:rPr>
          <w:rFonts w:ascii="Arial" w:hAnsi="Arial" w:cs="Arial"/>
          <w:b/>
          <w:bCs/>
        </w:rPr>
        <w:t>Título o Denominación de la Consulta Pública</w:t>
      </w:r>
      <w:r w:rsidR="007C1BEB">
        <w:rPr>
          <w:rFonts w:ascii="Arial" w:hAnsi="Arial" w:cs="Arial"/>
          <w:b/>
          <w:bCs/>
        </w:rPr>
        <w:t>.</w:t>
      </w:r>
    </w:p>
    <w:p w14:paraId="2EA25330" w14:textId="32C7AA8F" w:rsidR="001828DA" w:rsidRPr="001828DA" w:rsidRDefault="00B0040C" w:rsidP="00D50B18">
      <w:pPr>
        <w:spacing w:before="120" w:after="120" w:line="23" w:lineRule="atLeast"/>
        <w:jc w:val="both"/>
        <w:rPr>
          <w:rFonts w:ascii="Arial" w:hAnsi="Arial" w:cs="Arial"/>
        </w:rPr>
      </w:pPr>
      <w:r>
        <w:rPr>
          <w:rFonts w:ascii="Arial" w:hAnsi="Arial" w:cs="Arial"/>
        </w:rPr>
        <w:t>C</w:t>
      </w:r>
      <w:r w:rsidR="001828DA" w:rsidRPr="0088630D">
        <w:rPr>
          <w:rFonts w:ascii="Arial" w:hAnsi="Arial" w:cs="Arial"/>
        </w:rPr>
        <w:t xml:space="preserve">onsulta pública </w:t>
      </w:r>
      <w:r>
        <w:rPr>
          <w:rFonts w:ascii="Arial" w:hAnsi="Arial" w:cs="Arial"/>
        </w:rPr>
        <w:t>d</w:t>
      </w:r>
      <w:r w:rsidR="001828DA" w:rsidRPr="0088630D">
        <w:rPr>
          <w:rFonts w:ascii="Arial" w:hAnsi="Arial" w:cs="Arial"/>
        </w:rPr>
        <w:t>el “</w:t>
      </w:r>
      <w:r w:rsidR="0056026C" w:rsidRPr="0056026C">
        <w:rPr>
          <w:rFonts w:ascii="Arial" w:hAnsi="Arial" w:cs="Arial"/>
          <w:i/>
          <w:iCs/>
        </w:rPr>
        <w:t>Anteproyecto de Lineamientos para la sustanciación a través de medios electrónicos de procedimientos y trámites a cargo de la Unidad de Competencia Económica del Instituto Federal de Telecomunicaciones</w:t>
      </w:r>
      <w:r w:rsidR="000460F3" w:rsidRPr="0088630D">
        <w:rPr>
          <w:rFonts w:ascii="Arial" w:hAnsi="Arial" w:cs="Arial"/>
        </w:rPr>
        <w:t>”</w:t>
      </w:r>
      <w:r w:rsidR="0088630D" w:rsidRPr="0088630D">
        <w:rPr>
          <w:rFonts w:ascii="Arial" w:hAnsi="Arial" w:cs="Arial"/>
          <w:bCs/>
          <w:lang w:eastAsia="es-MX"/>
        </w:rPr>
        <w:t>.</w:t>
      </w:r>
    </w:p>
    <w:p w14:paraId="04370D7C" w14:textId="0C16B0EE" w:rsidR="005C5B1C" w:rsidRDefault="005F39CC" w:rsidP="00D50B18">
      <w:pPr>
        <w:spacing w:before="120" w:after="120" w:line="23" w:lineRule="atLeast"/>
        <w:jc w:val="both"/>
        <w:rPr>
          <w:rFonts w:ascii="Arial" w:hAnsi="Arial" w:cs="Arial"/>
          <w:b/>
          <w:bCs/>
        </w:rPr>
      </w:pPr>
      <w:r>
        <w:rPr>
          <w:rFonts w:ascii="Arial" w:hAnsi="Arial" w:cs="Arial"/>
          <w:b/>
          <w:bCs/>
        </w:rPr>
        <w:t>3</w:t>
      </w:r>
      <w:r w:rsidR="001828DA">
        <w:rPr>
          <w:rFonts w:ascii="Arial" w:hAnsi="Arial" w:cs="Arial"/>
          <w:b/>
          <w:bCs/>
        </w:rPr>
        <w:t xml:space="preserve">. </w:t>
      </w:r>
      <w:r w:rsidR="005C5B1C" w:rsidRPr="005C5B1C">
        <w:rPr>
          <w:rFonts w:ascii="Arial" w:hAnsi="Arial" w:cs="Arial"/>
          <w:b/>
          <w:bCs/>
        </w:rPr>
        <w:t>Descripción de la Consulta Pública</w:t>
      </w:r>
      <w:r w:rsidR="007C1BEB">
        <w:rPr>
          <w:rFonts w:ascii="Arial" w:hAnsi="Arial" w:cs="Arial"/>
          <w:b/>
          <w:bCs/>
        </w:rPr>
        <w:t>.</w:t>
      </w:r>
    </w:p>
    <w:p w14:paraId="77BEA635" w14:textId="7BF96082" w:rsidR="000460F3" w:rsidRPr="000460F3" w:rsidRDefault="006C00A0" w:rsidP="00D50B18">
      <w:pPr>
        <w:spacing w:before="120" w:after="120" w:line="23" w:lineRule="atLeast"/>
        <w:jc w:val="both"/>
        <w:rPr>
          <w:rFonts w:ascii="Arial" w:hAnsi="Arial" w:cs="Arial"/>
          <w:b/>
          <w:bCs/>
        </w:rPr>
      </w:pPr>
      <w:r>
        <w:rPr>
          <w:rFonts w:ascii="Arial" w:hAnsi="Arial" w:cs="Arial"/>
        </w:rPr>
        <w:t xml:space="preserve">El </w:t>
      </w:r>
      <w:r w:rsidR="0056026C">
        <w:rPr>
          <w:rFonts w:ascii="Arial" w:hAnsi="Arial" w:cs="Arial"/>
        </w:rPr>
        <w:t>19</w:t>
      </w:r>
      <w:r>
        <w:rPr>
          <w:rFonts w:ascii="Arial" w:hAnsi="Arial" w:cs="Arial"/>
        </w:rPr>
        <w:t xml:space="preserve"> de </w:t>
      </w:r>
      <w:r w:rsidR="0056026C">
        <w:rPr>
          <w:rFonts w:ascii="Arial" w:hAnsi="Arial" w:cs="Arial"/>
        </w:rPr>
        <w:t>noviembre</w:t>
      </w:r>
      <w:r>
        <w:rPr>
          <w:rFonts w:ascii="Arial" w:hAnsi="Arial" w:cs="Arial"/>
        </w:rPr>
        <w:t xml:space="preserve"> de 2021 se publicó e</w:t>
      </w:r>
      <w:r w:rsidR="000460F3">
        <w:rPr>
          <w:rFonts w:ascii="Arial" w:hAnsi="Arial" w:cs="Arial"/>
        </w:rPr>
        <w:t xml:space="preserve">l Anteproyecto </w:t>
      </w:r>
      <w:r>
        <w:rPr>
          <w:rFonts w:ascii="Arial" w:hAnsi="Arial" w:cs="Arial"/>
        </w:rPr>
        <w:t xml:space="preserve">en el sitio de Internet del Instituto, así como un extracto en el </w:t>
      </w:r>
      <w:r w:rsidR="0088630D">
        <w:rPr>
          <w:rFonts w:ascii="Arial" w:hAnsi="Arial" w:cs="Arial"/>
        </w:rPr>
        <w:t>DOF</w:t>
      </w:r>
      <w:r>
        <w:rPr>
          <w:rFonts w:ascii="Arial" w:hAnsi="Arial" w:cs="Arial"/>
        </w:rPr>
        <w:t xml:space="preserve">. </w:t>
      </w:r>
      <w:r w:rsidR="000460F3">
        <w:rPr>
          <w:rFonts w:ascii="Arial" w:hAnsi="Arial" w:cs="Arial"/>
        </w:rPr>
        <w:t xml:space="preserve">La </w:t>
      </w:r>
      <w:r w:rsidR="00244AA9">
        <w:rPr>
          <w:rFonts w:ascii="Arial" w:hAnsi="Arial" w:cs="Arial"/>
        </w:rPr>
        <w:t>C</w:t>
      </w:r>
      <w:r w:rsidR="000460F3" w:rsidRPr="003E2214">
        <w:rPr>
          <w:rFonts w:ascii="Arial" w:hAnsi="Arial" w:cs="Arial"/>
        </w:rPr>
        <w:t xml:space="preserve">onsulta </w:t>
      </w:r>
      <w:r w:rsidR="00244AA9">
        <w:rPr>
          <w:rFonts w:ascii="Arial" w:hAnsi="Arial" w:cs="Arial"/>
        </w:rPr>
        <w:t>P</w:t>
      </w:r>
      <w:r w:rsidR="000460F3" w:rsidRPr="003E2214">
        <w:rPr>
          <w:rFonts w:ascii="Arial" w:hAnsi="Arial" w:cs="Arial"/>
        </w:rPr>
        <w:t xml:space="preserve">ública se llevó a cabo por un periodo de </w:t>
      </w:r>
      <w:r w:rsidR="00524BC7">
        <w:rPr>
          <w:rFonts w:ascii="Arial" w:hAnsi="Arial" w:cs="Arial"/>
        </w:rPr>
        <w:t>30 (</w:t>
      </w:r>
      <w:r w:rsidR="00266261">
        <w:rPr>
          <w:rFonts w:ascii="Arial" w:hAnsi="Arial" w:cs="Arial"/>
        </w:rPr>
        <w:t>treinta</w:t>
      </w:r>
      <w:r w:rsidR="00524BC7">
        <w:rPr>
          <w:rFonts w:ascii="Arial" w:hAnsi="Arial" w:cs="Arial"/>
        </w:rPr>
        <w:t>)</w:t>
      </w:r>
      <w:r w:rsidR="00FC5606" w:rsidRPr="003E2214">
        <w:rPr>
          <w:rFonts w:ascii="Arial" w:hAnsi="Arial" w:cs="Arial"/>
        </w:rPr>
        <w:t xml:space="preserve"> </w:t>
      </w:r>
      <w:r w:rsidR="000460F3" w:rsidRPr="003E2214">
        <w:rPr>
          <w:rFonts w:ascii="Arial" w:hAnsi="Arial" w:cs="Arial"/>
        </w:rPr>
        <w:t>días hábiles, mismo</w:t>
      </w:r>
      <w:r>
        <w:rPr>
          <w:rFonts w:ascii="Arial" w:hAnsi="Arial" w:cs="Arial"/>
        </w:rPr>
        <w:t>s</w:t>
      </w:r>
      <w:r w:rsidR="000460F3" w:rsidRPr="003E2214">
        <w:rPr>
          <w:rFonts w:ascii="Arial" w:hAnsi="Arial" w:cs="Arial"/>
        </w:rPr>
        <w:t xml:space="preserve"> que </w:t>
      </w:r>
      <w:r>
        <w:rPr>
          <w:rFonts w:ascii="Arial" w:hAnsi="Arial" w:cs="Arial"/>
        </w:rPr>
        <w:t>transcurrieron</w:t>
      </w:r>
      <w:r w:rsidR="000460F3" w:rsidRPr="003E2214">
        <w:rPr>
          <w:rFonts w:ascii="Arial" w:hAnsi="Arial" w:cs="Arial"/>
        </w:rPr>
        <w:t xml:space="preserve"> del</w:t>
      </w:r>
      <w:r w:rsidR="000460F3">
        <w:rPr>
          <w:rFonts w:ascii="Arial" w:hAnsi="Arial" w:cs="Arial"/>
        </w:rPr>
        <w:t xml:space="preserve"> </w:t>
      </w:r>
      <w:r w:rsidR="0074754D">
        <w:rPr>
          <w:rFonts w:ascii="Arial" w:hAnsi="Arial" w:cs="Arial"/>
        </w:rPr>
        <w:t>2</w:t>
      </w:r>
      <w:r w:rsidR="0056026C">
        <w:rPr>
          <w:rFonts w:ascii="Arial" w:hAnsi="Arial" w:cs="Arial"/>
        </w:rPr>
        <w:t>2</w:t>
      </w:r>
      <w:r w:rsidR="000844D3" w:rsidRPr="000844D3">
        <w:rPr>
          <w:rFonts w:ascii="Arial" w:hAnsi="Arial" w:cs="Arial"/>
        </w:rPr>
        <w:t xml:space="preserve"> de </w:t>
      </w:r>
      <w:r w:rsidR="0056026C">
        <w:rPr>
          <w:rFonts w:ascii="Arial" w:hAnsi="Arial" w:cs="Arial"/>
        </w:rPr>
        <w:t>noviembre</w:t>
      </w:r>
      <w:r w:rsidR="000844D3" w:rsidRPr="000844D3">
        <w:rPr>
          <w:rFonts w:ascii="Arial" w:hAnsi="Arial" w:cs="Arial"/>
        </w:rPr>
        <w:t xml:space="preserve"> al </w:t>
      </w:r>
      <w:r w:rsidR="0056026C">
        <w:rPr>
          <w:rFonts w:ascii="Arial" w:hAnsi="Arial" w:cs="Arial"/>
        </w:rPr>
        <w:t>14</w:t>
      </w:r>
      <w:r w:rsidR="000844D3" w:rsidRPr="000844D3">
        <w:rPr>
          <w:rFonts w:ascii="Arial" w:hAnsi="Arial" w:cs="Arial"/>
        </w:rPr>
        <w:t xml:space="preserve"> de </w:t>
      </w:r>
      <w:r w:rsidR="0056026C">
        <w:rPr>
          <w:rFonts w:ascii="Arial" w:hAnsi="Arial" w:cs="Arial"/>
        </w:rPr>
        <w:t>enero</w:t>
      </w:r>
      <w:r w:rsidR="000844D3" w:rsidRPr="000844D3">
        <w:rPr>
          <w:rFonts w:ascii="Arial" w:hAnsi="Arial" w:cs="Arial"/>
        </w:rPr>
        <w:t xml:space="preserve"> de </w:t>
      </w:r>
      <w:r w:rsidR="0074754D">
        <w:rPr>
          <w:rFonts w:ascii="Arial" w:hAnsi="Arial" w:cs="Arial"/>
        </w:rPr>
        <w:t>202</w:t>
      </w:r>
      <w:r w:rsidR="0056026C">
        <w:rPr>
          <w:rFonts w:ascii="Arial" w:hAnsi="Arial" w:cs="Arial"/>
        </w:rPr>
        <w:t>2</w:t>
      </w:r>
      <w:r w:rsidR="000460F3" w:rsidRPr="003E2214">
        <w:rPr>
          <w:rFonts w:ascii="Arial" w:hAnsi="Arial" w:cs="Arial"/>
        </w:rPr>
        <w:t>.</w:t>
      </w:r>
      <w:r w:rsidR="00244AA9">
        <w:rPr>
          <w:rFonts w:ascii="Arial" w:hAnsi="Arial" w:cs="Arial"/>
        </w:rPr>
        <w:t xml:space="preserve"> </w:t>
      </w:r>
    </w:p>
    <w:p w14:paraId="5C7424E1" w14:textId="37B83D34" w:rsidR="00077345" w:rsidRPr="00077345" w:rsidRDefault="005F39CC" w:rsidP="00D50B18">
      <w:pPr>
        <w:spacing w:before="120" w:after="120" w:line="23" w:lineRule="atLeast"/>
        <w:jc w:val="both"/>
        <w:rPr>
          <w:rFonts w:ascii="Arial" w:hAnsi="Arial" w:cs="Arial"/>
          <w:b/>
          <w:bCs/>
        </w:rPr>
      </w:pPr>
      <w:r>
        <w:rPr>
          <w:rFonts w:ascii="Arial" w:hAnsi="Arial" w:cs="Arial"/>
          <w:b/>
        </w:rPr>
        <w:t>4</w:t>
      </w:r>
      <w:r w:rsidR="00077345" w:rsidRPr="009A7404">
        <w:rPr>
          <w:rFonts w:ascii="Arial" w:hAnsi="Arial" w:cs="Arial"/>
          <w:b/>
        </w:rPr>
        <w:t>. Objetivo</w:t>
      </w:r>
      <w:r w:rsidR="00C90E8B">
        <w:rPr>
          <w:rFonts w:ascii="Arial" w:hAnsi="Arial" w:cs="Arial"/>
          <w:b/>
        </w:rPr>
        <w:t>s</w:t>
      </w:r>
      <w:r w:rsidR="00077345" w:rsidRPr="009A7404">
        <w:rPr>
          <w:rFonts w:ascii="Arial" w:hAnsi="Arial" w:cs="Arial"/>
          <w:b/>
        </w:rPr>
        <w:t xml:space="preserve"> de la Consulta Pública</w:t>
      </w:r>
      <w:r w:rsidR="007C1BEB">
        <w:rPr>
          <w:rFonts w:ascii="Arial" w:hAnsi="Arial" w:cs="Arial"/>
          <w:b/>
        </w:rPr>
        <w:t>.</w:t>
      </w:r>
    </w:p>
    <w:p w14:paraId="6FEDDC08" w14:textId="1B2D653A" w:rsidR="00C90E8B" w:rsidRDefault="00C90E8B" w:rsidP="00D50B18">
      <w:pPr>
        <w:spacing w:before="120" w:after="120" w:line="23" w:lineRule="atLeast"/>
        <w:jc w:val="both"/>
        <w:rPr>
          <w:rFonts w:ascii="Arial" w:hAnsi="Arial" w:cs="Arial"/>
        </w:rPr>
      </w:pPr>
      <w:r>
        <w:rPr>
          <w:rFonts w:ascii="Arial" w:hAnsi="Arial" w:cs="Arial"/>
        </w:rPr>
        <w:t xml:space="preserve">Transparentar y fomentar la participación ciudadana en el proceso de elaboración o modificación de guías </w:t>
      </w:r>
      <w:r w:rsidRPr="00C90E8B">
        <w:rPr>
          <w:rFonts w:ascii="Arial" w:hAnsi="Arial" w:cs="Arial"/>
        </w:rPr>
        <w:t>que hace referencia el artículo 12, fracción XXII,</w:t>
      </w:r>
      <w:r w:rsidR="003E0812">
        <w:rPr>
          <w:rFonts w:ascii="Arial" w:hAnsi="Arial" w:cs="Arial"/>
        </w:rPr>
        <w:t xml:space="preserve"> de la LFCE, recabando </w:t>
      </w:r>
      <w:r w:rsidR="003E0812" w:rsidRPr="003E0812">
        <w:rPr>
          <w:rFonts w:ascii="Arial" w:hAnsi="Arial" w:cs="Arial"/>
        </w:rPr>
        <w:t xml:space="preserve">información, </w:t>
      </w:r>
      <w:r w:rsidR="003E0812" w:rsidRPr="003E0812">
        <w:rPr>
          <w:rFonts w:ascii="Arial" w:hAnsi="Arial" w:cs="Arial"/>
        </w:rPr>
        <w:lastRenderedPageBreak/>
        <w:t>comentarios, opiniones, aportaciones u otros elementos de análisis por parte de cualquier persona, sobre algún tema de interés del Instituto, que le aporte elementos de manera previa a la emisión o realización</w:t>
      </w:r>
      <w:r w:rsidR="003E0812">
        <w:rPr>
          <w:rFonts w:ascii="Arial" w:hAnsi="Arial" w:cs="Arial"/>
        </w:rPr>
        <w:t xml:space="preserve"> de </w:t>
      </w:r>
      <w:r w:rsidR="0056026C">
        <w:rPr>
          <w:rFonts w:ascii="Arial" w:hAnsi="Arial" w:cs="Arial"/>
        </w:rPr>
        <w:t>los lineamientos</w:t>
      </w:r>
      <w:r w:rsidR="003E0812">
        <w:rPr>
          <w:rFonts w:ascii="Arial" w:hAnsi="Arial" w:cs="Arial"/>
        </w:rPr>
        <w:t xml:space="preserve"> </w:t>
      </w:r>
      <w:r w:rsidR="003E0812" w:rsidRPr="003E0812">
        <w:rPr>
          <w:rFonts w:ascii="Arial" w:hAnsi="Arial" w:cs="Arial"/>
        </w:rPr>
        <w:t>dirigid</w:t>
      </w:r>
      <w:r w:rsidR="0056026C">
        <w:rPr>
          <w:rFonts w:ascii="Arial" w:hAnsi="Arial" w:cs="Arial"/>
        </w:rPr>
        <w:t>o</w:t>
      </w:r>
      <w:r w:rsidR="003E0812" w:rsidRPr="003E0812">
        <w:rPr>
          <w:rFonts w:ascii="Arial" w:hAnsi="Arial" w:cs="Arial"/>
        </w:rPr>
        <w:t>s a los sectores o mercados de telecomunicaciones o radiodifusión; así como en materia de competencia económica en dichos sectores</w:t>
      </w:r>
      <w:r w:rsidR="0056026C">
        <w:rPr>
          <w:rFonts w:ascii="Arial" w:hAnsi="Arial" w:cs="Arial"/>
        </w:rPr>
        <w:t xml:space="preserve"> o mercados</w:t>
      </w:r>
      <w:r w:rsidR="003E0812">
        <w:rPr>
          <w:rFonts w:ascii="Arial" w:hAnsi="Arial" w:cs="Arial"/>
        </w:rPr>
        <w:t>.</w:t>
      </w:r>
      <w:r w:rsidR="0026513B">
        <w:rPr>
          <w:rFonts w:ascii="Arial" w:hAnsi="Arial" w:cs="Arial"/>
        </w:rPr>
        <w:t xml:space="preserve"> </w:t>
      </w:r>
    </w:p>
    <w:p w14:paraId="7E01B7D1" w14:textId="4A638896" w:rsidR="005924D3" w:rsidRDefault="005F39CC" w:rsidP="00D50B18">
      <w:pPr>
        <w:spacing w:before="120" w:after="120" w:line="23" w:lineRule="atLeast"/>
        <w:jc w:val="both"/>
        <w:rPr>
          <w:rFonts w:ascii="Arial" w:hAnsi="Arial" w:cs="Arial"/>
          <w:b/>
          <w:bCs/>
        </w:rPr>
      </w:pPr>
      <w:r>
        <w:rPr>
          <w:rFonts w:ascii="Arial" w:hAnsi="Arial" w:cs="Arial"/>
          <w:b/>
          <w:bCs/>
        </w:rPr>
        <w:t>5</w:t>
      </w:r>
      <w:r w:rsidR="005924D3" w:rsidRPr="005924D3">
        <w:rPr>
          <w:rFonts w:ascii="Arial" w:hAnsi="Arial" w:cs="Arial"/>
          <w:b/>
          <w:bCs/>
        </w:rPr>
        <w:t xml:space="preserve">. </w:t>
      </w:r>
      <w:r w:rsidR="005924D3">
        <w:rPr>
          <w:rFonts w:ascii="Arial" w:hAnsi="Arial" w:cs="Arial"/>
          <w:b/>
          <w:bCs/>
        </w:rPr>
        <w:t>Unidad responsable de la Consulta Pública</w:t>
      </w:r>
      <w:r w:rsidR="007C1BEB">
        <w:rPr>
          <w:rFonts w:ascii="Arial" w:hAnsi="Arial" w:cs="Arial"/>
          <w:b/>
          <w:bCs/>
        </w:rPr>
        <w:t>.</w:t>
      </w:r>
    </w:p>
    <w:p w14:paraId="7D0A2AA1" w14:textId="502B3D45" w:rsidR="008677D3" w:rsidRDefault="0019663C" w:rsidP="00D50B18">
      <w:pPr>
        <w:autoSpaceDE w:val="0"/>
        <w:autoSpaceDN w:val="0"/>
        <w:adjustRightInd w:val="0"/>
        <w:spacing w:before="120" w:after="120" w:line="23" w:lineRule="atLeast"/>
        <w:jc w:val="both"/>
        <w:rPr>
          <w:rFonts w:ascii="Arial" w:eastAsia="Times New Roman" w:hAnsi="Arial" w:cs="Arial"/>
          <w:bCs/>
          <w:color w:val="000000"/>
          <w:lang w:eastAsia="es-MX"/>
        </w:rPr>
      </w:pPr>
      <w:r w:rsidRPr="0019663C">
        <w:rPr>
          <w:rFonts w:ascii="Arial" w:hAnsi="Arial" w:cs="Arial"/>
        </w:rPr>
        <w:t xml:space="preserve">La </w:t>
      </w:r>
      <w:r w:rsidR="00D00D4D">
        <w:rPr>
          <w:rFonts w:ascii="Arial" w:hAnsi="Arial" w:cs="Arial"/>
        </w:rPr>
        <w:t>UCE</w:t>
      </w:r>
      <w:r w:rsidR="008677D3" w:rsidRPr="0088630D">
        <w:rPr>
          <w:rFonts w:ascii="Arial" w:eastAsia="Times New Roman" w:hAnsi="Arial" w:cs="Arial"/>
          <w:bCs/>
          <w:color w:val="000000"/>
          <w:lang w:eastAsia="es-MX"/>
        </w:rPr>
        <w:t>.</w:t>
      </w:r>
    </w:p>
    <w:p w14:paraId="40F48F11" w14:textId="12D7C4D4" w:rsidR="008677D3" w:rsidRPr="0088630D" w:rsidRDefault="005F39CC" w:rsidP="00D50B18">
      <w:pPr>
        <w:autoSpaceDE w:val="0"/>
        <w:autoSpaceDN w:val="0"/>
        <w:adjustRightInd w:val="0"/>
        <w:spacing w:before="120" w:after="120" w:line="23" w:lineRule="atLeast"/>
        <w:jc w:val="both"/>
        <w:rPr>
          <w:rFonts w:ascii="Arial" w:eastAsia="Times New Roman" w:hAnsi="Arial" w:cs="Arial"/>
          <w:b/>
          <w:color w:val="000000"/>
          <w:lang w:eastAsia="es-MX"/>
        </w:rPr>
      </w:pPr>
      <w:r>
        <w:rPr>
          <w:rFonts w:ascii="Arial" w:eastAsia="Times New Roman" w:hAnsi="Arial" w:cs="Arial"/>
          <w:b/>
          <w:color w:val="000000"/>
          <w:lang w:eastAsia="es-MX"/>
        </w:rPr>
        <w:t>6</w:t>
      </w:r>
      <w:r w:rsidR="00032A99" w:rsidRPr="0088630D">
        <w:rPr>
          <w:rFonts w:ascii="Arial" w:eastAsia="Times New Roman" w:hAnsi="Arial" w:cs="Arial"/>
          <w:b/>
          <w:color w:val="000000"/>
          <w:lang w:eastAsia="es-MX"/>
        </w:rPr>
        <w:t>. Descripción de los participantes de la Consulta Pública.</w:t>
      </w:r>
    </w:p>
    <w:p w14:paraId="58C914AA" w14:textId="6FF61926" w:rsidR="003E2214" w:rsidRPr="00C320A9" w:rsidRDefault="007E7216" w:rsidP="00D50B18">
      <w:pPr>
        <w:pStyle w:val="Listavistosa-nfasis11"/>
        <w:spacing w:before="120" w:after="120" w:line="23" w:lineRule="atLeast"/>
        <w:ind w:left="0" w:right="51"/>
        <w:contextualSpacing w:val="0"/>
        <w:jc w:val="both"/>
        <w:rPr>
          <w:rFonts w:ascii="Arial" w:hAnsi="Arial" w:cs="Arial"/>
          <w:szCs w:val="14"/>
        </w:rPr>
      </w:pPr>
      <w:r w:rsidRPr="007E7216">
        <w:rPr>
          <w:rFonts w:ascii="Arial" w:hAnsi="Arial" w:cs="Arial"/>
          <w:szCs w:val="14"/>
        </w:rPr>
        <w:t xml:space="preserve">En el proceso de </w:t>
      </w:r>
      <w:r w:rsidR="008A03E6" w:rsidRPr="007E7216">
        <w:rPr>
          <w:rFonts w:ascii="Arial" w:hAnsi="Arial" w:cs="Arial"/>
          <w:szCs w:val="14"/>
        </w:rPr>
        <w:t xml:space="preserve">Consulta Pública </w:t>
      </w:r>
      <w:r w:rsidRPr="007E7216">
        <w:rPr>
          <w:rFonts w:ascii="Arial" w:hAnsi="Arial" w:cs="Arial"/>
          <w:szCs w:val="14"/>
        </w:rPr>
        <w:t xml:space="preserve">se recibieron </w:t>
      </w:r>
      <w:r w:rsidR="006F6AEE">
        <w:rPr>
          <w:rFonts w:ascii="Arial" w:hAnsi="Arial" w:cs="Arial"/>
          <w:szCs w:val="14"/>
        </w:rPr>
        <w:t>3</w:t>
      </w:r>
      <w:r w:rsidRPr="007E7216">
        <w:rPr>
          <w:rFonts w:ascii="Arial" w:hAnsi="Arial" w:cs="Arial"/>
          <w:szCs w:val="14"/>
        </w:rPr>
        <w:t xml:space="preserve"> </w:t>
      </w:r>
      <w:r w:rsidR="008A03E6">
        <w:rPr>
          <w:rFonts w:ascii="Arial" w:hAnsi="Arial" w:cs="Arial"/>
          <w:szCs w:val="14"/>
        </w:rPr>
        <w:t>(</w:t>
      </w:r>
      <w:r w:rsidR="006F6AEE">
        <w:rPr>
          <w:rFonts w:ascii="Arial" w:hAnsi="Arial" w:cs="Arial"/>
          <w:szCs w:val="14"/>
        </w:rPr>
        <w:t>tres</w:t>
      </w:r>
      <w:r w:rsidR="008A03E6">
        <w:rPr>
          <w:rFonts w:ascii="Arial" w:hAnsi="Arial" w:cs="Arial"/>
          <w:szCs w:val="14"/>
        </w:rPr>
        <w:t xml:space="preserve">) </w:t>
      </w:r>
      <w:r w:rsidRPr="007E7216">
        <w:rPr>
          <w:rFonts w:ascii="Arial" w:hAnsi="Arial" w:cs="Arial"/>
          <w:szCs w:val="14"/>
        </w:rPr>
        <w:t>escritos de participantes a través del correo electrónico habilitado para tal efecto, mismos que se describen e identifican en el cuadro siguiente</w:t>
      </w:r>
      <w:r w:rsidR="00EA2F2C">
        <w:rPr>
          <w:rFonts w:ascii="Arial" w:hAnsi="Arial" w:cs="Arial"/>
        </w:rPr>
        <w:t>:</w:t>
      </w:r>
      <w:r>
        <w:rPr>
          <w:rFonts w:ascii="Arial" w:hAnsi="Arial" w:cs="Arial"/>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94"/>
        <w:gridCol w:w="2102"/>
        <w:gridCol w:w="2102"/>
        <w:gridCol w:w="3120"/>
      </w:tblGrid>
      <w:tr w:rsidR="003E2214" w:rsidRPr="003E2214" w14:paraId="4B1CA6A9" w14:textId="77777777" w:rsidTr="00973ABA">
        <w:trPr>
          <w:tblHeader/>
          <w:jc w:val="center"/>
        </w:trPr>
        <w:tc>
          <w:tcPr>
            <w:tcW w:w="1494" w:type="dxa"/>
            <w:shd w:val="clear" w:color="auto" w:fill="92D050"/>
            <w:tcMar>
              <w:top w:w="0" w:type="dxa"/>
              <w:left w:w="108" w:type="dxa"/>
              <w:bottom w:w="0" w:type="dxa"/>
              <w:right w:w="108" w:type="dxa"/>
            </w:tcMar>
            <w:vAlign w:val="center"/>
            <w:hideMark/>
          </w:tcPr>
          <w:p w14:paraId="352AA90E"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Participantes</w:t>
            </w:r>
          </w:p>
        </w:tc>
        <w:tc>
          <w:tcPr>
            <w:tcW w:w="2102" w:type="dxa"/>
            <w:shd w:val="clear" w:color="auto" w:fill="92D050"/>
            <w:tcMar>
              <w:top w:w="0" w:type="dxa"/>
              <w:left w:w="108" w:type="dxa"/>
              <w:bottom w:w="0" w:type="dxa"/>
              <w:right w:w="108" w:type="dxa"/>
            </w:tcMar>
            <w:vAlign w:val="center"/>
            <w:hideMark/>
          </w:tcPr>
          <w:p w14:paraId="40A45C1F"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Fecha de presentación</w:t>
            </w:r>
          </w:p>
        </w:tc>
        <w:tc>
          <w:tcPr>
            <w:tcW w:w="2102" w:type="dxa"/>
            <w:shd w:val="clear" w:color="auto" w:fill="92D050"/>
            <w:tcMar>
              <w:top w:w="0" w:type="dxa"/>
              <w:left w:w="108" w:type="dxa"/>
              <w:bottom w:w="0" w:type="dxa"/>
              <w:right w:w="108" w:type="dxa"/>
            </w:tcMar>
            <w:vAlign w:val="center"/>
            <w:hideMark/>
          </w:tcPr>
          <w:p w14:paraId="7C6EE986"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Hora de presentación</w:t>
            </w:r>
          </w:p>
        </w:tc>
        <w:tc>
          <w:tcPr>
            <w:tcW w:w="3120" w:type="dxa"/>
            <w:shd w:val="clear" w:color="auto" w:fill="92D050"/>
            <w:vAlign w:val="center"/>
            <w:hideMark/>
          </w:tcPr>
          <w:p w14:paraId="4601B8D5"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Formato de presentación</w:t>
            </w:r>
          </w:p>
        </w:tc>
      </w:tr>
      <w:tr w:rsidR="003E2214" w:rsidRPr="003E2214" w14:paraId="20B39023"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25326EB9" w14:textId="77777777" w:rsidR="003E2214" w:rsidRPr="003E2214" w:rsidRDefault="003E2214" w:rsidP="00D50B18">
            <w:pPr>
              <w:spacing w:before="120" w:after="120" w:line="23" w:lineRule="atLeast"/>
              <w:jc w:val="both"/>
              <w:rPr>
                <w:rFonts w:ascii="Arial" w:hAnsi="Arial" w:cs="Arial"/>
                <w:sz w:val="18"/>
                <w:szCs w:val="18"/>
              </w:rPr>
            </w:pPr>
            <w:r w:rsidRPr="003E2214">
              <w:rPr>
                <w:rFonts w:ascii="Arial" w:hAnsi="Arial" w:cs="Arial"/>
                <w:sz w:val="18"/>
                <w:szCs w:val="18"/>
              </w:rPr>
              <w:t>Participante 1</w:t>
            </w:r>
          </w:p>
        </w:tc>
        <w:tc>
          <w:tcPr>
            <w:tcW w:w="2102" w:type="dxa"/>
            <w:shd w:val="clear" w:color="auto" w:fill="auto"/>
            <w:tcMar>
              <w:top w:w="0" w:type="dxa"/>
              <w:left w:w="108" w:type="dxa"/>
              <w:bottom w:w="0" w:type="dxa"/>
              <w:right w:w="108" w:type="dxa"/>
            </w:tcMar>
            <w:vAlign w:val="center"/>
          </w:tcPr>
          <w:p w14:paraId="1ACE7412" w14:textId="0A8B85A7" w:rsidR="003E2214" w:rsidRPr="003E2214" w:rsidRDefault="001F6B45" w:rsidP="00D50B18">
            <w:pPr>
              <w:spacing w:before="120" w:after="120" w:line="23" w:lineRule="atLeast"/>
              <w:jc w:val="center"/>
              <w:rPr>
                <w:rFonts w:ascii="Arial" w:hAnsi="Arial" w:cs="Arial"/>
                <w:b/>
                <w:sz w:val="18"/>
                <w:szCs w:val="18"/>
              </w:rPr>
            </w:pPr>
            <w:r>
              <w:rPr>
                <w:rFonts w:ascii="Arial" w:hAnsi="Arial" w:cs="Arial"/>
                <w:b/>
                <w:sz w:val="18"/>
                <w:szCs w:val="18"/>
              </w:rPr>
              <w:t>1</w:t>
            </w:r>
            <w:r w:rsidR="005035E3">
              <w:rPr>
                <w:rFonts w:ascii="Arial" w:hAnsi="Arial" w:cs="Arial"/>
                <w:b/>
                <w:sz w:val="18"/>
                <w:szCs w:val="18"/>
              </w:rPr>
              <w:t>4</w:t>
            </w:r>
            <w:r w:rsidR="003E2214" w:rsidRPr="003E2214">
              <w:rPr>
                <w:rFonts w:ascii="Arial" w:hAnsi="Arial" w:cs="Arial"/>
                <w:b/>
                <w:sz w:val="18"/>
                <w:szCs w:val="18"/>
              </w:rPr>
              <w:t>/0</w:t>
            </w:r>
            <w:r w:rsidR="005035E3">
              <w:rPr>
                <w:rFonts w:ascii="Arial" w:hAnsi="Arial" w:cs="Arial"/>
                <w:b/>
                <w:sz w:val="18"/>
                <w:szCs w:val="18"/>
              </w:rPr>
              <w:t>1</w:t>
            </w:r>
            <w:r w:rsidR="003E2214" w:rsidRPr="003E2214">
              <w:rPr>
                <w:rFonts w:ascii="Arial" w:hAnsi="Arial" w:cs="Arial"/>
                <w:b/>
                <w:sz w:val="18"/>
                <w:szCs w:val="18"/>
              </w:rPr>
              <w:t>/20</w:t>
            </w:r>
            <w:r>
              <w:rPr>
                <w:rFonts w:ascii="Arial" w:hAnsi="Arial" w:cs="Arial"/>
                <w:b/>
                <w:sz w:val="18"/>
                <w:szCs w:val="18"/>
              </w:rPr>
              <w:t>2</w:t>
            </w:r>
            <w:r w:rsidR="005035E3">
              <w:rPr>
                <w:rFonts w:ascii="Arial" w:hAnsi="Arial" w:cs="Arial"/>
                <w:b/>
                <w:sz w:val="18"/>
                <w:szCs w:val="18"/>
              </w:rPr>
              <w:t>2</w:t>
            </w:r>
          </w:p>
        </w:tc>
        <w:tc>
          <w:tcPr>
            <w:tcW w:w="2102" w:type="dxa"/>
            <w:shd w:val="clear" w:color="auto" w:fill="auto"/>
            <w:tcMar>
              <w:top w:w="0" w:type="dxa"/>
              <w:left w:w="108" w:type="dxa"/>
              <w:bottom w:w="0" w:type="dxa"/>
              <w:right w:w="108" w:type="dxa"/>
            </w:tcMar>
            <w:vAlign w:val="center"/>
          </w:tcPr>
          <w:p w14:paraId="7D47873D" w14:textId="3A588F66" w:rsidR="003E2214" w:rsidRPr="003E2214" w:rsidRDefault="005035E3" w:rsidP="00D50B18">
            <w:pPr>
              <w:spacing w:before="120" w:after="120" w:line="23" w:lineRule="atLeast"/>
              <w:jc w:val="center"/>
              <w:rPr>
                <w:rFonts w:ascii="Arial" w:hAnsi="Arial" w:cs="Arial"/>
                <w:b/>
                <w:sz w:val="18"/>
                <w:szCs w:val="18"/>
              </w:rPr>
            </w:pPr>
            <w:r>
              <w:rPr>
                <w:rFonts w:ascii="Calibri Light" w:hAnsi="Calibri Light" w:cs="Calibri Light"/>
                <w:b/>
                <w:bCs/>
                <w:sz w:val="20"/>
                <w:szCs w:val="20"/>
              </w:rPr>
              <w:t>11:41</w:t>
            </w:r>
          </w:p>
        </w:tc>
        <w:tc>
          <w:tcPr>
            <w:tcW w:w="3120" w:type="dxa"/>
            <w:shd w:val="clear" w:color="auto" w:fill="auto"/>
            <w:vAlign w:val="center"/>
          </w:tcPr>
          <w:p w14:paraId="3C1C31E9" w14:textId="77777777" w:rsidR="003E2214" w:rsidRPr="003E2214" w:rsidRDefault="003E2214" w:rsidP="00D50B18">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3E2214" w:rsidRPr="003E2214" w14:paraId="4988007C"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23AD560C" w14:textId="77777777" w:rsidR="003E2214" w:rsidRPr="003E2214" w:rsidRDefault="003E2214" w:rsidP="00D50B18">
            <w:pPr>
              <w:spacing w:before="120" w:after="120" w:line="23" w:lineRule="atLeast"/>
              <w:jc w:val="both"/>
              <w:rPr>
                <w:rFonts w:ascii="Arial" w:hAnsi="Arial" w:cs="Arial"/>
                <w:sz w:val="18"/>
                <w:szCs w:val="18"/>
              </w:rPr>
            </w:pPr>
            <w:r w:rsidRPr="003E2214">
              <w:rPr>
                <w:rFonts w:ascii="Arial" w:hAnsi="Arial" w:cs="Arial"/>
                <w:sz w:val="18"/>
                <w:szCs w:val="18"/>
              </w:rPr>
              <w:t>Participante 2</w:t>
            </w:r>
          </w:p>
        </w:tc>
        <w:tc>
          <w:tcPr>
            <w:tcW w:w="2102" w:type="dxa"/>
            <w:shd w:val="clear" w:color="auto" w:fill="auto"/>
            <w:tcMar>
              <w:top w:w="0" w:type="dxa"/>
              <w:left w:w="108" w:type="dxa"/>
              <w:bottom w:w="0" w:type="dxa"/>
              <w:right w:w="108" w:type="dxa"/>
            </w:tcMar>
            <w:vAlign w:val="center"/>
          </w:tcPr>
          <w:p w14:paraId="4BCAE133" w14:textId="7D43075D" w:rsidR="003E2214" w:rsidRPr="003E2214" w:rsidRDefault="006F6AEE" w:rsidP="00D50B18">
            <w:pPr>
              <w:spacing w:before="120" w:after="120" w:line="23" w:lineRule="atLeast"/>
              <w:jc w:val="center"/>
              <w:rPr>
                <w:rFonts w:ascii="Arial" w:hAnsi="Arial" w:cs="Arial"/>
                <w:b/>
                <w:sz w:val="18"/>
                <w:szCs w:val="18"/>
              </w:rPr>
            </w:pPr>
            <w:r>
              <w:rPr>
                <w:rFonts w:ascii="Arial" w:hAnsi="Arial" w:cs="Arial"/>
                <w:b/>
                <w:sz w:val="18"/>
                <w:szCs w:val="18"/>
              </w:rPr>
              <w:t>14</w:t>
            </w:r>
            <w:r w:rsidRPr="003E2214">
              <w:rPr>
                <w:rFonts w:ascii="Arial" w:hAnsi="Arial" w:cs="Arial"/>
                <w:b/>
                <w:sz w:val="18"/>
                <w:szCs w:val="18"/>
              </w:rPr>
              <w:t>/0</w:t>
            </w:r>
            <w:r>
              <w:rPr>
                <w:rFonts w:ascii="Arial" w:hAnsi="Arial" w:cs="Arial"/>
                <w:b/>
                <w:sz w:val="18"/>
                <w:szCs w:val="18"/>
              </w:rPr>
              <w:t>1</w:t>
            </w:r>
            <w:r w:rsidRPr="003E2214">
              <w:rPr>
                <w:rFonts w:ascii="Arial" w:hAnsi="Arial" w:cs="Arial"/>
                <w:b/>
                <w:sz w:val="18"/>
                <w:szCs w:val="18"/>
              </w:rPr>
              <w:t>/20</w:t>
            </w:r>
            <w:r>
              <w:rPr>
                <w:rFonts w:ascii="Arial" w:hAnsi="Arial" w:cs="Arial"/>
                <w:b/>
                <w:sz w:val="18"/>
                <w:szCs w:val="18"/>
              </w:rPr>
              <w:t>22</w:t>
            </w:r>
          </w:p>
        </w:tc>
        <w:tc>
          <w:tcPr>
            <w:tcW w:w="2102" w:type="dxa"/>
            <w:shd w:val="clear" w:color="auto" w:fill="auto"/>
            <w:tcMar>
              <w:top w:w="0" w:type="dxa"/>
              <w:left w:w="108" w:type="dxa"/>
              <w:bottom w:w="0" w:type="dxa"/>
              <w:right w:w="108" w:type="dxa"/>
            </w:tcMar>
            <w:vAlign w:val="center"/>
          </w:tcPr>
          <w:p w14:paraId="412E4F5F" w14:textId="6337BB37" w:rsidR="003E2214" w:rsidRPr="003E2214" w:rsidRDefault="005035E3" w:rsidP="00D50B18">
            <w:pPr>
              <w:spacing w:before="120" w:after="120" w:line="23" w:lineRule="atLeast"/>
              <w:jc w:val="center"/>
              <w:rPr>
                <w:rFonts w:ascii="Arial" w:hAnsi="Arial" w:cs="Arial"/>
                <w:b/>
                <w:sz w:val="18"/>
                <w:szCs w:val="18"/>
              </w:rPr>
            </w:pPr>
            <w:r>
              <w:rPr>
                <w:rFonts w:ascii="Calibri Light" w:hAnsi="Calibri Light" w:cs="Calibri Light"/>
                <w:b/>
                <w:bCs/>
                <w:sz w:val="20"/>
                <w:szCs w:val="20"/>
              </w:rPr>
              <w:t>16:23</w:t>
            </w:r>
          </w:p>
        </w:tc>
        <w:tc>
          <w:tcPr>
            <w:tcW w:w="3120" w:type="dxa"/>
            <w:shd w:val="clear" w:color="auto" w:fill="auto"/>
            <w:vAlign w:val="center"/>
          </w:tcPr>
          <w:p w14:paraId="28A7D44B" w14:textId="73AE4D7B" w:rsidR="003E2214" w:rsidRPr="003E2214" w:rsidRDefault="005035E3" w:rsidP="00D50B18">
            <w:pPr>
              <w:spacing w:before="120" w:after="120" w:line="23" w:lineRule="atLeast"/>
              <w:jc w:val="center"/>
              <w:rPr>
                <w:rFonts w:ascii="Arial" w:hAnsi="Arial" w:cs="Arial"/>
                <w:sz w:val="18"/>
                <w:szCs w:val="18"/>
              </w:rPr>
            </w:pPr>
            <w:r w:rsidRPr="003E2214">
              <w:rPr>
                <w:rFonts w:ascii="Arial" w:hAnsi="Arial" w:cs="Arial"/>
                <w:sz w:val="18"/>
                <w:szCs w:val="18"/>
              </w:rPr>
              <w:t>Correo electrónico</w:t>
            </w:r>
            <w:r>
              <w:rPr>
                <w:rFonts w:ascii="Arial" w:hAnsi="Arial" w:cs="Arial"/>
                <w:sz w:val="18"/>
                <w:szCs w:val="18"/>
              </w:rPr>
              <w:t>.</w:t>
            </w:r>
          </w:p>
        </w:tc>
      </w:tr>
      <w:tr w:rsidR="003E2214" w:rsidRPr="003E2214" w14:paraId="7F1E34CC" w14:textId="77777777" w:rsidTr="00973ABA">
        <w:trPr>
          <w:trHeight w:val="449"/>
          <w:jc w:val="center"/>
        </w:trPr>
        <w:tc>
          <w:tcPr>
            <w:tcW w:w="1494" w:type="dxa"/>
            <w:shd w:val="clear" w:color="auto" w:fill="auto"/>
            <w:tcMar>
              <w:top w:w="0" w:type="dxa"/>
              <w:left w:w="108" w:type="dxa"/>
              <w:bottom w:w="0" w:type="dxa"/>
              <w:right w:w="108" w:type="dxa"/>
            </w:tcMar>
            <w:vAlign w:val="center"/>
          </w:tcPr>
          <w:p w14:paraId="01877A94" w14:textId="77777777" w:rsidR="003E2214" w:rsidRPr="003E2214" w:rsidRDefault="003E2214" w:rsidP="00D50B18">
            <w:pPr>
              <w:spacing w:before="120" w:after="120" w:line="23" w:lineRule="atLeast"/>
              <w:jc w:val="both"/>
              <w:rPr>
                <w:rFonts w:ascii="Arial" w:hAnsi="Arial" w:cs="Arial"/>
                <w:sz w:val="18"/>
                <w:szCs w:val="18"/>
              </w:rPr>
            </w:pPr>
            <w:r w:rsidRPr="003E2214">
              <w:rPr>
                <w:rFonts w:ascii="Arial" w:hAnsi="Arial" w:cs="Arial"/>
                <w:sz w:val="18"/>
                <w:szCs w:val="18"/>
              </w:rPr>
              <w:t>Participante 3</w:t>
            </w:r>
          </w:p>
        </w:tc>
        <w:tc>
          <w:tcPr>
            <w:tcW w:w="2102" w:type="dxa"/>
            <w:shd w:val="clear" w:color="auto" w:fill="auto"/>
            <w:tcMar>
              <w:top w:w="0" w:type="dxa"/>
              <w:left w:w="108" w:type="dxa"/>
              <w:bottom w:w="0" w:type="dxa"/>
              <w:right w:w="108" w:type="dxa"/>
            </w:tcMar>
          </w:tcPr>
          <w:p w14:paraId="457637F6" w14:textId="7ECBB57C" w:rsidR="003E2214" w:rsidRPr="003E2214" w:rsidRDefault="006F6AEE" w:rsidP="00D50B18">
            <w:pPr>
              <w:spacing w:before="120" w:after="120" w:line="23" w:lineRule="atLeast"/>
              <w:jc w:val="center"/>
              <w:rPr>
                <w:rFonts w:ascii="Arial" w:hAnsi="Arial" w:cs="Arial"/>
                <w:b/>
                <w:sz w:val="18"/>
                <w:szCs w:val="18"/>
              </w:rPr>
            </w:pPr>
            <w:r>
              <w:rPr>
                <w:rFonts w:ascii="Arial" w:hAnsi="Arial" w:cs="Arial"/>
                <w:b/>
                <w:sz w:val="18"/>
                <w:szCs w:val="18"/>
              </w:rPr>
              <w:t>14</w:t>
            </w:r>
            <w:r w:rsidRPr="003E2214">
              <w:rPr>
                <w:rFonts w:ascii="Arial" w:hAnsi="Arial" w:cs="Arial"/>
                <w:b/>
                <w:sz w:val="18"/>
                <w:szCs w:val="18"/>
              </w:rPr>
              <w:t>/0</w:t>
            </w:r>
            <w:r>
              <w:rPr>
                <w:rFonts w:ascii="Arial" w:hAnsi="Arial" w:cs="Arial"/>
                <w:b/>
                <w:sz w:val="18"/>
                <w:szCs w:val="18"/>
              </w:rPr>
              <w:t>1</w:t>
            </w:r>
            <w:r w:rsidRPr="003E2214">
              <w:rPr>
                <w:rFonts w:ascii="Arial" w:hAnsi="Arial" w:cs="Arial"/>
                <w:b/>
                <w:sz w:val="18"/>
                <w:szCs w:val="18"/>
              </w:rPr>
              <w:t>/20</w:t>
            </w:r>
            <w:r>
              <w:rPr>
                <w:rFonts w:ascii="Arial" w:hAnsi="Arial" w:cs="Arial"/>
                <w:b/>
                <w:sz w:val="18"/>
                <w:szCs w:val="18"/>
              </w:rPr>
              <w:t>22</w:t>
            </w:r>
          </w:p>
        </w:tc>
        <w:tc>
          <w:tcPr>
            <w:tcW w:w="2102" w:type="dxa"/>
            <w:shd w:val="clear" w:color="auto" w:fill="auto"/>
            <w:tcMar>
              <w:top w:w="0" w:type="dxa"/>
              <w:left w:w="108" w:type="dxa"/>
              <w:bottom w:w="0" w:type="dxa"/>
              <w:right w:w="108" w:type="dxa"/>
            </w:tcMar>
          </w:tcPr>
          <w:p w14:paraId="634DBB0C" w14:textId="0FD58ACD" w:rsidR="003E2214" w:rsidRPr="003E2214" w:rsidRDefault="005035E3" w:rsidP="00D50B18">
            <w:pPr>
              <w:spacing w:before="120" w:after="120" w:line="23" w:lineRule="atLeast"/>
              <w:jc w:val="center"/>
              <w:rPr>
                <w:rFonts w:ascii="Arial" w:hAnsi="Arial" w:cs="Arial"/>
                <w:b/>
                <w:sz w:val="18"/>
                <w:szCs w:val="18"/>
              </w:rPr>
            </w:pPr>
            <w:r>
              <w:rPr>
                <w:rFonts w:ascii="Calibri Light" w:hAnsi="Calibri Light" w:cs="Calibri Light"/>
                <w:b/>
                <w:bCs/>
                <w:sz w:val="20"/>
                <w:szCs w:val="20"/>
              </w:rPr>
              <w:t>19:17</w:t>
            </w:r>
          </w:p>
        </w:tc>
        <w:tc>
          <w:tcPr>
            <w:tcW w:w="3120" w:type="dxa"/>
            <w:shd w:val="clear" w:color="auto" w:fill="auto"/>
          </w:tcPr>
          <w:p w14:paraId="380DA921" w14:textId="260F36A4" w:rsidR="003E2214" w:rsidRPr="003E2214" w:rsidRDefault="003E2214" w:rsidP="00D50B18">
            <w:pPr>
              <w:spacing w:before="120" w:after="120" w:line="23" w:lineRule="atLeast"/>
              <w:jc w:val="center"/>
              <w:rPr>
                <w:rFonts w:ascii="Arial" w:hAnsi="Arial" w:cs="Arial"/>
                <w:sz w:val="18"/>
                <w:szCs w:val="18"/>
              </w:rPr>
            </w:pPr>
            <w:r w:rsidRPr="003E2214">
              <w:rPr>
                <w:rFonts w:ascii="Arial" w:hAnsi="Arial" w:cs="Arial"/>
                <w:sz w:val="18"/>
                <w:szCs w:val="18"/>
              </w:rPr>
              <w:t>Correo electrónico</w:t>
            </w:r>
            <w:r w:rsidR="008E69EE">
              <w:rPr>
                <w:rFonts w:ascii="Arial" w:hAnsi="Arial" w:cs="Arial"/>
                <w:sz w:val="18"/>
                <w:szCs w:val="18"/>
              </w:rPr>
              <w:t>.</w:t>
            </w:r>
          </w:p>
        </w:tc>
      </w:tr>
    </w:tbl>
    <w:p w14:paraId="12E9A083" w14:textId="029CEE30" w:rsidR="005035E3" w:rsidRDefault="005035E3" w:rsidP="00D50B18">
      <w:pPr>
        <w:spacing w:before="120" w:after="120" w:line="23" w:lineRule="atLeast"/>
        <w:jc w:val="both"/>
        <w:rPr>
          <w:rFonts w:ascii="Arial" w:hAnsi="Arial" w:cs="Arial"/>
        </w:rPr>
      </w:pPr>
      <w:r>
        <w:rPr>
          <w:rFonts w:ascii="Arial" w:hAnsi="Arial" w:cs="Arial"/>
        </w:rPr>
        <w:t>Adicionalmente a los tres participantes listados en el cuadro anterior</w:t>
      </w:r>
      <w:r w:rsidR="006F6AEE">
        <w:rPr>
          <w:rFonts w:ascii="Arial" w:hAnsi="Arial" w:cs="Arial"/>
        </w:rPr>
        <w:t>, la Comisión Federal de Competencia Económica remitió por correo electrónico su opinión respecto del anteproyecto en consulta el día 17 de enero de 2022, a las 22:23 horas, por lo que se asigna a dicha autoridad la denominación de Participante 4.</w:t>
      </w:r>
    </w:p>
    <w:p w14:paraId="0B609928" w14:textId="77777777" w:rsidR="001C4237" w:rsidRDefault="00973ABA" w:rsidP="00D50B18">
      <w:pPr>
        <w:spacing w:before="120" w:after="120" w:line="23" w:lineRule="atLeast"/>
        <w:jc w:val="both"/>
      </w:pPr>
      <w:r w:rsidRPr="00973ABA">
        <w:rPr>
          <w:rFonts w:ascii="Arial" w:hAnsi="Arial" w:cs="Arial"/>
        </w:rPr>
        <w:t xml:space="preserve">Los comentarios presentados </w:t>
      </w:r>
      <w:r w:rsidR="0085320E" w:rsidRPr="0085320E">
        <w:rPr>
          <w:rFonts w:ascii="Arial" w:hAnsi="Arial" w:cs="Arial"/>
        </w:rPr>
        <w:t>se encuentran disponibles en</w:t>
      </w:r>
      <w:r w:rsidR="001C4237">
        <w:t>:</w:t>
      </w:r>
    </w:p>
    <w:p w14:paraId="2638DCA9" w14:textId="100AA278" w:rsidR="003E2214" w:rsidRPr="0076778C" w:rsidRDefault="000C6A2A" w:rsidP="00D50B18">
      <w:pPr>
        <w:spacing w:before="120" w:after="120" w:line="23" w:lineRule="atLeast"/>
        <w:jc w:val="both"/>
        <w:rPr>
          <w:rFonts w:ascii="Arial" w:hAnsi="Arial" w:cs="Arial"/>
        </w:rPr>
      </w:pPr>
      <w:hyperlink r:id="rId11" w:history="1">
        <w:r w:rsidR="001C4237" w:rsidRPr="00FD2A1B">
          <w:rPr>
            <w:rStyle w:val="Hipervnculo"/>
            <w:rFonts w:ascii="Arial" w:hAnsi="Arial" w:cs="Arial"/>
            <w:szCs w:val="14"/>
          </w:rPr>
          <w:t>http://www.ift.org.mx/industria/consultas-publicas/consulta-publica-sobre-el-anteproyecto-de-lineamientos-para-la-sustanciacion-traves-de-medios</w:t>
        </w:r>
      </w:hyperlink>
      <w:r w:rsidR="001C4237">
        <w:rPr>
          <w:rFonts w:ascii="Arial" w:hAnsi="Arial" w:cs="Arial"/>
          <w:szCs w:val="14"/>
        </w:rPr>
        <w:t xml:space="preserve"> </w:t>
      </w:r>
      <w:r w:rsidR="00C272A8">
        <w:rPr>
          <w:rFonts w:ascii="Arial" w:hAnsi="Arial" w:cs="Arial"/>
          <w:szCs w:val="14"/>
        </w:rPr>
        <w:t xml:space="preserve"> </w:t>
      </w:r>
      <w:r w:rsidR="00973ABA">
        <w:rPr>
          <w:rFonts w:ascii="Arial" w:hAnsi="Arial" w:cs="Arial"/>
          <w:szCs w:val="14"/>
        </w:rPr>
        <w:t xml:space="preserve"> </w:t>
      </w:r>
    </w:p>
    <w:p w14:paraId="450A8D15" w14:textId="3FA61997" w:rsidR="003E2214" w:rsidRDefault="005F39CC" w:rsidP="00D50B18">
      <w:pPr>
        <w:pStyle w:val="Ttulo1"/>
        <w:spacing w:before="120" w:after="120" w:line="23" w:lineRule="atLeast"/>
        <w:jc w:val="both"/>
        <w:rPr>
          <w:rFonts w:ascii="Arial" w:hAnsi="Arial" w:cs="Arial"/>
          <w:b/>
          <w:color w:val="auto"/>
          <w:sz w:val="22"/>
          <w:szCs w:val="22"/>
        </w:rPr>
      </w:pPr>
      <w:r>
        <w:rPr>
          <w:rFonts w:ascii="Arial" w:hAnsi="Arial" w:cs="Arial"/>
          <w:b/>
          <w:color w:val="auto"/>
          <w:sz w:val="22"/>
          <w:szCs w:val="22"/>
        </w:rPr>
        <w:t>7</w:t>
      </w:r>
      <w:r w:rsidR="00393393">
        <w:rPr>
          <w:rFonts w:ascii="Arial" w:hAnsi="Arial" w:cs="Arial"/>
          <w:b/>
          <w:color w:val="auto"/>
          <w:sz w:val="22"/>
          <w:szCs w:val="22"/>
        </w:rPr>
        <w:t>.</w:t>
      </w:r>
      <w:r w:rsidR="003E2214" w:rsidRPr="003E2214">
        <w:rPr>
          <w:rFonts w:ascii="Arial" w:hAnsi="Arial" w:cs="Arial"/>
          <w:b/>
          <w:color w:val="auto"/>
          <w:sz w:val="22"/>
          <w:szCs w:val="22"/>
        </w:rPr>
        <w:t xml:space="preserve"> </w:t>
      </w:r>
      <w:r w:rsidR="00C320A9">
        <w:rPr>
          <w:rFonts w:ascii="Arial" w:hAnsi="Arial" w:cs="Arial"/>
          <w:b/>
          <w:color w:val="auto"/>
          <w:sz w:val="22"/>
          <w:szCs w:val="22"/>
        </w:rPr>
        <w:t xml:space="preserve">Respuestas o posicionamientos </w:t>
      </w:r>
      <w:r w:rsidR="00EA4331">
        <w:rPr>
          <w:rFonts w:ascii="Arial" w:hAnsi="Arial" w:cs="Arial"/>
          <w:b/>
          <w:color w:val="auto"/>
          <w:sz w:val="22"/>
          <w:szCs w:val="22"/>
        </w:rPr>
        <w:t xml:space="preserve">de la UCE </w:t>
      </w:r>
      <w:r w:rsidR="00C320A9">
        <w:rPr>
          <w:rFonts w:ascii="Arial" w:hAnsi="Arial" w:cs="Arial"/>
          <w:b/>
          <w:color w:val="auto"/>
          <w:sz w:val="22"/>
          <w:szCs w:val="22"/>
        </w:rPr>
        <w:t>que correspondan a los comentarios</w:t>
      </w:r>
      <w:r w:rsidR="00392DA2">
        <w:rPr>
          <w:rFonts w:ascii="Arial" w:hAnsi="Arial" w:cs="Arial"/>
          <w:b/>
          <w:color w:val="auto"/>
          <w:sz w:val="22"/>
          <w:szCs w:val="22"/>
        </w:rPr>
        <w:t xml:space="preserve">, opiniones y propuestas </w:t>
      </w:r>
      <w:r w:rsidR="00C320A9">
        <w:rPr>
          <w:rFonts w:ascii="Arial" w:hAnsi="Arial" w:cs="Arial"/>
          <w:b/>
          <w:color w:val="auto"/>
          <w:sz w:val="22"/>
          <w:szCs w:val="22"/>
        </w:rPr>
        <w:t>recibid</w:t>
      </w:r>
      <w:r w:rsidR="00392DA2">
        <w:rPr>
          <w:rFonts w:ascii="Arial" w:hAnsi="Arial" w:cs="Arial"/>
          <w:b/>
          <w:color w:val="auto"/>
          <w:sz w:val="22"/>
          <w:szCs w:val="22"/>
        </w:rPr>
        <w:t>as</w:t>
      </w:r>
      <w:r w:rsidR="00C320A9">
        <w:rPr>
          <w:rFonts w:ascii="Arial" w:hAnsi="Arial" w:cs="Arial"/>
          <w:b/>
          <w:color w:val="auto"/>
          <w:sz w:val="22"/>
          <w:szCs w:val="22"/>
        </w:rPr>
        <w:t>.</w:t>
      </w:r>
    </w:p>
    <w:p w14:paraId="33AEBD68" w14:textId="59ED22FF" w:rsidR="008839E0" w:rsidRDefault="006F6AEE" w:rsidP="00D50B18">
      <w:pPr>
        <w:spacing w:before="120" w:after="120" w:line="23" w:lineRule="atLeast"/>
        <w:jc w:val="both"/>
        <w:rPr>
          <w:rFonts w:ascii="Arial" w:hAnsi="Arial" w:cs="Arial"/>
        </w:rPr>
      </w:pPr>
      <w:r>
        <w:rPr>
          <w:rFonts w:ascii="Arial" w:hAnsi="Arial" w:cs="Arial"/>
        </w:rPr>
        <w:t>Sin prejuzgar sobre lo que determine el Pleno del Instituto al emitir los Lineamientos, a</w:t>
      </w:r>
      <w:r w:rsidR="00BC2E02" w:rsidRPr="00BC2E02">
        <w:rPr>
          <w:rFonts w:ascii="Arial" w:hAnsi="Arial" w:cs="Arial"/>
        </w:rPr>
        <w:t xml:space="preserve"> continuación, se identifican los </w:t>
      </w:r>
      <w:r>
        <w:rPr>
          <w:rFonts w:ascii="Arial" w:hAnsi="Arial" w:cs="Arial"/>
        </w:rPr>
        <w:t>artículos</w:t>
      </w:r>
      <w:r w:rsidR="00BC2E02" w:rsidRPr="00BC2E02">
        <w:rPr>
          <w:rFonts w:ascii="Arial" w:hAnsi="Arial" w:cs="Arial"/>
        </w:rPr>
        <w:t xml:space="preserve"> específicos del Anteproyecto </w:t>
      </w:r>
      <w:r>
        <w:rPr>
          <w:rFonts w:ascii="Arial" w:hAnsi="Arial" w:cs="Arial"/>
        </w:rPr>
        <w:t xml:space="preserve">sobre los que fueron formulados los comentarios, se </w:t>
      </w:r>
      <w:r w:rsidRPr="00BC2E02">
        <w:rPr>
          <w:rFonts w:ascii="Arial" w:hAnsi="Arial" w:cs="Arial"/>
        </w:rPr>
        <w:t xml:space="preserve">presenta </w:t>
      </w:r>
      <w:r>
        <w:rPr>
          <w:rFonts w:ascii="Arial" w:hAnsi="Arial" w:cs="Arial"/>
        </w:rPr>
        <w:t>una síntesis</w:t>
      </w:r>
      <w:r w:rsidRPr="00BC2E02">
        <w:rPr>
          <w:rFonts w:ascii="Arial" w:hAnsi="Arial" w:cs="Arial"/>
        </w:rPr>
        <w:t xml:space="preserve"> de </w:t>
      </w:r>
      <w:r>
        <w:rPr>
          <w:rFonts w:ascii="Arial" w:hAnsi="Arial" w:cs="Arial"/>
        </w:rPr>
        <w:t>ellos y se ponderan para presentar una consideración al respecto</w:t>
      </w:r>
      <w:r w:rsidR="00BC2E02" w:rsidRPr="00BC2E02">
        <w:rPr>
          <w:rFonts w:ascii="Arial" w:hAnsi="Arial" w:cs="Arial"/>
        </w:rPr>
        <w:t>.</w:t>
      </w:r>
    </w:p>
    <w:p w14:paraId="400B620F" w14:textId="48FCE5B3" w:rsidR="00C200B9" w:rsidRDefault="005F39CC" w:rsidP="00D50B18">
      <w:pPr>
        <w:spacing w:before="120" w:after="120" w:line="23" w:lineRule="atLeast"/>
        <w:jc w:val="both"/>
        <w:rPr>
          <w:rFonts w:ascii="Arial" w:hAnsi="Arial" w:cs="Arial"/>
          <w:b/>
          <w:bCs/>
        </w:rPr>
      </w:pPr>
      <w:r>
        <w:rPr>
          <w:rFonts w:ascii="Arial" w:hAnsi="Arial" w:cs="Arial"/>
          <w:b/>
        </w:rPr>
        <w:t>8</w:t>
      </w:r>
      <w:r w:rsidR="004D24CF" w:rsidRPr="00BD5C05">
        <w:rPr>
          <w:rFonts w:ascii="Arial" w:hAnsi="Arial" w:cs="Arial"/>
          <w:b/>
        </w:rPr>
        <w:t>.</w:t>
      </w:r>
      <w:r>
        <w:rPr>
          <w:rFonts w:ascii="Arial" w:hAnsi="Arial" w:cs="Arial"/>
          <w:b/>
        </w:rPr>
        <w:t>1</w:t>
      </w:r>
      <w:r w:rsidR="003E2214" w:rsidRPr="00BD5C05">
        <w:rPr>
          <w:rFonts w:ascii="Arial" w:hAnsi="Arial" w:cs="Arial"/>
          <w:b/>
        </w:rPr>
        <w:t xml:space="preserve"> </w:t>
      </w:r>
      <w:r w:rsidR="00BC10F2">
        <w:rPr>
          <w:rFonts w:ascii="Arial" w:hAnsi="Arial" w:cs="Arial"/>
          <w:b/>
        </w:rPr>
        <w:t>Capítulo</w:t>
      </w:r>
      <w:r w:rsidR="005826FC" w:rsidRPr="00BD5C05">
        <w:rPr>
          <w:rFonts w:ascii="Arial" w:hAnsi="Arial" w:cs="Arial"/>
          <w:b/>
          <w:bCs/>
        </w:rPr>
        <w:t xml:space="preserve"> </w:t>
      </w:r>
      <w:r w:rsidR="00927C1C">
        <w:rPr>
          <w:rFonts w:ascii="Arial" w:hAnsi="Arial" w:cs="Arial"/>
          <w:b/>
          <w:bCs/>
        </w:rPr>
        <w:t>I</w:t>
      </w:r>
      <w:r w:rsidR="005826FC" w:rsidRPr="00BD5C05">
        <w:rPr>
          <w:rFonts w:ascii="Arial" w:hAnsi="Arial" w:cs="Arial"/>
          <w:b/>
          <w:bCs/>
        </w:rPr>
        <w:t xml:space="preserve">. </w:t>
      </w:r>
      <w:r w:rsidR="00BC10F2">
        <w:rPr>
          <w:rFonts w:ascii="Arial" w:hAnsi="Arial" w:cs="Arial"/>
          <w:b/>
          <w:bCs/>
        </w:rPr>
        <w:t>Disposiciones Generales</w:t>
      </w:r>
    </w:p>
    <w:p w14:paraId="783AE338" w14:textId="1E70A10D" w:rsidR="004D24CF" w:rsidRDefault="005F39CC" w:rsidP="00D50B18">
      <w:pPr>
        <w:spacing w:before="120" w:after="120" w:line="23" w:lineRule="atLeast"/>
        <w:jc w:val="both"/>
        <w:rPr>
          <w:rFonts w:ascii="Arial" w:hAnsi="Arial" w:cs="Arial"/>
          <w:b/>
          <w:bCs/>
        </w:rPr>
      </w:pPr>
      <w:r>
        <w:rPr>
          <w:rFonts w:ascii="Arial" w:hAnsi="Arial" w:cs="Arial"/>
          <w:b/>
          <w:bCs/>
        </w:rPr>
        <w:t>8</w:t>
      </w:r>
      <w:r w:rsidR="00BD5C05">
        <w:rPr>
          <w:rFonts w:ascii="Arial" w:hAnsi="Arial" w:cs="Arial"/>
          <w:b/>
          <w:bCs/>
        </w:rPr>
        <w:t xml:space="preserve">.1.1. </w:t>
      </w:r>
      <w:r w:rsidR="00BD5C05" w:rsidRPr="00BD5C05">
        <w:rPr>
          <w:rFonts w:ascii="Arial" w:hAnsi="Arial" w:cs="Arial"/>
          <w:b/>
          <w:bCs/>
        </w:rPr>
        <w:t xml:space="preserve">Síntesis de los comentarios recibidos respecto de la propuesta del </w:t>
      </w:r>
      <w:r w:rsidR="00BC10F2">
        <w:rPr>
          <w:rFonts w:ascii="Arial" w:hAnsi="Arial" w:cs="Arial"/>
          <w:b/>
          <w:bCs/>
        </w:rPr>
        <w:t>Capítulo</w:t>
      </w:r>
      <w:r w:rsidR="00BD5C05">
        <w:rPr>
          <w:rFonts w:ascii="Arial" w:hAnsi="Arial" w:cs="Arial"/>
          <w:b/>
          <w:bCs/>
        </w:rPr>
        <w:t xml:space="preserve"> </w:t>
      </w:r>
      <w:r w:rsidR="00927C1C">
        <w:rPr>
          <w:rFonts w:ascii="Arial" w:hAnsi="Arial" w:cs="Arial"/>
          <w:b/>
          <w:bCs/>
        </w:rPr>
        <w:t>I</w:t>
      </w:r>
      <w:r w:rsidR="00BD5C05" w:rsidRPr="00BD5C05">
        <w:rPr>
          <w:rFonts w:ascii="Arial" w:hAnsi="Arial" w:cs="Arial"/>
          <w:b/>
          <w:bCs/>
        </w:rPr>
        <w:t xml:space="preserve">. </w:t>
      </w:r>
      <w:r w:rsidR="00BC10F2">
        <w:rPr>
          <w:rFonts w:ascii="Arial" w:hAnsi="Arial" w:cs="Arial"/>
          <w:b/>
          <w:bCs/>
        </w:rPr>
        <w:t>Disposiciones Generales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691"/>
        <w:gridCol w:w="4087"/>
        <w:gridCol w:w="3568"/>
      </w:tblGrid>
      <w:tr w:rsidR="00A265C3" w:rsidRPr="003E2214" w14:paraId="375458E2" w14:textId="0DAE96EF" w:rsidTr="003F133C">
        <w:trPr>
          <w:tblHeader/>
          <w:jc w:val="center"/>
        </w:trPr>
        <w:tc>
          <w:tcPr>
            <w:tcW w:w="1691" w:type="dxa"/>
            <w:shd w:val="clear" w:color="auto" w:fill="70AD47" w:themeFill="accent6"/>
          </w:tcPr>
          <w:p w14:paraId="11D238DB" w14:textId="5860ED6E" w:rsidR="00A265C3" w:rsidRPr="00F45E04" w:rsidRDefault="00BC10F2" w:rsidP="00D50B1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087" w:type="dxa"/>
            <w:shd w:val="clear" w:color="auto" w:fill="70AD47" w:themeFill="accent6"/>
          </w:tcPr>
          <w:p w14:paraId="271A4EF8" w14:textId="146AE89A" w:rsidR="00A265C3" w:rsidRPr="00F45E04" w:rsidRDefault="00A265C3" w:rsidP="00D50B1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7DE10C90" w14:textId="5AD10A27" w:rsidR="00A265C3" w:rsidRPr="00F45E04" w:rsidRDefault="00A265C3" w:rsidP="00D50B1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844861" w:rsidRPr="003E2214" w14:paraId="7A46DAA5" w14:textId="3DABE3ED" w:rsidTr="00275B74">
        <w:trPr>
          <w:jc w:val="center"/>
        </w:trPr>
        <w:tc>
          <w:tcPr>
            <w:tcW w:w="9346" w:type="dxa"/>
            <w:gridSpan w:val="3"/>
            <w:shd w:val="clear" w:color="auto" w:fill="C5E0B3" w:themeFill="accent6" w:themeFillTint="66"/>
          </w:tcPr>
          <w:p w14:paraId="0653DF6E" w14:textId="15EBABF2" w:rsidR="00844861" w:rsidRDefault="00844861" w:rsidP="00D50B18">
            <w:pPr>
              <w:spacing w:before="120" w:after="120" w:line="23" w:lineRule="atLeast"/>
              <w:jc w:val="center"/>
              <w:rPr>
                <w:rFonts w:ascii="Arial" w:hAnsi="Arial" w:cs="Arial"/>
                <w:b/>
                <w:sz w:val="18"/>
                <w:szCs w:val="18"/>
              </w:rPr>
            </w:pPr>
            <w:r>
              <w:rPr>
                <w:rFonts w:ascii="Arial" w:hAnsi="Arial" w:cs="Arial"/>
                <w:b/>
                <w:sz w:val="18"/>
                <w:szCs w:val="18"/>
              </w:rPr>
              <w:t xml:space="preserve">1. </w:t>
            </w:r>
            <w:r w:rsidR="003F133C">
              <w:rPr>
                <w:rFonts w:ascii="Arial" w:hAnsi="Arial" w:cs="Arial"/>
                <w:b/>
                <w:sz w:val="18"/>
                <w:szCs w:val="18"/>
              </w:rPr>
              <w:t>Disposiciones Generales</w:t>
            </w:r>
          </w:p>
        </w:tc>
      </w:tr>
      <w:tr w:rsidR="00F04D00" w:rsidRPr="003E2214" w14:paraId="45F8B165" w14:textId="77777777" w:rsidTr="00F04D00">
        <w:trPr>
          <w:jc w:val="center"/>
        </w:trPr>
        <w:tc>
          <w:tcPr>
            <w:tcW w:w="1691" w:type="dxa"/>
            <w:vMerge w:val="restart"/>
            <w:shd w:val="clear" w:color="auto" w:fill="auto"/>
            <w:vAlign w:val="center"/>
          </w:tcPr>
          <w:p w14:paraId="164494FC" w14:textId="77777777" w:rsidR="00F04D00" w:rsidRDefault="00F04D00" w:rsidP="00F04D00">
            <w:pPr>
              <w:spacing w:before="120" w:after="120" w:line="23" w:lineRule="atLeast"/>
              <w:rPr>
                <w:rFonts w:ascii="Arial" w:hAnsi="Arial" w:cs="Arial"/>
                <w:b/>
                <w:sz w:val="18"/>
                <w:szCs w:val="18"/>
              </w:rPr>
            </w:pPr>
            <w:r>
              <w:rPr>
                <w:rFonts w:ascii="Arial" w:hAnsi="Arial" w:cs="Arial"/>
                <w:b/>
                <w:sz w:val="18"/>
                <w:szCs w:val="18"/>
              </w:rPr>
              <w:t>Artículo 1</w:t>
            </w:r>
          </w:p>
          <w:p w14:paraId="50A904E8" w14:textId="33D7F1FF" w:rsidR="00F04D00" w:rsidRDefault="00F04D00" w:rsidP="00F04D00">
            <w:pPr>
              <w:spacing w:before="120" w:after="120" w:line="23" w:lineRule="atLeast"/>
              <w:rPr>
                <w:rFonts w:ascii="Arial" w:hAnsi="Arial" w:cs="Arial"/>
                <w:b/>
                <w:sz w:val="18"/>
                <w:szCs w:val="18"/>
              </w:rPr>
            </w:pPr>
          </w:p>
        </w:tc>
        <w:tc>
          <w:tcPr>
            <w:tcW w:w="4087" w:type="dxa"/>
            <w:shd w:val="clear" w:color="auto" w:fill="auto"/>
          </w:tcPr>
          <w:p w14:paraId="2396A6C5" w14:textId="5DBE9B70" w:rsidR="00F04D00" w:rsidRPr="008003C4" w:rsidRDefault="00F04D00" w:rsidP="008003C4">
            <w:pPr>
              <w:spacing w:before="120" w:after="120" w:line="23" w:lineRule="atLeast"/>
              <w:jc w:val="both"/>
              <w:rPr>
                <w:rFonts w:ascii="Arial" w:hAnsi="Arial" w:cs="Arial"/>
                <w:bCs/>
                <w:sz w:val="18"/>
                <w:szCs w:val="18"/>
              </w:rPr>
            </w:pPr>
            <w:r>
              <w:rPr>
                <w:rFonts w:ascii="Arial" w:hAnsi="Arial" w:cs="Arial"/>
                <w:sz w:val="18"/>
                <w:szCs w:val="18"/>
              </w:rPr>
              <w:t>L</w:t>
            </w:r>
            <w:r w:rsidRPr="004F77AA">
              <w:rPr>
                <w:rFonts w:ascii="Arial" w:hAnsi="Arial" w:cs="Arial"/>
                <w:sz w:val="18"/>
                <w:szCs w:val="18"/>
              </w:rPr>
              <w:t xml:space="preserve">o dispuesto en el artículo 1 excede los alcances de los </w:t>
            </w:r>
            <w:r w:rsidR="00B863EC">
              <w:rPr>
                <w:rFonts w:ascii="Arial" w:hAnsi="Arial" w:cs="Arial"/>
                <w:sz w:val="18"/>
                <w:szCs w:val="18"/>
              </w:rPr>
              <w:t>l</w:t>
            </w:r>
            <w:r w:rsidRPr="004F77AA">
              <w:rPr>
                <w:rFonts w:ascii="Arial" w:hAnsi="Arial" w:cs="Arial"/>
                <w:sz w:val="18"/>
                <w:szCs w:val="18"/>
              </w:rPr>
              <w:t xml:space="preserve">ineamientos toda vez que pretende regular el procedimiento de sustanciación a través de medios electrónicos, en contravención y excediendo lo dispuesto en los artículos 118 de la LFCE y 158 de las DRLFCE, mismos que </w:t>
            </w:r>
            <w:r w:rsidRPr="004F77AA">
              <w:rPr>
                <w:rFonts w:ascii="Arial" w:hAnsi="Arial" w:cs="Arial"/>
                <w:sz w:val="18"/>
                <w:szCs w:val="18"/>
              </w:rPr>
              <w:lastRenderedPageBreak/>
              <w:t xml:space="preserve">disponen que el medio idóneo para la regulación de la sustanciación de los procedimientos por medios electrónicos serán las disposiciones regulatorias y no otro tipo de cuerpo normativo terciario, como lo son los </w:t>
            </w:r>
            <w:r w:rsidR="00B863EC">
              <w:rPr>
                <w:rFonts w:ascii="Arial" w:hAnsi="Arial" w:cs="Arial"/>
                <w:sz w:val="18"/>
                <w:szCs w:val="18"/>
              </w:rPr>
              <w:t>l</w:t>
            </w:r>
            <w:r w:rsidRPr="004F77AA">
              <w:rPr>
                <w:rFonts w:ascii="Arial" w:hAnsi="Arial" w:cs="Arial"/>
                <w:sz w:val="18"/>
                <w:szCs w:val="18"/>
              </w:rPr>
              <w:t>ineamientos</w:t>
            </w:r>
            <w:r>
              <w:rPr>
                <w:rFonts w:ascii="Arial" w:hAnsi="Arial" w:cs="Arial"/>
                <w:sz w:val="18"/>
                <w:szCs w:val="18"/>
              </w:rPr>
              <w:t>.</w:t>
            </w:r>
          </w:p>
        </w:tc>
        <w:tc>
          <w:tcPr>
            <w:tcW w:w="3568" w:type="dxa"/>
            <w:shd w:val="clear" w:color="auto" w:fill="auto"/>
          </w:tcPr>
          <w:p w14:paraId="28B80022" w14:textId="2DC406D6" w:rsidR="00F04D00" w:rsidRDefault="000C79AF" w:rsidP="00F04D00">
            <w:pPr>
              <w:spacing w:before="120" w:after="120" w:line="23" w:lineRule="atLeast"/>
              <w:jc w:val="both"/>
              <w:rPr>
                <w:rFonts w:ascii="Arial" w:hAnsi="Arial" w:cs="Arial"/>
                <w:sz w:val="18"/>
                <w:szCs w:val="18"/>
              </w:rPr>
            </w:pPr>
            <w:r>
              <w:rPr>
                <w:rFonts w:ascii="Arial" w:hAnsi="Arial" w:cs="Arial"/>
                <w:sz w:val="18"/>
                <w:szCs w:val="18"/>
              </w:rPr>
              <w:lastRenderedPageBreak/>
              <w:t>El</w:t>
            </w:r>
            <w:r w:rsidR="00F04D00">
              <w:rPr>
                <w:rFonts w:ascii="Arial" w:hAnsi="Arial" w:cs="Arial"/>
                <w:sz w:val="18"/>
                <w:szCs w:val="18"/>
              </w:rPr>
              <w:t xml:space="preserve"> comentario </w:t>
            </w:r>
            <w:r>
              <w:rPr>
                <w:rFonts w:ascii="Arial" w:hAnsi="Arial" w:cs="Arial"/>
                <w:sz w:val="18"/>
                <w:szCs w:val="18"/>
              </w:rPr>
              <w:t xml:space="preserve">se considera inválido, </w:t>
            </w:r>
            <w:r w:rsidR="00F04D00">
              <w:rPr>
                <w:rFonts w:ascii="Arial" w:hAnsi="Arial" w:cs="Arial"/>
                <w:sz w:val="18"/>
                <w:szCs w:val="18"/>
              </w:rPr>
              <w:t xml:space="preserve">debido a que el artículo 118 de la LFCE refiere a lo que dispongan las DRLFCE, y el artículo 158 de estas dispone </w:t>
            </w:r>
            <w:r>
              <w:rPr>
                <w:rFonts w:ascii="Arial" w:hAnsi="Arial" w:cs="Arial"/>
                <w:sz w:val="18"/>
                <w:szCs w:val="18"/>
              </w:rPr>
              <w:t xml:space="preserve">a su vez </w:t>
            </w:r>
            <w:r w:rsidR="00F04D00">
              <w:rPr>
                <w:rFonts w:ascii="Arial" w:hAnsi="Arial" w:cs="Arial"/>
                <w:sz w:val="18"/>
                <w:szCs w:val="18"/>
              </w:rPr>
              <w:t xml:space="preserve">la expedición de lineamientos para efectos de sustanciar a través de medios </w:t>
            </w:r>
            <w:r w:rsidR="00F04D00">
              <w:rPr>
                <w:rFonts w:ascii="Arial" w:hAnsi="Arial" w:cs="Arial"/>
                <w:sz w:val="18"/>
                <w:szCs w:val="18"/>
              </w:rPr>
              <w:lastRenderedPageBreak/>
              <w:t xml:space="preserve">electrónicos los procedimientos establecidos en la Ley. </w:t>
            </w:r>
          </w:p>
          <w:p w14:paraId="1CB00B8E" w14:textId="7529541F" w:rsidR="00F04D00" w:rsidRDefault="00F04D00" w:rsidP="00F04D00">
            <w:pPr>
              <w:spacing w:before="120" w:after="120" w:line="23" w:lineRule="atLeast"/>
              <w:jc w:val="both"/>
              <w:rPr>
                <w:rFonts w:ascii="Arial" w:hAnsi="Arial" w:cs="Arial"/>
                <w:sz w:val="18"/>
                <w:szCs w:val="18"/>
              </w:rPr>
            </w:pPr>
            <w:r>
              <w:rPr>
                <w:rFonts w:ascii="Arial" w:hAnsi="Arial" w:cs="Arial"/>
                <w:sz w:val="18"/>
                <w:szCs w:val="18"/>
              </w:rPr>
              <w:t xml:space="preserve">Si bien el alcance de los lineamientos pudiera parecer limitado a la operación del sistema, lo cierto es que este sistema es la herramienta principal a través de la cual se operará la sustanciación de los procedimientos y </w:t>
            </w:r>
            <w:r w:rsidR="000C79AF">
              <w:rPr>
                <w:rFonts w:ascii="Arial" w:hAnsi="Arial" w:cs="Arial"/>
                <w:sz w:val="18"/>
                <w:szCs w:val="18"/>
              </w:rPr>
              <w:t xml:space="preserve">sus principales reglas </w:t>
            </w:r>
            <w:r>
              <w:rPr>
                <w:rFonts w:ascii="Arial" w:hAnsi="Arial" w:cs="Arial"/>
                <w:sz w:val="18"/>
                <w:szCs w:val="18"/>
              </w:rPr>
              <w:t>giran en torno a sus capacidades, disponibilidad y accesibilidad, entre otras de sus características</w:t>
            </w:r>
            <w:r w:rsidR="00B863EC">
              <w:rPr>
                <w:rFonts w:ascii="Arial" w:hAnsi="Arial" w:cs="Arial"/>
                <w:sz w:val="18"/>
                <w:szCs w:val="18"/>
              </w:rPr>
              <w:t xml:space="preserve">, en relación con el cumplimiento de las disposiciones </w:t>
            </w:r>
            <w:r w:rsidR="00576D1C">
              <w:rPr>
                <w:rFonts w:ascii="Arial" w:hAnsi="Arial" w:cs="Arial"/>
                <w:sz w:val="18"/>
                <w:szCs w:val="18"/>
              </w:rPr>
              <w:t xml:space="preserve">aplicables </w:t>
            </w:r>
            <w:r w:rsidR="00B863EC">
              <w:rPr>
                <w:rFonts w:ascii="Arial" w:hAnsi="Arial" w:cs="Arial"/>
                <w:sz w:val="18"/>
                <w:szCs w:val="18"/>
              </w:rPr>
              <w:t>de la LFCE</w:t>
            </w:r>
            <w:r w:rsidR="00576D1C">
              <w:rPr>
                <w:rFonts w:ascii="Arial" w:hAnsi="Arial" w:cs="Arial"/>
                <w:sz w:val="18"/>
                <w:szCs w:val="18"/>
              </w:rPr>
              <w:t xml:space="preserve"> y de las DRLFCE</w:t>
            </w:r>
            <w:r>
              <w:rPr>
                <w:rFonts w:ascii="Arial" w:hAnsi="Arial" w:cs="Arial"/>
                <w:sz w:val="18"/>
                <w:szCs w:val="18"/>
              </w:rPr>
              <w:t>.</w:t>
            </w:r>
          </w:p>
          <w:p w14:paraId="6588A396" w14:textId="4A346A95" w:rsidR="00F04D00" w:rsidRPr="008003C4" w:rsidRDefault="00F04D00" w:rsidP="00FF2D68">
            <w:pPr>
              <w:spacing w:before="120" w:after="120" w:line="23" w:lineRule="atLeast"/>
              <w:jc w:val="both"/>
              <w:rPr>
                <w:rFonts w:ascii="Arial" w:hAnsi="Arial" w:cs="Arial"/>
                <w:sz w:val="18"/>
                <w:szCs w:val="18"/>
              </w:rPr>
            </w:pPr>
          </w:p>
        </w:tc>
      </w:tr>
      <w:tr w:rsidR="00F04D00" w:rsidRPr="003E2214" w14:paraId="67680FD7" w14:textId="77777777" w:rsidTr="003F133C">
        <w:trPr>
          <w:jc w:val="center"/>
        </w:trPr>
        <w:tc>
          <w:tcPr>
            <w:tcW w:w="1691" w:type="dxa"/>
            <w:vMerge/>
            <w:shd w:val="clear" w:color="auto" w:fill="auto"/>
          </w:tcPr>
          <w:p w14:paraId="5A7BF4CC" w14:textId="77777777" w:rsidR="00F04D00" w:rsidRDefault="00F04D00" w:rsidP="00D50B18">
            <w:pPr>
              <w:spacing w:before="120" w:after="120" w:line="23" w:lineRule="atLeast"/>
              <w:jc w:val="center"/>
              <w:rPr>
                <w:rFonts w:ascii="Arial" w:hAnsi="Arial" w:cs="Arial"/>
                <w:b/>
                <w:sz w:val="18"/>
                <w:szCs w:val="18"/>
              </w:rPr>
            </w:pPr>
          </w:p>
        </w:tc>
        <w:tc>
          <w:tcPr>
            <w:tcW w:w="4087" w:type="dxa"/>
            <w:shd w:val="clear" w:color="auto" w:fill="auto"/>
          </w:tcPr>
          <w:p w14:paraId="1725A970" w14:textId="560FE837" w:rsidR="00F04D00" w:rsidRDefault="00F04D00" w:rsidP="007C7E70">
            <w:pPr>
              <w:spacing w:before="120" w:after="120" w:line="23" w:lineRule="atLeast"/>
              <w:jc w:val="both"/>
              <w:rPr>
                <w:rFonts w:ascii="Arial" w:hAnsi="Arial" w:cs="Arial"/>
                <w:b/>
                <w:sz w:val="18"/>
                <w:szCs w:val="18"/>
              </w:rPr>
            </w:pPr>
            <w:r>
              <w:rPr>
                <w:rFonts w:ascii="Arial" w:hAnsi="Arial" w:cs="Arial"/>
                <w:bCs/>
                <w:sz w:val="18"/>
                <w:szCs w:val="18"/>
              </w:rPr>
              <w:t>S</w:t>
            </w:r>
            <w:r w:rsidRPr="003F133C">
              <w:rPr>
                <w:rFonts w:ascii="Arial" w:hAnsi="Arial" w:cs="Arial"/>
                <w:bCs/>
                <w:sz w:val="18"/>
                <w:szCs w:val="18"/>
              </w:rPr>
              <w:t>e hace alusión a la “Ley Federal de Procedimientos Administrativos”, siendo en nombre correcto “Ley Federal de Procedimiento Administrativo”</w:t>
            </w:r>
          </w:p>
        </w:tc>
        <w:tc>
          <w:tcPr>
            <w:tcW w:w="3568" w:type="dxa"/>
            <w:shd w:val="clear" w:color="auto" w:fill="auto"/>
          </w:tcPr>
          <w:p w14:paraId="1AE1E703" w14:textId="1A8D613E" w:rsidR="00F04D00" w:rsidRPr="00F04D00" w:rsidRDefault="00F04D00" w:rsidP="00A15925">
            <w:pPr>
              <w:spacing w:before="120" w:after="120" w:line="23" w:lineRule="atLeast"/>
              <w:jc w:val="both"/>
              <w:rPr>
                <w:rFonts w:ascii="Arial" w:hAnsi="Arial" w:cs="Arial"/>
                <w:sz w:val="18"/>
                <w:szCs w:val="18"/>
              </w:rPr>
            </w:pPr>
            <w:r>
              <w:rPr>
                <w:rFonts w:ascii="Arial" w:hAnsi="Arial" w:cs="Arial"/>
                <w:sz w:val="18"/>
                <w:szCs w:val="18"/>
              </w:rPr>
              <w:t>Se considera procedente corregir el nombre de dicho ordenamiento.</w:t>
            </w:r>
          </w:p>
        </w:tc>
      </w:tr>
      <w:tr w:rsidR="007C7E70" w:rsidRPr="003E2214" w14:paraId="038A32D0" w14:textId="77777777" w:rsidTr="00B863EC">
        <w:trPr>
          <w:jc w:val="center"/>
        </w:trPr>
        <w:tc>
          <w:tcPr>
            <w:tcW w:w="1691" w:type="dxa"/>
            <w:shd w:val="clear" w:color="auto" w:fill="auto"/>
            <w:vAlign w:val="center"/>
          </w:tcPr>
          <w:p w14:paraId="50898C79" w14:textId="4D5C8403" w:rsidR="00B863EC" w:rsidRDefault="00B863EC" w:rsidP="00B863EC">
            <w:pPr>
              <w:spacing w:before="120" w:after="120" w:line="23" w:lineRule="atLeast"/>
              <w:rPr>
                <w:rFonts w:ascii="Arial" w:hAnsi="Arial" w:cs="Arial"/>
                <w:b/>
                <w:sz w:val="18"/>
                <w:szCs w:val="18"/>
              </w:rPr>
            </w:pPr>
            <w:r>
              <w:rPr>
                <w:rFonts w:ascii="Arial" w:hAnsi="Arial" w:cs="Arial"/>
                <w:b/>
                <w:sz w:val="18"/>
                <w:szCs w:val="18"/>
              </w:rPr>
              <w:t>Artículo 2</w:t>
            </w:r>
          </w:p>
          <w:p w14:paraId="6FCB0376" w14:textId="77777777" w:rsidR="007C7E70" w:rsidRPr="007C7E70" w:rsidRDefault="007C7E70" w:rsidP="00B863EC">
            <w:pPr>
              <w:spacing w:before="120" w:after="120" w:line="23" w:lineRule="atLeast"/>
              <w:rPr>
                <w:rFonts w:ascii="Arial" w:hAnsi="Arial" w:cs="Arial"/>
                <w:b/>
                <w:sz w:val="18"/>
                <w:szCs w:val="18"/>
                <w:lang w:val="es-ES"/>
              </w:rPr>
            </w:pPr>
          </w:p>
        </w:tc>
        <w:tc>
          <w:tcPr>
            <w:tcW w:w="4087" w:type="dxa"/>
            <w:shd w:val="clear" w:color="auto" w:fill="auto"/>
          </w:tcPr>
          <w:p w14:paraId="2951BE5F" w14:textId="667C9252" w:rsidR="007C7E70" w:rsidRPr="0064207A" w:rsidRDefault="00B863EC" w:rsidP="00B863EC">
            <w:pPr>
              <w:spacing w:before="120" w:after="120" w:line="23" w:lineRule="atLeast"/>
              <w:jc w:val="both"/>
              <w:rPr>
                <w:rFonts w:ascii="Arial" w:hAnsi="Arial" w:cs="Arial"/>
                <w:bCs/>
                <w:sz w:val="18"/>
                <w:szCs w:val="18"/>
              </w:rPr>
            </w:pPr>
            <w:r>
              <w:rPr>
                <w:rFonts w:ascii="Arial" w:hAnsi="Arial" w:cs="Arial"/>
                <w:bCs/>
                <w:sz w:val="18"/>
                <w:szCs w:val="18"/>
                <w:lang w:val="es-ES"/>
              </w:rPr>
              <w:t xml:space="preserve">Los </w:t>
            </w:r>
            <w:r w:rsidR="00576D1C">
              <w:rPr>
                <w:rFonts w:ascii="Arial" w:hAnsi="Arial" w:cs="Arial"/>
                <w:bCs/>
                <w:sz w:val="18"/>
                <w:szCs w:val="18"/>
                <w:lang w:val="es-ES"/>
              </w:rPr>
              <w:t>L</w:t>
            </w:r>
            <w:r w:rsidR="00962F4C" w:rsidRPr="00962F4C">
              <w:rPr>
                <w:rFonts w:ascii="Arial" w:hAnsi="Arial" w:cs="Arial"/>
                <w:bCs/>
                <w:sz w:val="18"/>
                <w:szCs w:val="18"/>
                <w:lang w:val="es-ES"/>
              </w:rPr>
              <w:t>ineamientos deberán ser vinculantes únicamente por lo que se refiere a los términos</w:t>
            </w:r>
            <w:r>
              <w:rPr>
                <w:rFonts w:ascii="Arial" w:hAnsi="Arial" w:cs="Arial"/>
                <w:bCs/>
                <w:sz w:val="18"/>
                <w:szCs w:val="18"/>
                <w:lang w:val="es-ES"/>
              </w:rPr>
              <w:t xml:space="preserve"> </w:t>
            </w:r>
            <w:r w:rsidRPr="00B863EC">
              <w:rPr>
                <w:rFonts w:ascii="Arial" w:hAnsi="Arial" w:cs="Arial"/>
                <w:bCs/>
                <w:sz w:val="18"/>
                <w:szCs w:val="18"/>
                <w:lang w:val="es-ES"/>
              </w:rPr>
              <w:t xml:space="preserve">y condiciones de operación del sistema y no respecto de ningún tipo de consecuencia jurídica o carga procesal que exceda </w:t>
            </w:r>
            <w:r>
              <w:rPr>
                <w:rFonts w:ascii="Arial" w:hAnsi="Arial" w:cs="Arial"/>
                <w:bCs/>
                <w:sz w:val="18"/>
                <w:szCs w:val="18"/>
                <w:lang w:val="es-ES"/>
              </w:rPr>
              <w:t>sus</w:t>
            </w:r>
            <w:r w:rsidRPr="00B863EC">
              <w:rPr>
                <w:rFonts w:ascii="Arial" w:hAnsi="Arial" w:cs="Arial"/>
                <w:bCs/>
                <w:sz w:val="18"/>
                <w:szCs w:val="18"/>
                <w:lang w:val="es-ES"/>
              </w:rPr>
              <w:t xml:space="preserve"> alcances</w:t>
            </w:r>
            <w:r>
              <w:rPr>
                <w:rFonts w:ascii="Arial" w:hAnsi="Arial" w:cs="Arial"/>
                <w:bCs/>
                <w:sz w:val="18"/>
                <w:szCs w:val="18"/>
                <w:lang w:val="es-ES"/>
              </w:rPr>
              <w:t>.</w:t>
            </w:r>
          </w:p>
        </w:tc>
        <w:tc>
          <w:tcPr>
            <w:tcW w:w="3568" w:type="dxa"/>
            <w:shd w:val="clear" w:color="auto" w:fill="auto"/>
          </w:tcPr>
          <w:p w14:paraId="582C831F" w14:textId="7ECAF472" w:rsidR="007C7E70" w:rsidRPr="00BF2F95" w:rsidRDefault="00B863EC" w:rsidP="00B863EC">
            <w:pPr>
              <w:spacing w:before="120" w:after="120" w:line="23" w:lineRule="atLeast"/>
              <w:jc w:val="both"/>
              <w:rPr>
                <w:rFonts w:ascii="Arial" w:hAnsi="Arial" w:cs="Arial"/>
                <w:bCs/>
                <w:sz w:val="18"/>
                <w:szCs w:val="18"/>
              </w:rPr>
            </w:pPr>
            <w:r w:rsidRPr="00BF2F95">
              <w:rPr>
                <w:rFonts w:ascii="Arial" w:hAnsi="Arial" w:cs="Arial"/>
                <w:bCs/>
                <w:sz w:val="18"/>
                <w:szCs w:val="18"/>
              </w:rPr>
              <w:t xml:space="preserve">Se considera que el comentario no es </w:t>
            </w:r>
            <w:r w:rsidR="000C79AF" w:rsidRPr="00BF2F95">
              <w:rPr>
                <w:rFonts w:ascii="Arial" w:hAnsi="Arial" w:cs="Arial"/>
                <w:bCs/>
                <w:sz w:val="18"/>
                <w:szCs w:val="18"/>
              </w:rPr>
              <w:t>válido</w:t>
            </w:r>
            <w:r w:rsidRPr="00BF2F95">
              <w:rPr>
                <w:rFonts w:ascii="Arial" w:hAnsi="Arial" w:cs="Arial"/>
                <w:bCs/>
                <w:sz w:val="18"/>
                <w:szCs w:val="18"/>
              </w:rPr>
              <w:t xml:space="preserve"> pues el artículo 1</w:t>
            </w:r>
            <w:r w:rsidR="000C79AF" w:rsidRPr="00BF2F95">
              <w:rPr>
                <w:rFonts w:ascii="Arial" w:hAnsi="Arial" w:cs="Arial"/>
                <w:bCs/>
                <w:sz w:val="18"/>
                <w:szCs w:val="18"/>
              </w:rPr>
              <w:t>6</w:t>
            </w:r>
            <w:r w:rsidRPr="00BF2F95">
              <w:rPr>
                <w:rFonts w:ascii="Arial" w:hAnsi="Arial" w:cs="Arial"/>
                <w:bCs/>
                <w:sz w:val="18"/>
                <w:szCs w:val="18"/>
              </w:rPr>
              <w:t xml:space="preserve"> de los </w:t>
            </w:r>
            <w:r w:rsidR="00576D1C" w:rsidRPr="00BF2F95">
              <w:rPr>
                <w:rFonts w:ascii="Arial" w:hAnsi="Arial" w:cs="Arial"/>
                <w:bCs/>
                <w:sz w:val="18"/>
                <w:szCs w:val="18"/>
              </w:rPr>
              <w:t>Lineamientos establece que los “requisitos, plazos y términos previstos en la LFCE, en las DRLFCE y demás disposiciones aplicables, serán de observancia obligatoria en los procedimientos y trámites que se sustancien a través de Medios electrónicos”.</w:t>
            </w:r>
            <w:r w:rsidR="008A6891" w:rsidRPr="00BF2F95">
              <w:rPr>
                <w:rFonts w:ascii="Arial" w:hAnsi="Arial" w:cs="Arial"/>
                <w:bCs/>
                <w:sz w:val="18"/>
                <w:szCs w:val="18"/>
              </w:rPr>
              <w:t xml:space="preserve"> </w:t>
            </w:r>
          </w:p>
          <w:p w14:paraId="40010E31" w14:textId="1030876E" w:rsidR="00576D1C" w:rsidRPr="00BF2F95" w:rsidRDefault="00576D1C" w:rsidP="00B863EC">
            <w:pPr>
              <w:spacing w:before="120" w:after="120" w:line="23" w:lineRule="atLeast"/>
              <w:jc w:val="both"/>
              <w:rPr>
                <w:rFonts w:ascii="Arial" w:hAnsi="Arial" w:cs="Arial"/>
                <w:b/>
                <w:sz w:val="18"/>
                <w:szCs w:val="18"/>
              </w:rPr>
            </w:pPr>
            <w:r w:rsidRPr="00BF2F95">
              <w:rPr>
                <w:rFonts w:ascii="Arial" w:hAnsi="Arial" w:cs="Arial"/>
                <w:bCs/>
                <w:sz w:val="18"/>
                <w:szCs w:val="18"/>
              </w:rPr>
              <w:t xml:space="preserve">Por otro lado, el alcance de los Lineamientos no se limita puramente a los términos y condiciones de operación del sistema, sino que su alcance es establecer todas las disposiciones que hagan posible la sustanciación de procedimientos </w:t>
            </w:r>
            <w:r w:rsidR="008A6891" w:rsidRPr="00BF2F95">
              <w:rPr>
                <w:rFonts w:ascii="Arial" w:hAnsi="Arial" w:cs="Arial"/>
                <w:bCs/>
                <w:sz w:val="18"/>
                <w:szCs w:val="18"/>
              </w:rPr>
              <w:t>establecidos en</w:t>
            </w:r>
            <w:r w:rsidRPr="00BF2F95">
              <w:rPr>
                <w:rFonts w:ascii="Arial" w:hAnsi="Arial" w:cs="Arial"/>
                <w:bCs/>
                <w:sz w:val="18"/>
                <w:szCs w:val="18"/>
              </w:rPr>
              <w:t xml:space="preserve"> la LFCE a través de medios electrónicos.</w:t>
            </w:r>
          </w:p>
        </w:tc>
      </w:tr>
      <w:tr w:rsidR="00287765" w:rsidRPr="003E2214" w14:paraId="0A726ADF" w14:textId="77777777" w:rsidTr="0079773D">
        <w:trPr>
          <w:jc w:val="center"/>
        </w:trPr>
        <w:tc>
          <w:tcPr>
            <w:tcW w:w="1691" w:type="dxa"/>
            <w:vMerge w:val="restart"/>
            <w:shd w:val="clear" w:color="auto" w:fill="auto"/>
            <w:vAlign w:val="center"/>
          </w:tcPr>
          <w:p w14:paraId="462FB51E" w14:textId="0D7B63F6" w:rsidR="00287765" w:rsidRPr="0079773D" w:rsidRDefault="00287765" w:rsidP="0079773D">
            <w:pPr>
              <w:spacing w:before="120" w:after="120" w:line="23" w:lineRule="atLeast"/>
              <w:rPr>
                <w:rFonts w:ascii="Arial" w:hAnsi="Arial" w:cs="Arial"/>
                <w:b/>
                <w:bCs/>
                <w:sz w:val="18"/>
                <w:szCs w:val="18"/>
                <w:lang w:val="es-ES"/>
              </w:rPr>
            </w:pPr>
            <w:r w:rsidRPr="0079773D">
              <w:rPr>
                <w:rFonts w:ascii="Arial" w:hAnsi="Arial" w:cs="Arial"/>
                <w:b/>
                <w:bCs/>
                <w:sz w:val="18"/>
                <w:szCs w:val="18"/>
                <w:lang w:val="es-ES"/>
              </w:rPr>
              <w:t>Artículo 5</w:t>
            </w:r>
          </w:p>
        </w:tc>
        <w:tc>
          <w:tcPr>
            <w:tcW w:w="4087" w:type="dxa"/>
            <w:shd w:val="clear" w:color="auto" w:fill="auto"/>
          </w:tcPr>
          <w:p w14:paraId="1AFD7A84" w14:textId="77777777" w:rsidR="00287765" w:rsidRDefault="00287765" w:rsidP="009962C9">
            <w:pPr>
              <w:spacing w:before="120" w:after="120" w:line="23" w:lineRule="atLeast"/>
              <w:jc w:val="both"/>
              <w:rPr>
                <w:rFonts w:ascii="Arial" w:hAnsi="Arial" w:cs="Arial"/>
                <w:bCs/>
                <w:sz w:val="18"/>
                <w:szCs w:val="18"/>
              </w:rPr>
            </w:pPr>
            <w:r w:rsidRPr="009962C9">
              <w:rPr>
                <w:rFonts w:ascii="Arial" w:hAnsi="Arial" w:cs="Arial"/>
                <w:bCs/>
                <w:sz w:val="18"/>
                <w:szCs w:val="18"/>
              </w:rPr>
              <w:t xml:space="preserve">Es discordante </w:t>
            </w:r>
            <w:r>
              <w:rPr>
                <w:rFonts w:ascii="Arial" w:hAnsi="Arial" w:cs="Arial"/>
                <w:bCs/>
                <w:sz w:val="18"/>
                <w:szCs w:val="18"/>
              </w:rPr>
              <w:t>con</w:t>
            </w:r>
            <w:r w:rsidRPr="009962C9">
              <w:rPr>
                <w:rFonts w:ascii="Arial" w:hAnsi="Arial" w:cs="Arial"/>
                <w:bCs/>
                <w:sz w:val="18"/>
                <w:szCs w:val="18"/>
              </w:rPr>
              <w:t xml:space="preserve"> lo plasmado en los artículos 8, 18 y 36 de los mismos lineamientos; dotando de opacidad el procedimiento y dejando en incertidumbre jurídica. Así mismo, complica los procedimientos, ya que, la plataforma tiene un tamaño límite de capacidad, para presentar promociones y/o documentos electrónicos.</w:t>
            </w:r>
          </w:p>
          <w:p w14:paraId="25F19C37" w14:textId="77777777" w:rsidR="00C346CB" w:rsidRPr="00C346CB" w:rsidRDefault="00C346CB" w:rsidP="00C346CB">
            <w:pPr>
              <w:rPr>
                <w:rFonts w:ascii="Arial" w:hAnsi="Arial" w:cs="Arial"/>
                <w:sz w:val="18"/>
                <w:szCs w:val="18"/>
              </w:rPr>
            </w:pPr>
          </w:p>
          <w:p w14:paraId="20B4F142" w14:textId="77777777" w:rsidR="00C346CB" w:rsidRPr="00C346CB" w:rsidRDefault="00C346CB" w:rsidP="00C346CB">
            <w:pPr>
              <w:rPr>
                <w:rFonts w:ascii="Arial" w:hAnsi="Arial" w:cs="Arial"/>
                <w:sz w:val="18"/>
                <w:szCs w:val="18"/>
              </w:rPr>
            </w:pPr>
          </w:p>
          <w:p w14:paraId="62BDA527" w14:textId="77777777" w:rsidR="00C346CB" w:rsidRPr="00C346CB" w:rsidRDefault="00C346CB" w:rsidP="00C346CB">
            <w:pPr>
              <w:rPr>
                <w:rFonts w:ascii="Arial" w:hAnsi="Arial" w:cs="Arial"/>
                <w:sz w:val="18"/>
                <w:szCs w:val="18"/>
              </w:rPr>
            </w:pPr>
          </w:p>
          <w:p w14:paraId="5D208835" w14:textId="77777777" w:rsidR="00C346CB" w:rsidRPr="00C346CB" w:rsidRDefault="00C346CB" w:rsidP="00C346CB">
            <w:pPr>
              <w:rPr>
                <w:rFonts w:ascii="Arial" w:hAnsi="Arial" w:cs="Arial"/>
                <w:sz w:val="18"/>
                <w:szCs w:val="18"/>
              </w:rPr>
            </w:pPr>
          </w:p>
          <w:p w14:paraId="22E0EF53" w14:textId="77777777" w:rsidR="00C346CB" w:rsidRPr="00C346CB" w:rsidRDefault="00C346CB" w:rsidP="00C346CB">
            <w:pPr>
              <w:rPr>
                <w:rFonts w:ascii="Arial" w:hAnsi="Arial" w:cs="Arial"/>
                <w:sz w:val="18"/>
                <w:szCs w:val="18"/>
              </w:rPr>
            </w:pPr>
          </w:p>
          <w:p w14:paraId="7413FE4F" w14:textId="77777777" w:rsidR="00C346CB" w:rsidRPr="00C346CB" w:rsidRDefault="00C346CB" w:rsidP="00C346CB">
            <w:pPr>
              <w:rPr>
                <w:rFonts w:ascii="Arial" w:hAnsi="Arial" w:cs="Arial"/>
                <w:sz w:val="18"/>
                <w:szCs w:val="18"/>
              </w:rPr>
            </w:pPr>
          </w:p>
          <w:p w14:paraId="0C2310CE" w14:textId="77777777" w:rsidR="00C346CB" w:rsidRDefault="00C346CB" w:rsidP="00C346CB">
            <w:pPr>
              <w:rPr>
                <w:rFonts w:ascii="Arial" w:hAnsi="Arial" w:cs="Arial"/>
                <w:bCs/>
                <w:sz w:val="18"/>
                <w:szCs w:val="18"/>
              </w:rPr>
            </w:pPr>
          </w:p>
          <w:p w14:paraId="06562518" w14:textId="3E102332" w:rsidR="00C346CB" w:rsidRPr="00C346CB" w:rsidRDefault="00C346CB" w:rsidP="00C346CB">
            <w:pPr>
              <w:ind w:firstLine="708"/>
              <w:rPr>
                <w:rFonts w:ascii="Arial" w:hAnsi="Arial" w:cs="Arial"/>
                <w:sz w:val="18"/>
                <w:szCs w:val="18"/>
              </w:rPr>
            </w:pPr>
          </w:p>
        </w:tc>
        <w:tc>
          <w:tcPr>
            <w:tcW w:w="3568" w:type="dxa"/>
            <w:shd w:val="clear" w:color="auto" w:fill="auto"/>
          </w:tcPr>
          <w:p w14:paraId="2A960FE0" w14:textId="15172324" w:rsidR="00287765" w:rsidRPr="00BF2F95" w:rsidRDefault="00287765" w:rsidP="003A7B38">
            <w:pPr>
              <w:spacing w:before="120" w:after="120" w:line="23" w:lineRule="atLeast"/>
              <w:jc w:val="both"/>
              <w:rPr>
                <w:rFonts w:ascii="Arial" w:hAnsi="Arial" w:cs="Arial"/>
                <w:sz w:val="18"/>
                <w:szCs w:val="18"/>
              </w:rPr>
            </w:pPr>
            <w:r w:rsidRPr="00BF2F95">
              <w:rPr>
                <w:rFonts w:ascii="Arial" w:hAnsi="Arial" w:cs="Arial"/>
                <w:sz w:val="18"/>
                <w:szCs w:val="18"/>
              </w:rPr>
              <w:lastRenderedPageBreak/>
              <w:t>Se considera que el comentario no es válido. El artículo señala que se continuará con la vía elegida hasta la conclusión del procedimiento o trámite salvo disposición en contrario, por lo que el resto de los Lineamientos contienen algunas excepciones a esta regla. Por ejemplo, el artículo 36 establece una excepción en el caso del envío de promociones con archivos de un tamaño mayor al que puede manejar el sistema electrónico (los usuarios pueden dividir en varias partes la promoción o presentarla en la oficialía de partes).  Las reglas establecidas en estos casos tienen el propósito de dar certidumbre al procedimiento en la situación específica.</w:t>
            </w:r>
          </w:p>
          <w:p w14:paraId="31D9C54A" w14:textId="17B2527C" w:rsidR="00287765" w:rsidRPr="00BF2F95" w:rsidRDefault="00287765" w:rsidP="003A7B38">
            <w:pPr>
              <w:spacing w:before="120" w:after="120" w:line="23" w:lineRule="atLeast"/>
              <w:jc w:val="both"/>
              <w:rPr>
                <w:rFonts w:ascii="Arial" w:hAnsi="Arial" w:cs="Arial"/>
                <w:sz w:val="18"/>
                <w:szCs w:val="18"/>
              </w:rPr>
            </w:pPr>
            <w:r w:rsidRPr="00BF2F95">
              <w:rPr>
                <w:rFonts w:ascii="Arial" w:hAnsi="Arial" w:cs="Arial"/>
                <w:sz w:val="18"/>
                <w:szCs w:val="18"/>
              </w:rPr>
              <w:lastRenderedPageBreak/>
              <w:t>Por otra parte, es una cuestión inherente a los sistemas de intercambio de información digital tener límites en el tamaño de la información que pueden manejar, lo que no debe ser algo que complique los procedimientos si se cuenta con las reglas para dar certidumbre en los casos en que esta capacidad se rebase.</w:t>
            </w:r>
          </w:p>
        </w:tc>
      </w:tr>
      <w:tr w:rsidR="00287765" w:rsidRPr="003E2214" w14:paraId="1919BA20" w14:textId="77777777" w:rsidTr="0079773D">
        <w:trPr>
          <w:jc w:val="center"/>
        </w:trPr>
        <w:tc>
          <w:tcPr>
            <w:tcW w:w="1691" w:type="dxa"/>
            <w:vMerge/>
            <w:shd w:val="clear" w:color="auto" w:fill="auto"/>
            <w:vAlign w:val="center"/>
          </w:tcPr>
          <w:p w14:paraId="6DD218FA" w14:textId="77777777" w:rsidR="00287765" w:rsidRPr="0079773D" w:rsidRDefault="00287765" w:rsidP="0079773D">
            <w:pPr>
              <w:spacing w:before="120" w:after="120" w:line="23" w:lineRule="atLeast"/>
              <w:rPr>
                <w:rFonts w:ascii="Arial" w:hAnsi="Arial" w:cs="Arial"/>
                <w:b/>
                <w:bCs/>
                <w:sz w:val="18"/>
                <w:szCs w:val="18"/>
                <w:lang w:val="es-ES"/>
              </w:rPr>
            </w:pPr>
          </w:p>
        </w:tc>
        <w:tc>
          <w:tcPr>
            <w:tcW w:w="4087" w:type="dxa"/>
            <w:shd w:val="clear" w:color="auto" w:fill="auto"/>
          </w:tcPr>
          <w:p w14:paraId="5D212C68" w14:textId="5DB8F389" w:rsidR="00287765" w:rsidRDefault="00287765" w:rsidP="009962C9">
            <w:pPr>
              <w:spacing w:before="120" w:after="120" w:line="23" w:lineRule="atLeast"/>
              <w:jc w:val="both"/>
              <w:rPr>
                <w:rFonts w:ascii="Arial" w:hAnsi="Arial" w:cs="Arial"/>
                <w:bCs/>
                <w:sz w:val="18"/>
                <w:szCs w:val="18"/>
              </w:rPr>
            </w:pPr>
            <w:r w:rsidRPr="00273070">
              <w:rPr>
                <w:rFonts w:ascii="Arial" w:hAnsi="Arial" w:cs="Arial"/>
                <w:bCs/>
                <w:sz w:val="18"/>
                <w:szCs w:val="18"/>
              </w:rPr>
              <w:t xml:space="preserve">Los medios </w:t>
            </w:r>
            <w:r>
              <w:rPr>
                <w:rFonts w:ascii="Arial" w:hAnsi="Arial" w:cs="Arial"/>
                <w:bCs/>
                <w:sz w:val="18"/>
                <w:szCs w:val="18"/>
              </w:rPr>
              <w:t xml:space="preserve">para la sustanciación de procedimientos y trámites </w:t>
            </w:r>
            <w:r w:rsidRPr="00273070">
              <w:rPr>
                <w:rFonts w:ascii="Arial" w:hAnsi="Arial" w:cs="Arial"/>
                <w:bCs/>
                <w:sz w:val="18"/>
                <w:szCs w:val="18"/>
              </w:rPr>
              <w:t>deben ser complementarios, no excluyentes el uno del otro, pues la idea es facilitar la interacción entr</w:t>
            </w:r>
            <w:r w:rsidR="000C79AF">
              <w:rPr>
                <w:rFonts w:ascii="Arial" w:hAnsi="Arial" w:cs="Arial"/>
                <w:bCs/>
                <w:sz w:val="18"/>
                <w:szCs w:val="18"/>
              </w:rPr>
              <w:t>e</w:t>
            </w:r>
            <w:r w:rsidRPr="00273070">
              <w:rPr>
                <w:rFonts w:ascii="Arial" w:hAnsi="Arial" w:cs="Arial"/>
                <w:bCs/>
                <w:sz w:val="18"/>
                <w:szCs w:val="18"/>
              </w:rPr>
              <w:t xml:space="preserve"> la autoridad y el gobernado.</w:t>
            </w:r>
          </w:p>
          <w:p w14:paraId="30152B0D" w14:textId="7187664E" w:rsidR="00287765" w:rsidRPr="009962C9" w:rsidRDefault="00287765" w:rsidP="009962C9">
            <w:pPr>
              <w:spacing w:before="120" w:after="120" w:line="23" w:lineRule="atLeast"/>
              <w:jc w:val="both"/>
              <w:rPr>
                <w:rFonts w:ascii="Arial" w:hAnsi="Arial" w:cs="Arial"/>
                <w:bCs/>
                <w:sz w:val="18"/>
                <w:szCs w:val="18"/>
              </w:rPr>
            </w:pPr>
            <w:r>
              <w:rPr>
                <w:rFonts w:ascii="Arial" w:hAnsi="Arial" w:cs="Arial"/>
                <w:bCs/>
                <w:sz w:val="18"/>
                <w:szCs w:val="18"/>
              </w:rPr>
              <w:t>L</w:t>
            </w:r>
            <w:r w:rsidRPr="00273070">
              <w:rPr>
                <w:rFonts w:ascii="Arial" w:hAnsi="Arial" w:cs="Arial"/>
                <w:bCs/>
                <w:sz w:val="18"/>
                <w:szCs w:val="18"/>
              </w:rPr>
              <w:t>a consecuencia jurídica de tener por no presentado un escrito presentado por un medio distinto al previamente elegido es desproporcional y obstruye la oportunidad del particular de ser oído, y de probar los hechos conducentes, lo cual afecta la garantía del debido proceso</w:t>
            </w:r>
            <w:r>
              <w:rPr>
                <w:rFonts w:ascii="Arial" w:hAnsi="Arial" w:cs="Arial"/>
                <w:bCs/>
                <w:sz w:val="18"/>
                <w:szCs w:val="18"/>
              </w:rPr>
              <w:t>.</w:t>
            </w:r>
          </w:p>
        </w:tc>
        <w:tc>
          <w:tcPr>
            <w:tcW w:w="3568" w:type="dxa"/>
            <w:shd w:val="clear" w:color="auto" w:fill="auto"/>
          </w:tcPr>
          <w:p w14:paraId="5A8C435B" w14:textId="05BCE556" w:rsidR="00287765" w:rsidRDefault="00E73E88" w:rsidP="003A7B38">
            <w:pPr>
              <w:spacing w:before="120" w:after="120" w:line="23" w:lineRule="atLeast"/>
              <w:jc w:val="both"/>
              <w:rPr>
                <w:rFonts w:ascii="Arial" w:hAnsi="Arial" w:cs="Arial"/>
                <w:sz w:val="18"/>
                <w:szCs w:val="18"/>
              </w:rPr>
            </w:pPr>
            <w:r>
              <w:rPr>
                <w:rFonts w:ascii="Arial" w:hAnsi="Arial" w:cs="Arial"/>
                <w:sz w:val="18"/>
                <w:szCs w:val="18"/>
              </w:rPr>
              <w:t>Se</w:t>
            </w:r>
            <w:r w:rsidR="00287765">
              <w:rPr>
                <w:rFonts w:ascii="Arial" w:hAnsi="Arial" w:cs="Arial"/>
                <w:sz w:val="18"/>
                <w:szCs w:val="18"/>
              </w:rPr>
              <w:t xml:space="preserve"> considera que el comentario acerca del uso complementario de los medios de sustanciación es válido</w:t>
            </w:r>
            <w:r w:rsidR="00351108">
              <w:rPr>
                <w:rFonts w:ascii="Arial" w:hAnsi="Arial" w:cs="Arial"/>
                <w:sz w:val="18"/>
                <w:szCs w:val="18"/>
              </w:rPr>
              <w:t>,</w:t>
            </w:r>
            <w:r w:rsidR="00287765">
              <w:rPr>
                <w:rFonts w:ascii="Arial" w:hAnsi="Arial" w:cs="Arial"/>
                <w:sz w:val="18"/>
                <w:szCs w:val="18"/>
              </w:rPr>
              <w:t xml:space="preserve"> porque inicialmente las personas involucradas en los procedimientos pueden tener dudas acerca de la conveniencia y seguridad de los elementos tecnológicos utilizados para la sustanciación</w:t>
            </w:r>
            <w:r w:rsidR="00EC2238">
              <w:rPr>
                <w:rFonts w:ascii="Arial" w:hAnsi="Arial" w:cs="Arial"/>
                <w:sz w:val="18"/>
                <w:szCs w:val="18"/>
              </w:rPr>
              <w:t xml:space="preserve"> y estas dudas </w:t>
            </w:r>
            <w:r w:rsidR="00287765">
              <w:rPr>
                <w:rFonts w:ascii="Arial" w:hAnsi="Arial" w:cs="Arial"/>
                <w:sz w:val="18"/>
                <w:szCs w:val="18"/>
              </w:rPr>
              <w:t>podrían superarse paulatinamente si se les brinda la oportunidad de probar estos elementos y de adaptarlos a sus necesidades.</w:t>
            </w:r>
          </w:p>
          <w:p w14:paraId="4BF7530F" w14:textId="1DE3E6E5" w:rsidR="00287765" w:rsidRDefault="00287765" w:rsidP="003A7B38">
            <w:pPr>
              <w:spacing w:before="120" w:after="120" w:line="23" w:lineRule="atLeast"/>
              <w:jc w:val="both"/>
              <w:rPr>
                <w:rFonts w:ascii="Arial" w:hAnsi="Arial" w:cs="Arial"/>
                <w:sz w:val="18"/>
                <w:szCs w:val="18"/>
              </w:rPr>
            </w:pPr>
            <w:r>
              <w:rPr>
                <w:rFonts w:ascii="Arial" w:hAnsi="Arial" w:cs="Arial"/>
                <w:sz w:val="18"/>
                <w:szCs w:val="18"/>
              </w:rPr>
              <w:t xml:space="preserve">A efecto de brindar a las personas involucradas en la sustanciación de procedimientos ante la UCE esta oportunidad se introduce el siguiente texto en el artículo </w:t>
            </w:r>
            <w:r w:rsidR="005C7E68">
              <w:rPr>
                <w:rFonts w:ascii="Arial" w:hAnsi="Arial" w:cs="Arial"/>
                <w:sz w:val="18"/>
                <w:szCs w:val="18"/>
              </w:rPr>
              <w:t>13</w:t>
            </w:r>
            <w:r>
              <w:rPr>
                <w:rFonts w:ascii="Arial" w:hAnsi="Arial" w:cs="Arial"/>
                <w:sz w:val="18"/>
                <w:szCs w:val="18"/>
              </w:rPr>
              <w:t>:</w:t>
            </w:r>
          </w:p>
          <w:p w14:paraId="4B1DA327" w14:textId="65A993B6" w:rsidR="005C7E68" w:rsidRDefault="005C7E68" w:rsidP="003A7B38">
            <w:pPr>
              <w:spacing w:before="120" w:after="120" w:line="23" w:lineRule="atLeast"/>
              <w:jc w:val="both"/>
              <w:rPr>
                <w:rFonts w:ascii="Arial" w:hAnsi="Arial" w:cs="Arial"/>
                <w:sz w:val="18"/>
                <w:szCs w:val="18"/>
              </w:rPr>
            </w:pPr>
            <w:r>
              <w:rPr>
                <w:rFonts w:ascii="Arial" w:hAnsi="Arial" w:cs="Arial"/>
                <w:sz w:val="18"/>
                <w:szCs w:val="18"/>
              </w:rPr>
              <w:t>“</w:t>
            </w:r>
            <w:r w:rsidRPr="005C7E68">
              <w:rPr>
                <w:rFonts w:ascii="Arial" w:hAnsi="Arial" w:cs="Arial"/>
                <w:sz w:val="18"/>
                <w:szCs w:val="18"/>
              </w:rPr>
              <w:t>En los procedimientos o trámites desahogados por Medios tradicionales, los Agentes Económicos, las Autoridades Públicas, la Autoridad Investigadora o terceras personas podrán</w:t>
            </w:r>
            <w:r w:rsidR="00C34E7B">
              <w:rPr>
                <w:rFonts w:ascii="Arial" w:hAnsi="Arial" w:cs="Arial"/>
                <w:sz w:val="18"/>
                <w:szCs w:val="18"/>
              </w:rPr>
              <w:t>:</w:t>
            </w:r>
            <w:r>
              <w:rPr>
                <w:rFonts w:ascii="Arial" w:hAnsi="Arial" w:cs="Arial"/>
                <w:sz w:val="18"/>
                <w:szCs w:val="18"/>
              </w:rPr>
              <w:t>”</w:t>
            </w:r>
          </w:p>
          <w:p w14:paraId="287A564F" w14:textId="27ABC896" w:rsidR="00EC2238" w:rsidRDefault="00EC2238" w:rsidP="003A7B38">
            <w:pPr>
              <w:spacing w:before="120" w:after="120" w:line="23" w:lineRule="atLeast"/>
              <w:jc w:val="both"/>
              <w:rPr>
                <w:rFonts w:ascii="Arial" w:hAnsi="Arial" w:cs="Arial"/>
                <w:sz w:val="18"/>
                <w:szCs w:val="18"/>
              </w:rPr>
            </w:pPr>
            <w:r>
              <w:rPr>
                <w:rFonts w:ascii="Arial" w:hAnsi="Arial" w:cs="Arial"/>
                <w:sz w:val="18"/>
                <w:szCs w:val="18"/>
              </w:rPr>
              <w:t>“</w:t>
            </w:r>
            <w:r w:rsidR="005C7E68" w:rsidRPr="005C7E68">
              <w:rPr>
                <w:rFonts w:ascii="Arial" w:hAnsi="Arial" w:cs="Arial"/>
                <w:sz w:val="18"/>
                <w:szCs w:val="18"/>
              </w:rPr>
              <w:t xml:space="preserve">Desahogar las actuaciones que se les notifiquen mediante la presentación de Documentos electrónicos a través del Sistema electrónico. No </w:t>
            </w:r>
            <w:proofErr w:type="gramStart"/>
            <w:r w:rsidR="005C7E68" w:rsidRPr="005C7E68">
              <w:rPr>
                <w:rFonts w:ascii="Arial" w:hAnsi="Arial" w:cs="Arial"/>
                <w:sz w:val="18"/>
                <w:szCs w:val="18"/>
              </w:rPr>
              <w:t>obstante</w:t>
            </w:r>
            <w:proofErr w:type="gramEnd"/>
            <w:r w:rsidR="005C7E68" w:rsidRPr="005C7E68">
              <w:rPr>
                <w:rFonts w:ascii="Arial" w:hAnsi="Arial" w:cs="Arial"/>
                <w:sz w:val="18"/>
                <w:szCs w:val="18"/>
              </w:rPr>
              <w:t xml:space="preserve"> lo anterior, la sola presentación de Documentos electrónicos a través del Sistema electrónico no se entenderá como expresión de la voluntad para el uso de Medios electrónicos si no se cumplen los términos señalados en estos Lineamientos</w:t>
            </w:r>
            <w:r>
              <w:rPr>
                <w:rFonts w:ascii="Arial" w:hAnsi="Arial" w:cs="Arial"/>
                <w:sz w:val="18"/>
                <w:szCs w:val="18"/>
              </w:rPr>
              <w:t>”</w:t>
            </w:r>
          </w:p>
          <w:p w14:paraId="043ADCDE" w14:textId="32BBC924" w:rsidR="005C7E68" w:rsidRDefault="00C34E7B" w:rsidP="003A7B38">
            <w:pPr>
              <w:spacing w:before="120" w:after="120" w:line="23" w:lineRule="atLeast"/>
              <w:jc w:val="both"/>
              <w:rPr>
                <w:rFonts w:ascii="Arial" w:hAnsi="Arial" w:cs="Arial"/>
                <w:sz w:val="18"/>
                <w:szCs w:val="18"/>
              </w:rPr>
            </w:pPr>
            <w:r>
              <w:rPr>
                <w:rFonts w:ascii="Arial" w:hAnsi="Arial" w:cs="Arial"/>
                <w:sz w:val="18"/>
                <w:szCs w:val="18"/>
              </w:rPr>
              <w:t>“</w:t>
            </w:r>
            <w:r w:rsidRPr="00C34E7B">
              <w:rPr>
                <w:rFonts w:ascii="Arial" w:hAnsi="Arial" w:cs="Arial"/>
                <w:sz w:val="18"/>
                <w:szCs w:val="18"/>
              </w:rPr>
              <w:t>Manifestar de forma expresa en cualquier momento procesal su aceptación para que las notificaciones personales o por oficio, según corresponda, se realicen a través del Sistema electrónico, para lo cual deberán manifestarlo por escrito presentado en la Oficialía de Partes del Instituto o en la Oficialía de partes virtual-UCE, señalando el número de expediente en el que se practicarán las notificaciones</w:t>
            </w:r>
            <w:r>
              <w:rPr>
                <w:rFonts w:ascii="Arial" w:hAnsi="Arial" w:cs="Arial"/>
                <w:sz w:val="18"/>
                <w:szCs w:val="18"/>
              </w:rPr>
              <w:t xml:space="preserve"> electrónicas</w:t>
            </w:r>
            <w:r w:rsidRPr="00C34E7B">
              <w:rPr>
                <w:rFonts w:ascii="Arial" w:hAnsi="Arial" w:cs="Arial"/>
                <w:sz w:val="18"/>
                <w:szCs w:val="18"/>
              </w:rPr>
              <w:t>, así como el nombre y correo electrónico del representante legal o autorizado</w:t>
            </w:r>
            <w:r>
              <w:rPr>
                <w:rFonts w:ascii="Arial" w:hAnsi="Arial" w:cs="Arial"/>
                <w:sz w:val="18"/>
                <w:szCs w:val="18"/>
              </w:rPr>
              <w:t>s</w:t>
            </w:r>
            <w:r w:rsidRPr="00C34E7B">
              <w:rPr>
                <w:rFonts w:ascii="Arial" w:hAnsi="Arial" w:cs="Arial"/>
                <w:sz w:val="18"/>
                <w:szCs w:val="18"/>
              </w:rPr>
              <w:t xml:space="preserve"> para oír y recibir notificaciones</w:t>
            </w:r>
            <w:r>
              <w:rPr>
                <w:rFonts w:ascii="Arial" w:hAnsi="Arial" w:cs="Arial"/>
                <w:sz w:val="18"/>
                <w:szCs w:val="18"/>
              </w:rPr>
              <w:t>”</w:t>
            </w:r>
          </w:p>
          <w:p w14:paraId="372171DB" w14:textId="45F92997" w:rsidR="00287765" w:rsidRDefault="00287765" w:rsidP="00906594">
            <w:pPr>
              <w:spacing w:before="120" w:after="120" w:line="23" w:lineRule="atLeast"/>
              <w:jc w:val="both"/>
              <w:rPr>
                <w:rFonts w:ascii="Arial" w:hAnsi="Arial" w:cs="Arial"/>
                <w:sz w:val="18"/>
                <w:szCs w:val="18"/>
              </w:rPr>
            </w:pPr>
            <w:r>
              <w:rPr>
                <w:rFonts w:ascii="Arial" w:hAnsi="Arial" w:cs="Arial"/>
                <w:sz w:val="18"/>
                <w:szCs w:val="18"/>
              </w:rPr>
              <w:t xml:space="preserve">Finalmente, dadas las modificaciones </w:t>
            </w:r>
            <w:r w:rsidR="00351108">
              <w:rPr>
                <w:rFonts w:ascii="Arial" w:hAnsi="Arial" w:cs="Arial"/>
                <w:sz w:val="18"/>
                <w:szCs w:val="18"/>
              </w:rPr>
              <w:t>propuestas</w:t>
            </w:r>
            <w:r>
              <w:rPr>
                <w:rFonts w:ascii="Arial" w:hAnsi="Arial" w:cs="Arial"/>
                <w:sz w:val="18"/>
                <w:szCs w:val="18"/>
              </w:rPr>
              <w:t xml:space="preserve"> al anteproyecto, se considera </w:t>
            </w:r>
            <w:r>
              <w:rPr>
                <w:rFonts w:ascii="Arial" w:hAnsi="Arial" w:cs="Arial"/>
                <w:sz w:val="18"/>
                <w:szCs w:val="18"/>
              </w:rPr>
              <w:lastRenderedPageBreak/>
              <w:t>que tener por no presentada una promoción que se remite por un medio que no es el elegido no sería desproporcionado ya que al elegir definitivamente una vía de sustanciación la persona involucrada se compromete voluntariamente a cumplir los presentes Lineamientos.</w:t>
            </w:r>
          </w:p>
        </w:tc>
      </w:tr>
      <w:tr w:rsidR="00273070" w:rsidRPr="003E2214" w14:paraId="79CDA3B6" w14:textId="77777777" w:rsidTr="0079773D">
        <w:trPr>
          <w:jc w:val="center"/>
        </w:trPr>
        <w:tc>
          <w:tcPr>
            <w:tcW w:w="1691" w:type="dxa"/>
            <w:shd w:val="clear" w:color="auto" w:fill="auto"/>
            <w:vAlign w:val="center"/>
          </w:tcPr>
          <w:p w14:paraId="0A01BE1C" w14:textId="2485048D" w:rsidR="00273070" w:rsidRPr="0079773D" w:rsidRDefault="00287765" w:rsidP="0079773D">
            <w:pPr>
              <w:spacing w:before="120" w:after="120" w:line="23" w:lineRule="atLeast"/>
              <w:rPr>
                <w:rFonts w:ascii="Arial" w:hAnsi="Arial" w:cs="Arial"/>
                <w:b/>
                <w:bCs/>
                <w:sz w:val="18"/>
                <w:szCs w:val="18"/>
                <w:lang w:val="es-ES"/>
              </w:rPr>
            </w:pPr>
            <w:r>
              <w:rPr>
                <w:rFonts w:ascii="Arial" w:hAnsi="Arial" w:cs="Arial"/>
                <w:b/>
                <w:bCs/>
                <w:sz w:val="18"/>
                <w:szCs w:val="18"/>
                <w:lang w:val="es-ES"/>
              </w:rPr>
              <w:lastRenderedPageBreak/>
              <w:t>Artículo 5 (continúa)</w:t>
            </w:r>
          </w:p>
        </w:tc>
        <w:tc>
          <w:tcPr>
            <w:tcW w:w="4087" w:type="dxa"/>
            <w:shd w:val="clear" w:color="auto" w:fill="auto"/>
          </w:tcPr>
          <w:p w14:paraId="0B19F7C1" w14:textId="0CD2DE04" w:rsidR="00273070" w:rsidRDefault="00D57058" w:rsidP="00D57058">
            <w:pPr>
              <w:spacing w:before="120" w:after="120" w:line="23" w:lineRule="atLeast"/>
              <w:jc w:val="both"/>
              <w:rPr>
                <w:rFonts w:ascii="Arial" w:hAnsi="Arial" w:cs="Arial"/>
                <w:bCs/>
                <w:sz w:val="18"/>
                <w:szCs w:val="18"/>
              </w:rPr>
            </w:pPr>
            <w:r w:rsidRPr="00D57058">
              <w:rPr>
                <w:rFonts w:ascii="Arial" w:hAnsi="Arial" w:cs="Arial"/>
                <w:bCs/>
                <w:sz w:val="18"/>
                <w:szCs w:val="18"/>
              </w:rPr>
              <w:t xml:space="preserve">Se sugiere precisar en qué momento las personas </w:t>
            </w:r>
            <w:r w:rsidR="00165E5F">
              <w:rPr>
                <w:rFonts w:ascii="Arial" w:hAnsi="Arial" w:cs="Arial"/>
                <w:bCs/>
                <w:sz w:val="18"/>
                <w:szCs w:val="18"/>
              </w:rPr>
              <w:t>involucradas</w:t>
            </w:r>
            <w:r w:rsidRPr="00D57058">
              <w:rPr>
                <w:rFonts w:ascii="Arial" w:hAnsi="Arial" w:cs="Arial"/>
                <w:bCs/>
                <w:sz w:val="18"/>
                <w:szCs w:val="18"/>
              </w:rPr>
              <w:t xml:space="preserve"> podrán optar por</w:t>
            </w:r>
            <w:r>
              <w:rPr>
                <w:rFonts w:ascii="Arial" w:hAnsi="Arial" w:cs="Arial"/>
                <w:bCs/>
                <w:sz w:val="18"/>
                <w:szCs w:val="18"/>
              </w:rPr>
              <w:t xml:space="preserve"> </w:t>
            </w:r>
            <w:r w:rsidRPr="00D57058">
              <w:rPr>
                <w:rFonts w:ascii="Arial" w:hAnsi="Arial" w:cs="Arial"/>
                <w:bCs/>
                <w:sz w:val="18"/>
                <w:szCs w:val="18"/>
              </w:rPr>
              <w:t>el uso de medios electrónicos, es decir, si se permitirá que opten por esta vía durante cualquier</w:t>
            </w:r>
            <w:r>
              <w:rPr>
                <w:rFonts w:ascii="Arial" w:hAnsi="Arial" w:cs="Arial"/>
                <w:bCs/>
                <w:sz w:val="18"/>
                <w:szCs w:val="18"/>
              </w:rPr>
              <w:t xml:space="preserve"> </w:t>
            </w:r>
            <w:r w:rsidRPr="00D57058">
              <w:rPr>
                <w:rFonts w:ascii="Arial" w:hAnsi="Arial" w:cs="Arial"/>
                <w:bCs/>
                <w:sz w:val="18"/>
                <w:szCs w:val="18"/>
              </w:rPr>
              <w:t>momento del procedimiento o si la manifestación deberá realizarse en la primera actuación.</w:t>
            </w:r>
          </w:p>
          <w:p w14:paraId="36F3C3E7" w14:textId="77777777" w:rsidR="00D57058" w:rsidRDefault="00D57058" w:rsidP="00D57058">
            <w:pPr>
              <w:spacing w:before="120" w:after="120" w:line="23" w:lineRule="atLeast"/>
              <w:jc w:val="both"/>
              <w:rPr>
                <w:rFonts w:ascii="Arial" w:hAnsi="Arial" w:cs="Arial"/>
                <w:bCs/>
                <w:sz w:val="18"/>
                <w:szCs w:val="18"/>
              </w:rPr>
            </w:pPr>
            <w:r w:rsidRPr="00D57058">
              <w:rPr>
                <w:rFonts w:ascii="Arial" w:hAnsi="Arial" w:cs="Arial"/>
                <w:bCs/>
                <w:sz w:val="18"/>
                <w:szCs w:val="18"/>
              </w:rPr>
              <w:t>Se sugiere evaluar la posibilidad de establecer reglas que permitan el uso de las dos vías en un</w:t>
            </w:r>
            <w:r>
              <w:rPr>
                <w:rFonts w:ascii="Arial" w:hAnsi="Arial" w:cs="Arial"/>
                <w:bCs/>
                <w:sz w:val="18"/>
                <w:szCs w:val="18"/>
              </w:rPr>
              <w:t xml:space="preserve"> </w:t>
            </w:r>
            <w:r w:rsidRPr="00D57058">
              <w:rPr>
                <w:rFonts w:ascii="Arial" w:hAnsi="Arial" w:cs="Arial"/>
                <w:bCs/>
                <w:sz w:val="18"/>
                <w:szCs w:val="18"/>
              </w:rPr>
              <w:t>mismo procedimiento, de tal forma que se pueda elegir por medios electrónicos en determinados</w:t>
            </w:r>
            <w:r>
              <w:rPr>
                <w:rFonts w:ascii="Arial" w:hAnsi="Arial" w:cs="Arial"/>
                <w:bCs/>
                <w:sz w:val="18"/>
                <w:szCs w:val="18"/>
              </w:rPr>
              <w:t xml:space="preserve"> </w:t>
            </w:r>
            <w:proofErr w:type="gramStart"/>
            <w:r w:rsidRPr="00D57058">
              <w:rPr>
                <w:rFonts w:ascii="Arial" w:hAnsi="Arial" w:cs="Arial"/>
                <w:bCs/>
                <w:sz w:val="18"/>
                <w:szCs w:val="18"/>
              </w:rPr>
              <w:t>supuestos</w:t>
            </w:r>
            <w:proofErr w:type="gramEnd"/>
            <w:r>
              <w:rPr>
                <w:rFonts w:ascii="Arial" w:hAnsi="Arial" w:cs="Arial"/>
                <w:bCs/>
                <w:sz w:val="18"/>
                <w:szCs w:val="18"/>
              </w:rPr>
              <w:t xml:space="preserve"> </w:t>
            </w:r>
            <w:r w:rsidRPr="00D57058">
              <w:rPr>
                <w:rFonts w:ascii="Arial" w:hAnsi="Arial" w:cs="Arial"/>
                <w:bCs/>
                <w:sz w:val="18"/>
                <w:szCs w:val="18"/>
              </w:rPr>
              <w:t>aunque el procedimiento sea tradicional.</w:t>
            </w:r>
          </w:p>
          <w:p w14:paraId="7FE6FDDA" w14:textId="563C3EA6" w:rsidR="00B81F64" w:rsidRPr="00273070" w:rsidRDefault="00B81F64" w:rsidP="00D57058">
            <w:pPr>
              <w:spacing w:before="120" w:after="120" w:line="23" w:lineRule="atLeast"/>
              <w:jc w:val="both"/>
              <w:rPr>
                <w:rFonts w:ascii="Arial" w:hAnsi="Arial" w:cs="Arial"/>
                <w:bCs/>
                <w:sz w:val="18"/>
                <w:szCs w:val="18"/>
              </w:rPr>
            </w:pPr>
          </w:p>
        </w:tc>
        <w:tc>
          <w:tcPr>
            <w:tcW w:w="3568" w:type="dxa"/>
            <w:shd w:val="clear" w:color="auto" w:fill="auto"/>
          </w:tcPr>
          <w:p w14:paraId="73C95B00" w14:textId="499A7AE1" w:rsidR="00273070" w:rsidRDefault="00C006C1" w:rsidP="003A7B38">
            <w:pPr>
              <w:spacing w:before="120" w:after="120" w:line="23" w:lineRule="atLeast"/>
              <w:jc w:val="both"/>
              <w:rPr>
                <w:rFonts w:ascii="Arial" w:hAnsi="Arial" w:cs="Arial"/>
                <w:bCs/>
                <w:sz w:val="18"/>
                <w:szCs w:val="18"/>
              </w:rPr>
            </w:pPr>
            <w:r>
              <w:rPr>
                <w:rFonts w:ascii="Arial" w:hAnsi="Arial" w:cs="Arial"/>
                <w:sz w:val="18"/>
                <w:szCs w:val="18"/>
              </w:rPr>
              <w:t>Se considera que el comentario es válido, p</w:t>
            </w:r>
            <w:r w:rsidR="00165E5F">
              <w:rPr>
                <w:rFonts w:ascii="Arial" w:hAnsi="Arial" w:cs="Arial"/>
                <w:sz w:val="18"/>
                <w:szCs w:val="18"/>
              </w:rPr>
              <w:t xml:space="preserve">or lo que se añade un texto al primer párrafo del artículo a fin de precisar </w:t>
            </w:r>
            <w:r w:rsidR="00165E5F" w:rsidRPr="00D57058">
              <w:rPr>
                <w:rFonts w:ascii="Arial" w:hAnsi="Arial" w:cs="Arial"/>
                <w:bCs/>
                <w:sz w:val="18"/>
                <w:szCs w:val="18"/>
              </w:rPr>
              <w:t xml:space="preserve">en qué momento las personas </w:t>
            </w:r>
            <w:r w:rsidR="00165E5F">
              <w:rPr>
                <w:rFonts w:ascii="Arial" w:hAnsi="Arial" w:cs="Arial"/>
                <w:bCs/>
                <w:sz w:val="18"/>
                <w:szCs w:val="18"/>
              </w:rPr>
              <w:t xml:space="preserve">involucradas </w:t>
            </w:r>
            <w:r w:rsidR="00165E5F" w:rsidRPr="00D57058">
              <w:rPr>
                <w:rFonts w:ascii="Arial" w:hAnsi="Arial" w:cs="Arial"/>
                <w:bCs/>
                <w:sz w:val="18"/>
                <w:szCs w:val="18"/>
              </w:rPr>
              <w:t>podrán optar por</w:t>
            </w:r>
            <w:r w:rsidR="00165E5F">
              <w:rPr>
                <w:rFonts w:ascii="Arial" w:hAnsi="Arial" w:cs="Arial"/>
                <w:bCs/>
                <w:sz w:val="18"/>
                <w:szCs w:val="18"/>
              </w:rPr>
              <w:t xml:space="preserve"> </w:t>
            </w:r>
            <w:r w:rsidR="00165E5F" w:rsidRPr="00D57058">
              <w:rPr>
                <w:rFonts w:ascii="Arial" w:hAnsi="Arial" w:cs="Arial"/>
                <w:bCs/>
                <w:sz w:val="18"/>
                <w:szCs w:val="18"/>
              </w:rPr>
              <w:t>el uso de medios electrónicos</w:t>
            </w:r>
            <w:r w:rsidR="00165E5F">
              <w:rPr>
                <w:rFonts w:ascii="Arial" w:hAnsi="Arial" w:cs="Arial"/>
                <w:bCs/>
                <w:sz w:val="18"/>
                <w:szCs w:val="18"/>
              </w:rPr>
              <w:t xml:space="preserve"> para quedar de la siguiente forma:</w:t>
            </w:r>
          </w:p>
          <w:p w14:paraId="2881CFC8" w14:textId="56B5996D" w:rsidR="00165E5F" w:rsidRDefault="00165E5F" w:rsidP="003A7B38">
            <w:pPr>
              <w:spacing w:before="120" w:after="120" w:line="23" w:lineRule="atLeast"/>
              <w:jc w:val="both"/>
              <w:rPr>
                <w:rFonts w:ascii="Arial" w:hAnsi="Arial" w:cs="Arial"/>
                <w:sz w:val="18"/>
                <w:szCs w:val="18"/>
              </w:rPr>
            </w:pPr>
            <w:r>
              <w:rPr>
                <w:rFonts w:ascii="Arial" w:hAnsi="Arial" w:cs="Arial"/>
                <w:sz w:val="18"/>
                <w:szCs w:val="18"/>
              </w:rPr>
              <w:t>“</w:t>
            </w:r>
            <w:r w:rsidR="004639D9" w:rsidRPr="004639D9">
              <w:rPr>
                <w:rFonts w:ascii="Arial" w:hAnsi="Arial" w:cs="Arial"/>
                <w:sz w:val="18"/>
                <w:szCs w:val="18"/>
              </w:rPr>
              <w:t>Los Agentes Económicos, las Autoridades Públicas, la Autoridad Investigadora y terceras personas involucradas en los procedimientos o trámites de los señalados en el artículo 3, podrán optar, en cualquier momento del procedimiento, por sustanciarlos a través de Medios electrónicos</w:t>
            </w:r>
            <w:r w:rsidR="004639D9">
              <w:rPr>
                <w:rFonts w:ascii="Arial" w:hAnsi="Arial" w:cs="Arial"/>
                <w:sz w:val="18"/>
                <w:szCs w:val="18"/>
              </w:rPr>
              <w:t>.”</w:t>
            </w:r>
          </w:p>
          <w:p w14:paraId="57058621" w14:textId="77777777" w:rsidR="00287765" w:rsidRDefault="00AE4E55" w:rsidP="003A7B38">
            <w:pPr>
              <w:spacing w:before="120" w:after="120" w:line="23" w:lineRule="atLeast"/>
              <w:jc w:val="both"/>
              <w:rPr>
                <w:rFonts w:ascii="Arial" w:hAnsi="Arial" w:cs="Arial"/>
                <w:sz w:val="18"/>
                <w:szCs w:val="18"/>
              </w:rPr>
            </w:pPr>
            <w:r>
              <w:rPr>
                <w:rFonts w:ascii="Arial" w:hAnsi="Arial" w:cs="Arial"/>
                <w:sz w:val="18"/>
                <w:szCs w:val="18"/>
              </w:rPr>
              <w:t>Así mismo, en el artículo 67 y otros artículos del Capítulo VII de los Lineamientos se realizan modificaciones para establecer reglas más claras para la opción de desahogo de pruebas o diligencias por Medios electrónicos.</w:t>
            </w:r>
          </w:p>
          <w:p w14:paraId="261503A2" w14:textId="77777777" w:rsidR="00AE4E55" w:rsidRDefault="00AE4E55" w:rsidP="003A7B38">
            <w:pPr>
              <w:spacing w:before="120" w:after="120" w:line="23" w:lineRule="atLeast"/>
              <w:jc w:val="both"/>
              <w:rPr>
                <w:rFonts w:ascii="Arial" w:hAnsi="Arial" w:cs="Arial"/>
                <w:sz w:val="18"/>
                <w:szCs w:val="18"/>
              </w:rPr>
            </w:pPr>
            <w:r>
              <w:rPr>
                <w:rFonts w:ascii="Arial" w:hAnsi="Arial" w:cs="Arial"/>
                <w:sz w:val="18"/>
                <w:szCs w:val="18"/>
              </w:rPr>
              <w:t>Por ejemplo, en el capítulo 67 se agrega lo siguiente:</w:t>
            </w:r>
          </w:p>
          <w:p w14:paraId="3E143DA7" w14:textId="77777777" w:rsidR="00AE4E55" w:rsidRDefault="00AE4E55" w:rsidP="003A7B38">
            <w:pPr>
              <w:spacing w:before="120" w:after="120" w:line="23" w:lineRule="atLeast"/>
              <w:jc w:val="both"/>
              <w:rPr>
                <w:rFonts w:ascii="Arial" w:hAnsi="Arial" w:cs="Arial"/>
                <w:sz w:val="18"/>
                <w:szCs w:val="18"/>
              </w:rPr>
            </w:pPr>
            <w:r>
              <w:rPr>
                <w:rFonts w:ascii="Arial" w:hAnsi="Arial" w:cs="Arial"/>
                <w:sz w:val="18"/>
                <w:szCs w:val="18"/>
              </w:rPr>
              <w:t>“</w:t>
            </w:r>
            <w:r w:rsidRPr="00AE4E55">
              <w:rPr>
                <w:rFonts w:ascii="Arial" w:hAnsi="Arial" w:cs="Arial"/>
                <w:sz w:val="18"/>
                <w:szCs w:val="18"/>
              </w:rPr>
              <w:t>Para el desahogo de las pruebas por Medios electrónicos, el oferente deberá manifestar la voluntad de desahogar esas pruebas por Medios electrónicos en el mismo escrito en el que ofrezca las pruebas correspondientes, para lo cual deberán proporcionarse los correos electrónicos tanto del oferente o sus autorizados y, en su caso, de las personas que deberán comparecer para desahogar las pruebas, así como la copia del documento oficial vigente con fotografía que los identifique. En caso de que el oferente, sus autorizados o las personas que deban comparecer cuenten con clave de acceso al Sistema electrónico deberán proporcionarla.</w:t>
            </w:r>
            <w:r>
              <w:rPr>
                <w:rFonts w:ascii="Arial" w:hAnsi="Arial" w:cs="Arial"/>
                <w:sz w:val="18"/>
                <w:szCs w:val="18"/>
              </w:rPr>
              <w:t>”</w:t>
            </w:r>
          </w:p>
          <w:p w14:paraId="5BA5918D" w14:textId="33856BF0" w:rsidR="00AE4E55" w:rsidRDefault="00AE4E55" w:rsidP="003A7B38">
            <w:pPr>
              <w:spacing w:before="120" w:after="120" w:line="23" w:lineRule="atLeast"/>
              <w:jc w:val="both"/>
              <w:rPr>
                <w:rFonts w:ascii="Arial" w:hAnsi="Arial" w:cs="Arial"/>
                <w:sz w:val="18"/>
                <w:szCs w:val="18"/>
              </w:rPr>
            </w:pPr>
            <w:r>
              <w:rPr>
                <w:rFonts w:ascii="Arial" w:hAnsi="Arial" w:cs="Arial"/>
                <w:sz w:val="18"/>
                <w:szCs w:val="18"/>
              </w:rPr>
              <w:t>Así mismo, en el artículo 81, para optar por desahogar confesionales o testimoniales se requiere al oferente presentar m</w:t>
            </w:r>
            <w:r w:rsidRPr="00AE4E55">
              <w:rPr>
                <w:rFonts w:ascii="Arial" w:hAnsi="Arial" w:cs="Arial"/>
                <w:sz w:val="18"/>
                <w:szCs w:val="18"/>
              </w:rPr>
              <w:t>anifestación de la voluntad por parte del testigo o absolvente para que se lleve a cabo el desahogo de la prueba respectiva a través de Medios electrónicos</w:t>
            </w:r>
            <w:r>
              <w:rPr>
                <w:rFonts w:ascii="Arial" w:hAnsi="Arial" w:cs="Arial"/>
                <w:sz w:val="18"/>
                <w:szCs w:val="18"/>
              </w:rPr>
              <w:t>.</w:t>
            </w:r>
          </w:p>
        </w:tc>
      </w:tr>
      <w:tr w:rsidR="00041FF5" w:rsidRPr="003E2214" w14:paraId="25A8E97A" w14:textId="77777777" w:rsidTr="0079773D">
        <w:trPr>
          <w:jc w:val="center"/>
        </w:trPr>
        <w:tc>
          <w:tcPr>
            <w:tcW w:w="1691" w:type="dxa"/>
            <w:shd w:val="clear" w:color="auto" w:fill="auto"/>
            <w:vAlign w:val="center"/>
          </w:tcPr>
          <w:p w14:paraId="5C93DCDC" w14:textId="6E7335E0" w:rsidR="00041FF5" w:rsidRDefault="00041FF5" w:rsidP="0079773D">
            <w:pPr>
              <w:spacing w:before="120" w:after="120" w:line="23" w:lineRule="atLeast"/>
              <w:rPr>
                <w:rFonts w:ascii="Arial" w:hAnsi="Arial" w:cs="Arial"/>
                <w:b/>
                <w:bCs/>
                <w:sz w:val="18"/>
                <w:szCs w:val="18"/>
                <w:lang w:val="es-ES"/>
              </w:rPr>
            </w:pPr>
            <w:r>
              <w:rPr>
                <w:rFonts w:ascii="Arial" w:hAnsi="Arial" w:cs="Arial"/>
                <w:b/>
                <w:bCs/>
                <w:sz w:val="18"/>
                <w:szCs w:val="18"/>
                <w:lang w:val="es-ES"/>
              </w:rPr>
              <w:lastRenderedPageBreak/>
              <w:t>Artículo 5 (continúa)</w:t>
            </w:r>
          </w:p>
        </w:tc>
        <w:tc>
          <w:tcPr>
            <w:tcW w:w="4087" w:type="dxa"/>
            <w:shd w:val="clear" w:color="auto" w:fill="auto"/>
          </w:tcPr>
          <w:p w14:paraId="52B7FF24" w14:textId="77777777" w:rsidR="00041FF5" w:rsidRDefault="00041FF5" w:rsidP="007B30C6">
            <w:pPr>
              <w:spacing w:before="120" w:after="120" w:line="23" w:lineRule="atLeast"/>
              <w:jc w:val="both"/>
              <w:rPr>
                <w:rFonts w:ascii="Arial" w:hAnsi="Arial" w:cs="Arial"/>
                <w:bCs/>
                <w:sz w:val="18"/>
                <w:szCs w:val="18"/>
              </w:rPr>
            </w:pPr>
            <w:r>
              <w:rPr>
                <w:rFonts w:ascii="Arial" w:hAnsi="Arial" w:cs="Arial"/>
                <w:bCs/>
                <w:sz w:val="18"/>
                <w:szCs w:val="18"/>
              </w:rPr>
              <w:t>E</w:t>
            </w:r>
            <w:r w:rsidRPr="00041FF5">
              <w:rPr>
                <w:rFonts w:ascii="Arial" w:hAnsi="Arial" w:cs="Arial"/>
                <w:bCs/>
                <w:sz w:val="18"/>
                <w:szCs w:val="18"/>
              </w:rPr>
              <w:t>xiste una contradicción en el documento porque por</w:t>
            </w:r>
            <w:r>
              <w:rPr>
                <w:rFonts w:ascii="Arial" w:hAnsi="Arial" w:cs="Arial"/>
                <w:bCs/>
                <w:sz w:val="18"/>
                <w:szCs w:val="18"/>
              </w:rPr>
              <w:t xml:space="preserve"> </w:t>
            </w:r>
            <w:r w:rsidRPr="00041FF5">
              <w:rPr>
                <w:rFonts w:ascii="Arial" w:hAnsi="Arial" w:cs="Arial"/>
                <w:bCs/>
                <w:sz w:val="18"/>
                <w:szCs w:val="18"/>
              </w:rPr>
              <w:t xml:space="preserve">una parte señala que debe indicarse la vía que se utiliza y ya no se cambiaría, </w:t>
            </w:r>
            <w:proofErr w:type="gramStart"/>
            <w:r w:rsidRPr="00041FF5">
              <w:rPr>
                <w:rFonts w:ascii="Arial" w:hAnsi="Arial" w:cs="Arial"/>
                <w:bCs/>
                <w:sz w:val="18"/>
                <w:szCs w:val="18"/>
              </w:rPr>
              <w:t>pero</w:t>
            </w:r>
            <w:proofErr w:type="gramEnd"/>
            <w:r w:rsidRPr="00041FF5">
              <w:rPr>
                <w:rFonts w:ascii="Arial" w:hAnsi="Arial" w:cs="Arial"/>
                <w:bCs/>
                <w:sz w:val="18"/>
                <w:szCs w:val="18"/>
              </w:rPr>
              <w:t xml:space="preserve"> por otro</w:t>
            </w:r>
            <w:r w:rsidR="007B30C6">
              <w:rPr>
                <w:rFonts w:ascii="Arial" w:hAnsi="Arial" w:cs="Arial"/>
                <w:bCs/>
                <w:sz w:val="18"/>
                <w:szCs w:val="18"/>
              </w:rPr>
              <w:t xml:space="preserve"> </w:t>
            </w:r>
            <w:r w:rsidRPr="00041FF5">
              <w:rPr>
                <w:rFonts w:ascii="Arial" w:hAnsi="Arial" w:cs="Arial"/>
                <w:bCs/>
                <w:sz w:val="18"/>
                <w:szCs w:val="18"/>
              </w:rPr>
              <w:t>lado, existen reglas que permitirían el desahogo de forma diferente en ciertos casos, como en el</w:t>
            </w:r>
            <w:r w:rsidR="007B30C6">
              <w:rPr>
                <w:rFonts w:ascii="Arial" w:hAnsi="Arial" w:cs="Arial"/>
                <w:bCs/>
                <w:sz w:val="18"/>
                <w:szCs w:val="18"/>
              </w:rPr>
              <w:t xml:space="preserve"> </w:t>
            </w:r>
            <w:r w:rsidRPr="00041FF5">
              <w:rPr>
                <w:rFonts w:ascii="Arial" w:hAnsi="Arial" w:cs="Arial"/>
                <w:bCs/>
                <w:sz w:val="18"/>
                <w:szCs w:val="18"/>
              </w:rPr>
              <w:t>artículo 72</w:t>
            </w:r>
            <w:r w:rsidR="007B30C6">
              <w:rPr>
                <w:rFonts w:ascii="Arial" w:hAnsi="Arial" w:cs="Arial"/>
                <w:bCs/>
                <w:sz w:val="18"/>
                <w:szCs w:val="18"/>
              </w:rPr>
              <w:t>, que</w:t>
            </w:r>
            <w:r w:rsidRPr="00041FF5">
              <w:rPr>
                <w:rFonts w:ascii="Arial" w:hAnsi="Arial" w:cs="Arial"/>
                <w:bCs/>
                <w:sz w:val="18"/>
                <w:szCs w:val="18"/>
              </w:rPr>
              <w:t xml:space="preserve"> señala que el compareciente podría decidir si comparecer en la vía tradicional o en</w:t>
            </w:r>
            <w:r w:rsidR="007B30C6">
              <w:rPr>
                <w:rFonts w:ascii="Arial" w:hAnsi="Arial" w:cs="Arial"/>
                <w:bCs/>
                <w:sz w:val="18"/>
                <w:szCs w:val="18"/>
              </w:rPr>
              <w:t xml:space="preserve"> </w:t>
            </w:r>
            <w:r w:rsidRPr="00041FF5">
              <w:rPr>
                <w:rFonts w:ascii="Arial" w:hAnsi="Arial" w:cs="Arial"/>
                <w:bCs/>
                <w:sz w:val="18"/>
                <w:szCs w:val="18"/>
              </w:rPr>
              <w:t>medios electrónicos, o el artículo 86 que permite que el oferente ofrezca la pericial de forma</w:t>
            </w:r>
            <w:r w:rsidR="007B30C6">
              <w:rPr>
                <w:rFonts w:ascii="Arial" w:hAnsi="Arial" w:cs="Arial"/>
                <w:bCs/>
                <w:sz w:val="18"/>
                <w:szCs w:val="18"/>
              </w:rPr>
              <w:t xml:space="preserve"> </w:t>
            </w:r>
            <w:r w:rsidRPr="00041FF5">
              <w:rPr>
                <w:rFonts w:ascii="Arial" w:hAnsi="Arial" w:cs="Arial"/>
                <w:bCs/>
                <w:sz w:val="18"/>
                <w:szCs w:val="18"/>
              </w:rPr>
              <w:t>electrónica</w:t>
            </w:r>
          </w:p>
          <w:p w14:paraId="2F8CD2AB" w14:textId="57B81238" w:rsidR="007B30C6" w:rsidRPr="00D57058" w:rsidRDefault="00A9702C" w:rsidP="007B30C6">
            <w:pPr>
              <w:spacing w:before="120" w:after="120" w:line="23" w:lineRule="atLeast"/>
              <w:jc w:val="both"/>
              <w:rPr>
                <w:rFonts w:ascii="Arial" w:hAnsi="Arial" w:cs="Arial"/>
                <w:bCs/>
                <w:sz w:val="18"/>
                <w:szCs w:val="18"/>
              </w:rPr>
            </w:pPr>
            <w:r>
              <w:rPr>
                <w:rFonts w:ascii="Arial" w:hAnsi="Arial" w:cs="Arial"/>
                <w:bCs/>
                <w:sz w:val="18"/>
                <w:szCs w:val="18"/>
              </w:rPr>
              <w:t>Se sugiere establecer reglas más claras para los casos en que distintos participantes en un mismo procedimiento elijan distintos medios de sustanciación, de lo contrario se correría el riesgo de duplicar expedientes o de complicar innecesariamente ciertas diligencias.</w:t>
            </w:r>
          </w:p>
        </w:tc>
        <w:tc>
          <w:tcPr>
            <w:tcW w:w="3568" w:type="dxa"/>
            <w:shd w:val="clear" w:color="auto" w:fill="auto"/>
          </w:tcPr>
          <w:p w14:paraId="10A3AB50" w14:textId="77777777" w:rsidR="00A9702C" w:rsidRDefault="002C1532" w:rsidP="00211E24">
            <w:pPr>
              <w:spacing w:before="120" w:after="120" w:line="23" w:lineRule="atLeast"/>
              <w:jc w:val="both"/>
              <w:rPr>
                <w:rFonts w:ascii="Arial" w:hAnsi="Arial" w:cs="Arial"/>
                <w:sz w:val="18"/>
                <w:szCs w:val="18"/>
              </w:rPr>
            </w:pPr>
            <w:r w:rsidRPr="002C1532">
              <w:rPr>
                <w:rFonts w:ascii="Arial" w:hAnsi="Arial" w:cs="Arial"/>
                <w:sz w:val="18"/>
                <w:szCs w:val="18"/>
              </w:rPr>
              <w:t xml:space="preserve">Se considera que </w:t>
            </w:r>
            <w:r w:rsidR="00AE4E55">
              <w:rPr>
                <w:rFonts w:ascii="Arial" w:hAnsi="Arial" w:cs="Arial"/>
                <w:sz w:val="18"/>
                <w:szCs w:val="18"/>
              </w:rPr>
              <w:t>la primera parte d</w:t>
            </w:r>
            <w:r w:rsidRPr="002C1532">
              <w:rPr>
                <w:rFonts w:ascii="Arial" w:hAnsi="Arial" w:cs="Arial"/>
                <w:sz w:val="18"/>
                <w:szCs w:val="18"/>
              </w:rPr>
              <w:t xml:space="preserve">el comentario es válido. </w:t>
            </w:r>
            <w:r w:rsidR="00211E24">
              <w:rPr>
                <w:rFonts w:ascii="Arial" w:hAnsi="Arial" w:cs="Arial"/>
                <w:sz w:val="18"/>
                <w:szCs w:val="18"/>
              </w:rPr>
              <w:t>Al respecto, se solicita remitirse a las consideraciones plasmadas en el comentario inmediato anterior en relación con el uso de Medios electrónicos para el desahogo de pruebas y diligencias.</w:t>
            </w:r>
          </w:p>
          <w:p w14:paraId="00DEA11D" w14:textId="77777777" w:rsidR="008800AF" w:rsidRDefault="00211E24" w:rsidP="00211E24">
            <w:pPr>
              <w:spacing w:before="120" w:after="120" w:line="23" w:lineRule="atLeast"/>
              <w:jc w:val="both"/>
              <w:rPr>
                <w:rFonts w:ascii="Arial" w:hAnsi="Arial" w:cs="Arial"/>
                <w:sz w:val="18"/>
                <w:szCs w:val="18"/>
              </w:rPr>
            </w:pPr>
            <w:r>
              <w:rPr>
                <w:rFonts w:ascii="Arial" w:hAnsi="Arial" w:cs="Arial"/>
                <w:sz w:val="18"/>
                <w:szCs w:val="18"/>
              </w:rPr>
              <w:t xml:space="preserve">En lo que toca a la segunda parte del comentario, se propone agregar al </w:t>
            </w:r>
            <w:r w:rsidR="008800AF">
              <w:rPr>
                <w:rFonts w:ascii="Arial" w:hAnsi="Arial" w:cs="Arial"/>
                <w:sz w:val="18"/>
                <w:szCs w:val="18"/>
              </w:rPr>
              <w:t>último párrafo del artículo 5 el siguiente texto:</w:t>
            </w:r>
          </w:p>
          <w:p w14:paraId="237940B6" w14:textId="1D178B48" w:rsidR="008800AF" w:rsidRDefault="008800AF" w:rsidP="00211E24">
            <w:pPr>
              <w:spacing w:before="120" w:after="120" w:line="23" w:lineRule="atLeast"/>
              <w:jc w:val="both"/>
              <w:rPr>
                <w:rFonts w:ascii="Arial" w:hAnsi="Arial" w:cs="Arial"/>
                <w:sz w:val="18"/>
                <w:szCs w:val="18"/>
              </w:rPr>
            </w:pPr>
            <w:r>
              <w:rPr>
                <w:rFonts w:ascii="Arial" w:hAnsi="Arial" w:cs="Arial"/>
                <w:sz w:val="18"/>
                <w:szCs w:val="18"/>
              </w:rPr>
              <w:t>“</w:t>
            </w:r>
            <w:r w:rsidRPr="008800AF">
              <w:rPr>
                <w:rFonts w:ascii="Arial" w:hAnsi="Arial" w:cs="Arial"/>
                <w:sz w:val="18"/>
                <w:szCs w:val="18"/>
              </w:rPr>
              <w:t xml:space="preserve">Si una o más de las personas que intervienen </w:t>
            </w:r>
            <w:r>
              <w:rPr>
                <w:rFonts w:ascii="Arial" w:hAnsi="Arial" w:cs="Arial"/>
                <w:sz w:val="18"/>
                <w:szCs w:val="18"/>
              </w:rPr>
              <w:t>en</w:t>
            </w:r>
            <w:r w:rsidRPr="008800AF">
              <w:rPr>
                <w:rFonts w:ascii="Arial" w:hAnsi="Arial" w:cs="Arial"/>
                <w:sz w:val="18"/>
                <w:szCs w:val="18"/>
              </w:rPr>
              <w:t xml:space="preserve"> un procedimiento o trámite optan por sustanciarlo por Medios electrónicos, desde ese momento se integrará un Expediente electrónico y se estará a lo dispuesto en los artículos 8, 9 y la Sección Sexta del Capítulo IV de los presentes </w:t>
            </w:r>
            <w:proofErr w:type="spellStart"/>
            <w:r w:rsidRPr="008800AF">
              <w:rPr>
                <w:rFonts w:ascii="Arial" w:hAnsi="Arial" w:cs="Arial"/>
                <w:sz w:val="18"/>
                <w:szCs w:val="18"/>
              </w:rPr>
              <w:t>Linamientos</w:t>
            </w:r>
            <w:proofErr w:type="spellEnd"/>
            <w:r w:rsidRPr="008800AF">
              <w:rPr>
                <w:rFonts w:ascii="Arial" w:hAnsi="Arial" w:cs="Arial"/>
                <w:sz w:val="18"/>
                <w:szCs w:val="18"/>
              </w:rPr>
              <w:t xml:space="preserve"> respecto de su integración y consulta.</w:t>
            </w:r>
            <w:r>
              <w:rPr>
                <w:rFonts w:ascii="Arial" w:hAnsi="Arial" w:cs="Arial"/>
                <w:sz w:val="18"/>
                <w:szCs w:val="18"/>
              </w:rPr>
              <w:t>”</w:t>
            </w:r>
          </w:p>
          <w:p w14:paraId="1AAD92CE" w14:textId="5955DE15" w:rsidR="00211E24" w:rsidRDefault="008800AF" w:rsidP="00211E24">
            <w:pPr>
              <w:spacing w:before="120" w:after="120" w:line="23" w:lineRule="atLeast"/>
              <w:jc w:val="both"/>
              <w:rPr>
                <w:rFonts w:ascii="Arial" w:hAnsi="Arial" w:cs="Arial"/>
                <w:sz w:val="18"/>
                <w:szCs w:val="18"/>
              </w:rPr>
            </w:pPr>
            <w:r>
              <w:rPr>
                <w:rFonts w:ascii="Arial" w:hAnsi="Arial" w:cs="Arial"/>
                <w:sz w:val="18"/>
                <w:szCs w:val="18"/>
              </w:rPr>
              <w:t xml:space="preserve">Así mismo, al </w:t>
            </w:r>
            <w:r w:rsidR="00211E24">
              <w:rPr>
                <w:rFonts w:ascii="Arial" w:hAnsi="Arial" w:cs="Arial"/>
                <w:sz w:val="18"/>
                <w:szCs w:val="18"/>
              </w:rPr>
              <w:t>artículo 56, que trata sobre las consultas al Expediente electrónico</w:t>
            </w:r>
            <w:r>
              <w:rPr>
                <w:rFonts w:ascii="Arial" w:hAnsi="Arial" w:cs="Arial"/>
                <w:sz w:val="18"/>
                <w:szCs w:val="18"/>
              </w:rPr>
              <w:t xml:space="preserve"> se propone agregar</w:t>
            </w:r>
            <w:r w:rsidR="00211E24">
              <w:rPr>
                <w:rFonts w:ascii="Arial" w:hAnsi="Arial" w:cs="Arial"/>
                <w:sz w:val="18"/>
                <w:szCs w:val="18"/>
              </w:rPr>
              <w:t xml:space="preserve"> lo siguiente:</w:t>
            </w:r>
          </w:p>
          <w:p w14:paraId="2DBA6EAD" w14:textId="3F1ABF5B" w:rsidR="00211E24" w:rsidRDefault="00211E24" w:rsidP="00211E24">
            <w:pPr>
              <w:spacing w:before="120" w:after="120" w:line="23" w:lineRule="atLeast"/>
              <w:jc w:val="both"/>
              <w:rPr>
                <w:rFonts w:ascii="Arial" w:hAnsi="Arial" w:cs="Arial"/>
                <w:sz w:val="18"/>
                <w:szCs w:val="18"/>
              </w:rPr>
            </w:pPr>
            <w:r>
              <w:rPr>
                <w:rFonts w:ascii="Arial" w:hAnsi="Arial" w:cs="Arial"/>
                <w:sz w:val="18"/>
                <w:szCs w:val="18"/>
              </w:rPr>
              <w:t>“</w:t>
            </w:r>
            <w:r w:rsidRPr="00211E24">
              <w:rPr>
                <w:rFonts w:ascii="Arial" w:hAnsi="Arial" w:cs="Arial"/>
                <w:sz w:val="18"/>
                <w:szCs w:val="18"/>
              </w:rPr>
              <w:t>Esta solicitud también podrá presentarse en físico ante la Oficialía de Partes del Instituto, en caso de las personas con interés jurídico en el procedimiento o trámite que se encuentren sustanciándolo por Medios tradicionales.</w:t>
            </w:r>
            <w:r>
              <w:rPr>
                <w:rFonts w:ascii="Arial" w:hAnsi="Arial" w:cs="Arial"/>
                <w:sz w:val="18"/>
                <w:szCs w:val="18"/>
              </w:rPr>
              <w:t>”</w:t>
            </w:r>
          </w:p>
          <w:p w14:paraId="002BDDBB" w14:textId="1AD52861" w:rsidR="00211E24" w:rsidRDefault="00211E24" w:rsidP="00211E24">
            <w:pPr>
              <w:spacing w:before="120" w:after="120" w:line="23" w:lineRule="atLeast"/>
              <w:jc w:val="both"/>
              <w:rPr>
                <w:rFonts w:ascii="Arial" w:hAnsi="Arial" w:cs="Arial"/>
                <w:sz w:val="18"/>
                <w:szCs w:val="18"/>
              </w:rPr>
            </w:pPr>
            <w:r>
              <w:rPr>
                <w:rFonts w:ascii="Arial" w:hAnsi="Arial" w:cs="Arial"/>
                <w:sz w:val="18"/>
                <w:szCs w:val="18"/>
              </w:rPr>
              <w:t>Lo anterior a fin de que todos los participantes en un Expediente electrónico, incluso los que lo sustancian por Medios tradicionales, puedan solicitar su consulta.</w:t>
            </w:r>
          </w:p>
          <w:p w14:paraId="487AAF6E" w14:textId="6EDDAE8E" w:rsidR="00211E24" w:rsidRDefault="00211E24" w:rsidP="008800AF">
            <w:pPr>
              <w:spacing w:before="120" w:after="120" w:line="23" w:lineRule="atLeast"/>
              <w:jc w:val="both"/>
              <w:rPr>
                <w:rFonts w:ascii="Arial" w:hAnsi="Arial" w:cs="Arial"/>
                <w:sz w:val="18"/>
                <w:szCs w:val="18"/>
              </w:rPr>
            </w:pPr>
            <w:r>
              <w:rPr>
                <w:rFonts w:ascii="Arial" w:hAnsi="Arial" w:cs="Arial"/>
                <w:sz w:val="18"/>
                <w:szCs w:val="18"/>
              </w:rPr>
              <w:t>Est</w:t>
            </w:r>
            <w:r w:rsidR="008800AF">
              <w:rPr>
                <w:rFonts w:ascii="Arial" w:hAnsi="Arial" w:cs="Arial"/>
                <w:sz w:val="18"/>
                <w:szCs w:val="18"/>
              </w:rPr>
              <w:t>os</w:t>
            </w:r>
            <w:r>
              <w:rPr>
                <w:rFonts w:ascii="Arial" w:hAnsi="Arial" w:cs="Arial"/>
                <w:sz w:val="18"/>
                <w:szCs w:val="18"/>
              </w:rPr>
              <w:t xml:space="preserve"> cambio</w:t>
            </w:r>
            <w:r w:rsidR="008800AF">
              <w:rPr>
                <w:rFonts w:ascii="Arial" w:hAnsi="Arial" w:cs="Arial"/>
                <w:sz w:val="18"/>
                <w:szCs w:val="18"/>
              </w:rPr>
              <w:t>s</w:t>
            </w:r>
            <w:r>
              <w:rPr>
                <w:rFonts w:ascii="Arial" w:hAnsi="Arial" w:cs="Arial"/>
                <w:sz w:val="18"/>
                <w:szCs w:val="18"/>
              </w:rPr>
              <w:t xml:space="preserve">, en conjunto con la modificación al artículo 8, explicada en las consideraciones respecto de los comentarios a dicho artículo, aportan claridad en el caso de expedientes con participantes que optan por sustanciarlo </w:t>
            </w:r>
            <w:r w:rsidR="00F803F7">
              <w:rPr>
                <w:rFonts w:ascii="Arial" w:hAnsi="Arial" w:cs="Arial"/>
                <w:sz w:val="18"/>
                <w:szCs w:val="18"/>
              </w:rPr>
              <w:t>a través de</w:t>
            </w:r>
            <w:r>
              <w:rPr>
                <w:rFonts w:ascii="Arial" w:hAnsi="Arial" w:cs="Arial"/>
                <w:sz w:val="18"/>
                <w:szCs w:val="18"/>
              </w:rPr>
              <w:t xml:space="preserve"> distintos medios.</w:t>
            </w:r>
          </w:p>
        </w:tc>
      </w:tr>
      <w:tr w:rsidR="00286895" w:rsidRPr="003E2214" w14:paraId="117F44C8" w14:textId="77777777" w:rsidTr="0079773D">
        <w:trPr>
          <w:jc w:val="center"/>
        </w:trPr>
        <w:tc>
          <w:tcPr>
            <w:tcW w:w="1691" w:type="dxa"/>
            <w:shd w:val="clear" w:color="auto" w:fill="auto"/>
            <w:vAlign w:val="center"/>
          </w:tcPr>
          <w:p w14:paraId="70BF6B55" w14:textId="6D0F71CB" w:rsidR="00286895" w:rsidRDefault="008B6D3F" w:rsidP="0079773D">
            <w:pPr>
              <w:spacing w:before="120" w:after="120" w:line="23" w:lineRule="atLeast"/>
              <w:rPr>
                <w:rFonts w:ascii="Arial" w:hAnsi="Arial" w:cs="Arial"/>
                <w:b/>
                <w:bCs/>
                <w:sz w:val="18"/>
                <w:szCs w:val="18"/>
                <w:lang w:val="es-ES"/>
              </w:rPr>
            </w:pPr>
            <w:r>
              <w:rPr>
                <w:rFonts w:ascii="Arial" w:hAnsi="Arial" w:cs="Arial"/>
                <w:b/>
                <w:bCs/>
                <w:sz w:val="18"/>
                <w:szCs w:val="18"/>
                <w:lang w:val="es-ES"/>
              </w:rPr>
              <w:t>Artículo 6</w:t>
            </w:r>
          </w:p>
        </w:tc>
        <w:tc>
          <w:tcPr>
            <w:tcW w:w="4087" w:type="dxa"/>
            <w:shd w:val="clear" w:color="auto" w:fill="auto"/>
          </w:tcPr>
          <w:p w14:paraId="3949C982" w14:textId="77777777" w:rsidR="003A7BD8" w:rsidRDefault="008B6D3F" w:rsidP="003A7BD8">
            <w:pPr>
              <w:spacing w:before="120" w:after="120" w:line="23" w:lineRule="atLeast"/>
              <w:jc w:val="both"/>
              <w:rPr>
                <w:rFonts w:ascii="Arial" w:hAnsi="Arial" w:cs="Arial"/>
                <w:bCs/>
                <w:sz w:val="18"/>
                <w:szCs w:val="18"/>
              </w:rPr>
            </w:pPr>
            <w:r>
              <w:rPr>
                <w:rFonts w:ascii="Arial" w:hAnsi="Arial" w:cs="Arial"/>
                <w:bCs/>
                <w:sz w:val="18"/>
                <w:szCs w:val="18"/>
              </w:rPr>
              <w:t>El</w:t>
            </w:r>
            <w:r w:rsidRPr="008B6D3F">
              <w:rPr>
                <w:rFonts w:ascii="Arial" w:hAnsi="Arial" w:cs="Arial"/>
                <w:bCs/>
                <w:sz w:val="18"/>
                <w:szCs w:val="18"/>
              </w:rPr>
              <w:t xml:space="preserve"> </w:t>
            </w:r>
            <w:r>
              <w:rPr>
                <w:rFonts w:ascii="Arial" w:hAnsi="Arial" w:cs="Arial"/>
                <w:bCs/>
                <w:sz w:val="18"/>
                <w:szCs w:val="18"/>
              </w:rPr>
              <w:t>I</w:t>
            </w:r>
            <w:r w:rsidRPr="008B6D3F">
              <w:rPr>
                <w:rFonts w:ascii="Arial" w:hAnsi="Arial" w:cs="Arial"/>
                <w:bCs/>
                <w:sz w:val="18"/>
                <w:szCs w:val="18"/>
              </w:rPr>
              <w:t>nstituto ha sido omiso en informar de manera precisa las formalidades que deberá llevar</w:t>
            </w:r>
            <w:r>
              <w:rPr>
                <w:rFonts w:ascii="Arial" w:hAnsi="Arial" w:cs="Arial"/>
                <w:bCs/>
                <w:sz w:val="18"/>
                <w:szCs w:val="18"/>
              </w:rPr>
              <w:t xml:space="preserve"> el escrito en el que las personas involucradas optan por sustanciar un procedimiento o trámite a través de medios electrónico</w:t>
            </w:r>
            <w:r w:rsidR="003A7BD8">
              <w:rPr>
                <w:rFonts w:ascii="Arial" w:hAnsi="Arial" w:cs="Arial"/>
                <w:bCs/>
                <w:sz w:val="18"/>
                <w:szCs w:val="18"/>
              </w:rPr>
              <w:t>s.</w:t>
            </w:r>
            <w:r w:rsidRPr="008B6D3F">
              <w:rPr>
                <w:rFonts w:ascii="Arial" w:hAnsi="Arial" w:cs="Arial"/>
                <w:bCs/>
                <w:sz w:val="18"/>
                <w:szCs w:val="18"/>
              </w:rPr>
              <w:t xml:space="preserve"> </w:t>
            </w:r>
            <w:r w:rsidR="003A7BD8">
              <w:rPr>
                <w:rFonts w:ascii="Arial" w:hAnsi="Arial" w:cs="Arial"/>
                <w:bCs/>
                <w:sz w:val="18"/>
                <w:szCs w:val="18"/>
              </w:rPr>
              <w:t>E</w:t>
            </w:r>
            <w:r w:rsidRPr="008B6D3F">
              <w:rPr>
                <w:rFonts w:ascii="Arial" w:hAnsi="Arial" w:cs="Arial"/>
                <w:bCs/>
                <w:sz w:val="18"/>
                <w:szCs w:val="18"/>
              </w:rPr>
              <w:t xml:space="preserve">n particular es omiso en especificar si dicho escrito podrá ser presentado por cualquier autorizado o únicamente por representantes legales del Agente Económico en cuestión. </w:t>
            </w:r>
          </w:p>
          <w:p w14:paraId="7A859D21" w14:textId="13518436" w:rsidR="00286895" w:rsidRPr="00D57058" w:rsidRDefault="008B6D3F" w:rsidP="003A7BD8">
            <w:pPr>
              <w:spacing w:before="120" w:after="120" w:line="23" w:lineRule="atLeast"/>
              <w:jc w:val="both"/>
              <w:rPr>
                <w:rFonts w:ascii="Arial" w:hAnsi="Arial" w:cs="Arial"/>
                <w:bCs/>
                <w:sz w:val="18"/>
                <w:szCs w:val="18"/>
              </w:rPr>
            </w:pPr>
            <w:r w:rsidRPr="008B6D3F">
              <w:rPr>
                <w:rFonts w:ascii="Arial" w:hAnsi="Arial" w:cs="Arial"/>
                <w:bCs/>
                <w:sz w:val="18"/>
                <w:szCs w:val="18"/>
              </w:rPr>
              <w:t xml:space="preserve">De igual manera, se considera que el artículo es omiso en establecer el momento procesal oportuno para manifestar la voluntad de </w:t>
            </w:r>
            <w:r w:rsidRPr="008B6D3F">
              <w:rPr>
                <w:rFonts w:ascii="Arial" w:hAnsi="Arial" w:cs="Arial"/>
                <w:bCs/>
                <w:sz w:val="18"/>
                <w:szCs w:val="18"/>
              </w:rPr>
              <w:lastRenderedPageBreak/>
              <w:t>desahogar el procedimiento o trámite por un medio u otro.</w:t>
            </w:r>
          </w:p>
        </w:tc>
        <w:tc>
          <w:tcPr>
            <w:tcW w:w="3568" w:type="dxa"/>
            <w:shd w:val="clear" w:color="auto" w:fill="auto"/>
          </w:tcPr>
          <w:p w14:paraId="69183012" w14:textId="34967C91" w:rsidR="00286895" w:rsidRDefault="00BD06A3" w:rsidP="003A7B38">
            <w:pPr>
              <w:spacing w:before="120" w:after="120" w:line="23" w:lineRule="atLeast"/>
              <w:jc w:val="both"/>
              <w:rPr>
                <w:rFonts w:ascii="Arial" w:hAnsi="Arial" w:cs="Arial"/>
                <w:sz w:val="18"/>
                <w:szCs w:val="18"/>
              </w:rPr>
            </w:pPr>
            <w:r>
              <w:rPr>
                <w:rFonts w:ascii="Arial" w:hAnsi="Arial" w:cs="Arial"/>
                <w:sz w:val="18"/>
                <w:szCs w:val="18"/>
              </w:rPr>
              <w:lastRenderedPageBreak/>
              <w:t xml:space="preserve">La primera parte del comentario se considera inválida, porque el artículo 16 de los Lineamientos establece que “los </w:t>
            </w:r>
            <w:r w:rsidRPr="00BD06A3">
              <w:rPr>
                <w:rFonts w:ascii="Arial" w:hAnsi="Arial" w:cs="Arial"/>
                <w:sz w:val="18"/>
                <w:szCs w:val="18"/>
              </w:rPr>
              <w:t>requisitos, plazos y términos previstos en la LFCE, en las DRLFCE y demás disposiciones aplicables, serán de observancia obligatoria en los procedimientos y trámites que se sustancien a través de Medios electrónicos</w:t>
            </w:r>
            <w:r>
              <w:rPr>
                <w:rFonts w:ascii="Arial" w:hAnsi="Arial" w:cs="Arial"/>
                <w:sz w:val="18"/>
                <w:szCs w:val="18"/>
              </w:rPr>
              <w:t xml:space="preserve">” y existen distintos artículos en estos ordenamientos que establecen las reglas de capacidad a la hora de actuar dentro de un procedimiento o trámite, tales </w:t>
            </w:r>
            <w:r>
              <w:rPr>
                <w:rFonts w:ascii="Arial" w:hAnsi="Arial" w:cs="Arial"/>
                <w:sz w:val="18"/>
                <w:szCs w:val="18"/>
              </w:rPr>
              <w:lastRenderedPageBreak/>
              <w:t>como el artículo 111 de la LFCE y artículos correlativos de las DRLFCE</w:t>
            </w:r>
            <w:r w:rsidRPr="00BD06A3">
              <w:rPr>
                <w:rFonts w:ascii="Arial" w:hAnsi="Arial" w:cs="Arial"/>
                <w:sz w:val="18"/>
                <w:szCs w:val="18"/>
              </w:rPr>
              <w:t>.</w:t>
            </w:r>
          </w:p>
          <w:p w14:paraId="72E9E190" w14:textId="4F059944" w:rsidR="00335C55" w:rsidRDefault="00335C55" w:rsidP="003A7B38">
            <w:pPr>
              <w:spacing w:before="120" w:after="120" w:line="23" w:lineRule="atLeast"/>
              <w:jc w:val="both"/>
              <w:rPr>
                <w:rFonts w:ascii="Arial" w:hAnsi="Arial" w:cs="Arial"/>
                <w:sz w:val="18"/>
                <w:szCs w:val="18"/>
              </w:rPr>
            </w:pPr>
            <w:r>
              <w:rPr>
                <w:rFonts w:ascii="Arial" w:hAnsi="Arial" w:cs="Arial"/>
                <w:sz w:val="18"/>
                <w:szCs w:val="18"/>
              </w:rPr>
              <w:t>En cuanto a la segunda parte del comentario, en el artículo 5 se insertó un texto adicional para establecer que la opción de medios puede hacerse en cualquier momento procesal.</w:t>
            </w:r>
          </w:p>
        </w:tc>
      </w:tr>
      <w:tr w:rsidR="00335C55" w:rsidRPr="003E2214" w14:paraId="11EC9F01" w14:textId="77777777" w:rsidTr="0079773D">
        <w:trPr>
          <w:jc w:val="center"/>
        </w:trPr>
        <w:tc>
          <w:tcPr>
            <w:tcW w:w="1691" w:type="dxa"/>
            <w:shd w:val="clear" w:color="auto" w:fill="auto"/>
            <w:vAlign w:val="center"/>
          </w:tcPr>
          <w:p w14:paraId="57FD30D2" w14:textId="6C974092" w:rsidR="00335C55" w:rsidRDefault="00335C55" w:rsidP="0079773D">
            <w:pPr>
              <w:spacing w:before="120" w:after="120" w:line="23" w:lineRule="atLeast"/>
              <w:rPr>
                <w:rFonts w:ascii="Arial" w:hAnsi="Arial" w:cs="Arial"/>
                <w:b/>
                <w:bCs/>
                <w:sz w:val="18"/>
                <w:szCs w:val="18"/>
                <w:lang w:val="es-ES"/>
              </w:rPr>
            </w:pPr>
            <w:r>
              <w:rPr>
                <w:rFonts w:ascii="Arial" w:hAnsi="Arial" w:cs="Arial"/>
                <w:b/>
                <w:bCs/>
                <w:sz w:val="18"/>
                <w:szCs w:val="18"/>
                <w:lang w:val="es-ES"/>
              </w:rPr>
              <w:lastRenderedPageBreak/>
              <w:t>Artículo 7</w:t>
            </w:r>
          </w:p>
        </w:tc>
        <w:tc>
          <w:tcPr>
            <w:tcW w:w="4087" w:type="dxa"/>
            <w:shd w:val="clear" w:color="auto" w:fill="auto"/>
          </w:tcPr>
          <w:p w14:paraId="2746DE14" w14:textId="7B284893" w:rsidR="00335C55" w:rsidRDefault="00CD6FEA" w:rsidP="003A7BD8">
            <w:pPr>
              <w:spacing w:before="120" w:after="120" w:line="23" w:lineRule="atLeast"/>
              <w:jc w:val="both"/>
              <w:rPr>
                <w:rFonts w:ascii="Arial" w:hAnsi="Arial" w:cs="Arial"/>
                <w:bCs/>
                <w:sz w:val="18"/>
                <w:szCs w:val="18"/>
              </w:rPr>
            </w:pPr>
            <w:r>
              <w:rPr>
                <w:rFonts w:ascii="Arial" w:hAnsi="Arial" w:cs="Arial"/>
                <w:bCs/>
                <w:sz w:val="18"/>
                <w:szCs w:val="18"/>
              </w:rPr>
              <w:t>S</w:t>
            </w:r>
            <w:r w:rsidRPr="008B6D3F">
              <w:rPr>
                <w:rFonts w:ascii="Arial" w:hAnsi="Arial" w:cs="Arial"/>
                <w:bCs/>
                <w:sz w:val="18"/>
                <w:szCs w:val="18"/>
              </w:rPr>
              <w:t>e considera que el artículo es omiso en establecer el momento procesal oportuno para manifestar la voluntad de desahogar el procedimiento o trámite por un medio u otro.</w:t>
            </w:r>
          </w:p>
        </w:tc>
        <w:tc>
          <w:tcPr>
            <w:tcW w:w="3568" w:type="dxa"/>
            <w:shd w:val="clear" w:color="auto" w:fill="auto"/>
          </w:tcPr>
          <w:p w14:paraId="64C26D6B" w14:textId="1018B2D7" w:rsidR="00335C55" w:rsidRDefault="00CD6FEA" w:rsidP="003A7B38">
            <w:pPr>
              <w:spacing w:before="120" w:after="120" w:line="23" w:lineRule="atLeast"/>
              <w:jc w:val="both"/>
              <w:rPr>
                <w:rFonts w:ascii="Arial" w:hAnsi="Arial" w:cs="Arial"/>
                <w:sz w:val="18"/>
                <w:szCs w:val="18"/>
              </w:rPr>
            </w:pPr>
            <w:r>
              <w:rPr>
                <w:rFonts w:ascii="Arial" w:hAnsi="Arial" w:cs="Arial"/>
                <w:sz w:val="18"/>
                <w:szCs w:val="18"/>
              </w:rPr>
              <w:t>En el artículo 5 se insertó un texto adicional para establecer que la opción de medios puede hacerse en cualquier momento procesal.</w:t>
            </w:r>
          </w:p>
        </w:tc>
      </w:tr>
      <w:tr w:rsidR="00CF390B" w:rsidRPr="003E2214" w14:paraId="4EB5AB93" w14:textId="77777777" w:rsidTr="0079773D">
        <w:trPr>
          <w:jc w:val="center"/>
        </w:trPr>
        <w:tc>
          <w:tcPr>
            <w:tcW w:w="1691" w:type="dxa"/>
            <w:vMerge w:val="restart"/>
            <w:shd w:val="clear" w:color="auto" w:fill="auto"/>
            <w:vAlign w:val="center"/>
          </w:tcPr>
          <w:p w14:paraId="097AE2F9" w14:textId="02B54972" w:rsidR="00CF390B" w:rsidRDefault="00CF390B" w:rsidP="0079773D">
            <w:pPr>
              <w:spacing w:before="120" w:after="120" w:line="23" w:lineRule="atLeast"/>
              <w:rPr>
                <w:rFonts w:ascii="Arial" w:hAnsi="Arial" w:cs="Arial"/>
                <w:b/>
                <w:bCs/>
                <w:sz w:val="18"/>
                <w:szCs w:val="18"/>
                <w:lang w:val="es-ES"/>
              </w:rPr>
            </w:pPr>
            <w:r>
              <w:rPr>
                <w:rFonts w:ascii="Arial" w:hAnsi="Arial" w:cs="Arial"/>
                <w:b/>
                <w:bCs/>
                <w:sz w:val="18"/>
                <w:szCs w:val="18"/>
                <w:lang w:val="es-ES"/>
              </w:rPr>
              <w:t>Artículo 8</w:t>
            </w:r>
          </w:p>
        </w:tc>
        <w:tc>
          <w:tcPr>
            <w:tcW w:w="4087" w:type="dxa"/>
            <w:shd w:val="clear" w:color="auto" w:fill="auto"/>
          </w:tcPr>
          <w:p w14:paraId="4A621FF5" w14:textId="6BDD789D" w:rsidR="00CF390B" w:rsidRDefault="00CF390B" w:rsidP="00BD06A3">
            <w:pPr>
              <w:spacing w:before="120" w:after="120" w:line="23" w:lineRule="atLeast"/>
              <w:jc w:val="both"/>
              <w:rPr>
                <w:rFonts w:ascii="Arial" w:hAnsi="Arial" w:cs="Arial"/>
                <w:bCs/>
                <w:sz w:val="18"/>
                <w:szCs w:val="18"/>
              </w:rPr>
            </w:pPr>
            <w:r>
              <w:rPr>
                <w:rFonts w:ascii="Arial" w:hAnsi="Arial" w:cs="Arial"/>
                <w:sz w:val="18"/>
                <w:szCs w:val="18"/>
              </w:rPr>
              <w:t>E</w:t>
            </w:r>
            <w:r w:rsidRPr="00AB1CFF">
              <w:rPr>
                <w:rFonts w:ascii="Arial" w:hAnsi="Arial" w:cs="Arial"/>
                <w:sz w:val="18"/>
                <w:szCs w:val="18"/>
              </w:rPr>
              <w:t xml:space="preserve">stablecer que la </w:t>
            </w:r>
            <w:r>
              <w:rPr>
                <w:rFonts w:ascii="Arial" w:hAnsi="Arial" w:cs="Arial"/>
                <w:sz w:val="18"/>
                <w:szCs w:val="18"/>
              </w:rPr>
              <w:t>UCE</w:t>
            </w:r>
            <w:r w:rsidRPr="00AB1CFF">
              <w:rPr>
                <w:rFonts w:ascii="Arial" w:hAnsi="Arial" w:cs="Arial"/>
                <w:sz w:val="18"/>
                <w:szCs w:val="18"/>
              </w:rPr>
              <w:t xml:space="preserve"> “podrá” digitalizar las promociones o documentos que se presenten o generen por Medios tradicionales e integrarlas al Expediente electrónico vicia el procedimiento y lo vuelve oscuro; ya que lo deja como facultad discrecional de la autoridad sin especificar de qué dependerá que se digitalicen o no.</w:t>
            </w:r>
          </w:p>
        </w:tc>
        <w:tc>
          <w:tcPr>
            <w:tcW w:w="3568" w:type="dxa"/>
            <w:shd w:val="clear" w:color="auto" w:fill="auto"/>
          </w:tcPr>
          <w:p w14:paraId="3170C801" w14:textId="14E0F0E1" w:rsidR="00CF390B" w:rsidRDefault="00CF390B" w:rsidP="00DE2D75">
            <w:pPr>
              <w:spacing w:before="120" w:after="120" w:line="23" w:lineRule="atLeast"/>
              <w:jc w:val="both"/>
              <w:rPr>
                <w:rFonts w:ascii="Arial" w:hAnsi="Arial" w:cs="Arial"/>
                <w:sz w:val="18"/>
                <w:szCs w:val="18"/>
              </w:rPr>
            </w:pPr>
            <w:r>
              <w:rPr>
                <w:rFonts w:ascii="Arial" w:hAnsi="Arial" w:cs="Arial"/>
                <w:sz w:val="18"/>
                <w:szCs w:val="18"/>
              </w:rPr>
              <w:t>Se considera que el comentario es válido por lo que se sustituye la palabra “podrá” por “d</w:t>
            </w:r>
            <w:r w:rsidR="0047346A">
              <w:rPr>
                <w:rFonts w:ascii="Arial" w:hAnsi="Arial" w:cs="Arial"/>
                <w:sz w:val="18"/>
                <w:szCs w:val="18"/>
              </w:rPr>
              <w:t>igitalizará</w:t>
            </w:r>
            <w:r>
              <w:rPr>
                <w:rFonts w:ascii="Arial" w:hAnsi="Arial" w:cs="Arial"/>
                <w:sz w:val="18"/>
                <w:szCs w:val="18"/>
              </w:rPr>
              <w:t>”.</w:t>
            </w:r>
          </w:p>
        </w:tc>
      </w:tr>
      <w:tr w:rsidR="00CF390B" w:rsidRPr="003E2214" w14:paraId="256114B0" w14:textId="77777777" w:rsidTr="0079773D">
        <w:trPr>
          <w:jc w:val="center"/>
        </w:trPr>
        <w:tc>
          <w:tcPr>
            <w:tcW w:w="1691" w:type="dxa"/>
            <w:vMerge/>
            <w:shd w:val="clear" w:color="auto" w:fill="auto"/>
            <w:vAlign w:val="center"/>
          </w:tcPr>
          <w:p w14:paraId="63BBDD40" w14:textId="77777777" w:rsidR="00CF390B" w:rsidRDefault="00CF390B" w:rsidP="0079773D">
            <w:pPr>
              <w:spacing w:before="120" w:after="120" w:line="23" w:lineRule="atLeast"/>
              <w:rPr>
                <w:rFonts w:ascii="Arial" w:hAnsi="Arial" w:cs="Arial"/>
                <w:b/>
                <w:bCs/>
                <w:sz w:val="18"/>
                <w:szCs w:val="18"/>
                <w:lang w:val="es-ES"/>
              </w:rPr>
            </w:pPr>
          </w:p>
        </w:tc>
        <w:tc>
          <w:tcPr>
            <w:tcW w:w="4087" w:type="dxa"/>
            <w:shd w:val="clear" w:color="auto" w:fill="auto"/>
          </w:tcPr>
          <w:p w14:paraId="3923DE94" w14:textId="5F640D23" w:rsidR="00CF390B" w:rsidRDefault="00CF390B" w:rsidP="00CF390B">
            <w:pPr>
              <w:spacing w:before="120" w:after="120" w:line="23" w:lineRule="atLeast"/>
              <w:jc w:val="both"/>
              <w:rPr>
                <w:rFonts w:ascii="Arial" w:hAnsi="Arial" w:cs="Arial"/>
                <w:sz w:val="18"/>
                <w:szCs w:val="18"/>
              </w:rPr>
            </w:pPr>
            <w:r>
              <w:rPr>
                <w:rFonts w:ascii="Arial" w:hAnsi="Arial" w:cs="Arial"/>
                <w:sz w:val="18"/>
                <w:szCs w:val="18"/>
              </w:rPr>
              <w:t>S</w:t>
            </w:r>
            <w:r w:rsidRPr="00CF390B">
              <w:rPr>
                <w:rFonts w:ascii="Arial" w:hAnsi="Arial" w:cs="Arial"/>
                <w:sz w:val="18"/>
                <w:szCs w:val="18"/>
              </w:rPr>
              <w:t>e sugiere modificar la palabra “podrá” por “deberá”, lo cual</w:t>
            </w:r>
            <w:r>
              <w:rPr>
                <w:rFonts w:ascii="Arial" w:hAnsi="Arial" w:cs="Arial"/>
                <w:sz w:val="18"/>
                <w:szCs w:val="18"/>
              </w:rPr>
              <w:t xml:space="preserve"> </w:t>
            </w:r>
            <w:r w:rsidRPr="00CF390B">
              <w:rPr>
                <w:rFonts w:ascii="Arial" w:hAnsi="Arial" w:cs="Arial"/>
                <w:sz w:val="18"/>
                <w:szCs w:val="18"/>
              </w:rPr>
              <w:t>permitirá que la totalidad de los expedientes que se tramiten por medios electrónicos se</w:t>
            </w:r>
            <w:r>
              <w:rPr>
                <w:rFonts w:ascii="Arial" w:hAnsi="Arial" w:cs="Arial"/>
                <w:sz w:val="18"/>
                <w:szCs w:val="18"/>
              </w:rPr>
              <w:t xml:space="preserve"> </w:t>
            </w:r>
            <w:r w:rsidRPr="00CF390B">
              <w:rPr>
                <w:rFonts w:ascii="Arial" w:hAnsi="Arial" w:cs="Arial"/>
                <w:sz w:val="18"/>
                <w:szCs w:val="18"/>
              </w:rPr>
              <w:t>encuentren disponibles en el sistema electrónico, facilitando con ello la consulta por parte de los</w:t>
            </w:r>
            <w:r>
              <w:rPr>
                <w:rFonts w:ascii="Arial" w:hAnsi="Arial" w:cs="Arial"/>
                <w:sz w:val="18"/>
                <w:szCs w:val="18"/>
              </w:rPr>
              <w:t xml:space="preserve"> </w:t>
            </w:r>
            <w:r w:rsidRPr="00CF390B">
              <w:rPr>
                <w:rFonts w:ascii="Arial" w:hAnsi="Arial" w:cs="Arial"/>
                <w:sz w:val="18"/>
                <w:szCs w:val="18"/>
              </w:rPr>
              <w:t>Agentes Económicos, máxime si se considera que</w:t>
            </w:r>
            <w:r>
              <w:rPr>
                <w:rFonts w:ascii="Arial" w:hAnsi="Arial" w:cs="Arial"/>
                <w:sz w:val="18"/>
                <w:szCs w:val="18"/>
              </w:rPr>
              <w:t xml:space="preserve">, </w:t>
            </w:r>
            <w:r w:rsidRPr="00CF390B">
              <w:rPr>
                <w:rFonts w:ascii="Arial" w:hAnsi="Arial" w:cs="Arial"/>
                <w:sz w:val="18"/>
                <w:szCs w:val="18"/>
              </w:rPr>
              <w:t>atendiendo a la definición de Cuaderno</w:t>
            </w:r>
            <w:r>
              <w:rPr>
                <w:rFonts w:ascii="Arial" w:hAnsi="Arial" w:cs="Arial"/>
                <w:sz w:val="18"/>
                <w:szCs w:val="18"/>
              </w:rPr>
              <w:t xml:space="preserve"> </w:t>
            </w:r>
            <w:r w:rsidRPr="00CF390B">
              <w:rPr>
                <w:rFonts w:ascii="Arial" w:hAnsi="Arial" w:cs="Arial"/>
                <w:sz w:val="18"/>
                <w:szCs w:val="18"/>
              </w:rPr>
              <w:t>auxiliar, será excepcional contar con documentación física.</w:t>
            </w:r>
          </w:p>
        </w:tc>
        <w:tc>
          <w:tcPr>
            <w:tcW w:w="3568" w:type="dxa"/>
            <w:shd w:val="clear" w:color="auto" w:fill="auto"/>
          </w:tcPr>
          <w:p w14:paraId="301EB70C" w14:textId="4540627C" w:rsidR="00CF390B" w:rsidRDefault="00CF390B" w:rsidP="00DE2D75">
            <w:pPr>
              <w:spacing w:before="120" w:after="120" w:line="23" w:lineRule="atLeast"/>
              <w:jc w:val="both"/>
              <w:rPr>
                <w:rFonts w:ascii="Arial" w:hAnsi="Arial" w:cs="Arial"/>
                <w:sz w:val="18"/>
                <w:szCs w:val="18"/>
              </w:rPr>
            </w:pPr>
            <w:r>
              <w:rPr>
                <w:rFonts w:ascii="Arial" w:hAnsi="Arial" w:cs="Arial"/>
                <w:sz w:val="18"/>
                <w:szCs w:val="18"/>
              </w:rPr>
              <w:t>Se considera que el comentario es válido por lo que se sustituye la palabra “podrá” por “</w:t>
            </w:r>
            <w:r w:rsidR="0047346A">
              <w:rPr>
                <w:rFonts w:ascii="Arial" w:hAnsi="Arial" w:cs="Arial"/>
                <w:sz w:val="18"/>
                <w:szCs w:val="18"/>
              </w:rPr>
              <w:t>digitalizará”.</w:t>
            </w:r>
          </w:p>
        </w:tc>
      </w:tr>
      <w:tr w:rsidR="00BD06A3" w:rsidRPr="00BF2F95" w14:paraId="10DF38FC" w14:textId="77777777" w:rsidTr="0079773D">
        <w:trPr>
          <w:jc w:val="center"/>
        </w:trPr>
        <w:tc>
          <w:tcPr>
            <w:tcW w:w="1691" w:type="dxa"/>
            <w:shd w:val="clear" w:color="auto" w:fill="auto"/>
            <w:vAlign w:val="center"/>
          </w:tcPr>
          <w:p w14:paraId="6D936E08" w14:textId="683F89DE" w:rsidR="00BD06A3" w:rsidRPr="00BF2F95" w:rsidRDefault="00BD06A3" w:rsidP="0079773D">
            <w:pPr>
              <w:spacing w:before="120" w:after="120" w:line="23" w:lineRule="atLeast"/>
              <w:rPr>
                <w:rFonts w:ascii="Arial" w:hAnsi="Arial" w:cs="Arial"/>
                <w:b/>
                <w:bCs/>
                <w:sz w:val="18"/>
                <w:szCs w:val="18"/>
                <w:lang w:val="es-ES"/>
              </w:rPr>
            </w:pPr>
            <w:r w:rsidRPr="00BF2F95">
              <w:rPr>
                <w:rFonts w:ascii="Arial" w:hAnsi="Arial" w:cs="Arial"/>
                <w:b/>
                <w:bCs/>
                <w:sz w:val="18"/>
                <w:szCs w:val="18"/>
                <w:lang w:val="es-ES"/>
              </w:rPr>
              <w:t>Artículo 11</w:t>
            </w:r>
          </w:p>
        </w:tc>
        <w:tc>
          <w:tcPr>
            <w:tcW w:w="4087" w:type="dxa"/>
            <w:shd w:val="clear" w:color="auto" w:fill="auto"/>
          </w:tcPr>
          <w:p w14:paraId="3E4C0F77" w14:textId="1162677A" w:rsidR="00BD06A3" w:rsidRPr="00BF2F95" w:rsidRDefault="00BD06A3" w:rsidP="00BD06A3">
            <w:pPr>
              <w:spacing w:before="120" w:after="120" w:line="23" w:lineRule="atLeast"/>
              <w:jc w:val="both"/>
              <w:rPr>
                <w:rFonts w:ascii="Arial" w:hAnsi="Arial" w:cs="Arial"/>
                <w:bCs/>
                <w:sz w:val="18"/>
                <w:szCs w:val="18"/>
              </w:rPr>
            </w:pPr>
            <w:r w:rsidRPr="00BF2F95">
              <w:rPr>
                <w:rFonts w:ascii="Arial" w:hAnsi="Arial" w:cs="Arial"/>
                <w:bCs/>
                <w:sz w:val="18"/>
                <w:szCs w:val="18"/>
              </w:rPr>
              <w:t>La firma electrónica no debe utilizarse para los trámites en representación de empresas, ya que es de uso privado de los particulares que la obtienen en su calidad de “Persona física” ante el Servicio de Administración Tributaria.</w:t>
            </w:r>
          </w:p>
          <w:p w14:paraId="4BF108D0" w14:textId="3491EB0F" w:rsidR="00BD06A3" w:rsidRPr="00BF2F95" w:rsidRDefault="00BD06A3" w:rsidP="00BD06A3">
            <w:pPr>
              <w:spacing w:before="120" w:after="120" w:line="23" w:lineRule="atLeast"/>
              <w:jc w:val="both"/>
              <w:rPr>
                <w:rFonts w:ascii="Arial" w:hAnsi="Arial" w:cs="Arial"/>
                <w:bCs/>
                <w:sz w:val="18"/>
                <w:szCs w:val="18"/>
              </w:rPr>
            </w:pPr>
            <w:r w:rsidRPr="00BF2F95">
              <w:rPr>
                <w:rFonts w:ascii="Arial" w:hAnsi="Arial" w:cs="Arial"/>
                <w:bCs/>
                <w:sz w:val="18"/>
                <w:szCs w:val="18"/>
              </w:rPr>
              <w:t>En todo caso</w:t>
            </w:r>
            <w:r w:rsidR="00D37393" w:rsidRPr="00BF2F95">
              <w:rPr>
                <w:rFonts w:ascii="Arial" w:hAnsi="Arial" w:cs="Arial"/>
                <w:bCs/>
                <w:sz w:val="18"/>
                <w:szCs w:val="18"/>
              </w:rPr>
              <w:t>,</w:t>
            </w:r>
            <w:r w:rsidRPr="00BF2F95">
              <w:rPr>
                <w:rFonts w:ascii="Arial" w:hAnsi="Arial" w:cs="Arial"/>
                <w:bCs/>
                <w:sz w:val="18"/>
                <w:szCs w:val="18"/>
              </w:rPr>
              <w:t xml:space="preserve"> el acceso y la autenticación de los usuarios debería realizarse mediante mecanismos, usuarios y contraseñas gestionados y administrados por el propio Instituto.</w:t>
            </w:r>
          </w:p>
        </w:tc>
        <w:tc>
          <w:tcPr>
            <w:tcW w:w="3568" w:type="dxa"/>
            <w:shd w:val="clear" w:color="auto" w:fill="auto"/>
          </w:tcPr>
          <w:p w14:paraId="3CEA3DCE" w14:textId="77777777" w:rsidR="00694FBA" w:rsidRPr="00BF2F95" w:rsidRDefault="00DE2D75" w:rsidP="00DE2D75">
            <w:pPr>
              <w:spacing w:before="120" w:after="120" w:line="23" w:lineRule="atLeast"/>
              <w:jc w:val="both"/>
              <w:rPr>
                <w:rFonts w:ascii="Arial" w:hAnsi="Arial" w:cs="Arial"/>
                <w:sz w:val="18"/>
                <w:szCs w:val="18"/>
              </w:rPr>
            </w:pPr>
            <w:r w:rsidRPr="00BF2F95">
              <w:rPr>
                <w:rFonts w:ascii="Arial" w:hAnsi="Arial" w:cs="Arial"/>
                <w:sz w:val="18"/>
                <w:szCs w:val="18"/>
              </w:rPr>
              <w:t xml:space="preserve">El comentario se considera inválido. </w:t>
            </w:r>
          </w:p>
          <w:p w14:paraId="34526B78" w14:textId="6DA4B150" w:rsidR="00E10940" w:rsidRPr="00BF2F95" w:rsidRDefault="00DE2D75" w:rsidP="00DE2D75">
            <w:pPr>
              <w:spacing w:before="120" w:after="120" w:line="23" w:lineRule="atLeast"/>
              <w:jc w:val="both"/>
              <w:rPr>
                <w:rFonts w:ascii="Arial" w:hAnsi="Arial" w:cs="Arial"/>
                <w:sz w:val="18"/>
                <w:szCs w:val="18"/>
              </w:rPr>
            </w:pPr>
            <w:r w:rsidRPr="00BF2F95">
              <w:rPr>
                <w:rFonts w:ascii="Arial" w:hAnsi="Arial" w:cs="Arial"/>
                <w:sz w:val="18"/>
                <w:szCs w:val="18"/>
              </w:rPr>
              <w:t xml:space="preserve">En lo que toca a su primera parte, </w:t>
            </w:r>
            <w:r w:rsidR="0071198F" w:rsidRPr="00BF2F95">
              <w:rPr>
                <w:rFonts w:ascii="Arial" w:hAnsi="Arial" w:cs="Arial"/>
                <w:sz w:val="18"/>
                <w:szCs w:val="18"/>
              </w:rPr>
              <w:t>la firma electrónica sí puede utilizarse en procedimientos o trámites en materia de competencia económica, por parte de las personas físicas por su propio derecho o en representación de alguna otra persona. Esto es así debido a que</w:t>
            </w:r>
            <w:r w:rsidR="00E10940" w:rsidRPr="00BF2F95">
              <w:t xml:space="preserve"> e</w:t>
            </w:r>
            <w:r w:rsidR="00E10940" w:rsidRPr="00BF2F95">
              <w:rPr>
                <w:rFonts w:ascii="Arial" w:hAnsi="Arial" w:cs="Arial"/>
                <w:sz w:val="18"/>
                <w:szCs w:val="18"/>
              </w:rPr>
              <w:t>l artículo 4 de la Ley de Firma Electrónica Avanzada (LFEA) establece los actos jurídicos o administrativos a los que no es aplicable el uso de la firma electrónica avanzada, y en sus términos no se comprende la materia de competencia económica ya que el artículo 118 de la LFCE establece la posibilidad del trámite de cualquier procedimiento o solicitud en ella establecidos por medios electrónicos. El Pleno del Instituto tiene adicionalmente la facultad de celebrar los convenios a que se refiere el artículo 28 de la citada LFEA para la prestación de servicios relacionados con la firma electrónica avanzada en relación con su aplicación en procedimientos y trámites en materia de competencia económica</w:t>
            </w:r>
          </w:p>
          <w:p w14:paraId="7E90E759" w14:textId="5F73EDEA" w:rsidR="0071198F" w:rsidRPr="00BF2F95" w:rsidRDefault="00E10940" w:rsidP="00DE2D75">
            <w:pPr>
              <w:spacing w:before="120" w:after="120" w:line="23" w:lineRule="atLeast"/>
              <w:jc w:val="both"/>
              <w:rPr>
                <w:rFonts w:ascii="Arial" w:hAnsi="Arial" w:cs="Arial"/>
                <w:sz w:val="18"/>
                <w:szCs w:val="18"/>
              </w:rPr>
            </w:pPr>
            <w:r w:rsidRPr="00BF2F95">
              <w:rPr>
                <w:rFonts w:ascii="Arial" w:hAnsi="Arial" w:cs="Arial"/>
                <w:sz w:val="18"/>
                <w:szCs w:val="18"/>
              </w:rPr>
              <w:lastRenderedPageBreak/>
              <w:t>Por otro lado,</w:t>
            </w:r>
            <w:r w:rsidR="0071198F" w:rsidRPr="00BF2F95">
              <w:rPr>
                <w:rFonts w:ascii="Arial" w:hAnsi="Arial" w:cs="Arial"/>
                <w:sz w:val="18"/>
                <w:szCs w:val="18"/>
              </w:rPr>
              <w:t xml:space="preserve"> la fracción XIII del artículo 2 de la Ley de Firma Electrónica Avanzada (LFEA) establece que el uso de dicha firma produce los mismos efectos legales que la firma autógrafa</w:t>
            </w:r>
            <w:r w:rsidRPr="00BF2F95">
              <w:rPr>
                <w:rFonts w:ascii="Arial" w:hAnsi="Arial" w:cs="Arial"/>
                <w:sz w:val="18"/>
                <w:szCs w:val="18"/>
              </w:rPr>
              <w:t>, lo que en conjunto con lo establecido en el artículo 111 de la LFCE, respecto de la acreditación de la representación de agentes económicos ante el Instituto, habilita el uso de la firma electrónica por parte de dichos representantes.</w:t>
            </w:r>
          </w:p>
          <w:p w14:paraId="78EC0094" w14:textId="7CDAB6D3" w:rsidR="00694FBA" w:rsidRPr="00BF2F95" w:rsidRDefault="00E10940" w:rsidP="00DE2D75">
            <w:pPr>
              <w:spacing w:before="120" w:after="120" w:line="23" w:lineRule="atLeast"/>
              <w:jc w:val="both"/>
              <w:rPr>
                <w:rFonts w:ascii="Arial" w:hAnsi="Arial" w:cs="Arial"/>
                <w:sz w:val="18"/>
                <w:szCs w:val="18"/>
              </w:rPr>
            </w:pPr>
            <w:r w:rsidRPr="00BF2F95">
              <w:rPr>
                <w:rFonts w:ascii="Arial" w:hAnsi="Arial" w:cs="Arial"/>
                <w:sz w:val="18"/>
                <w:szCs w:val="18"/>
              </w:rPr>
              <w:t>En lo que toca a su segunda parte,</w:t>
            </w:r>
            <w:r w:rsidR="003F135F" w:rsidRPr="00BF2F95">
              <w:rPr>
                <w:rFonts w:ascii="Arial" w:hAnsi="Arial" w:cs="Arial"/>
                <w:sz w:val="18"/>
                <w:szCs w:val="18"/>
              </w:rPr>
              <w:t xml:space="preserve"> y respecto del uso de la firma electrónica en los procedimientos o trámites a cargo de la UCE, el artículo 29 de los Lineamientos</w:t>
            </w:r>
            <w:r w:rsidRPr="00BF2F95">
              <w:rPr>
                <w:rFonts w:ascii="Arial" w:hAnsi="Arial" w:cs="Arial"/>
                <w:sz w:val="18"/>
                <w:szCs w:val="18"/>
              </w:rPr>
              <w:t xml:space="preserve"> </w:t>
            </w:r>
            <w:r w:rsidR="003F135F" w:rsidRPr="00BF2F95">
              <w:rPr>
                <w:rFonts w:ascii="Arial" w:hAnsi="Arial" w:cs="Arial"/>
                <w:sz w:val="18"/>
                <w:szCs w:val="18"/>
              </w:rPr>
              <w:t xml:space="preserve">establece que el Sistema electrónico contará con un componente informático que confirmará la validez de la firma electrónica </w:t>
            </w:r>
            <w:proofErr w:type="gramStart"/>
            <w:r w:rsidR="003F135F" w:rsidRPr="00BF2F95">
              <w:rPr>
                <w:rFonts w:ascii="Arial" w:hAnsi="Arial" w:cs="Arial"/>
                <w:sz w:val="18"/>
                <w:szCs w:val="18"/>
              </w:rPr>
              <w:t>avanzada</w:t>
            </w:r>
            <w:proofErr w:type="gramEnd"/>
            <w:r w:rsidR="003F135F" w:rsidRPr="00BF2F95">
              <w:rPr>
                <w:rFonts w:ascii="Arial" w:hAnsi="Arial" w:cs="Arial"/>
                <w:sz w:val="18"/>
                <w:szCs w:val="18"/>
              </w:rPr>
              <w:t xml:space="preserve"> aunque su titular seguirá siendo el único responsable de su uso y gestión. </w:t>
            </w:r>
          </w:p>
        </w:tc>
      </w:tr>
    </w:tbl>
    <w:p w14:paraId="7CAB2DA4" w14:textId="77777777" w:rsidR="00400299" w:rsidRPr="00BF2F95" w:rsidRDefault="00400299" w:rsidP="00400299">
      <w:pPr>
        <w:spacing w:before="120" w:after="120" w:line="23" w:lineRule="atLeast"/>
        <w:jc w:val="both"/>
        <w:rPr>
          <w:rFonts w:ascii="Arial" w:hAnsi="Arial" w:cs="Arial"/>
          <w:b/>
          <w:bCs/>
        </w:rPr>
      </w:pPr>
    </w:p>
    <w:p w14:paraId="6834D19C" w14:textId="7D86C823" w:rsidR="00400299" w:rsidRPr="00BF2F95" w:rsidRDefault="00400299" w:rsidP="00400299">
      <w:pPr>
        <w:spacing w:before="120" w:after="120" w:line="23" w:lineRule="atLeast"/>
        <w:jc w:val="both"/>
        <w:rPr>
          <w:rFonts w:ascii="Arial" w:hAnsi="Arial" w:cs="Arial"/>
          <w:b/>
          <w:bCs/>
        </w:rPr>
      </w:pPr>
      <w:r w:rsidRPr="00BF2F95">
        <w:rPr>
          <w:rFonts w:ascii="Arial" w:hAnsi="Arial" w:cs="Arial"/>
          <w:b/>
        </w:rPr>
        <w:t>8.2 Capítulo</w:t>
      </w:r>
      <w:r w:rsidRPr="00BF2F95">
        <w:rPr>
          <w:rFonts w:ascii="Arial" w:hAnsi="Arial" w:cs="Arial"/>
          <w:b/>
          <w:bCs/>
        </w:rPr>
        <w:t xml:space="preserve"> </w:t>
      </w:r>
      <w:r w:rsidR="00927C1C" w:rsidRPr="00BF2F95">
        <w:rPr>
          <w:rFonts w:ascii="Arial" w:hAnsi="Arial" w:cs="Arial"/>
          <w:b/>
          <w:bCs/>
        </w:rPr>
        <w:t>II</w:t>
      </w:r>
      <w:r w:rsidRPr="00BF2F95">
        <w:rPr>
          <w:rFonts w:ascii="Arial" w:hAnsi="Arial" w:cs="Arial"/>
          <w:b/>
          <w:bCs/>
        </w:rPr>
        <w:t>. De los Medios tradicionales</w:t>
      </w:r>
    </w:p>
    <w:p w14:paraId="4D5A3932" w14:textId="02FABBE4" w:rsidR="00400299" w:rsidRPr="00BF2F95" w:rsidRDefault="00400299" w:rsidP="00400299">
      <w:pPr>
        <w:spacing w:before="120" w:after="120" w:line="23" w:lineRule="atLeast"/>
        <w:jc w:val="both"/>
        <w:rPr>
          <w:rFonts w:ascii="Arial" w:hAnsi="Arial" w:cs="Arial"/>
          <w:b/>
          <w:bCs/>
        </w:rPr>
      </w:pPr>
      <w:r w:rsidRPr="00BF2F95">
        <w:rPr>
          <w:rFonts w:ascii="Arial" w:hAnsi="Arial" w:cs="Arial"/>
          <w:b/>
          <w:bCs/>
        </w:rPr>
        <w:t>8.</w:t>
      </w:r>
      <w:r w:rsidR="002131E4" w:rsidRPr="00BF2F95">
        <w:rPr>
          <w:rFonts w:ascii="Arial" w:hAnsi="Arial" w:cs="Arial"/>
          <w:b/>
          <w:bCs/>
        </w:rPr>
        <w:t>2</w:t>
      </w:r>
      <w:r w:rsidRPr="00BF2F95">
        <w:rPr>
          <w:rFonts w:ascii="Arial" w:hAnsi="Arial" w:cs="Arial"/>
          <w:b/>
          <w:bCs/>
        </w:rPr>
        <w:t xml:space="preserve">.1. Síntesis de los comentarios recibidos respecto de la propuesta del Capítulo </w:t>
      </w:r>
      <w:r w:rsidR="00927C1C" w:rsidRPr="00BF2F95">
        <w:rPr>
          <w:rFonts w:ascii="Arial" w:hAnsi="Arial" w:cs="Arial"/>
          <w:b/>
          <w:bCs/>
        </w:rPr>
        <w:t>II</w:t>
      </w:r>
      <w:r w:rsidRPr="00BF2F95">
        <w:rPr>
          <w:rFonts w:ascii="Arial" w:hAnsi="Arial" w:cs="Arial"/>
          <w:b/>
          <w:bCs/>
        </w:rPr>
        <w:t>. De los Medios tradicionales</w:t>
      </w:r>
    </w:p>
    <w:p w14:paraId="4A2EC6A2" w14:textId="7F8711D6" w:rsidR="00400299" w:rsidRPr="00BF2F95" w:rsidRDefault="00400299" w:rsidP="00400299">
      <w:pPr>
        <w:spacing w:before="120" w:after="120" w:line="23" w:lineRule="atLeast"/>
        <w:jc w:val="both"/>
        <w:rPr>
          <w:rFonts w:ascii="Arial" w:hAnsi="Arial" w:cs="Arial"/>
          <w:b/>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691"/>
        <w:gridCol w:w="4087"/>
        <w:gridCol w:w="3568"/>
      </w:tblGrid>
      <w:tr w:rsidR="00400299" w:rsidRPr="00BF2F95" w14:paraId="5889EED4" w14:textId="77777777" w:rsidTr="00351108">
        <w:trPr>
          <w:tblHeader/>
          <w:jc w:val="center"/>
        </w:trPr>
        <w:tc>
          <w:tcPr>
            <w:tcW w:w="1691" w:type="dxa"/>
            <w:shd w:val="clear" w:color="auto" w:fill="70AD47" w:themeFill="accent6"/>
          </w:tcPr>
          <w:p w14:paraId="2F542241" w14:textId="77777777" w:rsidR="00400299" w:rsidRPr="00BF2F95" w:rsidRDefault="00400299" w:rsidP="00351108">
            <w:pPr>
              <w:spacing w:before="120" w:after="120" w:line="23" w:lineRule="atLeast"/>
              <w:jc w:val="center"/>
              <w:rPr>
                <w:rFonts w:ascii="Arial" w:hAnsi="Arial" w:cs="Arial"/>
                <w:b/>
                <w:sz w:val="18"/>
                <w:szCs w:val="18"/>
              </w:rPr>
            </w:pPr>
            <w:r w:rsidRPr="00BF2F95">
              <w:rPr>
                <w:rFonts w:ascii="Arial" w:hAnsi="Arial" w:cs="Arial"/>
                <w:b/>
                <w:sz w:val="18"/>
                <w:szCs w:val="18"/>
              </w:rPr>
              <w:t>Artículo</w:t>
            </w:r>
          </w:p>
        </w:tc>
        <w:tc>
          <w:tcPr>
            <w:tcW w:w="4087" w:type="dxa"/>
            <w:shd w:val="clear" w:color="auto" w:fill="70AD47" w:themeFill="accent6"/>
          </w:tcPr>
          <w:p w14:paraId="49B2F5A6" w14:textId="77777777" w:rsidR="00400299" w:rsidRPr="00BF2F95" w:rsidRDefault="00400299" w:rsidP="00351108">
            <w:pPr>
              <w:spacing w:before="120" w:after="120" w:line="23" w:lineRule="atLeast"/>
              <w:jc w:val="center"/>
              <w:rPr>
                <w:rFonts w:ascii="Arial" w:hAnsi="Arial" w:cs="Arial"/>
                <w:b/>
                <w:sz w:val="18"/>
                <w:szCs w:val="18"/>
              </w:rPr>
            </w:pPr>
            <w:r w:rsidRPr="00BF2F95">
              <w:rPr>
                <w:rFonts w:ascii="Arial" w:hAnsi="Arial" w:cs="Arial"/>
                <w:b/>
                <w:sz w:val="18"/>
                <w:szCs w:val="18"/>
              </w:rPr>
              <w:t>Resumen de los comentarios recibidos</w:t>
            </w:r>
          </w:p>
        </w:tc>
        <w:tc>
          <w:tcPr>
            <w:tcW w:w="3568" w:type="dxa"/>
            <w:shd w:val="clear" w:color="auto" w:fill="70AD47" w:themeFill="accent6"/>
          </w:tcPr>
          <w:p w14:paraId="7186B991" w14:textId="77777777" w:rsidR="00400299" w:rsidRPr="00BF2F95" w:rsidRDefault="00400299" w:rsidP="00351108">
            <w:pPr>
              <w:spacing w:before="120" w:after="120" w:line="23" w:lineRule="atLeast"/>
              <w:jc w:val="center"/>
              <w:rPr>
                <w:rFonts w:ascii="Arial" w:hAnsi="Arial" w:cs="Arial"/>
                <w:b/>
                <w:sz w:val="18"/>
                <w:szCs w:val="18"/>
              </w:rPr>
            </w:pPr>
            <w:r w:rsidRPr="00BF2F95">
              <w:rPr>
                <w:rFonts w:ascii="Arial" w:hAnsi="Arial" w:cs="Arial"/>
                <w:b/>
                <w:sz w:val="18"/>
                <w:szCs w:val="18"/>
              </w:rPr>
              <w:t>Consideración</w:t>
            </w:r>
          </w:p>
        </w:tc>
      </w:tr>
      <w:tr w:rsidR="00400299" w:rsidRPr="00BF2F95" w14:paraId="064316F0" w14:textId="77777777" w:rsidTr="00351108">
        <w:trPr>
          <w:jc w:val="center"/>
        </w:trPr>
        <w:tc>
          <w:tcPr>
            <w:tcW w:w="9346" w:type="dxa"/>
            <w:gridSpan w:val="3"/>
            <w:shd w:val="clear" w:color="auto" w:fill="C5E0B3" w:themeFill="accent6" w:themeFillTint="66"/>
          </w:tcPr>
          <w:p w14:paraId="3E9C1E4C" w14:textId="403E64F8" w:rsidR="00400299" w:rsidRPr="00BF2F95" w:rsidRDefault="002131E4" w:rsidP="00351108">
            <w:pPr>
              <w:spacing w:before="120" w:after="120" w:line="23" w:lineRule="atLeast"/>
              <w:jc w:val="center"/>
              <w:rPr>
                <w:rFonts w:ascii="Arial" w:hAnsi="Arial" w:cs="Arial"/>
                <w:b/>
                <w:sz w:val="18"/>
                <w:szCs w:val="18"/>
              </w:rPr>
            </w:pPr>
            <w:r w:rsidRPr="00BF2F95">
              <w:rPr>
                <w:rFonts w:ascii="Arial" w:hAnsi="Arial" w:cs="Arial"/>
                <w:b/>
                <w:sz w:val="18"/>
                <w:szCs w:val="18"/>
              </w:rPr>
              <w:t>II</w:t>
            </w:r>
            <w:r w:rsidR="00400299" w:rsidRPr="00BF2F95">
              <w:rPr>
                <w:rFonts w:ascii="Arial" w:hAnsi="Arial" w:cs="Arial"/>
                <w:b/>
                <w:sz w:val="18"/>
                <w:szCs w:val="18"/>
              </w:rPr>
              <w:t>. De los Medios tradicionales</w:t>
            </w:r>
          </w:p>
        </w:tc>
      </w:tr>
      <w:tr w:rsidR="00400299" w:rsidRPr="008003C4" w14:paraId="42A8C4AE" w14:textId="77777777" w:rsidTr="00351108">
        <w:trPr>
          <w:jc w:val="center"/>
        </w:trPr>
        <w:tc>
          <w:tcPr>
            <w:tcW w:w="1691" w:type="dxa"/>
            <w:shd w:val="clear" w:color="auto" w:fill="auto"/>
            <w:vAlign w:val="center"/>
          </w:tcPr>
          <w:p w14:paraId="56D3BA0C" w14:textId="6EB6957A" w:rsidR="00400299" w:rsidRPr="00BF2F95" w:rsidRDefault="00400299" w:rsidP="00351108">
            <w:pPr>
              <w:spacing w:before="120" w:after="120" w:line="23" w:lineRule="atLeast"/>
              <w:rPr>
                <w:rFonts w:ascii="Arial" w:hAnsi="Arial" w:cs="Arial"/>
                <w:b/>
                <w:sz w:val="18"/>
                <w:szCs w:val="18"/>
              </w:rPr>
            </w:pPr>
            <w:r w:rsidRPr="00BF2F95">
              <w:rPr>
                <w:rFonts w:ascii="Arial" w:hAnsi="Arial" w:cs="Arial"/>
                <w:b/>
                <w:sz w:val="18"/>
                <w:szCs w:val="18"/>
              </w:rPr>
              <w:t xml:space="preserve">Artículo </w:t>
            </w:r>
            <w:r w:rsidR="003F5C4B" w:rsidRPr="00BF2F95">
              <w:rPr>
                <w:rFonts w:ascii="Arial" w:hAnsi="Arial" w:cs="Arial"/>
                <w:b/>
                <w:sz w:val="18"/>
                <w:szCs w:val="18"/>
              </w:rPr>
              <w:t>12</w:t>
            </w:r>
          </w:p>
          <w:p w14:paraId="1395356E" w14:textId="77777777" w:rsidR="00400299" w:rsidRPr="00BF2F95" w:rsidRDefault="00400299" w:rsidP="00351108">
            <w:pPr>
              <w:spacing w:before="120" w:after="120" w:line="23" w:lineRule="atLeast"/>
              <w:rPr>
                <w:rFonts w:ascii="Arial" w:hAnsi="Arial" w:cs="Arial"/>
                <w:b/>
                <w:sz w:val="18"/>
                <w:szCs w:val="18"/>
              </w:rPr>
            </w:pPr>
          </w:p>
        </w:tc>
        <w:tc>
          <w:tcPr>
            <w:tcW w:w="4087" w:type="dxa"/>
            <w:shd w:val="clear" w:color="auto" w:fill="auto"/>
          </w:tcPr>
          <w:p w14:paraId="5E2F72FC" w14:textId="39D84B44" w:rsidR="00400299" w:rsidRPr="00BF2F95" w:rsidRDefault="00400299" w:rsidP="00351108">
            <w:pPr>
              <w:spacing w:before="120" w:after="120" w:line="23" w:lineRule="atLeast"/>
              <w:jc w:val="both"/>
              <w:rPr>
                <w:rFonts w:ascii="Arial" w:hAnsi="Arial" w:cs="Arial"/>
                <w:bCs/>
                <w:sz w:val="18"/>
                <w:szCs w:val="18"/>
              </w:rPr>
            </w:pPr>
            <w:r w:rsidRPr="00BF2F95">
              <w:rPr>
                <w:rFonts w:ascii="Arial" w:hAnsi="Arial" w:cs="Arial"/>
                <w:sz w:val="18"/>
                <w:szCs w:val="18"/>
              </w:rPr>
              <w:t>Se sugiere modificar la redacción del presente artículo dado que de su lectura es posible interpretar que la LFCE y las DRLFCE únicamente les será aplicable a los Agentes Económicos, las Autoridades Públicas, la Autoridad Investigadora o terceras personas que opten por desahogar los procedimientos o trámites por Medios tradicionales.</w:t>
            </w:r>
          </w:p>
        </w:tc>
        <w:tc>
          <w:tcPr>
            <w:tcW w:w="3568" w:type="dxa"/>
            <w:shd w:val="clear" w:color="auto" w:fill="auto"/>
          </w:tcPr>
          <w:p w14:paraId="08009519" w14:textId="744BCBAD" w:rsidR="00400299" w:rsidRDefault="00400299" w:rsidP="003F5C4B">
            <w:pPr>
              <w:spacing w:before="120" w:after="120" w:line="23" w:lineRule="atLeast"/>
              <w:jc w:val="both"/>
              <w:rPr>
                <w:rFonts w:ascii="Arial" w:hAnsi="Arial" w:cs="Arial"/>
                <w:sz w:val="18"/>
                <w:szCs w:val="18"/>
              </w:rPr>
            </w:pPr>
            <w:r w:rsidRPr="00BF2F95">
              <w:rPr>
                <w:rFonts w:ascii="Arial" w:hAnsi="Arial" w:cs="Arial"/>
                <w:sz w:val="18"/>
                <w:szCs w:val="18"/>
              </w:rPr>
              <w:t xml:space="preserve">Se considera </w:t>
            </w:r>
            <w:r w:rsidR="003F5C4B" w:rsidRPr="00BF2F95">
              <w:rPr>
                <w:rFonts w:ascii="Arial" w:hAnsi="Arial" w:cs="Arial"/>
                <w:sz w:val="18"/>
                <w:szCs w:val="18"/>
              </w:rPr>
              <w:t>inválido el comentario debido a que el artículo 1</w:t>
            </w:r>
            <w:r w:rsidR="00F60417" w:rsidRPr="00BF2F95">
              <w:rPr>
                <w:rFonts w:ascii="Arial" w:hAnsi="Arial" w:cs="Arial"/>
                <w:sz w:val="18"/>
                <w:szCs w:val="18"/>
              </w:rPr>
              <w:t>6</w:t>
            </w:r>
            <w:r w:rsidR="003F5C4B" w:rsidRPr="00BF2F95">
              <w:rPr>
                <w:rFonts w:ascii="Arial" w:hAnsi="Arial" w:cs="Arial"/>
                <w:sz w:val="18"/>
                <w:szCs w:val="18"/>
              </w:rPr>
              <w:t xml:space="preserve"> de los Lineamientos es claro al establecer que “(l)os requisitos, plazos y términos previstos en la LFCE, en las DRLFCE y demás disposiciones aplicables, serán de observancia obligatoria en los procedimientos y trámites que se sustancien a través de Medios electrónicos”.</w:t>
            </w:r>
          </w:p>
          <w:p w14:paraId="196494AF" w14:textId="77777777" w:rsidR="00400299" w:rsidRPr="008003C4" w:rsidRDefault="00400299" w:rsidP="00351108">
            <w:pPr>
              <w:spacing w:before="120" w:after="120" w:line="23" w:lineRule="atLeast"/>
              <w:jc w:val="both"/>
              <w:rPr>
                <w:rFonts w:ascii="Arial" w:hAnsi="Arial" w:cs="Arial"/>
                <w:sz w:val="18"/>
                <w:szCs w:val="18"/>
              </w:rPr>
            </w:pPr>
          </w:p>
        </w:tc>
      </w:tr>
    </w:tbl>
    <w:p w14:paraId="7879EA49" w14:textId="69550B9E" w:rsidR="00927C1C" w:rsidRDefault="00927C1C" w:rsidP="00927C1C">
      <w:pPr>
        <w:spacing w:before="120" w:after="120" w:line="23" w:lineRule="atLeast"/>
        <w:jc w:val="both"/>
        <w:rPr>
          <w:rFonts w:ascii="Arial" w:hAnsi="Arial" w:cs="Arial"/>
          <w:b/>
          <w:bCs/>
        </w:rPr>
      </w:pPr>
      <w:r>
        <w:rPr>
          <w:rFonts w:ascii="Arial" w:hAnsi="Arial" w:cs="Arial"/>
          <w:b/>
        </w:rPr>
        <w:t>8</w:t>
      </w:r>
      <w:r w:rsidRPr="00BD5C05">
        <w:rPr>
          <w:rFonts w:ascii="Arial" w:hAnsi="Arial" w:cs="Arial"/>
          <w:b/>
        </w:rPr>
        <w:t>.</w:t>
      </w:r>
      <w:r w:rsidR="002131E4">
        <w:rPr>
          <w:rFonts w:ascii="Arial" w:hAnsi="Arial" w:cs="Arial"/>
          <w:b/>
        </w:rPr>
        <w:t>3</w:t>
      </w:r>
      <w:r w:rsidRPr="00BD5C05">
        <w:rPr>
          <w:rFonts w:ascii="Arial" w:hAnsi="Arial" w:cs="Arial"/>
          <w:b/>
        </w:rPr>
        <w:t xml:space="preserve"> </w:t>
      </w:r>
      <w:r>
        <w:rPr>
          <w:rFonts w:ascii="Arial" w:hAnsi="Arial" w:cs="Arial"/>
          <w:b/>
        </w:rPr>
        <w:t>Capítulo</w:t>
      </w:r>
      <w:r w:rsidRPr="00BD5C05">
        <w:rPr>
          <w:rFonts w:ascii="Arial" w:hAnsi="Arial" w:cs="Arial"/>
          <w:b/>
          <w:bCs/>
        </w:rPr>
        <w:t xml:space="preserve"> </w:t>
      </w:r>
      <w:r>
        <w:rPr>
          <w:rFonts w:ascii="Arial" w:hAnsi="Arial" w:cs="Arial"/>
          <w:b/>
          <w:bCs/>
        </w:rPr>
        <w:t>III</w:t>
      </w:r>
      <w:r w:rsidRPr="00BD5C05">
        <w:rPr>
          <w:rFonts w:ascii="Arial" w:hAnsi="Arial" w:cs="Arial"/>
          <w:b/>
          <w:bCs/>
        </w:rPr>
        <w:t xml:space="preserve">. </w:t>
      </w:r>
      <w:r>
        <w:rPr>
          <w:rFonts w:ascii="Arial" w:hAnsi="Arial" w:cs="Arial"/>
          <w:b/>
          <w:bCs/>
        </w:rPr>
        <w:t>De los Medios electrónicos</w:t>
      </w:r>
    </w:p>
    <w:p w14:paraId="781DE036" w14:textId="19E9EE8D" w:rsidR="00927C1C" w:rsidRDefault="00927C1C" w:rsidP="00927C1C">
      <w:pPr>
        <w:spacing w:before="120" w:after="120" w:line="23" w:lineRule="atLeast"/>
        <w:jc w:val="both"/>
        <w:rPr>
          <w:rFonts w:ascii="Arial" w:hAnsi="Arial" w:cs="Arial"/>
          <w:b/>
          <w:bCs/>
        </w:rPr>
      </w:pPr>
      <w:r>
        <w:rPr>
          <w:rFonts w:ascii="Arial" w:hAnsi="Arial" w:cs="Arial"/>
          <w:b/>
          <w:bCs/>
        </w:rPr>
        <w:t>8.</w:t>
      </w:r>
      <w:r w:rsidR="002131E4">
        <w:rPr>
          <w:rFonts w:ascii="Arial" w:hAnsi="Arial" w:cs="Arial"/>
          <w:b/>
          <w:bCs/>
        </w:rPr>
        <w:t>3</w:t>
      </w:r>
      <w:r>
        <w:rPr>
          <w:rFonts w:ascii="Arial" w:hAnsi="Arial" w:cs="Arial"/>
          <w:b/>
          <w:bCs/>
        </w:rPr>
        <w:t xml:space="preserve">.1. </w:t>
      </w:r>
      <w:r w:rsidRPr="00BD5C05">
        <w:rPr>
          <w:rFonts w:ascii="Arial" w:hAnsi="Arial" w:cs="Arial"/>
          <w:b/>
          <w:bCs/>
        </w:rPr>
        <w:t xml:space="preserve">Síntesis de los comentarios recibidos respecto de la propuesta del </w:t>
      </w:r>
      <w:r>
        <w:rPr>
          <w:rFonts w:ascii="Arial" w:hAnsi="Arial" w:cs="Arial"/>
          <w:b/>
          <w:bCs/>
        </w:rPr>
        <w:t>Capítulo III</w:t>
      </w:r>
      <w:r w:rsidRPr="00BD5C05">
        <w:rPr>
          <w:rFonts w:ascii="Arial" w:hAnsi="Arial" w:cs="Arial"/>
          <w:b/>
          <w:bCs/>
        </w:rPr>
        <w:t xml:space="preserve">. </w:t>
      </w:r>
      <w:r>
        <w:rPr>
          <w:rFonts w:ascii="Arial" w:hAnsi="Arial" w:cs="Arial"/>
          <w:b/>
          <w:bCs/>
        </w:rPr>
        <w:t>De los Medios electrónicos</w:t>
      </w:r>
    </w:p>
    <w:p w14:paraId="2D2F74D3" w14:textId="77777777" w:rsidR="00927C1C" w:rsidRDefault="00927C1C" w:rsidP="00927C1C">
      <w:pPr>
        <w:spacing w:before="120" w:after="120" w:line="23" w:lineRule="atLeast"/>
        <w:jc w:val="both"/>
        <w:rPr>
          <w:rFonts w:ascii="Arial" w:hAnsi="Arial" w:cs="Arial"/>
          <w:b/>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691"/>
        <w:gridCol w:w="4087"/>
        <w:gridCol w:w="3568"/>
      </w:tblGrid>
      <w:tr w:rsidR="00927C1C" w:rsidRPr="00F45E04" w14:paraId="2AB54896" w14:textId="77777777" w:rsidTr="00351108">
        <w:trPr>
          <w:tblHeader/>
          <w:jc w:val="center"/>
        </w:trPr>
        <w:tc>
          <w:tcPr>
            <w:tcW w:w="1691" w:type="dxa"/>
            <w:shd w:val="clear" w:color="auto" w:fill="70AD47" w:themeFill="accent6"/>
          </w:tcPr>
          <w:p w14:paraId="10A18A36" w14:textId="77777777" w:rsidR="00927C1C" w:rsidRPr="00F45E04" w:rsidRDefault="00927C1C" w:rsidP="00351108">
            <w:pPr>
              <w:spacing w:before="120" w:after="120" w:line="23" w:lineRule="atLeast"/>
              <w:jc w:val="center"/>
              <w:rPr>
                <w:rFonts w:ascii="Arial" w:hAnsi="Arial" w:cs="Arial"/>
                <w:b/>
                <w:sz w:val="18"/>
                <w:szCs w:val="18"/>
              </w:rPr>
            </w:pPr>
            <w:r>
              <w:rPr>
                <w:rFonts w:ascii="Arial" w:hAnsi="Arial" w:cs="Arial"/>
                <w:b/>
                <w:sz w:val="18"/>
                <w:szCs w:val="18"/>
              </w:rPr>
              <w:lastRenderedPageBreak/>
              <w:t>Artículo</w:t>
            </w:r>
          </w:p>
        </w:tc>
        <w:tc>
          <w:tcPr>
            <w:tcW w:w="4087" w:type="dxa"/>
            <w:shd w:val="clear" w:color="auto" w:fill="70AD47" w:themeFill="accent6"/>
          </w:tcPr>
          <w:p w14:paraId="203FFF01" w14:textId="77777777" w:rsidR="00927C1C" w:rsidRPr="00F45E04" w:rsidRDefault="00927C1C"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5226847B" w14:textId="77777777" w:rsidR="00927C1C" w:rsidRPr="00F45E04" w:rsidRDefault="00927C1C"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927C1C" w14:paraId="4C12987B" w14:textId="77777777" w:rsidTr="00351108">
        <w:trPr>
          <w:jc w:val="center"/>
        </w:trPr>
        <w:tc>
          <w:tcPr>
            <w:tcW w:w="9346" w:type="dxa"/>
            <w:gridSpan w:val="3"/>
            <w:shd w:val="clear" w:color="auto" w:fill="C5E0B3" w:themeFill="accent6" w:themeFillTint="66"/>
          </w:tcPr>
          <w:p w14:paraId="07AE7D89" w14:textId="3D900EB5" w:rsidR="00927C1C" w:rsidRDefault="002131E4" w:rsidP="00351108">
            <w:pPr>
              <w:spacing w:before="120" w:after="120" w:line="23" w:lineRule="atLeast"/>
              <w:jc w:val="center"/>
              <w:rPr>
                <w:rFonts w:ascii="Arial" w:hAnsi="Arial" w:cs="Arial"/>
                <w:b/>
                <w:sz w:val="18"/>
                <w:szCs w:val="18"/>
              </w:rPr>
            </w:pPr>
            <w:r>
              <w:rPr>
                <w:rFonts w:ascii="Arial" w:hAnsi="Arial" w:cs="Arial"/>
                <w:b/>
                <w:sz w:val="18"/>
                <w:szCs w:val="18"/>
              </w:rPr>
              <w:t>III</w:t>
            </w:r>
            <w:r w:rsidR="00927C1C">
              <w:rPr>
                <w:rFonts w:ascii="Arial" w:hAnsi="Arial" w:cs="Arial"/>
                <w:b/>
                <w:sz w:val="18"/>
                <w:szCs w:val="18"/>
              </w:rPr>
              <w:t xml:space="preserve">. De los Medios </w:t>
            </w:r>
            <w:r>
              <w:rPr>
                <w:rFonts w:ascii="Arial" w:hAnsi="Arial" w:cs="Arial"/>
                <w:b/>
                <w:sz w:val="18"/>
                <w:szCs w:val="18"/>
              </w:rPr>
              <w:t>electrónicos</w:t>
            </w:r>
          </w:p>
        </w:tc>
      </w:tr>
      <w:tr w:rsidR="00927C1C" w:rsidRPr="008003C4" w14:paraId="10BB8734" w14:textId="77777777" w:rsidTr="00351108">
        <w:trPr>
          <w:jc w:val="center"/>
        </w:trPr>
        <w:tc>
          <w:tcPr>
            <w:tcW w:w="1691" w:type="dxa"/>
            <w:shd w:val="clear" w:color="auto" w:fill="auto"/>
            <w:vAlign w:val="center"/>
          </w:tcPr>
          <w:p w14:paraId="00708ADE" w14:textId="395BEF5B" w:rsidR="00927C1C" w:rsidRDefault="00927C1C" w:rsidP="00351108">
            <w:pPr>
              <w:spacing w:before="120" w:after="120" w:line="23" w:lineRule="atLeast"/>
              <w:rPr>
                <w:rFonts w:ascii="Arial" w:hAnsi="Arial" w:cs="Arial"/>
                <w:b/>
                <w:sz w:val="18"/>
                <w:szCs w:val="18"/>
              </w:rPr>
            </w:pPr>
            <w:r>
              <w:rPr>
                <w:rFonts w:ascii="Arial" w:hAnsi="Arial" w:cs="Arial"/>
                <w:b/>
                <w:sz w:val="18"/>
                <w:szCs w:val="18"/>
              </w:rPr>
              <w:t>Artículo 15</w:t>
            </w:r>
          </w:p>
          <w:p w14:paraId="788C1480" w14:textId="77777777" w:rsidR="00927C1C" w:rsidRDefault="00927C1C" w:rsidP="00351108">
            <w:pPr>
              <w:spacing w:before="120" w:after="120" w:line="23" w:lineRule="atLeast"/>
              <w:rPr>
                <w:rFonts w:ascii="Arial" w:hAnsi="Arial" w:cs="Arial"/>
                <w:b/>
                <w:sz w:val="18"/>
                <w:szCs w:val="18"/>
              </w:rPr>
            </w:pPr>
          </w:p>
        </w:tc>
        <w:tc>
          <w:tcPr>
            <w:tcW w:w="4087" w:type="dxa"/>
            <w:shd w:val="clear" w:color="auto" w:fill="auto"/>
          </w:tcPr>
          <w:p w14:paraId="30FB7900" w14:textId="62334338" w:rsidR="00927C1C" w:rsidRPr="008003C4" w:rsidRDefault="008042AE" w:rsidP="00351108">
            <w:pPr>
              <w:spacing w:before="120" w:after="120" w:line="23" w:lineRule="atLeast"/>
              <w:jc w:val="both"/>
              <w:rPr>
                <w:rFonts w:ascii="Arial" w:hAnsi="Arial" w:cs="Arial"/>
                <w:bCs/>
                <w:sz w:val="18"/>
                <w:szCs w:val="18"/>
              </w:rPr>
            </w:pPr>
            <w:r>
              <w:rPr>
                <w:rFonts w:ascii="Arial" w:hAnsi="Arial" w:cs="Arial"/>
                <w:sz w:val="18"/>
                <w:szCs w:val="18"/>
              </w:rPr>
              <w:t>L</w:t>
            </w:r>
            <w:r w:rsidRPr="008042AE">
              <w:rPr>
                <w:rFonts w:ascii="Arial" w:hAnsi="Arial" w:cs="Arial"/>
                <w:sz w:val="18"/>
                <w:szCs w:val="18"/>
              </w:rPr>
              <w:t xml:space="preserve">o dispuesto por el artículo </w:t>
            </w:r>
            <w:r>
              <w:rPr>
                <w:rFonts w:ascii="Arial" w:hAnsi="Arial" w:cs="Arial"/>
                <w:sz w:val="18"/>
                <w:szCs w:val="18"/>
              </w:rPr>
              <w:t>atenta</w:t>
            </w:r>
            <w:r w:rsidRPr="008042AE">
              <w:rPr>
                <w:rFonts w:ascii="Arial" w:hAnsi="Arial" w:cs="Arial"/>
                <w:sz w:val="18"/>
                <w:szCs w:val="18"/>
              </w:rPr>
              <w:t xml:space="preserve"> en contra de</w:t>
            </w:r>
            <w:r>
              <w:rPr>
                <w:rFonts w:ascii="Arial" w:hAnsi="Arial" w:cs="Arial"/>
                <w:sz w:val="18"/>
                <w:szCs w:val="18"/>
              </w:rPr>
              <w:t>l derecho humano de acceso a la justicia y de</w:t>
            </w:r>
            <w:r w:rsidR="009A5F06">
              <w:rPr>
                <w:rFonts w:ascii="Arial" w:hAnsi="Arial" w:cs="Arial"/>
                <w:sz w:val="18"/>
                <w:szCs w:val="18"/>
              </w:rPr>
              <w:t>l principio de</w:t>
            </w:r>
            <w:r>
              <w:rPr>
                <w:rFonts w:ascii="Arial" w:hAnsi="Arial" w:cs="Arial"/>
                <w:sz w:val="18"/>
                <w:szCs w:val="18"/>
              </w:rPr>
              <w:t xml:space="preserve"> certeza jurídica consagrados en la Constitución </w:t>
            </w:r>
            <w:r w:rsidRPr="008042AE">
              <w:rPr>
                <w:rFonts w:ascii="Arial" w:hAnsi="Arial" w:cs="Arial"/>
                <w:sz w:val="18"/>
                <w:szCs w:val="18"/>
              </w:rPr>
              <w:t>toda vez que implica que en caso de que el interesado presentara escritos o documentos por una vía distinta a la elegida estos se tendr</w:t>
            </w:r>
            <w:r>
              <w:rPr>
                <w:rFonts w:ascii="Arial" w:hAnsi="Arial" w:cs="Arial"/>
                <w:sz w:val="18"/>
                <w:szCs w:val="18"/>
              </w:rPr>
              <w:t>ía</w:t>
            </w:r>
            <w:r w:rsidRPr="008042AE">
              <w:rPr>
                <w:rFonts w:ascii="Arial" w:hAnsi="Arial" w:cs="Arial"/>
                <w:sz w:val="18"/>
                <w:szCs w:val="18"/>
              </w:rPr>
              <w:t>n por no presentados.</w:t>
            </w:r>
          </w:p>
        </w:tc>
        <w:tc>
          <w:tcPr>
            <w:tcW w:w="3568" w:type="dxa"/>
            <w:shd w:val="clear" w:color="auto" w:fill="auto"/>
          </w:tcPr>
          <w:p w14:paraId="3A5DB5D0" w14:textId="44C82739" w:rsidR="00927C1C" w:rsidRDefault="00927C1C" w:rsidP="00351108">
            <w:pPr>
              <w:spacing w:before="120" w:after="120" w:line="23" w:lineRule="atLeast"/>
              <w:jc w:val="both"/>
              <w:rPr>
                <w:rFonts w:ascii="Arial" w:hAnsi="Arial" w:cs="Arial"/>
                <w:sz w:val="18"/>
                <w:szCs w:val="18"/>
              </w:rPr>
            </w:pPr>
            <w:r w:rsidRPr="00D323B2">
              <w:rPr>
                <w:rFonts w:ascii="Arial" w:hAnsi="Arial" w:cs="Arial"/>
                <w:sz w:val="18"/>
                <w:szCs w:val="18"/>
              </w:rPr>
              <w:t xml:space="preserve">Se </w:t>
            </w:r>
            <w:r w:rsidR="002F5FE5">
              <w:rPr>
                <w:rFonts w:ascii="Arial" w:hAnsi="Arial" w:cs="Arial"/>
                <w:sz w:val="18"/>
                <w:szCs w:val="18"/>
              </w:rPr>
              <w:t xml:space="preserve">solicita </w:t>
            </w:r>
            <w:r w:rsidR="002131E4">
              <w:rPr>
                <w:rFonts w:ascii="Arial" w:hAnsi="Arial" w:cs="Arial"/>
                <w:sz w:val="18"/>
                <w:szCs w:val="18"/>
              </w:rPr>
              <w:t xml:space="preserve">remitirse a las consideraciones realizadas a los comentarios recibidos respecto del artículo 5. </w:t>
            </w:r>
          </w:p>
          <w:p w14:paraId="4D9594CB" w14:textId="39CEE3D1" w:rsidR="002131E4" w:rsidRDefault="002131E4" w:rsidP="00351108">
            <w:pPr>
              <w:spacing w:before="120" w:after="120" w:line="23" w:lineRule="atLeast"/>
              <w:jc w:val="both"/>
              <w:rPr>
                <w:rFonts w:ascii="Arial" w:hAnsi="Arial" w:cs="Arial"/>
                <w:sz w:val="18"/>
                <w:szCs w:val="18"/>
              </w:rPr>
            </w:pPr>
            <w:r>
              <w:rPr>
                <w:rFonts w:ascii="Arial" w:hAnsi="Arial" w:cs="Arial"/>
                <w:sz w:val="18"/>
                <w:szCs w:val="18"/>
              </w:rPr>
              <w:t>Adicionalmente, se aclara que este artículo se modifica para adaptarlo a las modificaciones realizadas al citado artículo 5 de los Lineamientos para quedar de la siguiente forma:</w:t>
            </w:r>
          </w:p>
          <w:p w14:paraId="51069294" w14:textId="3B50303D" w:rsidR="002131E4" w:rsidRDefault="002131E4" w:rsidP="00351108">
            <w:pPr>
              <w:spacing w:before="120" w:after="120" w:line="23" w:lineRule="atLeast"/>
              <w:jc w:val="both"/>
              <w:rPr>
                <w:rFonts w:ascii="Arial" w:hAnsi="Arial" w:cs="Arial"/>
                <w:sz w:val="18"/>
                <w:szCs w:val="18"/>
              </w:rPr>
            </w:pPr>
            <w:r>
              <w:rPr>
                <w:rFonts w:ascii="Arial" w:hAnsi="Arial" w:cs="Arial"/>
                <w:sz w:val="18"/>
                <w:szCs w:val="18"/>
              </w:rPr>
              <w:t>“</w:t>
            </w:r>
            <w:r w:rsidRPr="002131E4">
              <w:rPr>
                <w:rFonts w:ascii="Arial" w:hAnsi="Arial" w:cs="Arial"/>
                <w:sz w:val="18"/>
                <w:szCs w:val="18"/>
              </w:rPr>
              <w:t xml:space="preserve">Una vez se opte por el </w:t>
            </w:r>
            <w:r>
              <w:rPr>
                <w:rFonts w:ascii="Arial" w:hAnsi="Arial" w:cs="Arial"/>
                <w:sz w:val="18"/>
                <w:szCs w:val="18"/>
              </w:rPr>
              <w:t xml:space="preserve">uso </w:t>
            </w:r>
            <w:r w:rsidRPr="002131E4">
              <w:rPr>
                <w:rFonts w:ascii="Arial" w:hAnsi="Arial" w:cs="Arial"/>
                <w:sz w:val="18"/>
                <w:szCs w:val="18"/>
              </w:rPr>
              <w:t>de Medios electrónicos, se entenderá que el Usuario está de acuerdo en que todos los Actos Administrativos y notificaciones relacionadas con el procedimiento o trámite de que se trate, se realizarán por dicha vía hasta su conclusión, salvo disposición en contrario o acuerdo del Pleno</w:t>
            </w:r>
            <w:r>
              <w:rPr>
                <w:rFonts w:ascii="Arial" w:hAnsi="Arial" w:cs="Arial"/>
                <w:sz w:val="18"/>
                <w:szCs w:val="18"/>
              </w:rPr>
              <w:t>”</w:t>
            </w:r>
          </w:p>
          <w:p w14:paraId="3814CAF9" w14:textId="77777777" w:rsidR="00927C1C" w:rsidRPr="008003C4" w:rsidRDefault="00927C1C" w:rsidP="00351108">
            <w:pPr>
              <w:spacing w:before="120" w:after="120" w:line="23" w:lineRule="atLeast"/>
              <w:jc w:val="both"/>
              <w:rPr>
                <w:rFonts w:ascii="Arial" w:hAnsi="Arial" w:cs="Arial"/>
                <w:sz w:val="18"/>
                <w:szCs w:val="18"/>
              </w:rPr>
            </w:pPr>
          </w:p>
        </w:tc>
      </w:tr>
      <w:tr w:rsidR="002131E4" w:rsidRPr="008003C4" w14:paraId="0B0DFDCE" w14:textId="77777777" w:rsidTr="00351108">
        <w:trPr>
          <w:jc w:val="center"/>
        </w:trPr>
        <w:tc>
          <w:tcPr>
            <w:tcW w:w="1691" w:type="dxa"/>
            <w:shd w:val="clear" w:color="auto" w:fill="auto"/>
            <w:vAlign w:val="center"/>
          </w:tcPr>
          <w:p w14:paraId="5E5E5556" w14:textId="3C396E7F" w:rsidR="002131E4" w:rsidRDefault="002131E4" w:rsidP="00351108">
            <w:pPr>
              <w:spacing w:before="120" w:after="120" w:line="23" w:lineRule="atLeast"/>
              <w:rPr>
                <w:rFonts w:ascii="Arial" w:hAnsi="Arial" w:cs="Arial"/>
                <w:b/>
                <w:sz w:val="18"/>
                <w:szCs w:val="18"/>
              </w:rPr>
            </w:pPr>
            <w:r>
              <w:rPr>
                <w:rFonts w:ascii="Arial" w:hAnsi="Arial" w:cs="Arial"/>
                <w:b/>
                <w:sz w:val="18"/>
                <w:szCs w:val="18"/>
              </w:rPr>
              <w:t xml:space="preserve">Artículo </w:t>
            </w:r>
            <w:r w:rsidR="00AB1CFF">
              <w:rPr>
                <w:rFonts w:ascii="Arial" w:hAnsi="Arial" w:cs="Arial"/>
                <w:b/>
                <w:sz w:val="18"/>
                <w:szCs w:val="18"/>
              </w:rPr>
              <w:t>1</w:t>
            </w:r>
            <w:r w:rsidR="00843186">
              <w:rPr>
                <w:rFonts w:ascii="Arial" w:hAnsi="Arial" w:cs="Arial"/>
                <w:b/>
                <w:sz w:val="18"/>
                <w:szCs w:val="18"/>
              </w:rPr>
              <w:t>9</w:t>
            </w:r>
          </w:p>
        </w:tc>
        <w:tc>
          <w:tcPr>
            <w:tcW w:w="4087" w:type="dxa"/>
            <w:shd w:val="clear" w:color="auto" w:fill="auto"/>
          </w:tcPr>
          <w:p w14:paraId="381E9123" w14:textId="3E8B3BC1" w:rsidR="00DA6315" w:rsidRPr="00DA6315" w:rsidRDefault="00DA6315" w:rsidP="00DA6315">
            <w:pPr>
              <w:spacing w:before="120" w:after="120" w:line="23" w:lineRule="atLeast"/>
              <w:jc w:val="both"/>
              <w:rPr>
                <w:rFonts w:ascii="Arial" w:hAnsi="Arial" w:cs="Arial"/>
                <w:sz w:val="18"/>
                <w:szCs w:val="18"/>
              </w:rPr>
            </w:pPr>
            <w:r>
              <w:rPr>
                <w:rFonts w:ascii="Arial" w:hAnsi="Arial" w:cs="Arial"/>
                <w:sz w:val="18"/>
                <w:szCs w:val="18"/>
              </w:rPr>
              <w:t>E</w:t>
            </w:r>
            <w:r w:rsidRPr="00DA6315">
              <w:rPr>
                <w:rFonts w:ascii="Arial" w:hAnsi="Arial" w:cs="Arial"/>
                <w:sz w:val="18"/>
                <w:szCs w:val="18"/>
              </w:rPr>
              <w:t xml:space="preserve">l requerimiento </w:t>
            </w:r>
            <w:r w:rsidR="009A5F06">
              <w:rPr>
                <w:rFonts w:ascii="Arial" w:hAnsi="Arial" w:cs="Arial"/>
                <w:sz w:val="18"/>
                <w:szCs w:val="18"/>
              </w:rPr>
              <w:t>de presentar un Documento electrónico para su cotejo</w:t>
            </w:r>
            <w:r w:rsidRPr="00DA6315">
              <w:rPr>
                <w:rFonts w:ascii="Arial" w:hAnsi="Arial" w:cs="Arial"/>
                <w:sz w:val="18"/>
                <w:szCs w:val="18"/>
              </w:rPr>
              <w:t xml:space="preserve"> deberá de establecer un plazo razonable para</w:t>
            </w:r>
            <w:r w:rsidR="009A5F06">
              <w:rPr>
                <w:rFonts w:ascii="Arial" w:hAnsi="Arial" w:cs="Arial"/>
                <w:sz w:val="18"/>
                <w:szCs w:val="18"/>
              </w:rPr>
              <w:t xml:space="preserve"> su presentación física</w:t>
            </w:r>
            <w:r w:rsidRPr="00DA6315">
              <w:rPr>
                <w:rFonts w:ascii="Arial" w:hAnsi="Arial" w:cs="Arial"/>
                <w:sz w:val="18"/>
                <w:szCs w:val="18"/>
              </w:rPr>
              <w:t xml:space="preserve"> en estricto apego a la LFCE y las DRLFCE. En ese sentido, se recalca que, de conformidad con la LFCE, en caso de no haber un plazo definido en las DRLFCE para el cotejo de los documentos, el mínimo otorgado deberá de ser de 5 días hábiles con la posibilidad de solicitar una prórroga.</w:t>
            </w:r>
          </w:p>
          <w:p w14:paraId="63FCA293" w14:textId="3EA760E7" w:rsidR="002131E4" w:rsidRDefault="00DA6315" w:rsidP="00DA6315">
            <w:pPr>
              <w:spacing w:before="120" w:after="120" w:line="23" w:lineRule="atLeast"/>
              <w:jc w:val="both"/>
              <w:rPr>
                <w:rFonts w:ascii="Arial" w:hAnsi="Arial" w:cs="Arial"/>
                <w:sz w:val="18"/>
                <w:szCs w:val="18"/>
              </w:rPr>
            </w:pPr>
            <w:r w:rsidRPr="00DA6315">
              <w:rPr>
                <w:rFonts w:ascii="Arial" w:hAnsi="Arial" w:cs="Arial"/>
                <w:sz w:val="18"/>
                <w:szCs w:val="18"/>
              </w:rPr>
              <w:t xml:space="preserve">Por otro lado, al ser omiso respecto de la posibilidad del particular de solicitar prórroga en caso de que la situación lo amerite se está atentando </w:t>
            </w:r>
            <w:r w:rsidR="009A5F06" w:rsidRPr="009A5F06">
              <w:rPr>
                <w:rFonts w:ascii="Arial" w:hAnsi="Arial" w:cs="Arial"/>
                <w:sz w:val="18"/>
                <w:szCs w:val="18"/>
              </w:rPr>
              <w:t>en contra del derecho humano de acceso a la justicia y de</w:t>
            </w:r>
            <w:r w:rsidR="009A5F06">
              <w:rPr>
                <w:rFonts w:ascii="Arial" w:hAnsi="Arial" w:cs="Arial"/>
                <w:sz w:val="18"/>
                <w:szCs w:val="18"/>
              </w:rPr>
              <w:t>l principio de</w:t>
            </w:r>
            <w:r w:rsidR="009A5F06" w:rsidRPr="009A5F06">
              <w:rPr>
                <w:rFonts w:ascii="Arial" w:hAnsi="Arial" w:cs="Arial"/>
                <w:sz w:val="18"/>
                <w:szCs w:val="18"/>
              </w:rPr>
              <w:t xml:space="preserve"> certeza jurídica consagrados en la Constitución</w:t>
            </w:r>
            <w:r w:rsidRPr="00DA6315">
              <w:rPr>
                <w:rFonts w:ascii="Arial" w:hAnsi="Arial" w:cs="Arial"/>
                <w:sz w:val="18"/>
                <w:szCs w:val="18"/>
              </w:rPr>
              <w:t>, toda vez que los Lineamientos no prevén una lista ejemplificativa de causas de fuerza mayor o la imposibilidad material de cumplir con dicha obligación por parte del particular.</w:t>
            </w:r>
          </w:p>
        </w:tc>
        <w:tc>
          <w:tcPr>
            <w:tcW w:w="3568" w:type="dxa"/>
            <w:shd w:val="clear" w:color="auto" w:fill="auto"/>
          </w:tcPr>
          <w:p w14:paraId="78E2CE2F" w14:textId="556570CD" w:rsidR="002131E4" w:rsidRDefault="009A5F06" w:rsidP="00351108">
            <w:pPr>
              <w:spacing w:before="120" w:after="120" w:line="23" w:lineRule="atLeast"/>
              <w:jc w:val="both"/>
              <w:rPr>
                <w:rFonts w:ascii="Arial" w:hAnsi="Arial" w:cs="Arial"/>
                <w:sz w:val="18"/>
                <w:szCs w:val="18"/>
              </w:rPr>
            </w:pPr>
            <w:r>
              <w:rPr>
                <w:rFonts w:ascii="Arial" w:hAnsi="Arial" w:cs="Arial"/>
                <w:sz w:val="18"/>
                <w:szCs w:val="18"/>
              </w:rPr>
              <w:t xml:space="preserve">Se considera que </w:t>
            </w:r>
            <w:r w:rsidR="00F60417">
              <w:rPr>
                <w:rFonts w:ascii="Arial" w:hAnsi="Arial" w:cs="Arial"/>
                <w:sz w:val="18"/>
                <w:szCs w:val="18"/>
              </w:rPr>
              <w:t>el comentario no es válido. En lo que toca a la primera parte, de acuerdo con el artículo 16 de los Lineamientos “(l)</w:t>
            </w:r>
            <w:r w:rsidR="00F60417" w:rsidRPr="003F5C4B">
              <w:rPr>
                <w:rFonts w:ascii="Arial" w:hAnsi="Arial" w:cs="Arial"/>
                <w:sz w:val="18"/>
                <w:szCs w:val="18"/>
              </w:rPr>
              <w:t>os requisitos, plazos y términos previstos en la LFCE, en las DRLFCE y demás disposiciones aplicables, serán de observancia obligatoria en los procedimientos y trámites que se sustancien a través de Medios electrónicos</w:t>
            </w:r>
            <w:r w:rsidR="00F60417">
              <w:rPr>
                <w:rFonts w:ascii="Arial" w:hAnsi="Arial" w:cs="Arial"/>
                <w:sz w:val="18"/>
                <w:szCs w:val="18"/>
              </w:rPr>
              <w:t>”</w:t>
            </w:r>
            <w:r w:rsidR="00303D98">
              <w:rPr>
                <w:rFonts w:ascii="Arial" w:hAnsi="Arial" w:cs="Arial"/>
                <w:sz w:val="18"/>
                <w:szCs w:val="18"/>
              </w:rPr>
              <w:t>; por lo que, en efecto, sería aplicable la regla que menciona el participante</w:t>
            </w:r>
            <w:r w:rsidR="00332B2E">
              <w:rPr>
                <w:rFonts w:ascii="Arial" w:hAnsi="Arial" w:cs="Arial"/>
                <w:sz w:val="18"/>
                <w:szCs w:val="18"/>
              </w:rPr>
              <w:t>.</w:t>
            </w:r>
          </w:p>
          <w:p w14:paraId="6DF5D58A" w14:textId="6E5531D3" w:rsidR="00332B2E" w:rsidRPr="00D323B2" w:rsidRDefault="00332B2E" w:rsidP="00351108">
            <w:pPr>
              <w:spacing w:before="120" w:after="120" w:line="23" w:lineRule="atLeast"/>
              <w:jc w:val="both"/>
              <w:rPr>
                <w:rFonts w:ascii="Arial" w:hAnsi="Arial" w:cs="Arial"/>
                <w:sz w:val="18"/>
                <w:szCs w:val="18"/>
              </w:rPr>
            </w:pPr>
            <w:r>
              <w:rPr>
                <w:rFonts w:ascii="Arial" w:hAnsi="Arial" w:cs="Arial"/>
                <w:sz w:val="18"/>
                <w:szCs w:val="18"/>
              </w:rPr>
              <w:t xml:space="preserve">En lo que toca a la segunda parte, el artículo </w:t>
            </w:r>
            <w:r w:rsidR="00BD084A">
              <w:rPr>
                <w:rFonts w:ascii="Arial" w:hAnsi="Arial" w:cs="Arial"/>
                <w:sz w:val="18"/>
                <w:szCs w:val="18"/>
              </w:rPr>
              <w:t>41 de las DRLFCE establece que solo las prórrogas previstas en ley podrán otorgarse a juicio del Instituto</w:t>
            </w:r>
            <w:r w:rsidR="00303D98">
              <w:rPr>
                <w:rFonts w:ascii="Arial" w:hAnsi="Arial" w:cs="Arial"/>
                <w:sz w:val="18"/>
                <w:szCs w:val="18"/>
              </w:rPr>
              <w:t>,</w:t>
            </w:r>
            <w:r w:rsidR="00BD084A">
              <w:rPr>
                <w:rFonts w:ascii="Arial" w:hAnsi="Arial" w:cs="Arial"/>
                <w:sz w:val="18"/>
                <w:szCs w:val="18"/>
              </w:rPr>
              <w:t xml:space="preserve"> previa justificación de su necesidad por parte del solicitante</w:t>
            </w:r>
            <w:r w:rsidR="00303D98">
              <w:rPr>
                <w:rFonts w:ascii="Arial" w:hAnsi="Arial" w:cs="Arial"/>
                <w:sz w:val="18"/>
                <w:szCs w:val="18"/>
              </w:rPr>
              <w:t>, por lo que, al no estar la prórroga a que se refiere el comentario estipulada en Ley, la UCE no podría otorgarla</w:t>
            </w:r>
            <w:r w:rsidR="00BD084A">
              <w:rPr>
                <w:rFonts w:ascii="Arial" w:hAnsi="Arial" w:cs="Arial"/>
                <w:sz w:val="18"/>
                <w:szCs w:val="18"/>
              </w:rPr>
              <w:t>.</w:t>
            </w:r>
          </w:p>
        </w:tc>
      </w:tr>
    </w:tbl>
    <w:p w14:paraId="6D014D85" w14:textId="3B0AFD9A" w:rsidR="00BD084A" w:rsidRDefault="00BD084A" w:rsidP="00BD084A">
      <w:pPr>
        <w:spacing w:before="120" w:after="120" w:line="23" w:lineRule="atLeast"/>
        <w:jc w:val="both"/>
        <w:rPr>
          <w:rFonts w:ascii="Arial" w:hAnsi="Arial" w:cs="Arial"/>
          <w:b/>
          <w:bCs/>
        </w:rPr>
      </w:pPr>
      <w:r>
        <w:rPr>
          <w:rFonts w:ascii="Arial" w:hAnsi="Arial" w:cs="Arial"/>
          <w:b/>
        </w:rPr>
        <w:t>8</w:t>
      </w:r>
      <w:r w:rsidRPr="00BD5C05">
        <w:rPr>
          <w:rFonts w:ascii="Arial" w:hAnsi="Arial" w:cs="Arial"/>
          <w:b/>
        </w:rPr>
        <w:t>.</w:t>
      </w:r>
      <w:r>
        <w:rPr>
          <w:rFonts w:ascii="Arial" w:hAnsi="Arial" w:cs="Arial"/>
          <w:b/>
        </w:rPr>
        <w:t>4</w:t>
      </w:r>
      <w:r w:rsidRPr="00BD5C05">
        <w:rPr>
          <w:rFonts w:ascii="Arial" w:hAnsi="Arial" w:cs="Arial"/>
          <w:b/>
        </w:rPr>
        <w:t xml:space="preserve"> </w:t>
      </w:r>
      <w:r>
        <w:rPr>
          <w:rFonts w:ascii="Arial" w:hAnsi="Arial" w:cs="Arial"/>
          <w:b/>
        </w:rPr>
        <w:t>Capítulo</w:t>
      </w:r>
      <w:r w:rsidRPr="00BD5C05">
        <w:rPr>
          <w:rFonts w:ascii="Arial" w:hAnsi="Arial" w:cs="Arial"/>
          <w:b/>
          <w:bCs/>
        </w:rPr>
        <w:t xml:space="preserve"> </w:t>
      </w:r>
      <w:r>
        <w:rPr>
          <w:rFonts w:ascii="Arial" w:hAnsi="Arial" w:cs="Arial"/>
          <w:b/>
          <w:bCs/>
        </w:rPr>
        <w:t>IV</w:t>
      </w:r>
      <w:r w:rsidRPr="00BD5C05">
        <w:rPr>
          <w:rFonts w:ascii="Arial" w:hAnsi="Arial" w:cs="Arial"/>
          <w:b/>
          <w:bCs/>
        </w:rPr>
        <w:t xml:space="preserve">. </w:t>
      </w:r>
      <w:r>
        <w:rPr>
          <w:rFonts w:ascii="Arial" w:hAnsi="Arial" w:cs="Arial"/>
          <w:b/>
          <w:bCs/>
        </w:rPr>
        <w:t>Del sistema electrónico</w:t>
      </w:r>
    </w:p>
    <w:p w14:paraId="6607D862" w14:textId="5A77C112" w:rsidR="00BD084A" w:rsidRDefault="00BD084A" w:rsidP="00BD084A">
      <w:pPr>
        <w:spacing w:before="120" w:after="120" w:line="23" w:lineRule="atLeast"/>
        <w:jc w:val="both"/>
        <w:rPr>
          <w:rFonts w:ascii="Arial" w:hAnsi="Arial" w:cs="Arial"/>
          <w:b/>
          <w:bCs/>
        </w:rPr>
      </w:pPr>
      <w:r>
        <w:rPr>
          <w:rFonts w:ascii="Arial" w:hAnsi="Arial" w:cs="Arial"/>
          <w:b/>
          <w:bCs/>
        </w:rPr>
        <w:t>8.</w:t>
      </w:r>
      <w:r w:rsidR="00683C71">
        <w:rPr>
          <w:rFonts w:ascii="Arial" w:hAnsi="Arial" w:cs="Arial"/>
          <w:b/>
          <w:bCs/>
        </w:rPr>
        <w:t>4</w:t>
      </w:r>
      <w:r>
        <w:rPr>
          <w:rFonts w:ascii="Arial" w:hAnsi="Arial" w:cs="Arial"/>
          <w:b/>
          <w:bCs/>
        </w:rPr>
        <w:t xml:space="preserve">.1. </w:t>
      </w:r>
      <w:r w:rsidRPr="00BD5C05">
        <w:rPr>
          <w:rFonts w:ascii="Arial" w:hAnsi="Arial" w:cs="Arial"/>
          <w:b/>
          <w:bCs/>
        </w:rPr>
        <w:t xml:space="preserve">Síntesis de los comentarios recibidos respecto de la propuesta del </w:t>
      </w:r>
      <w:r>
        <w:rPr>
          <w:rFonts w:ascii="Arial" w:hAnsi="Arial" w:cs="Arial"/>
          <w:b/>
          <w:bCs/>
        </w:rPr>
        <w:t>Capítulo I</w:t>
      </w:r>
      <w:r w:rsidR="00683C71">
        <w:rPr>
          <w:rFonts w:ascii="Arial" w:hAnsi="Arial" w:cs="Arial"/>
          <w:b/>
          <w:bCs/>
        </w:rPr>
        <w:t>V</w:t>
      </w:r>
      <w:r w:rsidRPr="00BD5C05">
        <w:rPr>
          <w:rFonts w:ascii="Arial" w:hAnsi="Arial" w:cs="Arial"/>
          <w:b/>
          <w:bCs/>
        </w:rPr>
        <w:t xml:space="preserve">. </w:t>
      </w:r>
      <w:r>
        <w:rPr>
          <w:rFonts w:ascii="Arial" w:hAnsi="Arial" w:cs="Arial"/>
          <w:b/>
          <w:bCs/>
        </w:rPr>
        <w:t>De</w:t>
      </w:r>
      <w:r w:rsidR="00683C71">
        <w:rPr>
          <w:rFonts w:ascii="Arial" w:hAnsi="Arial" w:cs="Arial"/>
          <w:b/>
          <w:bCs/>
        </w:rPr>
        <w:t>l Sistema electrónico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691"/>
        <w:gridCol w:w="4087"/>
        <w:gridCol w:w="3568"/>
      </w:tblGrid>
      <w:tr w:rsidR="00683C71" w:rsidRPr="00F45E04" w14:paraId="70EE96F2" w14:textId="77777777" w:rsidTr="00351108">
        <w:trPr>
          <w:tblHeader/>
          <w:jc w:val="center"/>
        </w:trPr>
        <w:tc>
          <w:tcPr>
            <w:tcW w:w="1691" w:type="dxa"/>
            <w:shd w:val="clear" w:color="auto" w:fill="70AD47" w:themeFill="accent6"/>
          </w:tcPr>
          <w:p w14:paraId="0E96CF82" w14:textId="77777777" w:rsidR="00683C71" w:rsidRPr="00F45E04" w:rsidRDefault="00683C71"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087" w:type="dxa"/>
            <w:shd w:val="clear" w:color="auto" w:fill="70AD47" w:themeFill="accent6"/>
          </w:tcPr>
          <w:p w14:paraId="4AA356EA" w14:textId="77777777" w:rsidR="00683C71" w:rsidRPr="00F45E04" w:rsidRDefault="00683C71"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774A1AAF" w14:textId="77777777" w:rsidR="00683C71" w:rsidRPr="00F45E04" w:rsidRDefault="00683C71"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683C71" w14:paraId="02103977" w14:textId="77777777" w:rsidTr="00351108">
        <w:trPr>
          <w:jc w:val="center"/>
        </w:trPr>
        <w:tc>
          <w:tcPr>
            <w:tcW w:w="9346" w:type="dxa"/>
            <w:gridSpan w:val="3"/>
            <w:shd w:val="clear" w:color="auto" w:fill="C5E0B3" w:themeFill="accent6" w:themeFillTint="66"/>
          </w:tcPr>
          <w:p w14:paraId="0C21A6FF" w14:textId="743769EA" w:rsidR="00683C71" w:rsidRDefault="00683C71" w:rsidP="00351108">
            <w:pPr>
              <w:spacing w:before="120" w:after="120" w:line="23" w:lineRule="atLeast"/>
              <w:jc w:val="center"/>
              <w:rPr>
                <w:rFonts w:ascii="Arial" w:hAnsi="Arial" w:cs="Arial"/>
                <w:b/>
                <w:sz w:val="18"/>
                <w:szCs w:val="18"/>
              </w:rPr>
            </w:pPr>
            <w:r>
              <w:rPr>
                <w:rFonts w:ascii="Arial" w:hAnsi="Arial" w:cs="Arial"/>
                <w:b/>
                <w:sz w:val="18"/>
                <w:szCs w:val="18"/>
              </w:rPr>
              <w:t xml:space="preserve">IV. </w:t>
            </w:r>
            <w:r w:rsidR="003D35A6">
              <w:rPr>
                <w:rFonts w:ascii="Arial" w:hAnsi="Arial" w:cs="Arial"/>
                <w:b/>
                <w:sz w:val="18"/>
                <w:szCs w:val="18"/>
              </w:rPr>
              <w:t xml:space="preserve">Del Sistema </w:t>
            </w:r>
          </w:p>
        </w:tc>
      </w:tr>
      <w:tr w:rsidR="00683C71" w:rsidRPr="008003C4" w14:paraId="77D5EB5F" w14:textId="77777777" w:rsidTr="00351108">
        <w:trPr>
          <w:jc w:val="center"/>
        </w:trPr>
        <w:tc>
          <w:tcPr>
            <w:tcW w:w="1691" w:type="dxa"/>
            <w:shd w:val="clear" w:color="auto" w:fill="auto"/>
            <w:vAlign w:val="center"/>
          </w:tcPr>
          <w:p w14:paraId="43793FE1" w14:textId="572D286F" w:rsidR="00683C71" w:rsidRDefault="00683C71" w:rsidP="00351108">
            <w:pPr>
              <w:spacing w:before="120" w:after="120" w:line="23" w:lineRule="atLeast"/>
              <w:rPr>
                <w:rFonts w:ascii="Arial" w:hAnsi="Arial" w:cs="Arial"/>
                <w:b/>
                <w:sz w:val="18"/>
                <w:szCs w:val="18"/>
              </w:rPr>
            </w:pPr>
            <w:r>
              <w:rPr>
                <w:rFonts w:ascii="Arial" w:hAnsi="Arial" w:cs="Arial"/>
                <w:b/>
                <w:sz w:val="18"/>
                <w:szCs w:val="18"/>
              </w:rPr>
              <w:t>Artículo 33</w:t>
            </w:r>
          </w:p>
          <w:p w14:paraId="1D9476AE" w14:textId="77777777" w:rsidR="00683C71" w:rsidRDefault="00683C71" w:rsidP="00351108">
            <w:pPr>
              <w:spacing w:before="120" w:after="120" w:line="23" w:lineRule="atLeast"/>
              <w:rPr>
                <w:rFonts w:ascii="Arial" w:hAnsi="Arial" w:cs="Arial"/>
                <w:b/>
                <w:sz w:val="18"/>
                <w:szCs w:val="18"/>
              </w:rPr>
            </w:pPr>
          </w:p>
        </w:tc>
        <w:tc>
          <w:tcPr>
            <w:tcW w:w="4087" w:type="dxa"/>
            <w:shd w:val="clear" w:color="auto" w:fill="auto"/>
          </w:tcPr>
          <w:p w14:paraId="6399B6D1" w14:textId="14CEF726" w:rsidR="00683C71" w:rsidRPr="008003C4" w:rsidRDefault="00372945" w:rsidP="00351108">
            <w:pPr>
              <w:spacing w:before="120" w:after="120" w:line="23" w:lineRule="atLeast"/>
              <w:jc w:val="both"/>
              <w:rPr>
                <w:rFonts w:ascii="Arial" w:hAnsi="Arial" w:cs="Arial"/>
                <w:bCs/>
                <w:sz w:val="18"/>
                <w:szCs w:val="18"/>
              </w:rPr>
            </w:pPr>
            <w:r>
              <w:rPr>
                <w:rFonts w:ascii="Arial" w:hAnsi="Arial" w:cs="Arial"/>
                <w:sz w:val="18"/>
                <w:szCs w:val="18"/>
              </w:rPr>
              <w:t>N</w:t>
            </w:r>
            <w:r w:rsidRPr="00372945">
              <w:rPr>
                <w:rFonts w:ascii="Arial" w:hAnsi="Arial" w:cs="Arial"/>
                <w:sz w:val="18"/>
                <w:szCs w:val="18"/>
              </w:rPr>
              <w:t xml:space="preserve">i la Ley Federal de Competencia Económica ni las Disposiciones Regulatorias aplicables establecen como requisito para poder presentar </w:t>
            </w:r>
            <w:r w:rsidRPr="00372945">
              <w:rPr>
                <w:rFonts w:ascii="Arial" w:hAnsi="Arial" w:cs="Arial"/>
                <w:sz w:val="18"/>
                <w:szCs w:val="18"/>
              </w:rPr>
              <w:lastRenderedPageBreak/>
              <w:t>documentos o promociones ante el Instituto la obligatoriedad del promovente para realizar dicha manifestación o que la misma se encuentre plasmada en tales documentos. Por lo que, se considera necesario eliminar dicha manifestación.</w:t>
            </w:r>
          </w:p>
        </w:tc>
        <w:tc>
          <w:tcPr>
            <w:tcW w:w="3568" w:type="dxa"/>
            <w:shd w:val="clear" w:color="auto" w:fill="auto"/>
          </w:tcPr>
          <w:p w14:paraId="741229AE" w14:textId="6096C8B7" w:rsidR="00683C71" w:rsidRPr="008003C4" w:rsidRDefault="00DF5029" w:rsidP="00351108">
            <w:pPr>
              <w:spacing w:before="120" w:after="120" w:line="23" w:lineRule="atLeast"/>
              <w:jc w:val="both"/>
              <w:rPr>
                <w:rFonts w:ascii="Arial" w:hAnsi="Arial" w:cs="Arial"/>
                <w:sz w:val="18"/>
                <w:szCs w:val="18"/>
              </w:rPr>
            </w:pPr>
            <w:r>
              <w:rPr>
                <w:rFonts w:ascii="Arial" w:hAnsi="Arial" w:cs="Arial"/>
                <w:sz w:val="18"/>
                <w:szCs w:val="18"/>
              </w:rPr>
              <w:lastRenderedPageBreak/>
              <w:t>S</w:t>
            </w:r>
            <w:r w:rsidRPr="00DF5029">
              <w:rPr>
                <w:rFonts w:ascii="Arial" w:hAnsi="Arial" w:cs="Arial"/>
                <w:sz w:val="18"/>
                <w:szCs w:val="18"/>
              </w:rPr>
              <w:t>e considera</w:t>
            </w:r>
            <w:r>
              <w:rPr>
                <w:rFonts w:ascii="Arial" w:hAnsi="Arial" w:cs="Arial"/>
                <w:sz w:val="18"/>
                <w:szCs w:val="18"/>
              </w:rPr>
              <w:t xml:space="preserve"> que este comentario no es </w:t>
            </w:r>
            <w:r w:rsidRPr="00DF5029">
              <w:rPr>
                <w:rFonts w:ascii="Arial" w:hAnsi="Arial" w:cs="Arial"/>
                <w:sz w:val="18"/>
                <w:szCs w:val="18"/>
              </w:rPr>
              <w:t>válido</w:t>
            </w:r>
            <w:r>
              <w:rPr>
                <w:rFonts w:ascii="Arial" w:hAnsi="Arial" w:cs="Arial"/>
                <w:sz w:val="18"/>
                <w:szCs w:val="18"/>
              </w:rPr>
              <w:t>,</w:t>
            </w:r>
            <w:r w:rsidRPr="00DF5029">
              <w:rPr>
                <w:rFonts w:ascii="Arial" w:hAnsi="Arial" w:cs="Arial"/>
                <w:sz w:val="18"/>
                <w:szCs w:val="18"/>
              </w:rPr>
              <w:t xml:space="preserve"> toda vez que la protesta</w:t>
            </w:r>
            <w:r w:rsidR="003A7333">
              <w:rPr>
                <w:rFonts w:ascii="Arial" w:hAnsi="Arial" w:cs="Arial"/>
                <w:sz w:val="18"/>
                <w:szCs w:val="18"/>
              </w:rPr>
              <w:t xml:space="preserve"> comentada</w:t>
            </w:r>
            <w:r w:rsidRPr="00DF5029">
              <w:rPr>
                <w:rFonts w:ascii="Arial" w:hAnsi="Arial" w:cs="Arial"/>
                <w:sz w:val="18"/>
                <w:szCs w:val="18"/>
              </w:rPr>
              <w:t xml:space="preserve"> es necesaria </w:t>
            </w:r>
            <w:r w:rsidR="003A7333">
              <w:rPr>
                <w:rFonts w:ascii="Arial" w:hAnsi="Arial" w:cs="Arial"/>
                <w:sz w:val="18"/>
                <w:szCs w:val="18"/>
              </w:rPr>
              <w:t xml:space="preserve">en virtud de que </w:t>
            </w:r>
            <w:r w:rsidR="003A7333">
              <w:rPr>
                <w:rFonts w:ascii="Arial" w:hAnsi="Arial" w:cs="Arial"/>
                <w:sz w:val="18"/>
                <w:szCs w:val="18"/>
              </w:rPr>
              <w:lastRenderedPageBreak/>
              <w:t>los</w:t>
            </w:r>
            <w:r w:rsidRPr="00DF5029">
              <w:rPr>
                <w:rFonts w:ascii="Arial" w:hAnsi="Arial" w:cs="Arial"/>
                <w:sz w:val="18"/>
                <w:szCs w:val="18"/>
              </w:rPr>
              <w:t xml:space="preserve"> documentos que se cargarían al Sistema </w:t>
            </w:r>
            <w:r w:rsidR="003A7333">
              <w:rPr>
                <w:rFonts w:ascii="Arial" w:hAnsi="Arial" w:cs="Arial"/>
                <w:sz w:val="18"/>
                <w:szCs w:val="18"/>
              </w:rPr>
              <w:t>e</w:t>
            </w:r>
            <w:r w:rsidRPr="00DF5029">
              <w:rPr>
                <w:rFonts w:ascii="Arial" w:hAnsi="Arial" w:cs="Arial"/>
                <w:sz w:val="18"/>
                <w:szCs w:val="18"/>
              </w:rPr>
              <w:t>lectrónico no estarían a la vista de los servidores públicos encargados del desahogo del trámite o procedimiento</w:t>
            </w:r>
            <w:r w:rsidR="003A7333">
              <w:rPr>
                <w:rFonts w:ascii="Arial" w:hAnsi="Arial" w:cs="Arial"/>
                <w:sz w:val="18"/>
                <w:szCs w:val="18"/>
              </w:rPr>
              <w:t>.</w:t>
            </w:r>
          </w:p>
        </w:tc>
      </w:tr>
      <w:tr w:rsidR="00372945" w:rsidRPr="008003C4" w14:paraId="1053504E" w14:textId="77777777" w:rsidTr="00351108">
        <w:trPr>
          <w:jc w:val="center"/>
        </w:trPr>
        <w:tc>
          <w:tcPr>
            <w:tcW w:w="1691" w:type="dxa"/>
            <w:shd w:val="clear" w:color="auto" w:fill="auto"/>
            <w:vAlign w:val="center"/>
          </w:tcPr>
          <w:p w14:paraId="45F0D426" w14:textId="2DEFB0EB" w:rsidR="00372945" w:rsidRDefault="00372945" w:rsidP="00351108">
            <w:pPr>
              <w:spacing w:before="120" w:after="120" w:line="23" w:lineRule="atLeast"/>
              <w:rPr>
                <w:rFonts w:ascii="Arial" w:hAnsi="Arial" w:cs="Arial"/>
                <w:b/>
                <w:sz w:val="18"/>
                <w:szCs w:val="18"/>
              </w:rPr>
            </w:pPr>
            <w:r>
              <w:rPr>
                <w:rFonts w:ascii="Arial" w:hAnsi="Arial" w:cs="Arial"/>
                <w:b/>
                <w:sz w:val="18"/>
                <w:szCs w:val="18"/>
              </w:rPr>
              <w:lastRenderedPageBreak/>
              <w:t>Artículo 36</w:t>
            </w:r>
          </w:p>
        </w:tc>
        <w:tc>
          <w:tcPr>
            <w:tcW w:w="4087" w:type="dxa"/>
            <w:shd w:val="clear" w:color="auto" w:fill="auto"/>
          </w:tcPr>
          <w:p w14:paraId="430793D7" w14:textId="20B03EAF" w:rsidR="00372945" w:rsidRDefault="00372945" w:rsidP="00351108">
            <w:pPr>
              <w:spacing w:before="120" w:after="120" w:line="23" w:lineRule="atLeast"/>
              <w:jc w:val="both"/>
              <w:rPr>
                <w:rFonts w:ascii="Arial" w:hAnsi="Arial" w:cs="Arial"/>
                <w:sz w:val="18"/>
                <w:szCs w:val="18"/>
              </w:rPr>
            </w:pPr>
            <w:r w:rsidRPr="00372945">
              <w:rPr>
                <w:rFonts w:ascii="Arial" w:hAnsi="Arial" w:cs="Arial"/>
                <w:sz w:val="18"/>
                <w:szCs w:val="18"/>
              </w:rPr>
              <w:t>Es contrario a lo plasmado en el artículo 5. Así mismo, no especifica de manera clara y precisa la capacidad máxima de carga de documentos; además de incrementar la posibilidad de dejar en estado de indefensión a los promoventes, toda vez que al cargar varios documentos hay una mayor posibilidad de que el sistema falle, sin generar el acuse respectivo a lo ya presentado; lo que se complica más con lo plasmado en el artículo 5, no obstante, de haber presentado el desahogo y parte de la información en el sistema.</w:t>
            </w:r>
          </w:p>
        </w:tc>
        <w:tc>
          <w:tcPr>
            <w:tcW w:w="3568" w:type="dxa"/>
            <w:shd w:val="clear" w:color="auto" w:fill="auto"/>
          </w:tcPr>
          <w:p w14:paraId="33CAB319" w14:textId="77777777" w:rsidR="00D50DD0" w:rsidRDefault="00D50DD0" w:rsidP="00351108">
            <w:pPr>
              <w:spacing w:before="120" w:after="120" w:line="23" w:lineRule="atLeast"/>
              <w:jc w:val="both"/>
              <w:rPr>
                <w:rFonts w:ascii="Arial" w:hAnsi="Arial" w:cs="Arial"/>
                <w:sz w:val="18"/>
                <w:szCs w:val="18"/>
              </w:rPr>
            </w:pPr>
            <w:r>
              <w:rPr>
                <w:rFonts w:ascii="Arial" w:hAnsi="Arial" w:cs="Arial"/>
                <w:sz w:val="18"/>
                <w:szCs w:val="18"/>
              </w:rPr>
              <w:t xml:space="preserve">Se considera que el comentario no es válido. </w:t>
            </w:r>
          </w:p>
          <w:p w14:paraId="4C7932BA" w14:textId="77777777" w:rsidR="00D50DD0" w:rsidRDefault="00D50DD0" w:rsidP="00351108">
            <w:pPr>
              <w:spacing w:before="120" w:after="120" w:line="23" w:lineRule="atLeast"/>
              <w:jc w:val="both"/>
              <w:rPr>
                <w:rFonts w:ascii="Arial" w:hAnsi="Arial" w:cs="Arial"/>
                <w:sz w:val="18"/>
                <w:szCs w:val="18"/>
              </w:rPr>
            </w:pPr>
            <w:r>
              <w:rPr>
                <w:rFonts w:ascii="Arial" w:hAnsi="Arial" w:cs="Arial"/>
                <w:sz w:val="18"/>
                <w:szCs w:val="18"/>
              </w:rPr>
              <w:t xml:space="preserve">El artículo 5 de los Lineamientos señala que se continuará con la vía elegida </w:t>
            </w:r>
            <w:r w:rsidRPr="0014356A">
              <w:rPr>
                <w:rFonts w:ascii="Arial" w:hAnsi="Arial" w:cs="Arial"/>
                <w:sz w:val="18"/>
                <w:szCs w:val="18"/>
              </w:rPr>
              <w:t>hasta la conclusión del procedimiento o trámite salvo disposición en contrario</w:t>
            </w:r>
            <w:r>
              <w:rPr>
                <w:rFonts w:ascii="Arial" w:hAnsi="Arial" w:cs="Arial"/>
                <w:sz w:val="18"/>
                <w:szCs w:val="18"/>
              </w:rPr>
              <w:t>, por lo que el resto de los Lineamientos contienen algunas excepciones a esta regla. Una de dichas excepciones es la plasmada en el artículo 36 en comento.</w:t>
            </w:r>
          </w:p>
          <w:p w14:paraId="14BF7760" w14:textId="466EDAB5" w:rsidR="00D50DD0" w:rsidRDefault="00D50DD0" w:rsidP="00351108">
            <w:pPr>
              <w:spacing w:before="120" w:after="120" w:line="23" w:lineRule="atLeast"/>
              <w:jc w:val="both"/>
              <w:rPr>
                <w:rFonts w:ascii="Arial" w:hAnsi="Arial" w:cs="Arial"/>
                <w:sz w:val="18"/>
                <w:szCs w:val="18"/>
              </w:rPr>
            </w:pPr>
            <w:r>
              <w:rPr>
                <w:rFonts w:ascii="Arial" w:hAnsi="Arial" w:cs="Arial"/>
                <w:sz w:val="18"/>
                <w:szCs w:val="18"/>
              </w:rPr>
              <w:t xml:space="preserve">En cuanto a la capacidad máxima de carga, </w:t>
            </w:r>
            <w:r w:rsidR="0058319C">
              <w:rPr>
                <w:rFonts w:ascii="Arial" w:hAnsi="Arial" w:cs="Arial"/>
                <w:sz w:val="18"/>
                <w:szCs w:val="18"/>
              </w:rPr>
              <w:t>la fracción XIX, del artículo 9</w:t>
            </w:r>
            <w:r w:rsidR="003D35A6">
              <w:rPr>
                <w:rFonts w:ascii="Arial" w:hAnsi="Arial" w:cs="Arial"/>
                <w:sz w:val="18"/>
                <w:szCs w:val="18"/>
              </w:rPr>
              <w:t xml:space="preserve">, </w:t>
            </w:r>
            <w:r w:rsidR="0058319C">
              <w:rPr>
                <w:rFonts w:ascii="Arial" w:hAnsi="Arial" w:cs="Arial"/>
                <w:sz w:val="18"/>
                <w:szCs w:val="18"/>
              </w:rPr>
              <w:t>define al Instructivo como el “d</w:t>
            </w:r>
            <w:r w:rsidR="0058319C" w:rsidRPr="0058319C">
              <w:rPr>
                <w:rFonts w:ascii="Arial" w:hAnsi="Arial" w:cs="Arial"/>
                <w:sz w:val="18"/>
                <w:szCs w:val="18"/>
              </w:rPr>
              <w:t>ocumento con las indicaciones técnicas sobre el funcionamiento del Sistema electrónico</w:t>
            </w:r>
            <w:r w:rsidR="0058319C">
              <w:rPr>
                <w:rFonts w:ascii="Arial" w:hAnsi="Arial" w:cs="Arial"/>
                <w:sz w:val="18"/>
                <w:szCs w:val="18"/>
              </w:rPr>
              <w:t xml:space="preserve">”, y conforme al artículo Quinto Transitorio </w:t>
            </w:r>
            <w:r w:rsidR="0058319C" w:rsidRPr="0058319C">
              <w:rPr>
                <w:rFonts w:ascii="Arial" w:hAnsi="Arial" w:cs="Arial"/>
                <w:sz w:val="18"/>
                <w:szCs w:val="18"/>
              </w:rPr>
              <w:t>a más tardar a la entrada en vigor de los Lineamientos</w:t>
            </w:r>
            <w:r w:rsidR="0058319C">
              <w:rPr>
                <w:rFonts w:ascii="Arial" w:hAnsi="Arial" w:cs="Arial"/>
                <w:sz w:val="18"/>
                <w:szCs w:val="18"/>
              </w:rPr>
              <w:t xml:space="preserve"> e</w:t>
            </w:r>
            <w:r w:rsidR="0058319C" w:rsidRPr="0058319C">
              <w:rPr>
                <w:rFonts w:ascii="Arial" w:hAnsi="Arial" w:cs="Arial"/>
                <w:sz w:val="18"/>
                <w:szCs w:val="18"/>
              </w:rPr>
              <w:t xml:space="preserve">l Instituto emitirá y publicará en su página web y en el Sistema electrónico </w:t>
            </w:r>
            <w:r w:rsidR="003D35A6">
              <w:rPr>
                <w:rFonts w:ascii="Arial" w:hAnsi="Arial" w:cs="Arial"/>
                <w:sz w:val="18"/>
                <w:szCs w:val="18"/>
              </w:rPr>
              <w:t>dicho Instructivo; por lo que los usuarios conocerán previo a su uso todos los aspectos técnicos del Sistema electrónico, incluida la capacidad máxima de carga de documentos.</w:t>
            </w:r>
          </w:p>
        </w:tc>
      </w:tr>
      <w:tr w:rsidR="00A33AE8" w:rsidRPr="008003C4" w14:paraId="60553296" w14:textId="77777777" w:rsidTr="00351108">
        <w:trPr>
          <w:jc w:val="center"/>
        </w:trPr>
        <w:tc>
          <w:tcPr>
            <w:tcW w:w="1691" w:type="dxa"/>
            <w:vMerge w:val="restart"/>
            <w:shd w:val="clear" w:color="auto" w:fill="auto"/>
            <w:vAlign w:val="center"/>
          </w:tcPr>
          <w:p w14:paraId="15E2170F" w14:textId="65AA06BA" w:rsidR="00A33AE8" w:rsidRDefault="00A33AE8" w:rsidP="00351108">
            <w:pPr>
              <w:spacing w:before="120" w:after="120" w:line="23" w:lineRule="atLeast"/>
              <w:rPr>
                <w:rFonts w:ascii="Arial" w:hAnsi="Arial" w:cs="Arial"/>
                <w:b/>
                <w:sz w:val="18"/>
                <w:szCs w:val="18"/>
              </w:rPr>
            </w:pPr>
            <w:r>
              <w:rPr>
                <w:rFonts w:ascii="Arial" w:hAnsi="Arial" w:cs="Arial"/>
                <w:b/>
                <w:sz w:val="18"/>
                <w:szCs w:val="18"/>
              </w:rPr>
              <w:t>Artículo 42</w:t>
            </w:r>
          </w:p>
        </w:tc>
        <w:tc>
          <w:tcPr>
            <w:tcW w:w="4087" w:type="dxa"/>
            <w:shd w:val="clear" w:color="auto" w:fill="auto"/>
          </w:tcPr>
          <w:p w14:paraId="211B6640" w14:textId="77777777" w:rsidR="00A33AE8" w:rsidRPr="00F050FF" w:rsidRDefault="00A33AE8" w:rsidP="00A33AE8">
            <w:pPr>
              <w:pStyle w:val="Default"/>
              <w:jc w:val="both"/>
              <w:rPr>
                <w:rFonts w:ascii="Arial" w:eastAsiaTheme="minorHAnsi" w:hAnsi="Arial" w:cs="Arial"/>
                <w:color w:val="auto"/>
                <w:sz w:val="18"/>
                <w:szCs w:val="18"/>
                <w:lang w:eastAsia="en-US"/>
              </w:rPr>
            </w:pPr>
            <w:r w:rsidRPr="00F050FF">
              <w:rPr>
                <w:rFonts w:ascii="Arial" w:eastAsiaTheme="minorHAnsi" w:hAnsi="Arial" w:cs="Arial"/>
                <w:color w:val="auto"/>
                <w:sz w:val="18"/>
                <w:szCs w:val="18"/>
                <w:lang w:eastAsia="en-US"/>
              </w:rPr>
              <w:t xml:space="preserve">Provoca oscuridad en los procesos, pudiendo dejar en estado de indefensión a los promoventes, al dar de baja de manera automática a los usuarios, provocando injusticias y arbitrariedades a los derechos procesales. </w:t>
            </w:r>
          </w:p>
          <w:p w14:paraId="1D9B5A84" w14:textId="77777777" w:rsidR="00A33AE8" w:rsidRPr="00F050FF" w:rsidRDefault="00A33AE8" w:rsidP="00351108">
            <w:pPr>
              <w:spacing w:before="120" w:after="120" w:line="23" w:lineRule="atLeast"/>
              <w:jc w:val="both"/>
              <w:rPr>
                <w:rFonts w:ascii="Arial" w:hAnsi="Arial" w:cs="Arial"/>
                <w:sz w:val="18"/>
                <w:szCs w:val="18"/>
              </w:rPr>
            </w:pPr>
          </w:p>
        </w:tc>
        <w:tc>
          <w:tcPr>
            <w:tcW w:w="3568" w:type="dxa"/>
            <w:shd w:val="clear" w:color="auto" w:fill="auto"/>
          </w:tcPr>
          <w:p w14:paraId="6BEC390A" w14:textId="5CA03504" w:rsidR="00A33AE8" w:rsidRDefault="00D944F0" w:rsidP="00351108">
            <w:pPr>
              <w:spacing w:before="120" w:after="120" w:line="23" w:lineRule="atLeast"/>
              <w:jc w:val="both"/>
              <w:rPr>
                <w:rFonts w:ascii="Arial" w:hAnsi="Arial" w:cs="Arial"/>
                <w:sz w:val="18"/>
                <w:szCs w:val="18"/>
              </w:rPr>
            </w:pPr>
            <w:r>
              <w:rPr>
                <w:rFonts w:ascii="Arial" w:hAnsi="Arial" w:cs="Arial"/>
                <w:sz w:val="18"/>
                <w:szCs w:val="18"/>
              </w:rPr>
              <w:t xml:space="preserve">Se considera que el comentario </w:t>
            </w:r>
            <w:r w:rsidR="009740E3">
              <w:rPr>
                <w:rFonts w:ascii="Arial" w:hAnsi="Arial" w:cs="Arial"/>
                <w:sz w:val="18"/>
                <w:szCs w:val="18"/>
              </w:rPr>
              <w:t>es válido, por lo que se cambia el plazo para la baja de un Usuario inactivo de seis a doce meses</w:t>
            </w:r>
            <w:r>
              <w:rPr>
                <w:rFonts w:ascii="Arial" w:hAnsi="Arial" w:cs="Arial"/>
                <w:sz w:val="18"/>
                <w:szCs w:val="18"/>
              </w:rPr>
              <w:t>.</w:t>
            </w:r>
          </w:p>
        </w:tc>
      </w:tr>
      <w:tr w:rsidR="00A33AE8" w:rsidRPr="008003C4" w14:paraId="51287F37" w14:textId="77777777" w:rsidTr="00351108">
        <w:trPr>
          <w:jc w:val="center"/>
        </w:trPr>
        <w:tc>
          <w:tcPr>
            <w:tcW w:w="1691" w:type="dxa"/>
            <w:vMerge/>
            <w:shd w:val="clear" w:color="auto" w:fill="auto"/>
            <w:vAlign w:val="center"/>
          </w:tcPr>
          <w:p w14:paraId="62B12C93" w14:textId="0F70639C" w:rsidR="00A33AE8" w:rsidRDefault="00A33AE8" w:rsidP="00351108">
            <w:pPr>
              <w:spacing w:before="120" w:after="120" w:line="23" w:lineRule="atLeast"/>
              <w:rPr>
                <w:rFonts w:ascii="Arial" w:hAnsi="Arial" w:cs="Arial"/>
                <w:b/>
                <w:sz w:val="18"/>
                <w:szCs w:val="18"/>
              </w:rPr>
            </w:pPr>
          </w:p>
        </w:tc>
        <w:tc>
          <w:tcPr>
            <w:tcW w:w="4087" w:type="dxa"/>
            <w:shd w:val="clear" w:color="auto" w:fill="auto"/>
          </w:tcPr>
          <w:p w14:paraId="4207E662" w14:textId="6CE342CC" w:rsidR="00A33AE8" w:rsidRPr="00F050FF" w:rsidRDefault="00A33AE8" w:rsidP="00351108">
            <w:pPr>
              <w:spacing w:before="120" w:after="120" w:line="23" w:lineRule="atLeast"/>
              <w:jc w:val="both"/>
              <w:rPr>
                <w:rFonts w:ascii="Arial" w:hAnsi="Arial" w:cs="Arial"/>
                <w:sz w:val="18"/>
                <w:szCs w:val="18"/>
              </w:rPr>
            </w:pPr>
            <w:r w:rsidRPr="00F050FF">
              <w:rPr>
                <w:rFonts w:ascii="Arial" w:hAnsi="Arial" w:cs="Arial"/>
                <w:sz w:val="18"/>
                <w:szCs w:val="18"/>
              </w:rPr>
              <w:t>Es sumamente impráctico que se de baja a los usuarios en un plazo tan corto, ya que impone una carga procesal adicional al interesado después de haber realizado un procedimiento para crear y dar de alta su cuenta de usuario. Lo anterior, tomando en cuenta la naturaleza de los trámites y procedimientos, así como la frecuencia con la que los usuarios deben sustanciarlos.</w:t>
            </w:r>
          </w:p>
        </w:tc>
        <w:tc>
          <w:tcPr>
            <w:tcW w:w="3568" w:type="dxa"/>
            <w:shd w:val="clear" w:color="auto" w:fill="auto"/>
          </w:tcPr>
          <w:p w14:paraId="441E156B" w14:textId="6D89FFE6" w:rsidR="00A33AE8" w:rsidRDefault="00F050FF" w:rsidP="00351108">
            <w:pPr>
              <w:spacing w:before="120" w:after="120" w:line="23" w:lineRule="atLeast"/>
              <w:jc w:val="both"/>
              <w:rPr>
                <w:rFonts w:ascii="Arial" w:hAnsi="Arial" w:cs="Arial"/>
                <w:sz w:val="18"/>
                <w:szCs w:val="18"/>
              </w:rPr>
            </w:pPr>
            <w:r>
              <w:rPr>
                <w:rFonts w:ascii="Arial" w:hAnsi="Arial" w:cs="Arial"/>
                <w:sz w:val="18"/>
                <w:szCs w:val="18"/>
              </w:rPr>
              <w:t>Se considera que el comentario es válido, por lo que se cambia el plazo para la baja de un Usuario inactivo de seis a doce meses.</w:t>
            </w:r>
          </w:p>
        </w:tc>
      </w:tr>
      <w:tr w:rsidR="003D35A6" w:rsidRPr="008003C4" w14:paraId="2BC0F78D" w14:textId="77777777" w:rsidTr="00351108">
        <w:trPr>
          <w:jc w:val="center"/>
        </w:trPr>
        <w:tc>
          <w:tcPr>
            <w:tcW w:w="1691" w:type="dxa"/>
            <w:shd w:val="clear" w:color="auto" w:fill="auto"/>
            <w:vAlign w:val="center"/>
          </w:tcPr>
          <w:p w14:paraId="411D98DA" w14:textId="0509B371" w:rsidR="003D35A6" w:rsidRDefault="003D35A6" w:rsidP="00351108">
            <w:pPr>
              <w:spacing w:before="120" w:after="120" w:line="23" w:lineRule="atLeast"/>
              <w:rPr>
                <w:rFonts w:ascii="Arial" w:hAnsi="Arial" w:cs="Arial"/>
                <w:b/>
                <w:sz w:val="18"/>
                <w:szCs w:val="18"/>
              </w:rPr>
            </w:pPr>
            <w:r>
              <w:rPr>
                <w:rFonts w:ascii="Arial" w:hAnsi="Arial" w:cs="Arial"/>
                <w:b/>
                <w:sz w:val="18"/>
                <w:szCs w:val="18"/>
              </w:rPr>
              <w:t xml:space="preserve">Artículo </w:t>
            </w:r>
            <w:r w:rsidR="009A7A2E">
              <w:rPr>
                <w:rFonts w:ascii="Arial" w:hAnsi="Arial" w:cs="Arial"/>
                <w:b/>
                <w:sz w:val="18"/>
                <w:szCs w:val="18"/>
              </w:rPr>
              <w:t>44</w:t>
            </w:r>
          </w:p>
        </w:tc>
        <w:tc>
          <w:tcPr>
            <w:tcW w:w="4087" w:type="dxa"/>
            <w:shd w:val="clear" w:color="auto" w:fill="auto"/>
          </w:tcPr>
          <w:p w14:paraId="277DBA90" w14:textId="4AA2998C" w:rsidR="003D35A6" w:rsidRDefault="00855AED" w:rsidP="00351108">
            <w:pPr>
              <w:spacing w:before="120" w:after="120" w:line="23" w:lineRule="atLeast"/>
              <w:jc w:val="both"/>
              <w:rPr>
                <w:rFonts w:ascii="Arial" w:hAnsi="Arial" w:cs="Arial"/>
                <w:sz w:val="18"/>
                <w:szCs w:val="18"/>
              </w:rPr>
            </w:pPr>
            <w:r>
              <w:rPr>
                <w:rFonts w:ascii="Arial" w:hAnsi="Arial" w:cs="Arial"/>
                <w:sz w:val="18"/>
                <w:szCs w:val="18"/>
              </w:rPr>
              <w:t>N</w:t>
            </w:r>
            <w:r w:rsidRPr="00855AED">
              <w:rPr>
                <w:rFonts w:ascii="Arial" w:hAnsi="Arial" w:cs="Arial"/>
                <w:sz w:val="18"/>
                <w:szCs w:val="18"/>
              </w:rPr>
              <w:t xml:space="preserve">o toda la información ofrecida por los usuarios es necesariamente propia, tal y como es en el caso del trámite para la notificación de una concentración, en la cual por la misma naturaleza del procedimiento, se ofrece información tanto propia como ajena, de tal manera que los lineamientos al imponer al usuario la responsabilidad de reconocer como propia toda la información remitida al sistema </w:t>
            </w:r>
            <w:r w:rsidRPr="00855AED">
              <w:rPr>
                <w:rFonts w:ascii="Arial" w:hAnsi="Arial" w:cs="Arial"/>
                <w:sz w:val="18"/>
                <w:szCs w:val="18"/>
              </w:rPr>
              <w:lastRenderedPageBreak/>
              <w:t>electrónico para su</w:t>
            </w:r>
            <w:r>
              <w:t xml:space="preserve"> </w:t>
            </w:r>
            <w:r w:rsidRPr="00855AED">
              <w:rPr>
                <w:rFonts w:ascii="Arial" w:hAnsi="Arial" w:cs="Arial"/>
                <w:sz w:val="18"/>
                <w:szCs w:val="18"/>
              </w:rPr>
              <w:t>registro, se da lugar para que el usuario se pueda ver afectado en su esfera jurídica</w:t>
            </w:r>
            <w:r>
              <w:rPr>
                <w:rFonts w:ascii="Arial" w:hAnsi="Arial" w:cs="Arial"/>
                <w:sz w:val="18"/>
                <w:szCs w:val="18"/>
              </w:rPr>
              <w:t>.</w:t>
            </w:r>
          </w:p>
        </w:tc>
        <w:tc>
          <w:tcPr>
            <w:tcW w:w="3568" w:type="dxa"/>
            <w:shd w:val="clear" w:color="auto" w:fill="auto"/>
          </w:tcPr>
          <w:p w14:paraId="1D6AF836" w14:textId="7A3DBEC1" w:rsidR="003D35A6" w:rsidRDefault="00855AED" w:rsidP="00351108">
            <w:pPr>
              <w:spacing w:before="120" w:after="120" w:line="23" w:lineRule="atLeast"/>
              <w:jc w:val="both"/>
              <w:rPr>
                <w:rFonts w:ascii="Arial" w:hAnsi="Arial" w:cs="Arial"/>
                <w:sz w:val="18"/>
                <w:szCs w:val="18"/>
              </w:rPr>
            </w:pPr>
            <w:r>
              <w:rPr>
                <w:rFonts w:ascii="Arial" w:hAnsi="Arial" w:cs="Arial"/>
                <w:sz w:val="18"/>
                <w:szCs w:val="18"/>
              </w:rPr>
              <w:lastRenderedPageBreak/>
              <w:t xml:space="preserve">Se considera que el comentario </w:t>
            </w:r>
            <w:r w:rsidR="00230CBC">
              <w:rPr>
                <w:rFonts w:ascii="Arial" w:hAnsi="Arial" w:cs="Arial"/>
                <w:sz w:val="18"/>
                <w:szCs w:val="18"/>
              </w:rPr>
              <w:t xml:space="preserve">no es válido. El comentario parece </w:t>
            </w:r>
            <w:r w:rsidR="007759CB">
              <w:rPr>
                <w:rFonts w:ascii="Arial" w:hAnsi="Arial" w:cs="Arial"/>
                <w:sz w:val="18"/>
                <w:szCs w:val="18"/>
              </w:rPr>
              <w:t>partir de</w:t>
            </w:r>
            <w:r w:rsidR="00230CBC">
              <w:rPr>
                <w:rFonts w:ascii="Arial" w:hAnsi="Arial" w:cs="Arial"/>
                <w:sz w:val="18"/>
                <w:szCs w:val="18"/>
              </w:rPr>
              <w:t xml:space="preserve"> una confusión, pues lo que el artículo requiere no es que se reconozca como propia la información que el usuario remite a la autoridad a través del Sistema electrónico, sino la información que presenta para su registro</w:t>
            </w:r>
            <w:r w:rsidR="00A33AE8">
              <w:rPr>
                <w:rFonts w:ascii="Arial" w:hAnsi="Arial" w:cs="Arial"/>
                <w:sz w:val="18"/>
                <w:szCs w:val="18"/>
              </w:rPr>
              <w:t xml:space="preserve"> en dicho sistema</w:t>
            </w:r>
            <w:r w:rsidR="00230CBC">
              <w:rPr>
                <w:rFonts w:ascii="Arial" w:hAnsi="Arial" w:cs="Arial"/>
                <w:sz w:val="18"/>
                <w:szCs w:val="18"/>
              </w:rPr>
              <w:t xml:space="preserve">. </w:t>
            </w:r>
            <w:r w:rsidR="006873AA">
              <w:rPr>
                <w:rFonts w:ascii="Arial" w:hAnsi="Arial" w:cs="Arial"/>
                <w:sz w:val="18"/>
                <w:szCs w:val="18"/>
              </w:rPr>
              <w:t xml:space="preserve">Por otra parte, el participante no señala específicamente </w:t>
            </w:r>
            <w:r w:rsidR="006873AA">
              <w:rPr>
                <w:rFonts w:ascii="Arial" w:hAnsi="Arial" w:cs="Arial"/>
                <w:sz w:val="18"/>
                <w:szCs w:val="18"/>
              </w:rPr>
              <w:lastRenderedPageBreak/>
              <w:t xml:space="preserve">qué información de la listada en el artículo 38 podría el solicitante de registro </w:t>
            </w:r>
            <w:r w:rsidR="00A33AE8">
              <w:rPr>
                <w:rFonts w:ascii="Arial" w:hAnsi="Arial" w:cs="Arial"/>
                <w:sz w:val="18"/>
                <w:szCs w:val="18"/>
              </w:rPr>
              <w:t xml:space="preserve">considerar </w:t>
            </w:r>
            <w:r w:rsidR="006873AA">
              <w:rPr>
                <w:rFonts w:ascii="Arial" w:hAnsi="Arial" w:cs="Arial"/>
                <w:sz w:val="18"/>
                <w:szCs w:val="18"/>
              </w:rPr>
              <w:t>como ajena</w:t>
            </w:r>
            <w:r w:rsidR="00A33AE8">
              <w:rPr>
                <w:rFonts w:ascii="Arial" w:hAnsi="Arial" w:cs="Arial"/>
                <w:sz w:val="18"/>
                <w:szCs w:val="18"/>
              </w:rPr>
              <w:t>, por lo que no es posible analizar con mayor detalle el comentario.</w:t>
            </w:r>
          </w:p>
        </w:tc>
      </w:tr>
      <w:tr w:rsidR="00A33AE8" w:rsidRPr="008003C4" w14:paraId="25F7D5F4" w14:textId="77777777" w:rsidTr="00351108">
        <w:trPr>
          <w:jc w:val="center"/>
        </w:trPr>
        <w:tc>
          <w:tcPr>
            <w:tcW w:w="1691" w:type="dxa"/>
            <w:shd w:val="clear" w:color="auto" w:fill="auto"/>
            <w:vAlign w:val="center"/>
          </w:tcPr>
          <w:p w14:paraId="06B6F710" w14:textId="31D8D6A9" w:rsidR="00A33AE8" w:rsidRDefault="00E653B3" w:rsidP="00351108">
            <w:pPr>
              <w:spacing w:before="120" w:after="120" w:line="23" w:lineRule="atLeast"/>
              <w:rPr>
                <w:rFonts w:ascii="Arial" w:hAnsi="Arial" w:cs="Arial"/>
                <w:b/>
                <w:sz w:val="18"/>
                <w:szCs w:val="18"/>
              </w:rPr>
            </w:pPr>
            <w:r>
              <w:rPr>
                <w:rFonts w:ascii="Arial" w:hAnsi="Arial" w:cs="Arial"/>
                <w:b/>
                <w:sz w:val="18"/>
                <w:szCs w:val="18"/>
              </w:rPr>
              <w:lastRenderedPageBreak/>
              <w:t>Artículo 48</w:t>
            </w:r>
          </w:p>
        </w:tc>
        <w:tc>
          <w:tcPr>
            <w:tcW w:w="4087" w:type="dxa"/>
            <w:shd w:val="clear" w:color="auto" w:fill="auto"/>
          </w:tcPr>
          <w:p w14:paraId="3430E154" w14:textId="414F12FA" w:rsidR="00A33AE8" w:rsidRDefault="00E653B3" w:rsidP="00351108">
            <w:pPr>
              <w:spacing w:before="120" w:after="120" w:line="23" w:lineRule="atLeast"/>
              <w:jc w:val="both"/>
              <w:rPr>
                <w:rFonts w:ascii="Arial" w:hAnsi="Arial" w:cs="Arial"/>
                <w:sz w:val="18"/>
                <w:szCs w:val="18"/>
              </w:rPr>
            </w:pPr>
            <w:r w:rsidRPr="00E653B3">
              <w:rPr>
                <w:rFonts w:ascii="Arial" w:hAnsi="Arial" w:cs="Arial"/>
                <w:sz w:val="18"/>
                <w:szCs w:val="18"/>
              </w:rPr>
              <w:t>Provoca incertidumbre jurídica y deja en estado de indefensión a los promoventes, que no se especifique en este artículo en caso de que la notificación se lleve a cabo mediante correo electrónico.</w:t>
            </w:r>
          </w:p>
        </w:tc>
        <w:tc>
          <w:tcPr>
            <w:tcW w:w="3568" w:type="dxa"/>
            <w:shd w:val="clear" w:color="auto" w:fill="auto"/>
          </w:tcPr>
          <w:p w14:paraId="6912BC57" w14:textId="51DA2DEB" w:rsidR="00A33AE8" w:rsidRDefault="00E653B3" w:rsidP="00351108">
            <w:pPr>
              <w:spacing w:before="120" w:after="120" w:line="23" w:lineRule="atLeast"/>
              <w:jc w:val="both"/>
              <w:rPr>
                <w:rFonts w:ascii="Arial" w:hAnsi="Arial" w:cs="Arial"/>
                <w:sz w:val="18"/>
                <w:szCs w:val="18"/>
              </w:rPr>
            </w:pPr>
            <w:r>
              <w:rPr>
                <w:rFonts w:ascii="Arial" w:hAnsi="Arial" w:cs="Arial"/>
                <w:sz w:val="18"/>
                <w:szCs w:val="18"/>
              </w:rPr>
              <w:t>No se alcanza a entender el sentido del comentario por lo que no es posible analizarlo para emitir consideraciones.</w:t>
            </w:r>
            <w:r w:rsidR="00F050FF">
              <w:rPr>
                <w:rFonts w:ascii="Arial" w:hAnsi="Arial" w:cs="Arial"/>
                <w:sz w:val="18"/>
                <w:szCs w:val="18"/>
              </w:rPr>
              <w:t xml:space="preserve"> Si el comentario se refiere a las reglas para las notificaciones por correo electrónico, se modifica el presente artículo para referir a las reglas de notificación por correo electrónico que se adicionan a su vez al artículo 111. Estas reglas incluyen lo siguiente:</w:t>
            </w:r>
          </w:p>
          <w:p w14:paraId="5241160D" w14:textId="26A16D19" w:rsidR="00F050FF" w:rsidRDefault="00F050FF" w:rsidP="0083504E">
            <w:pPr>
              <w:spacing w:before="120" w:after="120" w:line="23" w:lineRule="atLeast"/>
              <w:jc w:val="both"/>
              <w:rPr>
                <w:rFonts w:ascii="Arial" w:hAnsi="Arial" w:cs="Arial"/>
                <w:sz w:val="18"/>
                <w:szCs w:val="18"/>
              </w:rPr>
            </w:pPr>
            <w:r>
              <w:rPr>
                <w:rFonts w:ascii="Arial" w:hAnsi="Arial" w:cs="Arial"/>
                <w:sz w:val="18"/>
                <w:szCs w:val="18"/>
              </w:rPr>
              <w:t>“(L)</w:t>
            </w:r>
            <w:r w:rsidRPr="00F050FF">
              <w:rPr>
                <w:rFonts w:ascii="Arial" w:hAnsi="Arial" w:cs="Arial"/>
                <w:sz w:val="18"/>
                <w:szCs w:val="18"/>
              </w:rPr>
              <w:t>os Actos Administrativos electrónicos se notificarán por a la dirección de correo electrónico proporcionado en el registro del Usuario</w:t>
            </w:r>
            <w:r w:rsidR="0083504E">
              <w:rPr>
                <w:rFonts w:ascii="Arial" w:hAnsi="Arial" w:cs="Arial"/>
                <w:sz w:val="18"/>
                <w:szCs w:val="18"/>
              </w:rPr>
              <w:t xml:space="preserve"> </w:t>
            </w:r>
            <w:r w:rsidRPr="00F050FF">
              <w:rPr>
                <w:rFonts w:ascii="Arial" w:hAnsi="Arial" w:cs="Arial"/>
                <w:sz w:val="18"/>
                <w:szCs w:val="18"/>
              </w:rPr>
              <w:t>y por lista;, el Agente Económico, Autoridad Pública o persona a quien se dirige el Acto Administrativo Electrónico tendrá un plazo de 1 (un) día hábil para confirmar la recepción del correo electrónico, contado a partir de que éste sea enviado; en caso de no hacerlo, se publicará un extracto del Acto Administrativo Electrónico que se pretenda notificar en la lista de notificaciones de la Unidad de Competencia Económica y se le tendrá por notificado del Acto Administrativo Electrónico correspondiente al vencimiento de ese plazo. Las notificaciones realizadas de esta manera surtirán sus efectos en la fecha en que el usuario confirme la recepción del correo o en la del vencimiento del plazo para ello, lo que ocurra primero</w:t>
            </w:r>
            <w:r>
              <w:rPr>
                <w:rFonts w:ascii="Arial" w:hAnsi="Arial" w:cs="Arial"/>
                <w:sz w:val="18"/>
                <w:szCs w:val="18"/>
              </w:rPr>
              <w:t>”</w:t>
            </w:r>
          </w:p>
        </w:tc>
      </w:tr>
      <w:tr w:rsidR="00E653B3" w:rsidRPr="008003C4" w14:paraId="380383B8" w14:textId="77777777" w:rsidTr="00351108">
        <w:trPr>
          <w:jc w:val="center"/>
        </w:trPr>
        <w:tc>
          <w:tcPr>
            <w:tcW w:w="1691" w:type="dxa"/>
            <w:shd w:val="clear" w:color="auto" w:fill="auto"/>
            <w:vAlign w:val="center"/>
          </w:tcPr>
          <w:p w14:paraId="2FC97E20" w14:textId="1D4C1745" w:rsidR="00E653B3" w:rsidRDefault="00E653B3" w:rsidP="00351108">
            <w:pPr>
              <w:spacing w:before="120" w:after="120" w:line="23" w:lineRule="atLeast"/>
              <w:rPr>
                <w:rFonts w:ascii="Arial" w:hAnsi="Arial" w:cs="Arial"/>
                <w:b/>
                <w:sz w:val="18"/>
                <w:szCs w:val="18"/>
              </w:rPr>
            </w:pPr>
            <w:r>
              <w:rPr>
                <w:rFonts w:ascii="Arial" w:hAnsi="Arial" w:cs="Arial"/>
                <w:b/>
                <w:sz w:val="18"/>
                <w:szCs w:val="18"/>
              </w:rPr>
              <w:t>Artículo 49</w:t>
            </w:r>
          </w:p>
        </w:tc>
        <w:tc>
          <w:tcPr>
            <w:tcW w:w="4087" w:type="dxa"/>
            <w:shd w:val="clear" w:color="auto" w:fill="auto"/>
          </w:tcPr>
          <w:p w14:paraId="5FF8574F" w14:textId="2B5BE62E" w:rsidR="00E653B3" w:rsidRPr="00E653B3" w:rsidRDefault="00E653B3" w:rsidP="00E653B3">
            <w:pPr>
              <w:spacing w:before="120" w:after="120" w:line="23" w:lineRule="atLeast"/>
              <w:rPr>
                <w:rFonts w:ascii="Arial" w:hAnsi="Arial" w:cs="Arial"/>
                <w:sz w:val="18"/>
                <w:szCs w:val="18"/>
              </w:rPr>
            </w:pPr>
            <w:r w:rsidRPr="00E653B3">
              <w:rPr>
                <w:rFonts w:ascii="Arial" w:hAnsi="Arial" w:cs="Arial"/>
                <w:sz w:val="18"/>
                <w:szCs w:val="18"/>
              </w:rPr>
              <w:t xml:space="preserve">Provoca incertidumbre jurídica, al no especificar por cuál de los dos módulos realizará la notificación; o en su caso, cuál de las 2 notificaciones es la que se tomará en cuenta para efectos de notificación </w:t>
            </w:r>
            <w:r>
              <w:rPr>
                <w:rFonts w:ascii="Arial" w:hAnsi="Arial" w:cs="Arial"/>
                <w:sz w:val="18"/>
                <w:szCs w:val="18"/>
              </w:rPr>
              <w:t xml:space="preserve">en </w:t>
            </w:r>
            <w:r w:rsidRPr="00E653B3">
              <w:rPr>
                <w:rFonts w:ascii="Arial" w:hAnsi="Arial" w:cs="Arial"/>
                <w:sz w:val="18"/>
                <w:szCs w:val="18"/>
              </w:rPr>
              <w:t>el procedimiento.</w:t>
            </w:r>
          </w:p>
        </w:tc>
        <w:tc>
          <w:tcPr>
            <w:tcW w:w="3568" w:type="dxa"/>
            <w:shd w:val="clear" w:color="auto" w:fill="auto"/>
          </w:tcPr>
          <w:p w14:paraId="553A48B1" w14:textId="0DA40B29" w:rsidR="00E653B3" w:rsidRDefault="00265B7F" w:rsidP="00351108">
            <w:pPr>
              <w:spacing w:before="120" w:after="120" w:line="23" w:lineRule="atLeast"/>
              <w:jc w:val="both"/>
              <w:rPr>
                <w:rFonts w:ascii="Arial" w:hAnsi="Arial" w:cs="Arial"/>
                <w:sz w:val="18"/>
                <w:szCs w:val="18"/>
              </w:rPr>
            </w:pPr>
            <w:r>
              <w:rPr>
                <w:rFonts w:ascii="Arial" w:hAnsi="Arial" w:cs="Arial"/>
                <w:sz w:val="18"/>
                <w:szCs w:val="18"/>
              </w:rPr>
              <w:t xml:space="preserve">Se considera que el comentario no es válido, pues el artículo estipula que el Tablero electrónico solo estará disponible para Usuarios con interés jurídico en </w:t>
            </w:r>
            <w:r w:rsidR="001E7EAA">
              <w:rPr>
                <w:rFonts w:ascii="Arial" w:hAnsi="Arial" w:cs="Arial"/>
                <w:sz w:val="18"/>
                <w:szCs w:val="18"/>
              </w:rPr>
              <w:t>algún expediente mientras que al Portal de notificaciones podrán tener acceso todos los usuarios. Esta configuración implica que el primer módulo se usará para notificar a personas que son partes en un expediente y el segundo a terceras personas.</w:t>
            </w:r>
          </w:p>
        </w:tc>
      </w:tr>
      <w:tr w:rsidR="00C46E16" w:rsidRPr="008003C4" w14:paraId="5EC51E35" w14:textId="77777777" w:rsidTr="00351108">
        <w:trPr>
          <w:jc w:val="center"/>
        </w:trPr>
        <w:tc>
          <w:tcPr>
            <w:tcW w:w="1691" w:type="dxa"/>
            <w:shd w:val="clear" w:color="auto" w:fill="auto"/>
            <w:vAlign w:val="center"/>
          </w:tcPr>
          <w:p w14:paraId="4FBD54D6" w14:textId="2D2681E1" w:rsidR="00C46E16" w:rsidRDefault="00C46E16" w:rsidP="00351108">
            <w:pPr>
              <w:spacing w:before="120" w:after="120" w:line="23" w:lineRule="atLeast"/>
              <w:rPr>
                <w:rFonts w:ascii="Arial" w:hAnsi="Arial" w:cs="Arial"/>
                <w:b/>
                <w:sz w:val="18"/>
                <w:szCs w:val="18"/>
              </w:rPr>
            </w:pPr>
            <w:r>
              <w:rPr>
                <w:rFonts w:ascii="Arial" w:hAnsi="Arial" w:cs="Arial"/>
                <w:b/>
                <w:sz w:val="18"/>
                <w:szCs w:val="18"/>
              </w:rPr>
              <w:t>Artículo 50</w:t>
            </w:r>
          </w:p>
        </w:tc>
        <w:tc>
          <w:tcPr>
            <w:tcW w:w="4087" w:type="dxa"/>
            <w:shd w:val="clear" w:color="auto" w:fill="auto"/>
          </w:tcPr>
          <w:p w14:paraId="2D6C74D4" w14:textId="14F149DD" w:rsidR="00C46E16" w:rsidRPr="00E653B3" w:rsidRDefault="00C46E16" w:rsidP="00C46E16">
            <w:pPr>
              <w:spacing w:before="120" w:after="120" w:line="23" w:lineRule="atLeast"/>
              <w:rPr>
                <w:rFonts w:ascii="Arial" w:hAnsi="Arial" w:cs="Arial"/>
                <w:sz w:val="18"/>
                <w:szCs w:val="18"/>
              </w:rPr>
            </w:pPr>
            <w:r w:rsidRPr="00C46E16">
              <w:rPr>
                <w:rFonts w:ascii="Arial" w:hAnsi="Arial" w:cs="Arial"/>
                <w:sz w:val="18"/>
                <w:szCs w:val="18"/>
              </w:rPr>
              <w:t>Se sugiere verificar la legalidad de es</w:t>
            </w:r>
            <w:r>
              <w:rPr>
                <w:rFonts w:ascii="Arial" w:hAnsi="Arial" w:cs="Arial"/>
                <w:sz w:val="18"/>
                <w:szCs w:val="18"/>
              </w:rPr>
              <w:t>t</w:t>
            </w:r>
            <w:r w:rsidRPr="00C46E16">
              <w:rPr>
                <w:rFonts w:ascii="Arial" w:hAnsi="Arial" w:cs="Arial"/>
                <w:sz w:val="18"/>
                <w:szCs w:val="18"/>
              </w:rPr>
              <w:t>a regla, porque se considera que</w:t>
            </w:r>
            <w:r>
              <w:rPr>
                <w:rFonts w:ascii="Arial" w:hAnsi="Arial" w:cs="Arial"/>
                <w:sz w:val="18"/>
                <w:szCs w:val="18"/>
              </w:rPr>
              <w:t xml:space="preserve"> </w:t>
            </w:r>
            <w:r w:rsidRPr="00C46E16">
              <w:rPr>
                <w:rFonts w:ascii="Arial" w:hAnsi="Arial" w:cs="Arial"/>
                <w:sz w:val="18"/>
                <w:szCs w:val="18"/>
              </w:rPr>
              <w:t>puede ser muy controvertido que por subir al sistema el archivo ya se entienda no sólo que está</w:t>
            </w:r>
            <w:r>
              <w:rPr>
                <w:rFonts w:ascii="Arial" w:hAnsi="Arial" w:cs="Arial"/>
                <w:sz w:val="18"/>
                <w:szCs w:val="18"/>
              </w:rPr>
              <w:t xml:space="preserve"> </w:t>
            </w:r>
            <w:r w:rsidRPr="00C46E16">
              <w:rPr>
                <w:rFonts w:ascii="Arial" w:hAnsi="Arial" w:cs="Arial"/>
                <w:sz w:val="18"/>
                <w:szCs w:val="18"/>
              </w:rPr>
              <w:t>notificado, sino que la notificación surtió efectos, sin que exista alguna regla específica que</w:t>
            </w:r>
            <w:r>
              <w:rPr>
                <w:rFonts w:ascii="Arial" w:hAnsi="Arial" w:cs="Arial"/>
                <w:sz w:val="18"/>
                <w:szCs w:val="18"/>
              </w:rPr>
              <w:t xml:space="preserve"> </w:t>
            </w:r>
            <w:r w:rsidRPr="00C46E16">
              <w:rPr>
                <w:rFonts w:ascii="Arial" w:hAnsi="Arial" w:cs="Arial"/>
                <w:sz w:val="18"/>
                <w:szCs w:val="18"/>
              </w:rPr>
              <w:t xml:space="preserve">permita a los usuarios conocer el contenido del acto </w:t>
            </w:r>
            <w:r>
              <w:rPr>
                <w:rFonts w:ascii="Arial" w:hAnsi="Arial" w:cs="Arial"/>
                <w:sz w:val="18"/>
                <w:szCs w:val="18"/>
              </w:rPr>
              <w:lastRenderedPageBreak/>
              <w:t>a</w:t>
            </w:r>
            <w:r w:rsidRPr="00C46E16">
              <w:rPr>
                <w:rFonts w:ascii="Arial" w:hAnsi="Arial" w:cs="Arial"/>
                <w:sz w:val="18"/>
                <w:szCs w:val="18"/>
              </w:rPr>
              <w:t>dministrativo o, en caso de que no lo</w:t>
            </w:r>
            <w:r>
              <w:rPr>
                <w:rFonts w:ascii="Arial" w:hAnsi="Arial" w:cs="Arial"/>
                <w:sz w:val="18"/>
                <w:szCs w:val="18"/>
              </w:rPr>
              <w:t xml:space="preserve"> </w:t>
            </w:r>
            <w:r w:rsidRPr="00C46E16">
              <w:rPr>
                <w:rFonts w:ascii="Arial" w:hAnsi="Arial" w:cs="Arial"/>
                <w:sz w:val="18"/>
                <w:szCs w:val="18"/>
              </w:rPr>
              <w:t>consulte, una regla que presuma que tenían que conocerlo.</w:t>
            </w:r>
          </w:p>
        </w:tc>
        <w:tc>
          <w:tcPr>
            <w:tcW w:w="3568" w:type="dxa"/>
            <w:shd w:val="clear" w:color="auto" w:fill="auto"/>
          </w:tcPr>
          <w:p w14:paraId="37C62D09" w14:textId="4C7E85E9" w:rsidR="0083504E" w:rsidRDefault="00370E58" w:rsidP="00351108">
            <w:pPr>
              <w:spacing w:before="120" w:after="120" w:line="23" w:lineRule="atLeast"/>
              <w:jc w:val="both"/>
              <w:rPr>
                <w:rFonts w:ascii="Arial" w:hAnsi="Arial" w:cs="Arial"/>
                <w:sz w:val="18"/>
                <w:szCs w:val="18"/>
              </w:rPr>
            </w:pPr>
            <w:r>
              <w:rPr>
                <w:rFonts w:ascii="Arial" w:hAnsi="Arial" w:cs="Arial"/>
                <w:sz w:val="18"/>
                <w:szCs w:val="18"/>
              </w:rPr>
              <w:lastRenderedPageBreak/>
              <w:t>Se considera que el comentario</w:t>
            </w:r>
            <w:r w:rsidR="003F41D4">
              <w:rPr>
                <w:rFonts w:ascii="Arial" w:hAnsi="Arial" w:cs="Arial"/>
                <w:sz w:val="18"/>
                <w:szCs w:val="18"/>
              </w:rPr>
              <w:t xml:space="preserve"> no</w:t>
            </w:r>
            <w:r>
              <w:rPr>
                <w:rFonts w:ascii="Arial" w:hAnsi="Arial" w:cs="Arial"/>
                <w:sz w:val="18"/>
                <w:szCs w:val="18"/>
              </w:rPr>
              <w:t xml:space="preserve"> es válido</w:t>
            </w:r>
            <w:r w:rsidR="003F41D4">
              <w:rPr>
                <w:rFonts w:ascii="Arial" w:hAnsi="Arial" w:cs="Arial"/>
                <w:sz w:val="18"/>
                <w:szCs w:val="18"/>
              </w:rPr>
              <w:t xml:space="preserve"> por lo siguiente:</w:t>
            </w:r>
            <w:r>
              <w:rPr>
                <w:rFonts w:ascii="Arial" w:hAnsi="Arial" w:cs="Arial"/>
                <w:sz w:val="18"/>
                <w:szCs w:val="18"/>
              </w:rPr>
              <w:t xml:space="preserve"> </w:t>
            </w:r>
          </w:p>
          <w:p w14:paraId="35E9A986" w14:textId="20FD8089" w:rsidR="003F41D4" w:rsidRPr="003F41D4" w:rsidRDefault="003F41D4" w:rsidP="003F41D4">
            <w:pPr>
              <w:spacing w:before="120" w:after="120" w:line="23" w:lineRule="atLeast"/>
              <w:jc w:val="both"/>
              <w:rPr>
                <w:rFonts w:ascii="Arial" w:hAnsi="Arial" w:cs="Arial"/>
                <w:sz w:val="18"/>
                <w:szCs w:val="18"/>
              </w:rPr>
            </w:pPr>
            <w:r>
              <w:rPr>
                <w:rFonts w:ascii="Arial" w:hAnsi="Arial" w:cs="Arial"/>
                <w:sz w:val="18"/>
                <w:szCs w:val="18"/>
              </w:rPr>
              <w:t>N</w:t>
            </w:r>
            <w:r w:rsidRPr="003F41D4">
              <w:rPr>
                <w:rFonts w:ascii="Arial" w:hAnsi="Arial" w:cs="Arial"/>
                <w:sz w:val="18"/>
                <w:szCs w:val="18"/>
              </w:rPr>
              <w:t xml:space="preserve">o habría problema </w:t>
            </w:r>
            <w:proofErr w:type="gramStart"/>
            <w:r w:rsidRPr="003F41D4">
              <w:rPr>
                <w:rFonts w:ascii="Arial" w:hAnsi="Arial" w:cs="Arial"/>
                <w:sz w:val="18"/>
                <w:szCs w:val="18"/>
              </w:rPr>
              <w:t>ya que</w:t>
            </w:r>
            <w:proofErr w:type="gramEnd"/>
            <w:r w:rsidRPr="003F41D4">
              <w:rPr>
                <w:rFonts w:ascii="Arial" w:hAnsi="Arial" w:cs="Arial"/>
                <w:sz w:val="18"/>
                <w:szCs w:val="18"/>
              </w:rPr>
              <w:t xml:space="preserve"> en cuestión de comunicaciones electrónicas, diversas disposiciones jurídicas de carácter internacional (por ejemplo diversos </w:t>
            </w:r>
            <w:r w:rsidRPr="003F41D4">
              <w:rPr>
                <w:rFonts w:ascii="Arial" w:hAnsi="Arial" w:cs="Arial"/>
                <w:sz w:val="18"/>
                <w:szCs w:val="18"/>
              </w:rPr>
              <w:lastRenderedPageBreak/>
              <w:t xml:space="preserve">ordenamientos de la CNUDMI) establecen que las comunicaciones electrónicas se consideran emitidas desde el momento que salen del sistema de información del emisor y se consideran recibidas desde el momento en que la comunicación entre al sistema de información acordado para la recepción de las comunicaciones. Es decir, desde el momento en que la comunicación entre al sistema del receptor y la comunicación pueda ser consultada por el receptor, independientemente del momento en que el receptor efectivamente lo consulte. </w:t>
            </w:r>
          </w:p>
          <w:p w14:paraId="340BC8F8" w14:textId="3838C4FD" w:rsidR="0083504E" w:rsidRDefault="003F41D4" w:rsidP="003F41D4">
            <w:pPr>
              <w:spacing w:before="120" w:after="120" w:line="23" w:lineRule="atLeast"/>
              <w:jc w:val="both"/>
              <w:rPr>
                <w:rFonts w:ascii="Arial" w:hAnsi="Arial" w:cs="Arial"/>
                <w:sz w:val="18"/>
                <w:szCs w:val="18"/>
              </w:rPr>
            </w:pPr>
            <w:r w:rsidRPr="003F41D4">
              <w:rPr>
                <w:rFonts w:ascii="Arial" w:hAnsi="Arial" w:cs="Arial"/>
                <w:sz w:val="18"/>
                <w:szCs w:val="18"/>
              </w:rPr>
              <w:t xml:space="preserve">Así, mientras exista la voluntad previa y expresa por parte de los usuarios de aceptar comunicaciones electrónicas ya sea a través </w:t>
            </w:r>
            <w:r>
              <w:rPr>
                <w:rFonts w:ascii="Arial" w:hAnsi="Arial" w:cs="Arial"/>
                <w:sz w:val="18"/>
                <w:szCs w:val="18"/>
              </w:rPr>
              <w:t>d</w:t>
            </w:r>
            <w:r w:rsidRPr="003F41D4">
              <w:rPr>
                <w:rFonts w:ascii="Arial" w:hAnsi="Arial" w:cs="Arial"/>
                <w:sz w:val="18"/>
                <w:szCs w:val="18"/>
              </w:rPr>
              <w:t>el Sistema electrónico o un correo electrónico designado para tal efecto, no existe problema para que la notificación se considere válida desde el momento en que se encuentre disponible para su consulta. Asimismo, el hecho de que esté establecido en los lineamientos también brinda certeza a las partes del momento en que se considera válida la notificación.</w:t>
            </w:r>
          </w:p>
          <w:p w14:paraId="265919A6" w14:textId="4447AEE4" w:rsidR="00C46E16" w:rsidRDefault="003F41D4" w:rsidP="00351108">
            <w:pPr>
              <w:spacing w:before="120" w:after="120" w:line="23" w:lineRule="atLeast"/>
              <w:jc w:val="both"/>
              <w:rPr>
                <w:rFonts w:ascii="Arial" w:hAnsi="Arial" w:cs="Arial"/>
                <w:sz w:val="18"/>
                <w:szCs w:val="18"/>
              </w:rPr>
            </w:pPr>
            <w:r>
              <w:rPr>
                <w:rFonts w:ascii="Arial" w:hAnsi="Arial" w:cs="Arial"/>
                <w:sz w:val="18"/>
                <w:szCs w:val="18"/>
              </w:rPr>
              <w:t xml:space="preserve">No </w:t>
            </w:r>
            <w:proofErr w:type="gramStart"/>
            <w:r>
              <w:rPr>
                <w:rFonts w:ascii="Arial" w:hAnsi="Arial" w:cs="Arial"/>
                <w:sz w:val="18"/>
                <w:szCs w:val="18"/>
              </w:rPr>
              <w:t>obstante</w:t>
            </w:r>
            <w:proofErr w:type="gramEnd"/>
            <w:r>
              <w:rPr>
                <w:rFonts w:ascii="Arial" w:hAnsi="Arial" w:cs="Arial"/>
                <w:sz w:val="18"/>
                <w:szCs w:val="18"/>
              </w:rPr>
              <w:t xml:space="preserve"> lo anteriormente considerado, se agrega al artículo 43 la siguiente obligación de los Usuarios, a fin de agregar certeza a la notificación con las reglas plasmadas:</w:t>
            </w:r>
          </w:p>
          <w:p w14:paraId="34CAAFC0" w14:textId="305BCA85" w:rsidR="00370E58" w:rsidRDefault="003F41D4" w:rsidP="00370E58">
            <w:pPr>
              <w:spacing w:before="120" w:after="120" w:line="23" w:lineRule="atLeast"/>
              <w:jc w:val="both"/>
              <w:rPr>
                <w:rFonts w:ascii="Arial" w:hAnsi="Arial" w:cs="Arial"/>
                <w:sz w:val="18"/>
                <w:szCs w:val="18"/>
              </w:rPr>
            </w:pPr>
            <w:r>
              <w:rPr>
                <w:rFonts w:ascii="Arial" w:hAnsi="Arial" w:cs="Arial"/>
                <w:sz w:val="18"/>
                <w:szCs w:val="18"/>
              </w:rPr>
              <w:t>“</w:t>
            </w:r>
            <w:r w:rsidRPr="003F41D4">
              <w:rPr>
                <w:rFonts w:ascii="Arial" w:hAnsi="Arial" w:cs="Arial"/>
                <w:sz w:val="18"/>
                <w:szCs w:val="18"/>
              </w:rPr>
              <w:t>Consultar diariamente el Tablero electrónico o el Portal de notificaciones electrónicas</w:t>
            </w:r>
            <w:r>
              <w:rPr>
                <w:rFonts w:ascii="Arial" w:hAnsi="Arial" w:cs="Arial"/>
                <w:sz w:val="18"/>
                <w:szCs w:val="18"/>
              </w:rPr>
              <w:t>”</w:t>
            </w:r>
          </w:p>
        </w:tc>
      </w:tr>
      <w:tr w:rsidR="00C46E16" w:rsidRPr="008003C4" w14:paraId="2A6D69C5" w14:textId="77777777" w:rsidTr="00351108">
        <w:trPr>
          <w:jc w:val="center"/>
        </w:trPr>
        <w:tc>
          <w:tcPr>
            <w:tcW w:w="1691" w:type="dxa"/>
            <w:shd w:val="clear" w:color="auto" w:fill="auto"/>
            <w:vAlign w:val="center"/>
          </w:tcPr>
          <w:p w14:paraId="623D2FC4" w14:textId="2E784748" w:rsidR="00C46E16" w:rsidRPr="00427261" w:rsidRDefault="00C46E16" w:rsidP="00351108">
            <w:pPr>
              <w:spacing w:before="120" w:after="120" w:line="23" w:lineRule="atLeast"/>
              <w:rPr>
                <w:rFonts w:ascii="Arial" w:hAnsi="Arial" w:cs="Arial"/>
                <w:b/>
                <w:sz w:val="18"/>
                <w:szCs w:val="18"/>
              </w:rPr>
            </w:pPr>
            <w:r w:rsidRPr="00427261">
              <w:rPr>
                <w:rFonts w:ascii="Arial" w:hAnsi="Arial" w:cs="Arial"/>
                <w:b/>
                <w:sz w:val="18"/>
                <w:szCs w:val="18"/>
              </w:rPr>
              <w:lastRenderedPageBreak/>
              <w:t>Artículo 51</w:t>
            </w:r>
          </w:p>
        </w:tc>
        <w:tc>
          <w:tcPr>
            <w:tcW w:w="4087" w:type="dxa"/>
            <w:shd w:val="clear" w:color="auto" w:fill="auto"/>
          </w:tcPr>
          <w:p w14:paraId="605E5BA0" w14:textId="03D843EE" w:rsidR="00C46E16" w:rsidRPr="00427261" w:rsidRDefault="00C46E16" w:rsidP="00C46E16">
            <w:pPr>
              <w:autoSpaceDE w:val="0"/>
              <w:autoSpaceDN w:val="0"/>
              <w:adjustRightInd w:val="0"/>
              <w:spacing w:after="0" w:line="240" w:lineRule="auto"/>
              <w:rPr>
                <w:rFonts w:ascii="Arial" w:hAnsi="Arial" w:cs="Arial"/>
                <w:sz w:val="18"/>
                <w:szCs w:val="18"/>
              </w:rPr>
            </w:pPr>
            <w:r w:rsidRPr="00427261">
              <w:rPr>
                <w:rFonts w:ascii="Arial" w:hAnsi="Arial" w:cs="Arial"/>
                <w:sz w:val="18"/>
                <w:szCs w:val="18"/>
              </w:rPr>
              <w:t>Si de acuerdo con el artículo 50, la notificación surte efectos cuando el acto se encuentra disponible en el sistema electrónico ¿por qué la fracción I de este artículo dice que la cédula de notificación recaba la fecha y hora en que se ingresa para notificarse?</w:t>
            </w:r>
          </w:p>
        </w:tc>
        <w:tc>
          <w:tcPr>
            <w:tcW w:w="3568" w:type="dxa"/>
            <w:shd w:val="clear" w:color="auto" w:fill="auto"/>
          </w:tcPr>
          <w:p w14:paraId="035BE670" w14:textId="59712772" w:rsidR="00C46E16" w:rsidRDefault="00370E58" w:rsidP="00351108">
            <w:pPr>
              <w:spacing w:before="120" w:after="120" w:line="23" w:lineRule="atLeast"/>
              <w:jc w:val="both"/>
              <w:rPr>
                <w:rFonts w:ascii="Arial" w:hAnsi="Arial" w:cs="Arial"/>
                <w:sz w:val="18"/>
                <w:szCs w:val="18"/>
              </w:rPr>
            </w:pPr>
            <w:r>
              <w:rPr>
                <w:rFonts w:ascii="Arial" w:hAnsi="Arial" w:cs="Arial"/>
                <w:sz w:val="18"/>
                <w:szCs w:val="18"/>
              </w:rPr>
              <w:t>Se considera que el comentario es válido. Al respecto</w:t>
            </w:r>
            <w:r w:rsidR="009A0C73">
              <w:rPr>
                <w:rFonts w:ascii="Arial" w:hAnsi="Arial" w:cs="Arial"/>
                <w:sz w:val="18"/>
                <w:szCs w:val="18"/>
              </w:rPr>
              <w:t>,</w:t>
            </w:r>
            <w:r>
              <w:rPr>
                <w:rFonts w:ascii="Arial" w:hAnsi="Arial" w:cs="Arial"/>
                <w:sz w:val="18"/>
                <w:szCs w:val="18"/>
              </w:rPr>
              <w:t xml:space="preserve"> la</w:t>
            </w:r>
            <w:r w:rsidR="003F41D4">
              <w:rPr>
                <w:rFonts w:ascii="Arial" w:hAnsi="Arial" w:cs="Arial"/>
                <w:sz w:val="18"/>
                <w:szCs w:val="18"/>
              </w:rPr>
              <w:t xml:space="preserve">s fracciones I y II </w:t>
            </w:r>
            <w:r w:rsidRPr="00BF2F95">
              <w:rPr>
                <w:rFonts w:ascii="Arial" w:hAnsi="Arial" w:cs="Arial"/>
                <w:sz w:val="18"/>
                <w:szCs w:val="18"/>
              </w:rPr>
              <w:t>del artículo 51 se modifica</w:t>
            </w:r>
            <w:r w:rsidR="003F41D4" w:rsidRPr="00BF2F95">
              <w:rPr>
                <w:rFonts w:ascii="Arial" w:hAnsi="Arial" w:cs="Arial"/>
                <w:sz w:val="18"/>
                <w:szCs w:val="18"/>
              </w:rPr>
              <w:t>n</w:t>
            </w:r>
            <w:r w:rsidRPr="00BF2F95">
              <w:rPr>
                <w:rFonts w:ascii="Arial" w:hAnsi="Arial" w:cs="Arial"/>
                <w:sz w:val="18"/>
                <w:szCs w:val="18"/>
              </w:rPr>
              <w:t xml:space="preserve"> para quedar como sigue</w:t>
            </w:r>
            <w:r w:rsidR="003F41D4" w:rsidRPr="00BF2F95">
              <w:rPr>
                <w:rFonts w:ascii="Arial" w:hAnsi="Arial" w:cs="Arial"/>
                <w:sz w:val="18"/>
                <w:szCs w:val="18"/>
              </w:rPr>
              <w:t>, respectivamente</w:t>
            </w:r>
            <w:r w:rsidRPr="00BF2F95">
              <w:rPr>
                <w:rFonts w:ascii="Arial" w:hAnsi="Arial" w:cs="Arial"/>
                <w:sz w:val="18"/>
                <w:szCs w:val="18"/>
              </w:rPr>
              <w:t>:</w:t>
            </w:r>
          </w:p>
          <w:p w14:paraId="05AA5728" w14:textId="3669211D" w:rsidR="003F41D4" w:rsidRPr="003F41D4" w:rsidRDefault="003F41D4" w:rsidP="003F41D4">
            <w:pPr>
              <w:spacing w:before="120" w:after="120" w:line="23" w:lineRule="atLeast"/>
              <w:jc w:val="both"/>
              <w:rPr>
                <w:rFonts w:ascii="Arial" w:hAnsi="Arial" w:cs="Arial"/>
                <w:sz w:val="18"/>
                <w:szCs w:val="18"/>
              </w:rPr>
            </w:pPr>
            <w:r>
              <w:rPr>
                <w:rFonts w:ascii="Arial" w:hAnsi="Arial" w:cs="Arial"/>
                <w:sz w:val="18"/>
                <w:szCs w:val="18"/>
              </w:rPr>
              <w:t>“</w:t>
            </w:r>
            <w:r w:rsidRPr="003F41D4">
              <w:rPr>
                <w:rFonts w:ascii="Arial" w:hAnsi="Arial" w:cs="Arial"/>
                <w:sz w:val="18"/>
                <w:szCs w:val="18"/>
              </w:rPr>
              <w:t>Fecha y hora a partir de la cual se encuentra disponible el Acto Administrativo Electrónico en el Tablero electrónico.</w:t>
            </w:r>
            <w:r>
              <w:rPr>
                <w:rFonts w:ascii="Arial" w:hAnsi="Arial" w:cs="Arial"/>
                <w:sz w:val="18"/>
                <w:szCs w:val="18"/>
              </w:rPr>
              <w:t>”</w:t>
            </w:r>
          </w:p>
          <w:p w14:paraId="1EEDF8C5" w14:textId="47C87DAD" w:rsidR="00370E58" w:rsidRPr="00427261" w:rsidRDefault="003F41D4" w:rsidP="003F41D4">
            <w:pPr>
              <w:spacing w:before="120" w:after="120" w:line="23" w:lineRule="atLeast"/>
              <w:jc w:val="both"/>
              <w:rPr>
                <w:rFonts w:ascii="Arial" w:hAnsi="Arial" w:cs="Arial"/>
                <w:sz w:val="18"/>
                <w:szCs w:val="18"/>
              </w:rPr>
            </w:pPr>
            <w:r>
              <w:rPr>
                <w:rFonts w:ascii="Arial" w:hAnsi="Arial" w:cs="Arial"/>
                <w:sz w:val="18"/>
                <w:szCs w:val="18"/>
              </w:rPr>
              <w:t>“</w:t>
            </w:r>
            <w:r w:rsidRPr="003F41D4">
              <w:rPr>
                <w:rFonts w:ascii="Arial" w:hAnsi="Arial" w:cs="Arial"/>
                <w:sz w:val="18"/>
                <w:szCs w:val="18"/>
              </w:rPr>
              <w:t>Fecha y hora en la que se ingresó al el Acto Administrativo Electrónico a notificarse, es decir, la fecha y hora de notificación</w:t>
            </w:r>
            <w:r>
              <w:rPr>
                <w:rFonts w:ascii="Arial" w:hAnsi="Arial" w:cs="Arial"/>
                <w:sz w:val="18"/>
                <w:szCs w:val="18"/>
              </w:rPr>
              <w:t>”</w:t>
            </w:r>
          </w:p>
        </w:tc>
      </w:tr>
      <w:tr w:rsidR="00427261" w:rsidRPr="008003C4" w14:paraId="01002716" w14:textId="77777777" w:rsidTr="00427261">
        <w:trPr>
          <w:jc w:val="center"/>
        </w:trPr>
        <w:tc>
          <w:tcPr>
            <w:tcW w:w="1691" w:type="dxa"/>
            <w:shd w:val="clear" w:color="auto" w:fill="auto"/>
            <w:vAlign w:val="center"/>
          </w:tcPr>
          <w:p w14:paraId="15EA59F1" w14:textId="6DE5B2CC" w:rsidR="00427261" w:rsidRPr="009A0C73" w:rsidRDefault="00427261" w:rsidP="00427261">
            <w:pPr>
              <w:spacing w:before="120" w:after="120" w:line="23" w:lineRule="atLeast"/>
              <w:rPr>
                <w:rFonts w:ascii="Arial" w:hAnsi="Arial" w:cs="Arial"/>
                <w:b/>
                <w:bCs/>
                <w:sz w:val="18"/>
                <w:szCs w:val="18"/>
              </w:rPr>
            </w:pPr>
            <w:r w:rsidRPr="009A0C73">
              <w:rPr>
                <w:rFonts w:ascii="Arial" w:hAnsi="Arial" w:cs="Arial"/>
                <w:b/>
                <w:bCs/>
                <w:sz w:val="18"/>
                <w:szCs w:val="18"/>
              </w:rPr>
              <w:t>Artículo 53</w:t>
            </w:r>
          </w:p>
        </w:tc>
        <w:tc>
          <w:tcPr>
            <w:tcW w:w="4087" w:type="dxa"/>
            <w:shd w:val="clear" w:color="auto" w:fill="auto"/>
          </w:tcPr>
          <w:p w14:paraId="5A893AC8" w14:textId="20093EB6" w:rsidR="00427261" w:rsidRPr="009A0C73" w:rsidRDefault="00427261" w:rsidP="00427261">
            <w:pPr>
              <w:spacing w:before="120" w:after="120" w:line="23" w:lineRule="atLeast"/>
              <w:jc w:val="both"/>
              <w:rPr>
                <w:rFonts w:ascii="Arial" w:hAnsi="Arial" w:cs="Arial"/>
                <w:sz w:val="18"/>
                <w:szCs w:val="18"/>
              </w:rPr>
            </w:pPr>
            <w:r w:rsidRPr="009A0C73">
              <w:rPr>
                <w:rFonts w:ascii="Arial" w:hAnsi="Arial" w:cs="Arial"/>
                <w:sz w:val="18"/>
                <w:szCs w:val="18"/>
              </w:rPr>
              <w:t>Sugiere señalar la causa exacta de que se envíe o no la alerta, señalando que el texto actual se traduce en una facultad discrecional.</w:t>
            </w:r>
          </w:p>
        </w:tc>
        <w:tc>
          <w:tcPr>
            <w:tcW w:w="3568" w:type="dxa"/>
            <w:shd w:val="clear" w:color="auto" w:fill="auto"/>
          </w:tcPr>
          <w:p w14:paraId="541CB448" w14:textId="77777777" w:rsidR="009A0C73" w:rsidRPr="009A0C73" w:rsidRDefault="009A0C73" w:rsidP="00427261">
            <w:pPr>
              <w:spacing w:before="120" w:after="120" w:line="23" w:lineRule="atLeast"/>
              <w:jc w:val="both"/>
              <w:rPr>
                <w:rFonts w:ascii="Arial" w:hAnsi="Arial" w:cs="Arial"/>
                <w:sz w:val="18"/>
                <w:szCs w:val="18"/>
              </w:rPr>
            </w:pPr>
            <w:r w:rsidRPr="009A0C73">
              <w:rPr>
                <w:rFonts w:ascii="Arial" w:hAnsi="Arial" w:cs="Arial"/>
                <w:sz w:val="18"/>
                <w:szCs w:val="18"/>
              </w:rPr>
              <w:t xml:space="preserve">Se considera que el comentario es válido. Al respecto, se modifica </w:t>
            </w:r>
            <w:r w:rsidRPr="00935A94">
              <w:rPr>
                <w:rFonts w:ascii="Arial" w:hAnsi="Arial" w:cs="Arial"/>
                <w:sz w:val="18"/>
                <w:szCs w:val="18"/>
              </w:rPr>
              <w:t>el artículo 53</w:t>
            </w:r>
            <w:r w:rsidRPr="009A0C73">
              <w:rPr>
                <w:rFonts w:ascii="Arial" w:hAnsi="Arial" w:cs="Arial"/>
                <w:sz w:val="18"/>
                <w:szCs w:val="18"/>
              </w:rPr>
              <w:t xml:space="preserve"> para quedar como sigue:</w:t>
            </w:r>
          </w:p>
          <w:p w14:paraId="5DA0E864" w14:textId="07F71021" w:rsidR="00427261" w:rsidRPr="009A0C73" w:rsidRDefault="009A0C73" w:rsidP="00427261">
            <w:pPr>
              <w:spacing w:before="120" w:after="120" w:line="23" w:lineRule="atLeast"/>
              <w:jc w:val="both"/>
              <w:rPr>
                <w:rFonts w:ascii="Arial" w:hAnsi="Arial" w:cs="Arial"/>
                <w:sz w:val="18"/>
                <w:szCs w:val="18"/>
              </w:rPr>
            </w:pPr>
            <w:r w:rsidRPr="009A0C73">
              <w:rPr>
                <w:rFonts w:ascii="Arial" w:hAnsi="Arial" w:cs="Arial"/>
                <w:sz w:val="18"/>
                <w:szCs w:val="18"/>
              </w:rPr>
              <w:t xml:space="preserve">“El Sistema electrónico deberá enviar al Usuario una alerta a la dirección de correo electrónico registrada a fin de informarle de la existencia de un nuevo Acto </w:t>
            </w:r>
            <w:r w:rsidRPr="009A0C73">
              <w:rPr>
                <w:rFonts w:ascii="Arial" w:hAnsi="Arial" w:cs="Arial"/>
                <w:sz w:val="18"/>
                <w:szCs w:val="18"/>
              </w:rPr>
              <w:lastRenderedPageBreak/>
              <w:t>Administrativo Electrónico por notificar; asimismo, cuando el Usuario ingrese al Sistema electrónico y consulte el Expediente electrónico, el sistema le indicará si existe algún Acto Administrativo Electrónico pendiente que deba consultar. En su caso, el Sistema electrónico lo remitirá al Tablero electrónico para que pueda consultar el Acto Administrativo Electrónico correspondiente.”</w:t>
            </w:r>
          </w:p>
        </w:tc>
      </w:tr>
      <w:tr w:rsidR="00427261" w:rsidRPr="008003C4" w14:paraId="26E340DD" w14:textId="77777777" w:rsidTr="00427261">
        <w:trPr>
          <w:jc w:val="center"/>
        </w:trPr>
        <w:tc>
          <w:tcPr>
            <w:tcW w:w="1691" w:type="dxa"/>
            <w:shd w:val="clear" w:color="auto" w:fill="auto"/>
            <w:vAlign w:val="center"/>
          </w:tcPr>
          <w:p w14:paraId="074B7D51" w14:textId="64F618E6" w:rsidR="00427261" w:rsidRPr="00427261" w:rsidRDefault="00427261" w:rsidP="00427261">
            <w:pPr>
              <w:spacing w:before="120" w:after="120" w:line="23" w:lineRule="atLeast"/>
              <w:rPr>
                <w:rFonts w:ascii="Arial" w:hAnsi="Arial" w:cs="Arial"/>
                <w:b/>
                <w:bCs/>
                <w:sz w:val="18"/>
                <w:szCs w:val="18"/>
              </w:rPr>
            </w:pPr>
            <w:r>
              <w:rPr>
                <w:rFonts w:ascii="Arial" w:hAnsi="Arial" w:cs="Arial"/>
                <w:b/>
                <w:sz w:val="18"/>
                <w:szCs w:val="18"/>
              </w:rPr>
              <w:lastRenderedPageBreak/>
              <w:t>Artículo 55</w:t>
            </w:r>
          </w:p>
        </w:tc>
        <w:tc>
          <w:tcPr>
            <w:tcW w:w="4087" w:type="dxa"/>
            <w:shd w:val="clear" w:color="auto" w:fill="auto"/>
          </w:tcPr>
          <w:p w14:paraId="761335EF" w14:textId="6B6BA9BE" w:rsidR="00CE6E6A" w:rsidRPr="00427261" w:rsidRDefault="00CE6E6A" w:rsidP="00427261">
            <w:pPr>
              <w:spacing w:before="120" w:after="120" w:line="23" w:lineRule="atLeast"/>
              <w:jc w:val="both"/>
              <w:rPr>
                <w:rFonts w:ascii="Arial" w:hAnsi="Arial" w:cs="Arial"/>
                <w:sz w:val="18"/>
                <w:szCs w:val="18"/>
              </w:rPr>
            </w:pPr>
            <w:r>
              <w:rPr>
                <w:rFonts w:ascii="Arial" w:hAnsi="Arial" w:cs="Arial"/>
                <w:sz w:val="18"/>
                <w:szCs w:val="18"/>
              </w:rPr>
              <w:t>S</w:t>
            </w:r>
            <w:r w:rsidRPr="00CE6E6A">
              <w:rPr>
                <w:rFonts w:ascii="Arial" w:hAnsi="Arial" w:cs="Arial"/>
                <w:sz w:val="18"/>
                <w:szCs w:val="18"/>
              </w:rPr>
              <w:t xml:space="preserve">e sugiere </w:t>
            </w:r>
            <w:r>
              <w:rPr>
                <w:rFonts w:ascii="Arial" w:hAnsi="Arial" w:cs="Arial"/>
                <w:sz w:val="18"/>
                <w:szCs w:val="18"/>
              </w:rPr>
              <w:t>modificar</w:t>
            </w:r>
            <w:r w:rsidRPr="00CE6E6A">
              <w:rPr>
                <w:rFonts w:ascii="Arial" w:hAnsi="Arial" w:cs="Arial"/>
                <w:sz w:val="18"/>
                <w:szCs w:val="18"/>
              </w:rPr>
              <w:t xml:space="preserve"> el artículo referido</w:t>
            </w:r>
            <w:r>
              <w:rPr>
                <w:rFonts w:ascii="Arial" w:hAnsi="Arial" w:cs="Arial"/>
                <w:sz w:val="18"/>
                <w:szCs w:val="18"/>
              </w:rPr>
              <w:t xml:space="preserve"> a fin </w:t>
            </w:r>
            <w:r w:rsidRPr="00CE6E6A">
              <w:rPr>
                <w:rFonts w:ascii="Arial" w:hAnsi="Arial" w:cs="Arial"/>
                <w:sz w:val="18"/>
                <w:szCs w:val="18"/>
              </w:rPr>
              <w:t>de que no se realice ningún cobro de derechos por la expedición de copias certificadas digitales, toda vez que esto no implica un gasto de recursos materiales para el Estado.</w:t>
            </w:r>
            <w:r>
              <w:rPr>
                <w:rFonts w:ascii="Arial" w:hAnsi="Arial" w:cs="Arial"/>
                <w:sz w:val="18"/>
                <w:szCs w:val="18"/>
              </w:rPr>
              <w:t xml:space="preserve"> La Suprema Corte de Justicia de la Nación ya ha resuelto que el cobro de derechos no debe implicar lucro alguno.</w:t>
            </w:r>
          </w:p>
        </w:tc>
        <w:tc>
          <w:tcPr>
            <w:tcW w:w="3568" w:type="dxa"/>
            <w:shd w:val="clear" w:color="auto" w:fill="auto"/>
          </w:tcPr>
          <w:p w14:paraId="5A0903CA" w14:textId="1F74DE52" w:rsidR="00427261" w:rsidRPr="00427261" w:rsidRDefault="0016272F" w:rsidP="00427261">
            <w:pPr>
              <w:spacing w:before="120" w:after="120" w:line="23" w:lineRule="atLeast"/>
              <w:jc w:val="both"/>
              <w:rPr>
                <w:rFonts w:ascii="Arial" w:hAnsi="Arial" w:cs="Arial"/>
                <w:sz w:val="18"/>
                <w:szCs w:val="18"/>
              </w:rPr>
            </w:pPr>
            <w:r>
              <w:rPr>
                <w:rFonts w:ascii="Arial" w:hAnsi="Arial" w:cs="Arial"/>
                <w:sz w:val="18"/>
                <w:szCs w:val="18"/>
              </w:rPr>
              <w:t xml:space="preserve">Se considera que el comentario no es válido. </w:t>
            </w:r>
            <w:r w:rsidR="00CE6E6A">
              <w:rPr>
                <w:rFonts w:ascii="Arial" w:hAnsi="Arial" w:cs="Arial"/>
                <w:sz w:val="18"/>
                <w:szCs w:val="18"/>
              </w:rPr>
              <w:t xml:space="preserve">La fracción I, del artículo 5, de la Ley Federal de Derechos no hace distinción entre copias certificadas físicas y electrónicas, por lo que es aplicable al presente caso. Por otra parte, es falso que la expedición de copias certificadas electrónicas no implica un costo para el Estado, dado que hay un funcionario público que se ocupa de llevar a cabo la diligencia; y el diseño, implementación, mantenimiento y uso de los sistemas requeridos para firmar y remitir </w:t>
            </w:r>
            <w:r w:rsidR="005D0B71">
              <w:rPr>
                <w:rFonts w:ascii="Arial" w:hAnsi="Arial" w:cs="Arial"/>
                <w:sz w:val="18"/>
                <w:szCs w:val="18"/>
              </w:rPr>
              <w:t>a través de medios electrónicos</w:t>
            </w:r>
            <w:r w:rsidR="00CE6E6A">
              <w:rPr>
                <w:rFonts w:ascii="Arial" w:hAnsi="Arial" w:cs="Arial"/>
                <w:sz w:val="18"/>
                <w:szCs w:val="18"/>
              </w:rPr>
              <w:t xml:space="preserve"> dichas copias tienen claramente un costo para el Estado.</w:t>
            </w:r>
          </w:p>
        </w:tc>
      </w:tr>
    </w:tbl>
    <w:p w14:paraId="648E7284" w14:textId="77777777" w:rsidR="00427261" w:rsidRDefault="00427261" w:rsidP="00427261">
      <w:pPr>
        <w:spacing w:before="120" w:after="120" w:line="23" w:lineRule="atLeast"/>
        <w:jc w:val="both"/>
        <w:rPr>
          <w:rFonts w:ascii="Arial" w:hAnsi="Arial" w:cs="Arial"/>
          <w:b/>
          <w:bCs/>
        </w:rPr>
      </w:pPr>
      <w:r>
        <w:rPr>
          <w:rFonts w:ascii="Arial" w:hAnsi="Arial" w:cs="Arial"/>
          <w:b/>
        </w:rPr>
        <w:t>8</w:t>
      </w:r>
      <w:r w:rsidRPr="00BD5C05">
        <w:rPr>
          <w:rFonts w:ascii="Arial" w:hAnsi="Arial" w:cs="Arial"/>
          <w:b/>
        </w:rPr>
        <w:t>.</w:t>
      </w:r>
      <w:r>
        <w:rPr>
          <w:rFonts w:ascii="Arial" w:hAnsi="Arial" w:cs="Arial"/>
          <w:b/>
        </w:rPr>
        <w:t>5</w:t>
      </w:r>
      <w:r w:rsidRPr="00BD5C05">
        <w:rPr>
          <w:rFonts w:ascii="Arial" w:hAnsi="Arial" w:cs="Arial"/>
          <w:b/>
        </w:rPr>
        <w:t xml:space="preserve"> </w:t>
      </w:r>
      <w:r>
        <w:rPr>
          <w:rFonts w:ascii="Arial" w:hAnsi="Arial" w:cs="Arial"/>
          <w:b/>
        </w:rPr>
        <w:t>Capítulo</w:t>
      </w:r>
      <w:r w:rsidRPr="00BD5C05">
        <w:rPr>
          <w:rFonts w:ascii="Arial" w:hAnsi="Arial" w:cs="Arial"/>
          <w:b/>
          <w:bCs/>
        </w:rPr>
        <w:t xml:space="preserve"> </w:t>
      </w:r>
      <w:r>
        <w:rPr>
          <w:rFonts w:ascii="Arial" w:hAnsi="Arial" w:cs="Arial"/>
          <w:b/>
          <w:bCs/>
        </w:rPr>
        <w:t>VI</w:t>
      </w:r>
      <w:r w:rsidRPr="00BD5C05">
        <w:rPr>
          <w:rFonts w:ascii="Arial" w:hAnsi="Arial" w:cs="Arial"/>
          <w:b/>
          <w:bCs/>
        </w:rPr>
        <w:t xml:space="preserve">. </w:t>
      </w:r>
      <w:r w:rsidRPr="00912F2E">
        <w:rPr>
          <w:rFonts w:ascii="Arial" w:hAnsi="Arial" w:cs="Arial"/>
          <w:b/>
          <w:bCs/>
        </w:rPr>
        <w:t>De la revocación de los Medios electrónicos</w:t>
      </w:r>
    </w:p>
    <w:p w14:paraId="47CC2378" w14:textId="77777777" w:rsidR="00427261" w:rsidRDefault="00427261" w:rsidP="00427261">
      <w:pPr>
        <w:spacing w:before="120" w:after="120" w:line="23" w:lineRule="atLeast"/>
        <w:jc w:val="both"/>
        <w:rPr>
          <w:rFonts w:ascii="Arial" w:hAnsi="Arial" w:cs="Arial"/>
          <w:b/>
          <w:bCs/>
        </w:rPr>
      </w:pPr>
      <w:r>
        <w:rPr>
          <w:rFonts w:ascii="Arial" w:hAnsi="Arial" w:cs="Arial"/>
          <w:b/>
          <w:bCs/>
        </w:rPr>
        <w:t xml:space="preserve">8.5.1. </w:t>
      </w:r>
      <w:r w:rsidRPr="00BD5C05">
        <w:rPr>
          <w:rFonts w:ascii="Arial" w:hAnsi="Arial" w:cs="Arial"/>
          <w:b/>
          <w:bCs/>
        </w:rPr>
        <w:t xml:space="preserve">Síntesis de los comentarios recibidos respecto de la propuesta del </w:t>
      </w:r>
      <w:r>
        <w:rPr>
          <w:rFonts w:ascii="Arial" w:hAnsi="Arial" w:cs="Arial"/>
          <w:b/>
        </w:rPr>
        <w:t>Capítulo</w:t>
      </w:r>
      <w:r w:rsidRPr="00BD5C05">
        <w:rPr>
          <w:rFonts w:ascii="Arial" w:hAnsi="Arial" w:cs="Arial"/>
          <w:b/>
          <w:bCs/>
        </w:rPr>
        <w:t xml:space="preserve"> </w:t>
      </w:r>
      <w:r>
        <w:rPr>
          <w:rFonts w:ascii="Arial" w:hAnsi="Arial" w:cs="Arial"/>
          <w:b/>
          <w:bCs/>
        </w:rPr>
        <w:t>VI</w:t>
      </w:r>
      <w:r w:rsidRPr="00BD5C05">
        <w:rPr>
          <w:rFonts w:ascii="Arial" w:hAnsi="Arial" w:cs="Arial"/>
          <w:b/>
          <w:bCs/>
        </w:rPr>
        <w:t xml:space="preserve">. </w:t>
      </w:r>
      <w:r w:rsidRPr="00912F2E">
        <w:rPr>
          <w:rFonts w:ascii="Arial" w:hAnsi="Arial" w:cs="Arial"/>
          <w:b/>
          <w:bCs/>
        </w:rPr>
        <w:t>De la revocación de los Medios electrónicos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691"/>
        <w:gridCol w:w="4111"/>
        <w:gridCol w:w="3582"/>
      </w:tblGrid>
      <w:tr w:rsidR="00427261" w:rsidRPr="00F45E04" w14:paraId="6C1554E6" w14:textId="77777777" w:rsidTr="00351108">
        <w:trPr>
          <w:tblHeader/>
          <w:jc w:val="center"/>
        </w:trPr>
        <w:tc>
          <w:tcPr>
            <w:tcW w:w="1691" w:type="dxa"/>
            <w:shd w:val="clear" w:color="auto" w:fill="70AD47" w:themeFill="accent6"/>
          </w:tcPr>
          <w:p w14:paraId="7D79938C"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111" w:type="dxa"/>
            <w:shd w:val="clear" w:color="auto" w:fill="70AD47" w:themeFill="accent6"/>
          </w:tcPr>
          <w:p w14:paraId="3C1E63B6" w14:textId="77777777" w:rsidR="00427261" w:rsidRPr="00F45E04" w:rsidRDefault="00427261"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82" w:type="dxa"/>
            <w:shd w:val="clear" w:color="auto" w:fill="70AD47" w:themeFill="accent6"/>
          </w:tcPr>
          <w:p w14:paraId="74E40EB6"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27261" w14:paraId="4DB5A028" w14:textId="77777777" w:rsidTr="00351108">
        <w:trPr>
          <w:jc w:val="center"/>
        </w:trPr>
        <w:tc>
          <w:tcPr>
            <w:tcW w:w="9384" w:type="dxa"/>
            <w:gridSpan w:val="3"/>
            <w:shd w:val="clear" w:color="auto" w:fill="C5E0B3" w:themeFill="accent6" w:themeFillTint="66"/>
          </w:tcPr>
          <w:p w14:paraId="0966F445" w14:textId="77777777" w:rsidR="00427261" w:rsidRDefault="00427261" w:rsidP="00351108">
            <w:pPr>
              <w:spacing w:before="120" w:after="120" w:line="23" w:lineRule="atLeast"/>
              <w:jc w:val="center"/>
              <w:rPr>
                <w:rFonts w:ascii="Arial" w:hAnsi="Arial" w:cs="Arial"/>
                <w:b/>
                <w:sz w:val="18"/>
                <w:szCs w:val="18"/>
              </w:rPr>
            </w:pPr>
            <w:r w:rsidRPr="004B59A4">
              <w:rPr>
                <w:rFonts w:ascii="Arial" w:hAnsi="Arial" w:cs="Arial"/>
                <w:b/>
                <w:bCs/>
                <w:sz w:val="18"/>
                <w:szCs w:val="18"/>
              </w:rPr>
              <w:t>VI. De la revocación de los Medios electrónicos</w:t>
            </w:r>
          </w:p>
        </w:tc>
      </w:tr>
      <w:tr w:rsidR="00427261" w:rsidRPr="008003C4" w14:paraId="51203455" w14:textId="77777777" w:rsidTr="00351108">
        <w:trPr>
          <w:jc w:val="center"/>
        </w:trPr>
        <w:tc>
          <w:tcPr>
            <w:tcW w:w="1691" w:type="dxa"/>
            <w:shd w:val="clear" w:color="auto" w:fill="auto"/>
            <w:vAlign w:val="center"/>
          </w:tcPr>
          <w:p w14:paraId="4BCDF500" w14:textId="77777777" w:rsidR="00427261" w:rsidRDefault="00427261" w:rsidP="00351108">
            <w:pPr>
              <w:spacing w:before="120" w:after="120" w:line="23" w:lineRule="atLeast"/>
              <w:rPr>
                <w:rFonts w:ascii="Arial" w:hAnsi="Arial" w:cs="Arial"/>
                <w:b/>
                <w:sz w:val="18"/>
                <w:szCs w:val="18"/>
              </w:rPr>
            </w:pPr>
            <w:r>
              <w:rPr>
                <w:rFonts w:ascii="Arial" w:hAnsi="Arial" w:cs="Arial"/>
                <w:b/>
                <w:sz w:val="18"/>
                <w:szCs w:val="18"/>
              </w:rPr>
              <w:t>Artículo 64</w:t>
            </w:r>
          </w:p>
        </w:tc>
        <w:tc>
          <w:tcPr>
            <w:tcW w:w="4111" w:type="dxa"/>
            <w:shd w:val="clear" w:color="auto" w:fill="auto"/>
          </w:tcPr>
          <w:p w14:paraId="373CCC01" w14:textId="536BE66D" w:rsidR="00427261" w:rsidRDefault="001B6BF9"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No poder cambiar la vía de sustanciación sin considerar que puede existir una imposibilidad física o tecnológica de los agentes económicos para mantener dicha vía puede provocar que los procedimientos sean más tardados e ineficientes. Se sugiere que el uso de ambos tipos de medios sea complementario.</w:t>
            </w:r>
          </w:p>
        </w:tc>
        <w:tc>
          <w:tcPr>
            <w:tcW w:w="3582" w:type="dxa"/>
            <w:shd w:val="clear" w:color="auto" w:fill="auto"/>
          </w:tcPr>
          <w:p w14:paraId="4950A1FC" w14:textId="14915E3F" w:rsidR="00386014" w:rsidRDefault="00427261"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que el comentario no es válido</w:t>
            </w:r>
            <w:r w:rsidR="001B6BF9">
              <w:rPr>
                <w:rFonts w:ascii="Arial" w:hAnsi="Arial" w:cs="Arial"/>
                <w:sz w:val="18"/>
                <w:szCs w:val="18"/>
              </w:rPr>
              <w:t xml:space="preserve">. En cuanto a su primera parte se debe tener en cuenta que, como lo establece el artículo 16 de los Lineamientos, son aplicables a la sustanciación de trámites y procedimientos </w:t>
            </w:r>
            <w:r w:rsidR="00386014">
              <w:rPr>
                <w:rFonts w:ascii="Arial" w:hAnsi="Arial" w:cs="Arial"/>
                <w:sz w:val="18"/>
                <w:szCs w:val="18"/>
              </w:rPr>
              <w:t>por Medios electrónicos los plazos previstos en la LFCE y las DRLFCE, por lo que dicha sustanciación no debe ser más tardada en ninguno de sus plazos que lo establecido en los citados ordenamientos. Por otra parte, existe un espacio considerable para hacer más eficiente la sustanciación de los trámites y procedimientos, ya que la mayor parte de sus fases podrá llevarse a cabo sin la necesidad de presentar documentos físicos.</w:t>
            </w:r>
          </w:p>
          <w:p w14:paraId="326B1563" w14:textId="6DF13872" w:rsidR="00427261" w:rsidRDefault="00386014"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En cuanto a la segunda parte del comentario, se remite al participante a las consideraciones emitidas respecto de los comentarios al artículo 5 de los Lineamientos, donde se da cuenta de </w:t>
            </w:r>
            <w:r>
              <w:rPr>
                <w:rFonts w:ascii="Arial" w:hAnsi="Arial" w:cs="Arial"/>
                <w:sz w:val="18"/>
                <w:szCs w:val="18"/>
              </w:rPr>
              <w:lastRenderedPageBreak/>
              <w:t>modificaciones al anteproyecto con la finalidad de hacer más flexible el uso de los Medios electrónicos en la sustanciación de trámites y procedimientos ante la Unidad de Competencia Económica.</w:t>
            </w:r>
          </w:p>
        </w:tc>
      </w:tr>
    </w:tbl>
    <w:p w14:paraId="5B8471A6" w14:textId="77777777" w:rsidR="00427261" w:rsidRDefault="00427261" w:rsidP="00427261">
      <w:pPr>
        <w:spacing w:before="120" w:after="120" w:line="23" w:lineRule="atLeast"/>
        <w:jc w:val="both"/>
        <w:rPr>
          <w:rFonts w:ascii="Arial" w:hAnsi="Arial" w:cs="Arial"/>
          <w:b/>
          <w:bCs/>
        </w:rPr>
      </w:pPr>
      <w:r>
        <w:rPr>
          <w:rFonts w:ascii="Arial" w:hAnsi="Arial" w:cs="Arial"/>
          <w:b/>
        </w:rPr>
        <w:lastRenderedPageBreak/>
        <w:t>8</w:t>
      </w:r>
      <w:r w:rsidRPr="00BD5C05">
        <w:rPr>
          <w:rFonts w:ascii="Arial" w:hAnsi="Arial" w:cs="Arial"/>
          <w:b/>
        </w:rPr>
        <w:t>.</w:t>
      </w:r>
      <w:r>
        <w:rPr>
          <w:rFonts w:ascii="Arial" w:hAnsi="Arial" w:cs="Arial"/>
          <w:b/>
        </w:rPr>
        <w:t>6</w:t>
      </w:r>
      <w:r w:rsidRPr="00BD5C05">
        <w:rPr>
          <w:rFonts w:ascii="Arial" w:hAnsi="Arial" w:cs="Arial"/>
          <w:b/>
        </w:rPr>
        <w:t xml:space="preserve"> </w:t>
      </w:r>
      <w:r>
        <w:rPr>
          <w:rFonts w:ascii="Arial" w:hAnsi="Arial" w:cs="Arial"/>
          <w:b/>
        </w:rPr>
        <w:t>Capítulo</w:t>
      </w:r>
      <w:r w:rsidRPr="00BD5C05">
        <w:rPr>
          <w:rFonts w:ascii="Arial" w:hAnsi="Arial" w:cs="Arial"/>
          <w:b/>
          <w:bCs/>
        </w:rPr>
        <w:t xml:space="preserve"> </w:t>
      </w:r>
      <w:r>
        <w:rPr>
          <w:rFonts w:ascii="Arial" w:hAnsi="Arial" w:cs="Arial"/>
          <w:b/>
          <w:bCs/>
        </w:rPr>
        <w:t>VII</w:t>
      </w:r>
      <w:r w:rsidRPr="00BD5C05">
        <w:rPr>
          <w:rFonts w:ascii="Arial" w:hAnsi="Arial" w:cs="Arial"/>
          <w:b/>
          <w:bCs/>
        </w:rPr>
        <w:t xml:space="preserve">. </w:t>
      </w:r>
      <w:r w:rsidRPr="00912F2E">
        <w:rPr>
          <w:rFonts w:ascii="Arial" w:hAnsi="Arial" w:cs="Arial"/>
          <w:b/>
          <w:bCs/>
        </w:rPr>
        <w:t>De las pruebas y audiencia oral por Medios electrónicos</w:t>
      </w:r>
    </w:p>
    <w:p w14:paraId="0308E62B" w14:textId="77777777" w:rsidR="00427261" w:rsidRDefault="00427261" w:rsidP="00427261">
      <w:pPr>
        <w:spacing w:before="120" w:after="120" w:line="23" w:lineRule="atLeast"/>
        <w:jc w:val="both"/>
        <w:rPr>
          <w:rFonts w:ascii="Arial" w:hAnsi="Arial" w:cs="Arial"/>
          <w:b/>
          <w:bCs/>
        </w:rPr>
      </w:pPr>
      <w:r>
        <w:rPr>
          <w:rFonts w:ascii="Arial" w:hAnsi="Arial" w:cs="Arial"/>
          <w:b/>
          <w:bCs/>
        </w:rPr>
        <w:t xml:space="preserve">8.6.1. </w:t>
      </w:r>
      <w:r w:rsidRPr="00BD5C05">
        <w:rPr>
          <w:rFonts w:ascii="Arial" w:hAnsi="Arial" w:cs="Arial"/>
          <w:b/>
          <w:bCs/>
        </w:rPr>
        <w:t xml:space="preserve">Síntesis de los comentarios recibidos respecto de la propuesta del </w:t>
      </w:r>
      <w:r>
        <w:rPr>
          <w:rFonts w:ascii="Arial" w:hAnsi="Arial" w:cs="Arial"/>
          <w:b/>
        </w:rPr>
        <w:t>Capítulo</w:t>
      </w:r>
      <w:r w:rsidRPr="00BD5C05">
        <w:rPr>
          <w:rFonts w:ascii="Arial" w:hAnsi="Arial" w:cs="Arial"/>
          <w:b/>
          <w:bCs/>
        </w:rPr>
        <w:t xml:space="preserve"> </w:t>
      </w:r>
      <w:r>
        <w:rPr>
          <w:rFonts w:ascii="Arial" w:hAnsi="Arial" w:cs="Arial"/>
          <w:b/>
          <w:bCs/>
        </w:rPr>
        <w:t>VII</w:t>
      </w:r>
      <w:r w:rsidRPr="00BD5C05">
        <w:rPr>
          <w:rFonts w:ascii="Arial" w:hAnsi="Arial" w:cs="Arial"/>
          <w:b/>
          <w:bCs/>
        </w:rPr>
        <w:t xml:space="preserve">. </w:t>
      </w:r>
      <w:r w:rsidRPr="00912F2E">
        <w:rPr>
          <w:rFonts w:ascii="Arial" w:hAnsi="Arial" w:cs="Arial"/>
          <w:b/>
          <w:bCs/>
        </w:rPr>
        <w:t>De las pruebas y audiencia oral por Medios electrónicos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691"/>
        <w:gridCol w:w="4111"/>
        <w:gridCol w:w="225"/>
        <w:gridCol w:w="3357"/>
      </w:tblGrid>
      <w:tr w:rsidR="00427261" w:rsidRPr="00F45E04" w14:paraId="4D4D2DF4" w14:textId="77777777" w:rsidTr="00351108">
        <w:trPr>
          <w:tblHeader/>
          <w:jc w:val="center"/>
        </w:trPr>
        <w:tc>
          <w:tcPr>
            <w:tcW w:w="1691" w:type="dxa"/>
            <w:shd w:val="clear" w:color="auto" w:fill="70AD47" w:themeFill="accent6"/>
          </w:tcPr>
          <w:p w14:paraId="0772B293"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336" w:type="dxa"/>
            <w:gridSpan w:val="2"/>
            <w:shd w:val="clear" w:color="auto" w:fill="70AD47" w:themeFill="accent6"/>
          </w:tcPr>
          <w:p w14:paraId="563978A9" w14:textId="77777777" w:rsidR="00427261" w:rsidRPr="00F45E04" w:rsidRDefault="00427261"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357" w:type="dxa"/>
            <w:shd w:val="clear" w:color="auto" w:fill="70AD47" w:themeFill="accent6"/>
          </w:tcPr>
          <w:p w14:paraId="75D6D242"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27261" w14:paraId="12048752" w14:textId="77777777" w:rsidTr="00351108">
        <w:trPr>
          <w:jc w:val="center"/>
        </w:trPr>
        <w:tc>
          <w:tcPr>
            <w:tcW w:w="9384" w:type="dxa"/>
            <w:gridSpan w:val="4"/>
            <w:shd w:val="clear" w:color="auto" w:fill="C5E0B3" w:themeFill="accent6" w:themeFillTint="66"/>
          </w:tcPr>
          <w:p w14:paraId="24E8CCC6" w14:textId="77777777" w:rsidR="00427261" w:rsidRDefault="00427261" w:rsidP="00351108">
            <w:pPr>
              <w:spacing w:before="120" w:after="120" w:line="23" w:lineRule="atLeast"/>
              <w:jc w:val="center"/>
              <w:rPr>
                <w:rFonts w:ascii="Arial" w:hAnsi="Arial" w:cs="Arial"/>
                <w:b/>
                <w:sz w:val="18"/>
                <w:szCs w:val="18"/>
              </w:rPr>
            </w:pPr>
            <w:r w:rsidRPr="00A63673">
              <w:rPr>
                <w:rFonts w:ascii="Arial" w:hAnsi="Arial" w:cs="Arial"/>
                <w:b/>
                <w:sz w:val="18"/>
                <w:szCs w:val="18"/>
              </w:rPr>
              <w:t>VII. De las pruebas y audiencia oral por Medios electrónicos</w:t>
            </w:r>
          </w:p>
        </w:tc>
      </w:tr>
      <w:tr w:rsidR="00427261" w:rsidRPr="008003C4" w14:paraId="2289AA47" w14:textId="77777777" w:rsidTr="00351108">
        <w:trPr>
          <w:jc w:val="center"/>
        </w:trPr>
        <w:tc>
          <w:tcPr>
            <w:tcW w:w="1691" w:type="dxa"/>
            <w:shd w:val="clear" w:color="auto" w:fill="auto"/>
            <w:vAlign w:val="center"/>
          </w:tcPr>
          <w:p w14:paraId="52C821E4" w14:textId="77777777" w:rsidR="00427261" w:rsidRDefault="00427261" w:rsidP="00351108">
            <w:pPr>
              <w:spacing w:before="120" w:after="120" w:line="23" w:lineRule="atLeast"/>
              <w:rPr>
                <w:rFonts w:ascii="Arial" w:hAnsi="Arial" w:cs="Arial"/>
                <w:b/>
                <w:sz w:val="18"/>
                <w:szCs w:val="18"/>
              </w:rPr>
            </w:pPr>
            <w:r>
              <w:rPr>
                <w:rFonts w:ascii="Arial" w:hAnsi="Arial" w:cs="Arial"/>
                <w:b/>
                <w:sz w:val="18"/>
                <w:szCs w:val="18"/>
              </w:rPr>
              <w:t>Artículo 70</w:t>
            </w:r>
          </w:p>
        </w:tc>
        <w:tc>
          <w:tcPr>
            <w:tcW w:w="4111" w:type="dxa"/>
            <w:shd w:val="clear" w:color="auto" w:fill="auto"/>
          </w:tcPr>
          <w:p w14:paraId="62C8FE25" w14:textId="22F6D9CD" w:rsidR="00427261" w:rsidRDefault="00CF1653"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E</w:t>
            </w:r>
            <w:r w:rsidR="00427261">
              <w:rPr>
                <w:rFonts w:ascii="Arial" w:hAnsi="Arial" w:cs="Arial"/>
                <w:sz w:val="18"/>
                <w:szCs w:val="18"/>
              </w:rPr>
              <w:t>l artículo atenta contra el principio de certeza jurídica</w:t>
            </w:r>
            <w:r>
              <w:rPr>
                <w:rFonts w:ascii="Arial" w:hAnsi="Arial" w:cs="Arial"/>
                <w:sz w:val="18"/>
                <w:szCs w:val="18"/>
              </w:rPr>
              <w:t xml:space="preserve"> y el derecho humano de acceso a la justicia porque parece señalar </w:t>
            </w:r>
            <w:r w:rsidR="00427261">
              <w:rPr>
                <w:rFonts w:ascii="Arial" w:hAnsi="Arial" w:cs="Arial"/>
                <w:sz w:val="18"/>
                <w:szCs w:val="18"/>
              </w:rPr>
              <w:t>que</w:t>
            </w:r>
            <w:r>
              <w:rPr>
                <w:rFonts w:ascii="Arial" w:hAnsi="Arial" w:cs="Arial"/>
                <w:sz w:val="18"/>
                <w:szCs w:val="18"/>
              </w:rPr>
              <w:t xml:space="preserve"> en el desahogo de</w:t>
            </w:r>
            <w:r w:rsidR="00427261">
              <w:rPr>
                <w:rFonts w:ascii="Arial" w:hAnsi="Arial" w:cs="Arial"/>
                <w:sz w:val="18"/>
                <w:szCs w:val="18"/>
              </w:rPr>
              <w:t xml:space="preserve"> comparecencias a través de medio</w:t>
            </w:r>
            <w:r>
              <w:rPr>
                <w:rFonts w:ascii="Arial" w:hAnsi="Arial" w:cs="Arial"/>
                <w:sz w:val="18"/>
                <w:szCs w:val="18"/>
              </w:rPr>
              <w:t>s</w:t>
            </w:r>
            <w:r w:rsidR="00427261">
              <w:rPr>
                <w:rFonts w:ascii="Arial" w:hAnsi="Arial" w:cs="Arial"/>
                <w:sz w:val="18"/>
                <w:szCs w:val="18"/>
              </w:rPr>
              <w:t xml:space="preserve"> electrónicos</w:t>
            </w:r>
            <w:r>
              <w:rPr>
                <w:rFonts w:ascii="Arial" w:hAnsi="Arial" w:cs="Arial"/>
                <w:sz w:val="18"/>
                <w:szCs w:val="18"/>
              </w:rPr>
              <w:t xml:space="preserve"> se aplicarán supletoriamente </w:t>
            </w:r>
            <w:r w:rsidR="00427261">
              <w:rPr>
                <w:rFonts w:ascii="Arial" w:hAnsi="Arial" w:cs="Arial"/>
                <w:sz w:val="18"/>
                <w:szCs w:val="18"/>
              </w:rPr>
              <w:t>la LFCE y las DRLFCE</w:t>
            </w:r>
            <w:r>
              <w:rPr>
                <w:rFonts w:ascii="Arial" w:hAnsi="Arial" w:cs="Arial"/>
                <w:sz w:val="18"/>
                <w:szCs w:val="18"/>
              </w:rPr>
              <w:t xml:space="preserve">, pero los </w:t>
            </w:r>
            <w:r w:rsidRPr="00CF1653">
              <w:rPr>
                <w:rFonts w:ascii="Arial" w:hAnsi="Arial" w:cs="Arial"/>
                <w:sz w:val="18"/>
                <w:szCs w:val="18"/>
              </w:rPr>
              <w:t xml:space="preserve">Lineamientos </w:t>
            </w:r>
            <w:r>
              <w:rPr>
                <w:rFonts w:ascii="Arial" w:hAnsi="Arial" w:cs="Arial"/>
                <w:sz w:val="18"/>
                <w:szCs w:val="18"/>
              </w:rPr>
              <w:t xml:space="preserve">constituyen un ordenamiento de </w:t>
            </w:r>
            <w:r w:rsidRPr="00CF1653">
              <w:rPr>
                <w:rFonts w:ascii="Arial" w:hAnsi="Arial" w:cs="Arial"/>
                <w:sz w:val="18"/>
                <w:szCs w:val="18"/>
              </w:rPr>
              <w:t xml:space="preserve">una jerarquía menor </w:t>
            </w:r>
            <w:r>
              <w:rPr>
                <w:rFonts w:ascii="Arial" w:hAnsi="Arial" w:cs="Arial"/>
                <w:sz w:val="18"/>
                <w:szCs w:val="18"/>
              </w:rPr>
              <w:t>por lo que</w:t>
            </w:r>
            <w:r w:rsidRPr="00CF1653">
              <w:rPr>
                <w:rFonts w:ascii="Arial" w:hAnsi="Arial" w:cs="Arial"/>
                <w:sz w:val="18"/>
                <w:szCs w:val="18"/>
              </w:rPr>
              <w:t xml:space="preserve"> no pueden desconocer</w:t>
            </w:r>
            <w:r>
              <w:rPr>
                <w:rFonts w:ascii="Arial" w:hAnsi="Arial" w:cs="Arial"/>
                <w:sz w:val="18"/>
                <w:szCs w:val="18"/>
              </w:rPr>
              <w:t xml:space="preserve"> ni contravenir a los primeros.</w:t>
            </w:r>
          </w:p>
        </w:tc>
        <w:tc>
          <w:tcPr>
            <w:tcW w:w="3582" w:type="dxa"/>
            <w:gridSpan w:val="2"/>
            <w:shd w:val="clear" w:color="auto" w:fill="auto"/>
          </w:tcPr>
          <w:p w14:paraId="08413343" w14:textId="22E23BDC" w:rsidR="003E7A34" w:rsidRDefault="003E7A34" w:rsidP="00351108">
            <w:pPr>
              <w:autoSpaceDE w:val="0"/>
              <w:autoSpaceDN w:val="0"/>
              <w:adjustRightInd w:val="0"/>
              <w:spacing w:after="0" w:line="240" w:lineRule="auto"/>
              <w:jc w:val="both"/>
              <w:rPr>
                <w:rFonts w:ascii="Arial" w:hAnsi="Arial" w:cs="Arial"/>
                <w:sz w:val="18"/>
                <w:szCs w:val="18"/>
              </w:rPr>
            </w:pPr>
            <w:r w:rsidRPr="003E7A34">
              <w:rPr>
                <w:rFonts w:ascii="Arial" w:hAnsi="Arial" w:cs="Arial"/>
                <w:sz w:val="18"/>
                <w:szCs w:val="18"/>
              </w:rPr>
              <w:t xml:space="preserve">Se considera que el comentario es válido en cuanto a que la redacción del artículo puede dar lugar a interpretaciones erróneas, por lo que se </w:t>
            </w:r>
            <w:r w:rsidRPr="00935A94">
              <w:rPr>
                <w:rFonts w:ascii="Arial" w:hAnsi="Arial" w:cs="Arial"/>
                <w:sz w:val="18"/>
                <w:szCs w:val="18"/>
              </w:rPr>
              <w:t>modifica el artículo 70 para quedar de la siguiente</w:t>
            </w:r>
            <w:r w:rsidRPr="003E7A34">
              <w:rPr>
                <w:rFonts w:ascii="Arial" w:hAnsi="Arial" w:cs="Arial"/>
                <w:sz w:val="18"/>
                <w:szCs w:val="18"/>
              </w:rPr>
              <w:t xml:space="preserve"> manera:</w:t>
            </w:r>
          </w:p>
          <w:p w14:paraId="1341964F" w14:textId="5630052D" w:rsidR="003E7A34" w:rsidRDefault="003E7A34" w:rsidP="00351108">
            <w:pPr>
              <w:autoSpaceDE w:val="0"/>
              <w:autoSpaceDN w:val="0"/>
              <w:adjustRightInd w:val="0"/>
              <w:spacing w:after="0" w:line="240" w:lineRule="auto"/>
              <w:jc w:val="both"/>
              <w:rPr>
                <w:rFonts w:ascii="Arial" w:hAnsi="Arial" w:cs="Arial"/>
                <w:sz w:val="18"/>
                <w:szCs w:val="18"/>
              </w:rPr>
            </w:pPr>
          </w:p>
          <w:p w14:paraId="0B437D32" w14:textId="3F8C5DEA" w:rsidR="003E7A34" w:rsidRDefault="003E7A34"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r w:rsidRPr="003E7A34">
              <w:rPr>
                <w:rFonts w:ascii="Arial" w:hAnsi="Arial" w:cs="Arial"/>
                <w:sz w:val="18"/>
                <w:szCs w:val="18"/>
              </w:rPr>
              <w:t>Las comparecencias que se desahoguen por Medios electrónicos se harán en términos de la presente Sección y, en lo que resulte aplicable, conforme a lo dispuesto en la LFCE y las DRLFCE.</w:t>
            </w:r>
            <w:r>
              <w:rPr>
                <w:rFonts w:ascii="Arial" w:hAnsi="Arial" w:cs="Arial"/>
                <w:sz w:val="18"/>
                <w:szCs w:val="18"/>
              </w:rPr>
              <w:t>”</w:t>
            </w:r>
          </w:p>
          <w:p w14:paraId="53CAB4DF" w14:textId="20AC2CD9" w:rsidR="00427261" w:rsidRDefault="00427261"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tc>
      </w:tr>
      <w:tr w:rsidR="0010635C" w:rsidRPr="008003C4" w14:paraId="30C32FC8" w14:textId="77777777" w:rsidTr="00351108">
        <w:trPr>
          <w:jc w:val="center"/>
        </w:trPr>
        <w:tc>
          <w:tcPr>
            <w:tcW w:w="1691" w:type="dxa"/>
            <w:shd w:val="clear" w:color="auto" w:fill="auto"/>
            <w:vAlign w:val="center"/>
          </w:tcPr>
          <w:p w14:paraId="3058FABC" w14:textId="5889BA8B" w:rsidR="0010635C" w:rsidRDefault="0010635C" w:rsidP="00351108">
            <w:pPr>
              <w:spacing w:before="120" w:after="120" w:line="23" w:lineRule="atLeast"/>
              <w:rPr>
                <w:rFonts w:ascii="Arial" w:hAnsi="Arial" w:cs="Arial"/>
                <w:b/>
                <w:sz w:val="18"/>
                <w:szCs w:val="18"/>
              </w:rPr>
            </w:pPr>
            <w:r>
              <w:rPr>
                <w:rFonts w:ascii="Arial" w:hAnsi="Arial" w:cs="Arial"/>
                <w:b/>
                <w:sz w:val="18"/>
                <w:szCs w:val="18"/>
              </w:rPr>
              <w:t>Artículo 77</w:t>
            </w:r>
          </w:p>
        </w:tc>
        <w:tc>
          <w:tcPr>
            <w:tcW w:w="4111" w:type="dxa"/>
            <w:shd w:val="clear" w:color="auto" w:fill="auto"/>
          </w:tcPr>
          <w:p w14:paraId="6097DBF5" w14:textId="2044DAE3" w:rsidR="0010635C" w:rsidRPr="00E8703C" w:rsidRDefault="0010635C" w:rsidP="0010635C">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En su fracción VII, se recomienda establecer reglas para garantizar la confidencialidad o reserva de la información, en caso de que la diligencia contenga secciones que deban identificarse así</w:t>
            </w:r>
          </w:p>
        </w:tc>
        <w:tc>
          <w:tcPr>
            <w:tcW w:w="3582" w:type="dxa"/>
            <w:gridSpan w:val="2"/>
            <w:shd w:val="clear" w:color="auto" w:fill="auto"/>
          </w:tcPr>
          <w:p w14:paraId="3CDE21CB" w14:textId="54FBEF1A" w:rsidR="0010635C" w:rsidRPr="003E7A34" w:rsidRDefault="008A230D"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Se considera que el comentario no es válido, pues las disposiciones </w:t>
            </w:r>
            <w:r w:rsidR="00E8703C">
              <w:rPr>
                <w:rFonts w:ascii="Arial" w:hAnsi="Arial" w:cs="Arial"/>
                <w:sz w:val="18"/>
                <w:szCs w:val="18"/>
              </w:rPr>
              <w:t xml:space="preserve">establecidas en </w:t>
            </w:r>
            <w:proofErr w:type="gramStart"/>
            <w:r w:rsidR="00E8703C">
              <w:rPr>
                <w:rFonts w:ascii="Arial" w:hAnsi="Arial" w:cs="Arial"/>
                <w:sz w:val="18"/>
                <w:szCs w:val="18"/>
              </w:rPr>
              <w:t>los artículo</w:t>
            </w:r>
            <w:proofErr w:type="gramEnd"/>
            <w:r w:rsidR="00E8703C">
              <w:rPr>
                <w:rFonts w:ascii="Arial" w:hAnsi="Arial" w:cs="Arial"/>
                <w:sz w:val="18"/>
                <w:szCs w:val="18"/>
              </w:rPr>
              <w:t xml:space="preserve"> 124 y 125 de la LFCE siguen siendo aplicables en todas las circunstancias reguladas por estos Lineamientos</w:t>
            </w:r>
          </w:p>
        </w:tc>
      </w:tr>
      <w:tr w:rsidR="0010635C" w:rsidRPr="008003C4" w14:paraId="32353F3E" w14:textId="77777777" w:rsidTr="00351108">
        <w:trPr>
          <w:jc w:val="center"/>
        </w:trPr>
        <w:tc>
          <w:tcPr>
            <w:tcW w:w="1691" w:type="dxa"/>
            <w:vMerge w:val="restart"/>
            <w:shd w:val="clear" w:color="auto" w:fill="auto"/>
            <w:vAlign w:val="center"/>
          </w:tcPr>
          <w:p w14:paraId="6B78D865" w14:textId="6993E735" w:rsidR="0010635C" w:rsidRDefault="0010635C" w:rsidP="00351108">
            <w:pPr>
              <w:spacing w:before="120" w:after="120" w:line="23" w:lineRule="atLeast"/>
              <w:rPr>
                <w:rFonts w:ascii="Arial" w:hAnsi="Arial" w:cs="Arial"/>
                <w:b/>
                <w:sz w:val="18"/>
                <w:szCs w:val="18"/>
              </w:rPr>
            </w:pPr>
            <w:r>
              <w:rPr>
                <w:rFonts w:ascii="Arial" w:hAnsi="Arial" w:cs="Arial"/>
                <w:b/>
                <w:sz w:val="18"/>
                <w:szCs w:val="18"/>
              </w:rPr>
              <w:t>Artículo 83</w:t>
            </w:r>
          </w:p>
        </w:tc>
        <w:tc>
          <w:tcPr>
            <w:tcW w:w="4111" w:type="dxa"/>
            <w:shd w:val="clear" w:color="auto" w:fill="auto"/>
          </w:tcPr>
          <w:p w14:paraId="161283E5" w14:textId="1DF682FE" w:rsidR="0010635C" w:rsidRPr="00E8703C" w:rsidRDefault="0010635C" w:rsidP="007B6B9E">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El artículo indica que se notificará la citación vía tablero o correo electrónicos, pero no dice si eso también aplica cuando hay personas en el expediente que no eligieron el desahogo a través de esa vía y por ello no dieron un correo electrónico porque eligieron la vía tradicional.</w:t>
            </w:r>
          </w:p>
        </w:tc>
        <w:tc>
          <w:tcPr>
            <w:tcW w:w="3582" w:type="dxa"/>
            <w:gridSpan w:val="2"/>
            <w:shd w:val="clear" w:color="auto" w:fill="auto"/>
          </w:tcPr>
          <w:p w14:paraId="5F5A9C91" w14:textId="1EC11817" w:rsidR="0010635C" w:rsidRPr="003E7A34"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que el comentario no es válido pues conforme al artículo 67 el oferente debe establecer el medio por el que se llevará a cabo el desahogo de la prueba y brindar todos los requisitos conducentes.</w:t>
            </w:r>
          </w:p>
        </w:tc>
      </w:tr>
      <w:tr w:rsidR="0010635C" w:rsidRPr="008003C4" w14:paraId="77D9ABA0" w14:textId="77777777" w:rsidTr="00351108">
        <w:trPr>
          <w:jc w:val="center"/>
        </w:trPr>
        <w:tc>
          <w:tcPr>
            <w:tcW w:w="1691" w:type="dxa"/>
            <w:vMerge/>
            <w:shd w:val="clear" w:color="auto" w:fill="auto"/>
            <w:vAlign w:val="center"/>
          </w:tcPr>
          <w:p w14:paraId="79ED728F" w14:textId="77777777" w:rsidR="0010635C" w:rsidRDefault="0010635C" w:rsidP="00351108">
            <w:pPr>
              <w:spacing w:before="120" w:after="120" w:line="23" w:lineRule="atLeast"/>
              <w:rPr>
                <w:rFonts w:ascii="Arial" w:hAnsi="Arial" w:cs="Arial"/>
                <w:b/>
                <w:sz w:val="18"/>
                <w:szCs w:val="18"/>
              </w:rPr>
            </w:pPr>
          </w:p>
        </w:tc>
        <w:tc>
          <w:tcPr>
            <w:tcW w:w="4111" w:type="dxa"/>
            <w:shd w:val="clear" w:color="auto" w:fill="auto"/>
          </w:tcPr>
          <w:p w14:paraId="2550CB0B" w14:textId="3EA53BD0" w:rsidR="0010635C" w:rsidRPr="00E8703C" w:rsidRDefault="0010635C" w:rsidP="007B6B9E">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Se recomienda establecer reglas para garantizar la confidencialidad o reserva de la información, en caso de que el compareciente señale que dirá información confidencial.</w:t>
            </w:r>
          </w:p>
        </w:tc>
        <w:tc>
          <w:tcPr>
            <w:tcW w:w="3582" w:type="dxa"/>
            <w:gridSpan w:val="2"/>
            <w:shd w:val="clear" w:color="auto" w:fill="auto"/>
          </w:tcPr>
          <w:p w14:paraId="278A1879" w14:textId="78837846" w:rsidR="0010635C" w:rsidRPr="003E7A34"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Se considera que el comentario no es válido, pues las disposiciones establecidas en </w:t>
            </w:r>
            <w:proofErr w:type="gramStart"/>
            <w:r>
              <w:rPr>
                <w:rFonts w:ascii="Arial" w:hAnsi="Arial" w:cs="Arial"/>
                <w:sz w:val="18"/>
                <w:szCs w:val="18"/>
              </w:rPr>
              <w:t>los artículo</w:t>
            </w:r>
            <w:proofErr w:type="gramEnd"/>
            <w:r>
              <w:rPr>
                <w:rFonts w:ascii="Arial" w:hAnsi="Arial" w:cs="Arial"/>
                <w:sz w:val="18"/>
                <w:szCs w:val="18"/>
              </w:rPr>
              <w:t xml:space="preserve"> 124 y 125 de la LFCE siguen siendo aplicables en todas las circunstancias reguladas por estos Lineamientos</w:t>
            </w:r>
          </w:p>
        </w:tc>
      </w:tr>
      <w:tr w:rsidR="007B6B9E" w:rsidRPr="008003C4" w14:paraId="50C88C45" w14:textId="77777777" w:rsidTr="00351108">
        <w:trPr>
          <w:jc w:val="center"/>
        </w:trPr>
        <w:tc>
          <w:tcPr>
            <w:tcW w:w="1691" w:type="dxa"/>
            <w:shd w:val="clear" w:color="auto" w:fill="auto"/>
            <w:vAlign w:val="center"/>
          </w:tcPr>
          <w:p w14:paraId="493AFE66" w14:textId="591B6AAE" w:rsidR="007B6B9E" w:rsidRDefault="007B6B9E" w:rsidP="00351108">
            <w:pPr>
              <w:spacing w:before="120" w:after="120" w:line="23" w:lineRule="atLeast"/>
              <w:rPr>
                <w:rFonts w:ascii="Arial" w:hAnsi="Arial" w:cs="Arial"/>
                <w:b/>
                <w:sz w:val="18"/>
                <w:szCs w:val="18"/>
              </w:rPr>
            </w:pPr>
            <w:r>
              <w:rPr>
                <w:rFonts w:ascii="Arial" w:hAnsi="Arial" w:cs="Arial"/>
                <w:b/>
                <w:sz w:val="18"/>
                <w:szCs w:val="18"/>
              </w:rPr>
              <w:t>Artículo 90</w:t>
            </w:r>
          </w:p>
        </w:tc>
        <w:tc>
          <w:tcPr>
            <w:tcW w:w="4111" w:type="dxa"/>
            <w:shd w:val="clear" w:color="auto" w:fill="auto"/>
          </w:tcPr>
          <w:p w14:paraId="45686332" w14:textId="400E33EE" w:rsidR="007B6B9E" w:rsidRPr="00E8703C" w:rsidRDefault="007B6B9E" w:rsidP="007B6B9E">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 xml:space="preserve">Se sugiere establecer que la Audiencia Oral se llevará por medios electrónicos siempre que el Pleno del IFT así lo decida, y que no dependa de las partes su desahogo a través de medios electrónicos. </w:t>
            </w:r>
          </w:p>
          <w:p w14:paraId="7BEB0168" w14:textId="77777777" w:rsidR="007B6B9E" w:rsidRPr="00E8703C" w:rsidRDefault="007B6B9E" w:rsidP="007B6B9E">
            <w:pPr>
              <w:autoSpaceDE w:val="0"/>
              <w:autoSpaceDN w:val="0"/>
              <w:adjustRightInd w:val="0"/>
              <w:spacing w:after="0" w:line="240" w:lineRule="auto"/>
              <w:jc w:val="both"/>
              <w:rPr>
                <w:rFonts w:ascii="Arial" w:hAnsi="Arial" w:cs="Arial"/>
                <w:sz w:val="18"/>
                <w:szCs w:val="18"/>
              </w:rPr>
            </w:pPr>
          </w:p>
          <w:p w14:paraId="76D282FB" w14:textId="549C3854" w:rsidR="007B6B9E" w:rsidRPr="00E8703C" w:rsidRDefault="007B6B9E" w:rsidP="007B6B9E">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Esto dado que puede ser que por uno solo que no desee el desahogo electrónico, la diligencia se tenga que llevar de forma tradicional, a pesar de</w:t>
            </w:r>
          </w:p>
          <w:p w14:paraId="04F7DB10" w14:textId="77777777" w:rsidR="007B6B9E" w:rsidRPr="00E8703C" w:rsidRDefault="007B6B9E" w:rsidP="007B6B9E">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que la inmensa mayoría de los demás quiera otra cosa y que sólo es una audiencia de exposición</w:t>
            </w:r>
          </w:p>
          <w:p w14:paraId="773E6F56" w14:textId="1A61CF1D" w:rsidR="007B6B9E" w:rsidRPr="00E8703C" w:rsidRDefault="007B6B9E" w:rsidP="007B6B9E">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de los puntos que ya deberían estar dentro del expediente.</w:t>
            </w:r>
          </w:p>
        </w:tc>
        <w:tc>
          <w:tcPr>
            <w:tcW w:w="3582" w:type="dxa"/>
            <w:gridSpan w:val="2"/>
            <w:shd w:val="clear" w:color="auto" w:fill="auto"/>
          </w:tcPr>
          <w:p w14:paraId="49F7B8C5" w14:textId="77777777" w:rsidR="007B6B9E"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El comentario es válido. Se modifica el artículo 90 para quedar de la siguiente manera: </w:t>
            </w:r>
          </w:p>
          <w:p w14:paraId="1BC5CBEF" w14:textId="77777777" w:rsidR="00E8703C"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r w:rsidRPr="00E8703C">
              <w:rPr>
                <w:rFonts w:ascii="Arial" w:hAnsi="Arial" w:cs="Arial"/>
                <w:sz w:val="18"/>
                <w:szCs w:val="18"/>
              </w:rPr>
              <w:t>Artículo 90.</w:t>
            </w:r>
            <w:r w:rsidRPr="00E8703C">
              <w:rPr>
                <w:rFonts w:ascii="Arial" w:hAnsi="Arial" w:cs="Arial"/>
                <w:sz w:val="18"/>
                <w:szCs w:val="18"/>
              </w:rPr>
              <w:tab/>
              <w:t>La audiencia oral prevista en la fracción VI del artículo 83 de LFCE podrá realizarse a través de Medios electrónicos en términos de la presente Sección, cuando el Pleno del Instituto así lo determine.</w:t>
            </w:r>
            <w:r>
              <w:rPr>
                <w:rFonts w:ascii="Arial" w:hAnsi="Arial" w:cs="Arial"/>
                <w:sz w:val="18"/>
                <w:szCs w:val="18"/>
              </w:rPr>
              <w:t>”</w:t>
            </w:r>
          </w:p>
          <w:p w14:paraId="273A1B6C" w14:textId="77777777" w:rsidR="00E8703C"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p>
          <w:p w14:paraId="31421FBE" w14:textId="0A0C8A23" w:rsidR="00E8703C" w:rsidRPr="003E7A34"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r w:rsidRPr="00E8703C">
              <w:rPr>
                <w:rFonts w:ascii="Arial" w:hAnsi="Arial" w:cs="Arial"/>
                <w:sz w:val="18"/>
                <w:szCs w:val="18"/>
              </w:rPr>
              <w:t xml:space="preserve">El acuerdo del Pleno del Instituto que conceda la audiencia oral deberá señalar si la audiencia oral se desahogará por </w:t>
            </w:r>
            <w:r w:rsidRPr="00E8703C">
              <w:rPr>
                <w:rFonts w:ascii="Arial" w:hAnsi="Arial" w:cs="Arial"/>
                <w:sz w:val="18"/>
                <w:szCs w:val="18"/>
              </w:rPr>
              <w:lastRenderedPageBreak/>
              <w:t>Medios tradicionales o por Medios electrónicos. En caso de que se determine que su desahogo será por medios electrónicos, en el acuerdo que conceda la audiencia oral se indicará la plataforma tecnológica que se empleará para su desahogo.</w:t>
            </w:r>
            <w:r>
              <w:rPr>
                <w:rFonts w:ascii="Arial" w:hAnsi="Arial" w:cs="Arial"/>
                <w:sz w:val="18"/>
                <w:szCs w:val="18"/>
              </w:rPr>
              <w:t>”</w:t>
            </w:r>
          </w:p>
        </w:tc>
      </w:tr>
    </w:tbl>
    <w:p w14:paraId="550D1C70" w14:textId="77777777" w:rsidR="003A576D" w:rsidRDefault="00427261" w:rsidP="00427261">
      <w:pPr>
        <w:spacing w:before="120" w:after="120" w:line="23" w:lineRule="atLeast"/>
        <w:jc w:val="both"/>
        <w:rPr>
          <w:rFonts w:ascii="Arial" w:hAnsi="Arial" w:cs="Arial"/>
          <w:b/>
          <w:bCs/>
        </w:rPr>
      </w:pPr>
      <w:r>
        <w:rPr>
          <w:rFonts w:ascii="Arial" w:hAnsi="Arial" w:cs="Arial"/>
          <w:b/>
        </w:rPr>
        <w:lastRenderedPageBreak/>
        <w:t>8</w:t>
      </w:r>
      <w:r w:rsidRPr="00BD5C05">
        <w:rPr>
          <w:rFonts w:ascii="Arial" w:hAnsi="Arial" w:cs="Arial"/>
          <w:b/>
        </w:rPr>
        <w:t>.</w:t>
      </w:r>
      <w:r>
        <w:rPr>
          <w:rFonts w:ascii="Arial" w:hAnsi="Arial" w:cs="Arial"/>
          <w:b/>
        </w:rPr>
        <w:t>7</w:t>
      </w:r>
      <w:r w:rsidRPr="00BD5C05">
        <w:rPr>
          <w:rFonts w:ascii="Arial" w:hAnsi="Arial" w:cs="Arial"/>
          <w:b/>
        </w:rPr>
        <w:t xml:space="preserve"> </w:t>
      </w:r>
      <w:r>
        <w:rPr>
          <w:rFonts w:ascii="Arial" w:hAnsi="Arial" w:cs="Arial"/>
          <w:b/>
        </w:rPr>
        <w:t>Capítulo</w:t>
      </w:r>
      <w:r w:rsidRPr="00BD5C05">
        <w:rPr>
          <w:rFonts w:ascii="Arial" w:hAnsi="Arial" w:cs="Arial"/>
          <w:b/>
          <w:bCs/>
        </w:rPr>
        <w:t xml:space="preserve"> </w:t>
      </w:r>
      <w:r>
        <w:rPr>
          <w:rFonts w:ascii="Arial" w:hAnsi="Arial" w:cs="Arial"/>
          <w:b/>
          <w:bCs/>
        </w:rPr>
        <w:t>X</w:t>
      </w:r>
      <w:r w:rsidRPr="00BD5C05">
        <w:rPr>
          <w:rFonts w:ascii="Arial" w:hAnsi="Arial" w:cs="Arial"/>
          <w:b/>
          <w:bCs/>
        </w:rPr>
        <w:t xml:space="preserve">. </w:t>
      </w:r>
      <w:r w:rsidRPr="009C4770">
        <w:rPr>
          <w:rFonts w:ascii="Arial" w:hAnsi="Arial" w:cs="Arial"/>
          <w:b/>
          <w:bCs/>
        </w:rPr>
        <w:t>De las Interrupciones y Fallas técnicas del Sistema electrónico</w:t>
      </w:r>
    </w:p>
    <w:p w14:paraId="311FCBB6" w14:textId="45DB89D8" w:rsidR="00427261" w:rsidRPr="003A576D" w:rsidRDefault="00427261" w:rsidP="00427261">
      <w:pPr>
        <w:spacing w:before="120" w:after="120" w:line="23" w:lineRule="atLeast"/>
        <w:jc w:val="both"/>
        <w:rPr>
          <w:rFonts w:ascii="Arial" w:hAnsi="Arial" w:cs="Arial"/>
          <w:b/>
          <w:bCs/>
        </w:rPr>
      </w:pPr>
      <w:r>
        <w:rPr>
          <w:rFonts w:ascii="Arial" w:hAnsi="Arial" w:cs="Arial"/>
          <w:b/>
          <w:bCs/>
        </w:rPr>
        <w:t xml:space="preserve">8.7.1. </w:t>
      </w:r>
      <w:r w:rsidRPr="00BD5C05">
        <w:rPr>
          <w:rFonts w:ascii="Arial" w:hAnsi="Arial" w:cs="Arial"/>
          <w:b/>
          <w:bCs/>
        </w:rPr>
        <w:t xml:space="preserve">Síntesis de los comentarios recibidos respecto de la propuesta del </w:t>
      </w:r>
      <w:r>
        <w:rPr>
          <w:rFonts w:ascii="Arial" w:hAnsi="Arial" w:cs="Arial"/>
          <w:b/>
        </w:rPr>
        <w:t>Capítulo</w:t>
      </w:r>
      <w:r w:rsidRPr="00BD5C05">
        <w:rPr>
          <w:rFonts w:ascii="Arial" w:hAnsi="Arial" w:cs="Arial"/>
          <w:b/>
          <w:bCs/>
        </w:rPr>
        <w:t xml:space="preserve"> </w:t>
      </w:r>
      <w:r>
        <w:rPr>
          <w:rFonts w:ascii="Arial" w:hAnsi="Arial" w:cs="Arial"/>
          <w:b/>
          <w:bCs/>
        </w:rPr>
        <w:t>X</w:t>
      </w:r>
      <w:r w:rsidRPr="00BD5C05">
        <w:rPr>
          <w:rFonts w:ascii="Arial" w:hAnsi="Arial" w:cs="Arial"/>
          <w:b/>
          <w:bCs/>
        </w:rPr>
        <w:t xml:space="preserve">. </w:t>
      </w:r>
      <w:r w:rsidRPr="009C4770">
        <w:rPr>
          <w:rFonts w:ascii="Arial" w:hAnsi="Arial" w:cs="Arial"/>
          <w:b/>
          <w:bCs/>
        </w:rPr>
        <w:t>De las Interrupciones y Fallas técnicas del Sistema electrónico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550"/>
        <w:gridCol w:w="4252"/>
        <w:gridCol w:w="3544"/>
      </w:tblGrid>
      <w:tr w:rsidR="00427261" w:rsidRPr="00F45E04" w14:paraId="32B8A115" w14:textId="77777777" w:rsidTr="00351108">
        <w:trPr>
          <w:tblHeader/>
          <w:jc w:val="center"/>
        </w:trPr>
        <w:tc>
          <w:tcPr>
            <w:tcW w:w="1550" w:type="dxa"/>
            <w:shd w:val="clear" w:color="auto" w:fill="70AD47" w:themeFill="accent6"/>
          </w:tcPr>
          <w:p w14:paraId="2BD6DAB0"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252" w:type="dxa"/>
            <w:shd w:val="clear" w:color="auto" w:fill="70AD47" w:themeFill="accent6"/>
          </w:tcPr>
          <w:p w14:paraId="6C90618C" w14:textId="77777777" w:rsidR="00427261" w:rsidRPr="00F45E04" w:rsidRDefault="00427261"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44" w:type="dxa"/>
            <w:shd w:val="clear" w:color="auto" w:fill="70AD47" w:themeFill="accent6"/>
          </w:tcPr>
          <w:p w14:paraId="79FB249D"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27261" w14:paraId="105C9C1D" w14:textId="77777777" w:rsidTr="00351108">
        <w:trPr>
          <w:jc w:val="center"/>
        </w:trPr>
        <w:tc>
          <w:tcPr>
            <w:tcW w:w="9346" w:type="dxa"/>
            <w:gridSpan w:val="3"/>
            <w:shd w:val="clear" w:color="auto" w:fill="C5E0B3" w:themeFill="accent6" w:themeFillTint="66"/>
          </w:tcPr>
          <w:p w14:paraId="70087AD1" w14:textId="77777777" w:rsidR="00427261" w:rsidRDefault="00427261" w:rsidP="00351108">
            <w:pPr>
              <w:spacing w:before="120" w:after="120" w:line="23" w:lineRule="atLeast"/>
              <w:jc w:val="center"/>
              <w:rPr>
                <w:rFonts w:ascii="Arial" w:hAnsi="Arial" w:cs="Arial"/>
                <w:b/>
                <w:sz w:val="18"/>
                <w:szCs w:val="18"/>
              </w:rPr>
            </w:pPr>
            <w:r>
              <w:rPr>
                <w:rFonts w:ascii="Arial" w:hAnsi="Arial" w:cs="Arial"/>
                <w:b/>
                <w:sz w:val="18"/>
                <w:szCs w:val="18"/>
              </w:rPr>
              <w:t xml:space="preserve">X. </w:t>
            </w:r>
            <w:r w:rsidRPr="000308C4">
              <w:rPr>
                <w:rFonts w:ascii="Arial" w:hAnsi="Arial" w:cs="Arial"/>
                <w:b/>
                <w:sz w:val="18"/>
                <w:szCs w:val="18"/>
              </w:rPr>
              <w:t>De las Interrupciones y Fallas técnicas del Sistema electrónico</w:t>
            </w:r>
          </w:p>
        </w:tc>
      </w:tr>
      <w:tr w:rsidR="00CC64D4" w:rsidRPr="008003C4" w14:paraId="29B28EF1" w14:textId="77777777" w:rsidTr="00CC64D4">
        <w:trPr>
          <w:trHeight w:val="1350"/>
          <w:jc w:val="center"/>
        </w:trPr>
        <w:tc>
          <w:tcPr>
            <w:tcW w:w="1550" w:type="dxa"/>
            <w:vMerge w:val="restart"/>
            <w:shd w:val="clear" w:color="auto" w:fill="auto"/>
            <w:vAlign w:val="center"/>
          </w:tcPr>
          <w:p w14:paraId="4BDDC57F" w14:textId="77777777" w:rsidR="00CC64D4" w:rsidRDefault="00CC64D4" w:rsidP="00CC64D4">
            <w:pPr>
              <w:spacing w:before="120" w:after="120" w:line="23" w:lineRule="atLeast"/>
              <w:rPr>
                <w:rFonts w:ascii="Arial" w:hAnsi="Arial" w:cs="Arial"/>
                <w:b/>
                <w:sz w:val="18"/>
                <w:szCs w:val="18"/>
              </w:rPr>
            </w:pPr>
            <w:r>
              <w:rPr>
                <w:rFonts w:ascii="Arial" w:hAnsi="Arial" w:cs="Arial"/>
                <w:b/>
                <w:sz w:val="18"/>
                <w:szCs w:val="18"/>
              </w:rPr>
              <w:t>Artículo 108</w:t>
            </w:r>
          </w:p>
        </w:tc>
        <w:tc>
          <w:tcPr>
            <w:tcW w:w="4252" w:type="dxa"/>
            <w:tcBorders>
              <w:bottom w:val="single" w:sz="4" w:space="0" w:color="auto"/>
            </w:tcBorders>
            <w:shd w:val="clear" w:color="auto" w:fill="auto"/>
          </w:tcPr>
          <w:p w14:paraId="7C1198DA" w14:textId="4B1C437D" w:rsidR="00CC64D4" w:rsidRDefault="00CC64D4" w:rsidP="00F9520A">
            <w:pPr>
              <w:autoSpaceDE w:val="0"/>
              <w:autoSpaceDN w:val="0"/>
              <w:adjustRightInd w:val="0"/>
              <w:spacing w:after="0" w:line="240" w:lineRule="auto"/>
              <w:jc w:val="both"/>
            </w:pPr>
            <w:r>
              <w:rPr>
                <w:rFonts w:ascii="Arial" w:hAnsi="Arial" w:cs="Arial"/>
                <w:sz w:val="18"/>
                <w:szCs w:val="18"/>
              </w:rPr>
              <w:t xml:space="preserve">No establece supuestos claros y elementos necesarios para determinar si existió o no una interrupción del sistema, dejando dicha decisión completamente al arbitrio de la autoridad, </w:t>
            </w:r>
            <w:r w:rsidRPr="00F9520A">
              <w:rPr>
                <w:rFonts w:ascii="Arial" w:hAnsi="Arial" w:cs="Arial"/>
                <w:sz w:val="18"/>
                <w:szCs w:val="18"/>
              </w:rPr>
              <w:t>provocando con ello incertidumbre jurídica y atentando al principio de legalidad</w:t>
            </w:r>
            <w:r>
              <w:rPr>
                <w:rFonts w:ascii="Arial" w:hAnsi="Arial" w:cs="Arial"/>
                <w:sz w:val="18"/>
                <w:szCs w:val="18"/>
              </w:rPr>
              <w:t>.</w:t>
            </w:r>
          </w:p>
          <w:p w14:paraId="15EE857C" w14:textId="142E019B" w:rsidR="00CC64D4" w:rsidRPr="003F43D3" w:rsidRDefault="00CC64D4" w:rsidP="00351108">
            <w:pPr>
              <w:autoSpaceDE w:val="0"/>
              <w:autoSpaceDN w:val="0"/>
              <w:adjustRightInd w:val="0"/>
              <w:spacing w:after="0" w:line="240" w:lineRule="auto"/>
              <w:jc w:val="both"/>
              <w:rPr>
                <w:rFonts w:ascii="Arial" w:hAnsi="Arial" w:cs="Arial"/>
                <w:sz w:val="18"/>
                <w:szCs w:val="18"/>
              </w:rPr>
            </w:pPr>
          </w:p>
        </w:tc>
        <w:tc>
          <w:tcPr>
            <w:tcW w:w="3544" w:type="dxa"/>
            <w:shd w:val="clear" w:color="auto" w:fill="auto"/>
          </w:tcPr>
          <w:p w14:paraId="38582C91" w14:textId="29F305FA" w:rsidR="00CC64D4" w:rsidRPr="003F43D3" w:rsidRDefault="00CC64D4"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que el comentario no es válido, pues el artículo establece que las razones para dictaminar una falla que sea responsabilidad del Instituto deben ser técnicas, es decir, no se basan en juicios arbitrarios de la autoridad. Por otra parte, el intercambio de información digital depende de diversos elementos algunos de los cuales no están bajo el control del Instituto sino bajo el control del usuario, como se reconoce en el diverso artículo 110 de los Lineamientos. El artículo 109 da cuenta de esta situación y establece que el usuario correrá con la responsabilidad que le corresponde.</w:t>
            </w:r>
          </w:p>
        </w:tc>
      </w:tr>
      <w:tr w:rsidR="00CC64D4" w:rsidRPr="008003C4" w14:paraId="5DF7A0C7" w14:textId="77777777" w:rsidTr="00351108">
        <w:trPr>
          <w:trHeight w:val="1350"/>
          <w:jc w:val="center"/>
        </w:trPr>
        <w:tc>
          <w:tcPr>
            <w:tcW w:w="1550" w:type="dxa"/>
            <w:vMerge/>
            <w:shd w:val="clear" w:color="auto" w:fill="auto"/>
            <w:vAlign w:val="center"/>
          </w:tcPr>
          <w:p w14:paraId="13F599D0" w14:textId="77777777" w:rsidR="00CC64D4" w:rsidRDefault="00CC64D4" w:rsidP="00351108">
            <w:pPr>
              <w:spacing w:before="120" w:after="120" w:line="23" w:lineRule="atLeast"/>
              <w:rPr>
                <w:rFonts w:ascii="Arial" w:hAnsi="Arial" w:cs="Arial"/>
                <w:b/>
                <w:sz w:val="18"/>
                <w:szCs w:val="18"/>
              </w:rPr>
            </w:pPr>
          </w:p>
        </w:tc>
        <w:tc>
          <w:tcPr>
            <w:tcW w:w="4252" w:type="dxa"/>
            <w:tcBorders>
              <w:bottom w:val="single" w:sz="4" w:space="0" w:color="auto"/>
            </w:tcBorders>
            <w:shd w:val="clear" w:color="auto" w:fill="auto"/>
          </w:tcPr>
          <w:p w14:paraId="67BD8CE9" w14:textId="77777777" w:rsidR="00CC64D4" w:rsidRDefault="00E8703C" w:rsidP="00E8703C">
            <w:pPr>
              <w:autoSpaceDE w:val="0"/>
              <w:autoSpaceDN w:val="0"/>
              <w:adjustRightInd w:val="0"/>
              <w:spacing w:after="0" w:line="240" w:lineRule="auto"/>
              <w:rPr>
                <w:rFonts w:ascii="Arial" w:hAnsi="Arial" w:cs="Arial"/>
                <w:sz w:val="18"/>
                <w:szCs w:val="18"/>
              </w:rPr>
            </w:pPr>
            <w:r w:rsidRPr="00E8703C">
              <w:rPr>
                <w:rFonts w:ascii="Arial" w:hAnsi="Arial" w:cs="Arial"/>
                <w:sz w:val="18"/>
                <w:szCs w:val="18"/>
              </w:rPr>
              <w:t>S</w:t>
            </w:r>
            <w:r w:rsidR="00CC64D4" w:rsidRPr="00E8703C">
              <w:rPr>
                <w:rFonts w:ascii="Arial" w:hAnsi="Arial" w:cs="Arial"/>
                <w:sz w:val="18"/>
                <w:szCs w:val="18"/>
              </w:rPr>
              <w:t>ólo</w:t>
            </w:r>
            <w:r w:rsidRPr="00E8703C">
              <w:rPr>
                <w:rFonts w:ascii="Arial" w:hAnsi="Arial" w:cs="Arial"/>
                <w:sz w:val="18"/>
                <w:szCs w:val="18"/>
              </w:rPr>
              <w:t xml:space="preserve"> </w:t>
            </w:r>
            <w:r w:rsidR="00CC64D4" w:rsidRPr="00E8703C">
              <w:rPr>
                <w:rFonts w:ascii="Arial" w:hAnsi="Arial" w:cs="Arial"/>
                <w:sz w:val="18"/>
                <w:szCs w:val="18"/>
              </w:rPr>
              <w:t xml:space="preserve">señala qué sucede en el supuesto de </w:t>
            </w:r>
            <w:r>
              <w:rPr>
                <w:rFonts w:ascii="Arial" w:hAnsi="Arial" w:cs="Arial"/>
                <w:sz w:val="18"/>
                <w:szCs w:val="18"/>
              </w:rPr>
              <w:t>p</w:t>
            </w:r>
            <w:r w:rsidR="00CC64D4" w:rsidRPr="00E8703C">
              <w:rPr>
                <w:rFonts w:ascii="Arial" w:hAnsi="Arial" w:cs="Arial"/>
                <w:sz w:val="18"/>
                <w:szCs w:val="18"/>
              </w:rPr>
              <w:t>resentación de documentos, sin considerar qué se debe</w:t>
            </w:r>
            <w:r w:rsidRPr="00E8703C">
              <w:rPr>
                <w:rFonts w:ascii="Arial" w:hAnsi="Arial" w:cs="Arial"/>
                <w:sz w:val="18"/>
                <w:szCs w:val="18"/>
              </w:rPr>
              <w:t xml:space="preserve"> </w:t>
            </w:r>
            <w:r w:rsidR="00CC64D4" w:rsidRPr="00E8703C">
              <w:rPr>
                <w:rFonts w:ascii="Arial" w:hAnsi="Arial" w:cs="Arial"/>
                <w:sz w:val="18"/>
                <w:szCs w:val="18"/>
              </w:rPr>
              <w:t>hacer en caso de que haya una falla al momento de consultar una actuación que se notifica por</w:t>
            </w:r>
            <w:r w:rsidRPr="00E8703C">
              <w:rPr>
                <w:rFonts w:ascii="Arial" w:hAnsi="Arial" w:cs="Arial"/>
                <w:sz w:val="18"/>
                <w:szCs w:val="18"/>
              </w:rPr>
              <w:t xml:space="preserve"> </w:t>
            </w:r>
            <w:r w:rsidR="00CC64D4" w:rsidRPr="00E8703C">
              <w:rPr>
                <w:rFonts w:ascii="Arial" w:hAnsi="Arial" w:cs="Arial"/>
                <w:sz w:val="18"/>
                <w:szCs w:val="18"/>
              </w:rPr>
              <w:t xml:space="preserve">sistema respecto de la cual podría estar corriendo un plazo. Si existe </w:t>
            </w:r>
            <w:proofErr w:type="gramStart"/>
            <w:r w:rsidR="00CC64D4" w:rsidRPr="00E8703C">
              <w:rPr>
                <w:rFonts w:ascii="Arial" w:hAnsi="Arial" w:cs="Arial"/>
                <w:sz w:val="18"/>
                <w:szCs w:val="18"/>
              </w:rPr>
              <w:t>una problema</w:t>
            </w:r>
            <w:proofErr w:type="gramEnd"/>
            <w:r w:rsidR="00CC64D4" w:rsidRPr="00E8703C">
              <w:rPr>
                <w:rFonts w:ascii="Arial" w:hAnsi="Arial" w:cs="Arial"/>
                <w:sz w:val="18"/>
                <w:szCs w:val="18"/>
              </w:rPr>
              <w:t xml:space="preserve"> para ver la</w:t>
            </w:r>
            <w:r w:rsidRPr="00E8703C">
              <w:rPr>
                <w:rFonts w:ascii="Arial" w:hAnsi="Arial" w:cs="Arial"/>
                <w:sz w:val="18"/>
                <w:szCs w:val="18"/>
              </w:rPr>
              <w:t xml:space="preserve"> </w:t>
            </w:r>
            <w:r w:rsidR="00CC64D4" w:rsidRPr="00E8703C">
              <w:rPr>
                <w:rFonts w:ascii="Arial" w:hAnsi="Arial" w:cs="Arial"/>
                <w:sz w:val="18"/>
                <w:szCs w:val="18"/>
              </w:rPr>
              <w:t>actuación ¿se interrumpe el plazo?</w:t>
            </w:r>
          </w:p>
          <w:p w14:paraId="501A8472" w14:textId="715F1535" w:rsidR="00E8703C" w:rsidRDefault="00E8703C" w:rsidP="00E8703C">
            <w:pPr>
              <w:autoSpaceDE w:val="0"/>
              <w:autoSpaceDN w:val="0"/>
              <w:adjustRightInd w:val="0"/>
              <w:spacing w:after="0" w:line="240" w:lineRule="auto"/>
              <w:rPr>
                <w:rFonts w:ascii="Arial" w:hAnsi="Arial" w:cs="Arial"/>
                <w:sz w:val="18"/>
                <w:szCs w:val="18"/>
              </w:rPr>
            </w:pPr>
          </w:p>
        </w:tc>
        <w:tc>
          <w:tcPr>
            <w:tcW w:w="3544" w:type="dxa"/>
            <w:shd w:val="clear" w:color="auto" w:fill="auto"/>
          </w:tcPr>
          <w:p w14:paraId="2457F8FC" w14:textId="6AF73BD2" w:rsidR="00CC64D4" w:rsidRDefault="00E8703C"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Se modifica el artículo 110 para la introducción de reglas para la notificación por correo electrónico en caso de emergencia. Favor de remitirse a las consideraciones respecto de comentarios al artículo 48 para conocer los cambios. </w:t>
            </w:r>
          </w:p>
        </w:tc>
      </w:tr>
      <w:tr w:rsidR="00F9520A" w:rsidRPr="008003C4" w14:paraId="053AE9C8" w14:textId="77777777" w:rsidTr="004907C4">
        <w:trPr>
          <w:trHeight w:val="1350"/>
          <w:jc w:val="center"/>
        </w:trPr>
        <w:tc>
          <w:tcPr>
            <w:tcW w:w="1550" w:type="dxa"/>
            <w:shd w:val="clear" w:color="auto" w:fill="auto"/>
            <w:vAlign w:val="center"/>
          </w:tcPr>
          <w:p w14:paraId="108BA31A" w14:textId="334DE769" w:rsidR="00F9520A" w:rsidRDefault="00F9520A" w:rsidP="00351108">
            <w:pPr>
              <w:spacing w:before="120" w:after="120" w:line="23" w:lineRule="atLeast"/>
              <w:rPr>
                <w:rFonts w:ascii="Arial" w:hAnsi="Arial" w:cs="Arial"/>
                <w:b/>
                <w:sz w:val="18"/>
                <w:szCs w:val="18"/>
              </w:rPr>
            </w:pPr>
            <w:r>
              <w:rPr>
                <w:rFonts w:ascii="Arial" w:hAnsi="Arial" w:cs="Arial"/>
                <w:b/>
                <w:sz w:val="18"/>
                <w:szCs w:val="18"/>
              </w:rPr>
              <w:t>Artículo 109</w:t>
            </w:r>
          </w:p>
        </w:tc>
        <w:tc>
          <w:tcPr>
            <w:tcW w:w="4252" w:type="dxa"/>
            <w:shd w:val="clear" w:color="auto" w:fill="auto"/>
          </w:tcPr>
          <w:p w14:paraId="677C7A33" w14:textId="77777777" w:rsidR="00F73B23" w:rsidRDefault="00F73B23" w:rsidP="00F73B23">
            <w:pPr>
              <w:autoSpaceDE w:val="0"/>
              <w:autoSpaceDN w:val="0"/>
              <w:adjustRightInd w:val="0"/>
              <w:spacing w:after="0" w:line="240" w:lineRule="auto"/>
              <w:jc w:val="both"/>
            </w:pPr>
            <w:r>
              <w:rPr>
                <w:rFonts w:ascii="Arial" w:hAnsi="Arial" w:cs="Arial"/>
                <w:sz w:val="18"/>
                <w:szCs w:val="18"/>
              </w:rPr>
              <w:t xml:space="preserve">No establece supuestos claros y elementos necesarios para determinar si existió o no una interrupción del sistema, dejando dicha decisión completamente al arbitrio de la autoridad, </w:t>
            </w:r>
            <w:r w:rsidRPr="00F9520A">
              <w:rPr>
                <w:rFonts w:ascii="Arial" w:hAnsi="Arial" w:cs="Arial"/>
                <w:sz w:val="18"/>
                <w:szCs w:val="18"/>
              </w:rPr>
              <w:t>provocando con ello incertidumbre jurídica y atentando al principio de legalidad</w:t>
            </w:r>
            <w:r>
              <w:rPr>
                <w:rFonts w:ascii="Arial" w:hAnsi="Arial" w:cs="Arial"/>
                <w:sz w:val="18"/>
                <w:szCs w:val="18"/>
              </w:rPr>
              <w:t>.</w:t>
            </w:r>
          </w:p>
          <w:p w14:paraId="57FCC8A7" w14:textId="77777777" w:rsidR="00F9520A" w:rsidRDefault="00F9520A" w:rsidP="00F9520A">
            <w:pPr>
              <w:autoSpaceDE w:val="0"/>
              <w:autoSpaceDN w:val="0"/>
              <w:adjustRightInd w:val="0"/>
              <w:spacing w:after="0" w:line="240" w:lineRule="auto"/>
              <w:jc w:val="both"/>
              <w:rPr>
                <w:rFonts w:ascii="Arial" w:hAnsi="Arial" w:cs="Arial"/>
                <w:sz w:val="18"/>
                <w:szCs w:val="18"/>
              </w:rPr>
            </w:pPr>
          </w:p>
        </w:tc>
        <w:tc>
          <w:tcPr>
            <w:tcW w:w="3544" w:type="dxa"/>
            <w:shd w:val="clear" w:color="auto" w:fill="auto"/>
          </w:tcPr>
          <w:p w14:paraId="1827C568" w14:textId="01FD60C8" w:rsidR="00F73B23" w:rsidRDefault="00F73B23" w:rsidP="00F73B2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inválido el comentario, ya que el artículo inmediato anterior señala que se solicitará un informe técnico, mismo que deberá contener los elementos necesarios que justifiquen el motivo de la falla.</w:t>
            </w:r>
          </w:p>
          <w:p w14:paraId="48CCD6BC" w14:textId="77777777" w:rsidR="00F73B23" w:rsidRDefault="00F73B23" w:rsidP="00F73B23">
            <w:pPr>
              <w:autoSpaceDE w:val="0"/>
              <w:autoSpaceDN w:val="0"/>
              <w:adjustRightInd w:val="0"/>
              <w:spacing w:after="0" w:line="240" w:lineRule="auto"/>
              <w:jc w:val="both"/>
              <w:rPr>
                <w:rFonts w:ascii="Arial" w:hAnsi="Arial" w:cs="Arial"/>
                <w:sz w:val="18"/>
                <w:szCs w:val="18"/>
              </w:rPr>
            </w:pPr>
          </w:p>
          <w:p w14:paraId="17AA8EF4" w14:textId="7556CDB9" w:rsidR="00F9520A" w:rsidRDefault="00F73B23" w:rsidP="00F73B2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Aunado a lo anterior, el Instituto no puede hacerse responsable de la falla técnica que sea atribuible a los equipos de cómputo o conexiones de los agentes económicos. Por lo que, únicamente las fallas técnicas del Sistema electrónico deberán ser justificables.</w:t>
            </w:r>
          </w:p>
        </w:tc>
      </w:tr>
      <w:tr w:rsidR="004907C4" w:rsidRPr="008003C4" w14:paraId="6A677E5B" w14:textId="77777777" w:rsidTr="00351108">
        <w:trPr>
          <w:trHeight w:val="1350"/>
          <w:jc w:val="center"/>
        </w:trPr>
        <w:tc>
          <w:tcPr>
            <w:tcW w:w="1550" w:type="dxa"/>
            <w:shd w:val="clear" w:color="auto" w:fill="auto"/>
            <w:vAlign w:val="center"/>
          </w:tcPr>
          <w:p w14:paraId="3A99CEB7" w14:textId="5FF4DA63" w:rsidR="004907C4" w:rsidRDefault="004907C4" w:rsidP="00351108">
            <w:pPr>
              <w:spacing w:before="120" w:after="120" w:line="23" w:lineRule="atLeast"/>
              <w:rPr>
                <w:rFonts w:ascii="Arial" w:hAnsi="Arial" w:cs="Arial"/>
                <w:b/>
                <w:sz w:val="18"/>
                <w:szCs w:val="18"/>
              </w:rPr>
            </w:pPr>
            <w:r>
              <w:rPr>
                <w:rFonts w:ascii="Arial" w:hAnsi="Arial" w:cs="Arial"/>
                <w:b/>
                <w:sz w:val="18"/>
                <w:szCs w:val="18"/>
              </w:rPr>
              <w:lastRenderedPageBreak/>
              <w:t>Artículo 111</w:t>
            </w:r>
          </w:p>
        </w:tc>
        <w:tc>
          <w:tcPr>
            <w:tcW w:w="4252" w:type="dxa"/>
            <w:tcBorders>
              <w:bottom w:val="single" w:sz="4" w:space="0" w:color="auto"/>
            </w:tcBorders>
            <w:shd w:val="clear" w:color="auto" w:fill="auto"/>
          </w:tcPr>
          <w:p w14:paraId="6B57CC23" w14:textId="77777777" w:rsidR="004907C4" w:rsidRPr="00E8703C" w:rsidRDefault="004907C4" w:rsidP="004907C4">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 xml:space="preserve">Se habla de notificaciones por correo electrónico, en cuyo caso se sugiere establecer las reglas para ese tipo de notificaciones. Ese tipo de reglas daría mucha claridad para determinar cuándo son válidas las notificaciones por correo electrónico. </w:t>
            </w:r>
          </w:p>
          <w:p w14:paraId="6F84E9AC" w14:textId="77777777" w:rsidR="004907C4" w:rsidRPr="00E8703C" w:rsidRDefault="004907C4" w:rsidP="004907C4">
            <w:pPr>
              <w:autoSpaceDE w:val="0"/>
              <w:autoSpaceDN w:val="0"/>
              <w:adjustRightInd w:val="0"/>
              <w:spacing w:after="0" w:line="240" w:lineRule="auto"/>
              <w:jc w:val="both"/>
              <w:rPr>
                <w:rFonts w:ascii="Arial" w:hAnsi="Arial" w:cs="Arial"/>
                <w:sz w:val="18"/>
                <w:szCs w:val="18"/>
              </w:rPr>
            </w:pPr>
          </w:p>
          <w:p w14:paraId="399C0DDC" w14:textId="22E14966" w:rsidR="004907C4" w:rsidRDefault="004907C4" w:rsidP="004907C4">
            <w:pPr>
              <w:autoSpaceDE w:val="0"/>
              <w:autoSpaceDN w:val="0"/>
              <w:adjustRightInd w:val="0"/>
              <w:spacing w:after="0" w:line="240" w:lineRule="auto"/>
              <w:jc w:val="both"/>
              <w:rPr>
                <w:rFonts w:ascii="Arial" w:hAnsi="Arial" w:cs="Arial"/>
                <w:sz w:val="18"/>
                <w:szCs w:val="18"/>
              </w:rPr>
            </w:pPr>
            <w:r w:rsidRPr="00E8703C">
              <w:rPr>
                <w:rFonts w:ascii="Arial" w:hAnsi="Arial" w:cs="Arial"/>
                <w:sz w:val="18"/>
                <w:szCs w:val="18"/>
              </w:rPr>
              <w:t>En el mismo artículo, parece existir una remisión incorrecta a un párrafo del artículo 110 que no existe.</w:t>
            </w:r>
          </w:p>
        </w:tc>
        <w:tc>
          <w:tcPr>
            <w:tcW w:w="3544" w:type="dxa"/>
            <w:shd w:val="clear" w:color="auto" w:fill="auto"/>
          </w:tcPr>
          <w:p w14:paraId="32CC806C" w14:textId="29BEE9F7" w:rsidR="004907C4" w:rsidRDefault="00E8703C" w:rsidP="00F73B2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modifica el artículo 110 para la introducción de reglas para la notificación por correo electrónico. Favor de remitirse a las consideraciones respecto de comentarios al artículo 48 para conocer los cambios.</w:t>
            </w:r>
          </w:p>
        </w:tc>
      </w:tr>
    </w:tbl>
    <w:p w14:paraId="16E2A6F9" w14:textId="77777777" w:rsidR="00427261" w:rsidRDefault="00427261" w:rsidP="00427261">
      <w:pPr>
        <w:spacing w:before="120" w:after="120" w:line="23" w:lineRule="atLeast"/>
        <w:jc w:val="both"/>
        <w:rPr>
          <w:rFonts w:ascii="Arial" w:hAnsi="Arial" w:cs="Arial"/>
          <w:b/>
          <w:bCs/>
        </w:rPr>
      </w:pPr>
      <w:r>
        <w:rPr>
          <w:rFonts w:ascii="Arial" w:hAnsi="Arial" w:cs="Arial"/>
          <w:b/>
        </w:rPr>
        <w:t>8</w:t>
      </w:r>
      <w:r w:rsidRPr="00BD5C05">
        <w:rPr>
          <w:rFonts w:ascii="Arial" w:hAnsi="Arial" w:cs="Arial"/>
          <w:b/>
        </w:rPr>
        <w:t>.</w:t>
      </w:r>
      <w:r>
        <w:rPr>
          <w:rFonts w:ascii="Arial" w:hAnsi="Arial" w:cs="Arial"/>
          <w:b/>
        </w:rPr>
        <w:t>7</w:t>
      </w:r>
      <w:r w:rsidRPr="00BD5C05">
        <w:rPr>
          <w:rFonts w:ascii="Arial" w:hAnsi="Arial" w:cs="Arial"/>
          <w:b/>
        </w:rPr>
        <w:t xml:space="preserve"> </w:t>
      </w:r>
      <w:r>
        <w:rPr>
          <w:rFonts w:ascii="Arial" w:hAnsi="Arial" w:cs="Arial"/>
          <w:b/>
        </w:rPr>
        <w:t>Capítulo</w:t>
      </w:r>
      <w:r w:rsidRPr="00BD5C05">
        <w:rPr>
          <w:rFonts w:ascii="Arial" w:hAnsi="Arial" w:cs="Arial"/>
          <w:b/>
          <w:bCs/>
        </w:rPr>
        <w:t xml:space="preserve"> </w:t>
      </w:r>
      <w:r w:rsidRPr="009C4770">
        <w:rPr>
          <w:rFonts w:ascii="Arial" w:hAnsi="Arial" w:cs="Arial"/>
          <w:b/>
          <w:bCs/>
        </w:rPr>
        <w:t>XI. Disposiciones finales</w:t>
      </w:r>
    </w:p>
    <w:p w14:paraId="102C53BC" w14:textId="77777777" w:rsidR="00427261" w:rsidRDefault="00427261" w:rsidP="00427261">
      <w:pPr>
        <w:spacing w:before="120" w:after="120" w:line="23" w:lineRule="atLeast"/>
        <w:jc w:val="both"/>
        <w:rPr>
          <w:rFonts w:ascii="Arial" w:hAnsi="Arial" w:cs="Arial"/>
          <w:b/>
          <w:bCs/>
        </w:rPr>
      </w:pPr>
      <w:r>
        <w:rPr>
          <w:rFonts w:ascii="Arial" w:hAnsi="Arial" w:cs="Arial"/>
          <w:b/>
          <w:bCs/>
        </w:rPr>
        <w:t xml:space="preserve">8.7.1. </w:t>
      </w:r>
      <w:r w:rsidRPr="00BD5C05">
        <w:rPr>
          <w:rFonts w:ascii="Arial" w:hAnsi="Arial" w:cs="Arial"/>
          <w:b/>
          <w:bCs/>
        </w:rPr>
        <w:t xml:space="preserve">Síntesis de los comentarios recibidos respecto de la propuesta del </w:t>
      </w:r>
      <w:r>
        <w:rPr>
          <w:rFonts w:ascii="Arial" w:hAnsi="Arial" w:cs="Arial"/>
          <w:b/>
        </w:rPr>
        <w:t>Capítulo</w:t>
      </w:r>
      <w:r w:rsidRPr="00BD5C05">
        <w:rPr>
          <w:rFonts w:ascii="Arial" w:hAnsi="Arial" w:cs="Arial"/>
          <w:b/>
          <w:bCs/>
        </w:rPr>
        <w:t xml:space="preserve"> </w:t>
      </w:r>
      <w:r w:rsidRPr="009C4770">
        <w:rPr>
          <w:rFonts w:ascii="Arial" w:hAnsi="Arial" w:cs="Arial"/>
          <w:b/>
          <w:bCs/>
        </w:rPr>
        <w:t>XI. Disposiciones finales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550"/>
        <w:gridCol w:w="4353"/>
        <w:gridCol w:w="3453"/>
      </w:tblGrid>
      <w:tr w:rsidR="00427261" w:rsidRPr="00F45E04" w14:paraId="65EE8CAC" w14:textId="77777777" w:rsidTr="00351108">
        <w:trPr>
          <w:tblHeader/>
          <w:jc w:val="center"/>
        </w:trPr>
        <w:tc>
          <w:tcPr>
            <w:tcW w:w="1550" w:type="dxa"/>
            <w:shd w:val="clear" w:color="auto" w:fill="70AD47" w:themeFill="accent6"/>
          </w:tcPr>
          <w:p w14:paraId="0F950C65"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353" w:type="dxa"/>
            <w:shd w:val="clear" w:color="auto" w:fill="70AD47" w:themeFill="accent6"/>
          </w:tcPr>
          <w:p w14:paraId="640941E6" w14:textId="77777777" w:rsidR="00427261" w:rsidRPr="00F45E04" w:rsidRDefault="00427261"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453" w:type="dxa"/>
            <w:shd w:val="clear" w:color="auto" w:fill="70AD47" w:themeFill="accent6"/>
          </w:tcPr>
          <w:p w14:paraId="52321222"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27261" w14:paraId="51D63C4B" w14:textId="77777777" w:rsidTr="00351108">
        <w:trPr>
          <w:jc w:val="center"/>
        </w:trPr>
        <w:tc>
          <w:tcPr>
            <w:tcW w:w="9356" w:type="dxa"/>
            <w:gridSpan w:val="3"/>
            <w:shd w:val="clear" w:color="auto" w:fill="C5E0B3" w:themeFill="accent6" w:themeFillTint="66"/>
          </w:tcPr>
          <w:p w14:paraId="0B979906" w14:textId="77777777" w:rsidR="00427261" w:rsidRDefault="00427261" w:rsidP="00351108">
            <w:pPr>
              <w:spacing w:before="120" w:after="120" w:line="23" w:lineRule="atLeast"/>
              <w:jc w:val="center"/>
              <w:rPr>
                <w:rFonts w:ascii="Arial" w:hAnsi="Arial" w:cs="Arial"/>
                <w:b/>
                <w:sz w:val="18"/>
                <w:szCs w:val="18"/>
              </w:rPr>
            </w:pPr>
            <w:r>
              <w:rPr>
                <w:rFonts w:ascii="Arial" w:hAnsi="Arial" w:cs="Arial"/>
                <w:b/>
                <w:sz w:val="18"/>
                <w:szCs w:val="18"/>
              </w:rPr>
              <w:t>X</w:t>
            </w:r>
            <w:r w:rsidRPr="00A63673">
              <w:rPr>
                <w:rFonts w:ascii="Arial" w:hAnsi="Arial" w:cs="Arial"/>
                <w:b/>
                <w:sz w:val="18"/>
                <w:szCs w:val="18"/>
              </w:rPr>
              <w:t>I. D</w:t>
            </w:r>
            <w:r>
              <w:rPr>
                <w:rFonts w:ascii="Arial" w:hAnsi="Arial" w:cs="Arial"/>
                <w:b/>
                <w:sz w:val="18"/>
                <w:szCs w:val="18"/>
              </w:rPr>
              <w:t>isposiciones finales</w:t>
            </w:r>
          </w:p>
        </w:tc>
      </w:tr>
      <w:tr w:rsidR="00427261" w:rsidRPr="008003C4" w14:paraId="3C4F1B03" w14:textId="77777777" w:rsidTr="00351108">
        <w:trPr>
          <w:jc w:val="center"/>
        </w:trPr>
        <w:tc>
          <w:tcPr>
            <w:tcW w:w="1550" w:type="dxa"/>
            <w:shd w:val="clear" w:color="auto" w:fill="auto"/>
            <w:vAlign w:val="center"/>
          </w:tcPr>
          <w:p w14:paraId="22D3DD2B" w14:textId="77777777" w:rsidR="00427261" w:rsidRDefault="00427261" w:rsidP="00351108">
            <w:pPr>
              <w:spacing w:before="120" w:after="120" w:line="23" w:lineRule="atLeast"/>
              <w:rPr>
                <w:rFonts w:ascii="Arial" w:hAnsi="Arial" w:cs="Arial"/>
                <w:b/>
                <w:sz w:val="18"/>
                <w:szCs w:val="18"/>
              </w:rPr>
            </w:pPr>
            <w:r>
              <w:rPr>
                <w:rFonts w:ascii="Arial" w:hAnsi="Arial" w:cs="Arial"/>
                <w:b/>
                <w:sz w:val="18"/>
                <w:szCs w:val="18"/>
              </w:rPr>
              <w:t>Artículo 112</w:t>
            </w:r>
          </w:p>
        </w:tc>
        <w:tc>
          <w:tcPr>
            <w:tcW w:w="4353" w:type="dxa"/>
            <w:shd w:val="clear" w:color="auto" w:fill="auto"/>
          </w:tcPr>
          <w:p w14:paraId="34D87EE2" w14:textId="2A82EC72" w:rsidR="00427261" w:rsidRPr="003F43D3" w:rsidRDefault="00E53578" w:rsidP="00351108">
            <w:pPr>
              <w:autoSpaceDE w:val="0"/>
              <w:autoSpaceDN w:val="0"/>
              <w:adjustRightInd w:val="0"/>
              <w:spacing w:after="0" w:line="240" w:lineRule="auto"/>
              <w:jc w:val="both"/>
              <w:rPr>
                <w:rFonts w:ascii="Arial" w:hAnsi="Arial" w:cs="Arial"/>
                <w:sz w:val="18"/>
                <w:szCs w:val="18"/>
              </w:rPr>
            </w:pPr>
            <w:r w:rsidRPr="00E53578">
              <w:rPr>
                <w:rFonts w:ascii="Arial" w:hAnsi="Arial" w:cs="Arial"/>
                <w:sz w:val="18"/>
                <w:szCs w:val="18"/>
              </w:rPr>
              <w:t>los Lineamientos tienen por único objeto establecer los términos y condiciones de operación del sistema por medio del cual se sustanciarán los procedimientos a través de medios electrónicos y de ninguna manera podrán éstos prever algún tipo de sanción para los gobernados</w:t>
            </w:r>
          </w:p>
        </w:tc>
        <w:tc>
          <w:tcPr>
            <w:tcW w:w="3453" w:type="dxa"/>
            <w:shd w:val="clear" w:color="auto" w:fill="auto"/>
          </w:tcPr>
          <w:p w14:paraId="3E4D4B8D" w14:textId="77777777" w:rsidR="00427261" w:rsidRDefault="00427261"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inválido el comentario, pues los Lineamientos no establecen sanciones, sino que remiten a las sanciones previamente establecidas en la LFCE.</w:t>
            </w:r>
          </w:p>
          <w:p w14:paraId="708869C8" w14:textId="09EF599B" w:rsidR="00E53578" w:rsidRPr="003F43D3" w:rsidRDefault="00E53578" w:rsidP="00351108">
            <w:pPr>
              <w:autoSpaceDE w:val="0"/>
              <w:autoSpaceDN w:val="0"/>
              <w:adjustRightInd w:val="0"/>
              <w:spacing w:after="0" w:line="240" w:lineRule="auto"/>
              <w:jc w:val="both"/>
              <w:rPr>
                <w:rFonts w:ascii="Arial" w:hAnsi="Arial" w:cs="Arial"/>
                <w:sz w:val="18"/>
                <w:szCs w:val="18"/>
              </w:rPr>
            </w:pPr>
          </w:p>
        </w:tc>
      </w:tr>
    </w:tbl>
    <w:p w14:paraId="41CC1795" w14:textId="77777777" w:rsidR="00427261" w:rsidRDefault="00427261" w:rsidP="00427261">
      <w:pPr>
        <w:spacing w:before="120" w:after="120" w:line="23" w:lineRule="atLeast"/>
        <w:jc w:val="both"/>
        <w:rPr>
          <w:rFonts w:ascii="Arial" w:hAnsi="Arial" w:cs="Arial"/>
          <w:b/>
          <w:bCs/>
        </w:rPr>
      </w:pPr>
      <w:r>
        <w:rPr>
          <w:rFonts w:ascii="Arial" w:hAnsi="Arial" w:cs="Arial"/>
          <w:b/>
        </w:rPr>
        <w:t>8</w:t>
      </w:r>
      <w:r w:rsidRPr="00BD5C05">
        <w:rPr>
          <w:rFonts w:ascii="Arial" w:hAnsi="Arial" w:cs="Arial"/>
          <w:b/>
        </w:rPr>
        <w:t>.</w:t>
      </w:r>
      <w:r>
        <w:rPr>
          <w:rFonts w:ascii="Arial" w:hAnsi="Arial" w:cs="Arial"/>
          <w:b/>
        </w:rPr>
        <w:t>8</w:t>
      </w:r>
      <w:r w:rsidRPr="00BD5C05">
        <w:rPr>
          <w:rFonts w:ascii="Arial" w:hAnsi="Arial" w:cs="Arial"/>
          <w:b/>
        </w:rPr>
        <w:t xml:space="preserve"> </w:t>
      </w:r>
      <w:r>
        <w:rPr>
          <w:rFonts w:ascii="Arial" w:hAnsi="Arial" w:cs="Arial"/>
          <w:b/>
        </w:rPr>
        <w:t>Transitorios</w:t>
      </w:r>
    </w:p>
    <w:p w14:paraId="4DB192A2" w14:textId="77777777" w:rsidR="00427261" w:rsidRDefault="00427261" w:rsidP="00427261">
      <w:pPr>
        <w:spacing w:before="120" w:after="120" w:line="23" w:lineRule="atLeast"/>
        <w:jc w:val="both"/>
        <w:rPr>
          <w:rFonts w:ascii="Arial" w:hAnsi="Arial" w:cs="Arial"/>
          <w:b/>
          <w:bCs/>
        </w:rPr>
      </w:pPr>
      <w:r>
        <w:rPr>
          <w:rFonts w:ascii="Arial" w:hAnsi="Arial" w:cs="Arial"/>
          <w:b/>
          <w:bCs/>
        </w:rPr>
        <w:t xml:space="preserve">8.8.1. </w:t>
      </w:r>
      <w:r w:rsidRPr="00BD5C05">
        <w:rPr>
          <w:rFonts w:ascii="Arial" w:hAnsi="Arial" w:cs="Arial"/>
          <w:b/>
          <w:bCs/>
        </w:rPr>
        <w:t>Síntesis de los comentarios recibidos respecto de la propuesta de</w:t>
      </w:r>
      <w:r>
        <w:rPr>
          <w:rFonts w:ascii="Arial" w:hAnsi="Arial" w:cs="Arial"/>
          <w:b/>
          <w:bCs/>
        </w:rPr>
        <w:t xml:space="preserve"> </w:t>
      </w:r>
      <w:r w:rsidRPr="00BD5C05">
        <w:rPr>
          <w:rFonts w:ascii="Arial" w:hAnsi="Arial" w:cs="Arial"/>
          <w:b/>
          <w:bCs/>
        </w:rPr>
        <w:t>l</w:t>
      </w:r>
      <w:r>
        <w:rPr>
          <w:rFonts w:ascii="Arial" w:hAnsi="Arial" w:cs="Arial"/>
          <w:b/>
          <w:bCs/>
        </w:rPr>
        <w:t>os artículos transitorios</w:t>
      </w:r>
      <w:r w:rsidRPr="00BD5C05">
        <w:rPr>
          <w:rFonts w:ascii="Arial" w:hAnsi="Arial" w:cs="Arial"/>
          <w:b/>
          <w:bCs/>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550"/>
        <w:gridCol w:w="4252"/>
        <w:gridCol w:w="3544"/>
      </w:tblGrid>
      <w:tr w:rsidR="00427261" w:rsidRPr="00F45E04" w14:paraId="2E6D6FC5" w14:textId="77777777" w:rsidTr="00351108">
        <w:trPr>
          <w:tblHeader/>
          <w:jc w:val="center"/>
        </w:trPr>
        <w:tc>
          <w:tcPr>
            <w:tcW w:w="1550" w:type="dxa"/>
            <w:shd w:val="clear" w:color="auto" w:fill="70AD47" w:themeFill="accent6"/>
          </w:tcPr>
          <w:p w14:paraId="30533315"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252" w:type="dxa"/>
            <w:shd w:val="clear" w:color="auto" w:fill="70AD47" w:themeFill="accent6"/>
          </w:tcPr>
          <w:p w14:paraId="02DB8B7E" w14:textId="77777777" w:rsidR="00427261" w:rsidRPr="00F45E04" w:rsidRDefault="00427261" w:rsidP="00351108">
            <w:pPr>
              <w:spacing w:before="120" w:after="120" w:line="23" w:lineRule="atLeast"/>
              <w:jc w:val="center"/>
              <w:rPr>
                <w:rFonts w:ascii="Arial" w:hAnsi="Arial" w:cs="Arial"/>
                <w:b/>
                <w:sz w:val="18"/>
                <w:szCs w:val="18"/>
              </w:rPr>
            </w:pPr>
            <w:r w:rsidRPr="00F45E04">
              <w:rPr>
                <w:rFonts w:ascii="Arial" w:hAnsi="Arial" w:cs="Arial"/>
                <w:b/>
                <w:sz w:val="18"/>
                <w:szCs w:val="18"/>
              </w:rPr>
              <w:t>Resumen de los comentarios recibidos</w:t>
            </w:r>
          </w:p>
        </w:tc>
        <w:tc>
          <w:tcPr>
            <w:tcW w:w="3544" w:type="dxa"/>
            <w:shd w:val="clear" w:color="auto" w:fill="70AD47" w:themeFill="accent6"/>
          </w:tcPr>
          <w:p w14:paraId="3B83129A" w14:textId="77777777" w:rsidR="00427261" w:rsidRPr="00F45E04" w:rsidRDefault="00427261"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427261" w14:paraId="533234AF" w14:textId="77777777" w:rsidTr="00351108">
        <w:trPr>
          <w:jc w:val="center"/>
        </w:trPr>
        <w:tc>
          <w:tcPr>
            <w:tcW w:w="9346" w:type="dxa"/>
            <w:gridSpan w:val="3"/>
            <w:shd w:val="clear" w:color="auto" w:fill="C5E0B3" w:themeFill="accent6" w:themeFillTint="66"/>
          </w:tcPr>
          <w:p w14:paraId="3765B088" w14:textId="77777777" w:rsidR="00427261" w:rsidRDefault="00427261" w:rsidP="00351108">
            <w:pPr>
              <w:spacing w:before="120" w:after="120" w:line="23" w:lineRule="atLeast"/>
              <w:jc w:val="center"/>
              <w:rPr>
                <w:rFonts w:ascii="Arial" w:hAnsi="Arial" w:cs="Arial"/>
                <w:b/>
                <w:sz w:val="18"/>
                <w:szCs w:val="18"/>
              </w:rPr>
            </w:pPr>
            <w:r>
              <w:rPr>
                <w:rFonts w:ascii="Arial" w:hAnsi="Arial" w:cs="Arial"/>
                <w:b/>
                <w:sz w:val="18"/>
                <w:szCs w:val="18"/>
              </w:rPr>
              <w:t>TRANSITORIOS</w:t>
            </w:r>
          </w:p>
        </w:tc>
      </w:tr>
      <w:tr w:rsidR="00427261" w:rsidRPr="008003C4" w14:paraId="6E39F6C6" w14:textId="77777777" w:rsidTr="00351108">
        <w:trPr>
          <w:jc w:val="center"/>
        </w:trPr>
        <w:tc>
          <w:tcPr>
            <w:tcW w:w="1550" w:type="dxa"/>
            <w:shd w:val="clear" w:color="auto" w:fill="auto"/>
            <w:vAlign w:val="center"/>
          </w:tcPr>
          <w:p w14:paraId="481C1143" w14:textId="77777777" w:rsidR="00427261" w:rsidRDefault="00427261" w:rsidP="00351108">
            <w:pPr>
              <w:spacing w:before="120" w:after="120" w:line="23" w:lineRule="atLeast"/>
              <w:rPr>
                <w:rFonts w:ascii="Arial" w:hAnsi="Arial" w:cs="Arial"/>
                <w:b/>
                <w:sz w:val="18"/>
                <w:szCs w:val="18"/>
              </w:rPr>
            </w:pPr>
            <w:r>
              <w:rPr>
                <w:rFonts w:ascii="Arial" w:hAnsi="Arial" w:cs="Arial"/>
                <w:b/>
                <w:sz w:val="18"/>
                <w:szCs w:val="18"/>
              </w:rPr>
              <w:t>Transitorio Segundo.</w:t>
            </w:r>
          </w:p>
        </w:tc>
        <w:tc>
          <w:tcPr>
            <w:tcW w:w="4252" w:type="dxa"/>
            <w:shd w:val="clear" w:color="auto" w:fill="auto"/>
          </w:tcPr>
          <w:p w14:paraId="77CF228F" w14:textId="505F5547" w:rsidR="00427261" w:rsidRDefault="00E53578"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E</w:t>
            </w:r>
            <w:r w:rsidRPr="00E53578">
              <w:rPr>
                <w:rFonts w:ascii="Arial" w:hAnsi="Arial" w:cs="Arial"/>
                <w:sz w:val="18"/>
                <w:szCs w:val="18"/>
              </w:rPr>
              <w:t>l Instituto es omiso en especificar las disposiciones que hayan sido emitidas por el IFT que pudieren contravenir lo dispuesto por los Lineamientos. Asimismo, se establece que solo aquellos instrumentos jurídicos jerárquicamente iguales a los Lineamientos podrán ser derogados en virtud de contravenir lo dispuesto por los mismos</w:t>
            </w:r>
          </w:p>
        </w:tc>
        <w:tc>
          <w:tcPr>
            <w:tcW w:w="3544" w:type="dxa"/>
            <w:shd w:val="clear" w:color="auto" w:fill="auto"/>
          </w:tcPr>
          <w:p w14:paraId="606DC561" w14:textId="36F9D744" w:rsidR="00427261" w:rsidRDefault="00427261"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válido el comentario</w:t>
            </w:r>
            <w:r w:rsidR="00E53578">
              <w:rPr>
                <w:rFonts w:ascii="Arial" w:hAnsi="Arial" w:cs="Arial"/>
                <w:sz w:val="18"/>
                <w:szCs w:val="18"/>
              </w:rPr>
              <w:t xml:space="preserve"> en cuanto a que mediante los Lineamientos el Instituto solo podría derogar instrumentos jurídicos </w:t>
            </w:r>
            <w:r w:rsidR="00F1488D">
              <w:rPr>
                <w:rFonts w:ascii="Arial" w:hAnsi="Arial" w:cs="Arial"/>
                <w:sz w:val="18"/>
                <w:szCs w:val="18"/>
              </w:rPr>
              <w:t>de igual jerarquía jurídica, por lo que se elimina el artículo comentado.</w:t>
            </w:r>
          </w:p>
        </w:tc>
      </w:tr>
    </w:tbl>
    <w:p w14:paraId="26187D21" w14:textId="4E635927" w:rsidR="00060F77" w:rsidRDefault="00060F77" w:rsidP="00060F77">
      <w:pPr>
        <w:spacing w:before="120" w:after="120" w:line="23" w:lineRule="atLeast"/>
        <w:jc w:val="both"/>
        <w:rPr>
          <w:rFonts w:ascii="Arial" w:hAnsi="Arial" w:cs="Arial"/>
          <w:b/>
          <w:bCs/>
        </w:rPr>
      </w:pPr>
      <w:r>
        <w:rPr>
          <w:rFonts w:ascii="Arial" w:hAnsi="Arial" w:cs="Arial"/>
          <w:b/>
        </w:rPr>
        <w:t>9</w:t>
      </w:r>
      <w:r w:rsidRPr="00BD5C05">
        <w:rPr>
          <w:rFonts w:ascii="Arial" w:hAnsi="Arial" w:cs="Arial"/>
          <w:b/>
        </w:rPr>
        <w:t>.</w:t>
      </w:r>
      <w:r>
        <w:rPr>
          <w:rFonts w:ascii="Arial" w:hAnsi="Arial" w:cs="Arial"/>
          <w:b/>
        </w:rPr>
        <w:t>1</w:t>
      </w:r>
      <w:r w:rsidRPr="00BD5C05">
        <w:rPr>
          <w:rFonts w:ascii="Arial" w:hAnsi="Arial" w:cs="Arial"/>
          <w:b/>
        </w:rPr>
        <w:t xml:space="preserve"> </w:t>
      </w:r>
      <w:r>
        <w:rPr>
          <w:rFonts w:ascii="Arial" w:hAnsi="Arial" w:cs="Arial"/>
          <w:b/>
        </w:rPr>
        <w:t>Comentarios generales</w:t>
      </w:r>
    </w:p>
    <w:p w14:paraId="14850FBE" w14:textId="0B60EB4E" w:rsidR="00060F77" w:rsidRDefault="00060F77" w:rsidP="00060F77">
      <w:pPr>
        <w:spacing w:before="120" w:after="120" w:line="23" w:lineRule="atLeast"/>
        <w:jc w:val="both"/>
        <w:rPr>
          <w:rFonts w:ascii="Arial" w:hAnsi="Arial" w:cs="Arial"/>
          <w:b/>
          <w:bCs/>
        </w:rPr>
      </w:pPr>
      <w:r>
        <w:rPr>
          <w:rFonts w:ascii="Arial" w:hAnsi="Arial" w:cs="Arial"/>
          <w:b/>
          <w:bCs/>
        </w:rPr>
        <w:t xml:space="preserve">8.8.1. </w:t>
      </w:r>
      <w:r w:rsidRPr="00BD5C05">
        <w:rPr>
          <w:rFonts w:ascii="Arial" w:hAnsi="Arial" w:cs="Arial"/>
          <w:b/>
          <w:bCs/>
        </w:rPr>
        <w:t xml:space="preserve">Síntesis de los comentarios </w:t>
      </w:r>
      <w:r>
        <w:rPr>
          <w:rFonts w:ascii="Arial" w:hAnsi="Arial" w:cs="Arial"/>
          <w:b/>
          <w:bCs/>
        </w:rPr>
        <w:t xml:space="preserve">generales </w:t>
      </w:r>
      <w:r w:rsidRPr="00BD5C05">
        <w:rPr>
          <w:rFonts w:ascii="Arial" w:hAnsi="Arial" w:cs="Arial"/>
          <w:b/>
          <w:bCs/>
        </w:rPr>
        <w:t>recibidos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550"/>
        <w:gridCol w:w="4252"/>
        <w:gridCol w:w="3544"/>
      </w:tblGrid>
      <w:tr w:rsidR="00060F77" w:rsidRPr="00F45E04" w14:paraId="0CD54C20" w14:textId="77777777" w:rsidTr="00351108">
        <w:trPr>
          <w:tblHeader/>
          <w:jc w:val="center"/>
        </w:trPr>
        <w:tc>
          <w:tcPr>
            <w:tcW w:w="1550" w:type="dxa"/>
            <w:shd w:val="clear" w:color="auto" w:fill="70AD47" w:themeFill="accent6"/>
          </w:tcPr>
          <w:p w14:paraId="4FB99AB4" w14:textId="77777777" w:rsidR="00060F77" w:rsidRPr="00F45E04" w:rsidRDefault="00060F77" w:rsidP="00351108">
            <w:pPr>
              <w:spacing w:before="120" w:after="120" w:line="23" w:lineRule="atLeast"/>
              <w:jc w:val="center"/>
              <w:rPr>
                <w:rFonts w:ascii="Arial" w:hAnsi="Arial" w:cs="Arial"/>
                <w:b/>
                <w:sz w:val="18"/>
                <w:szCs w:val="18"/>
              </w:rPr>
            </w:pPr>
            <w:r>
              <w:rPr>
                <w:rFonts w:ascii="Arial" w:hAnsi="Arial" w:cs="Arial"/>
                <w:b/>
                <w:sz w:val="18"/>
                <w:szCs w:val="18"/>
              </w:rPr>
              <w:t>Artículo</w:t>
            </w:r>
          </w:p>
        </w:tc>
        <w:tc>
          <w:tcPr>
            <w:tcW w:w="4252" w:type="dxa"/>
            <w:shd w:val="clear" w:color="auto" w:fill="70AD47" w:themeFill="accent6"/>
          </w:tcPr>
          <w:p w14:paraId="1E70CB73" w14:textId="2C21B21C" w:rsidR="00060F77" w:rsidRPr="00F45E04" w:rsidRDefault="00060F77" w:rsidP="00351108">
            <w:pPr>
              <w:spacing w:before="120" w:after="120" w:line="23" w:lineRule="atLeast"/>
              <w:jc w:val="center"/>
              <w:rPr>
                <w:rFonts w:ascii="Arial" w:hAnsi="Arial" w:cs="Arial"/>
                <w:b/>
                <w:sz w:val="18"/>
                <w:szCs w:val="18"/>
              </w:rPr>
            </w:pPr>
            <w:r w:rsidRPr="00F45E04">
              <w:rPr>
                <w:rFonts w:ascii="Arial" w:hAnsi="Arial" w:cs="Arial"/>
                <w:b/>
                <w:sz w:val="18"/>
                <w:szCs w:val="18"/>
              </w:rPr>
              <w:t xml:space="preserve">Resumen de los comentarios </w:t>
            </w:r>
            <w:r>
              <w:rPr>
                <w:rFonts w:ascii="Arial" w:hAnsi="Arial" w:cs="Arial"/>
                <w:b/>
                <w:sz w:val="18"/>
                <w:szCs w:val="18"/>
              </w:rPr>
              <w:t xml:space="preserve">generales </w:t>
            </w:r>
            <w:r w:rsidRPr="00F45E04">
              <w:rPr>
                <w:rFonts w:ascii="Arial" w:hAnsi="Arial" w:cs="Arial"/>
                <w:b/>
                <w:sz w:val="18"/>
                <w:szCs w:val="18"/>
              </w:rPr>
              <w:t>recibidos</w:t>
            </w:r>
          </w:p>
        </w:tc>
        <w:tc>
          <w:tcPr>
            <w:tcW w:w="3544" w:type="dxa"/>
            <w:shd w:val="clear" w:color="auto" w:fill="70AD47" w:themeFill="accent6"/>
          </w:tcPr>
          <w:p w14:paraId="6839CF5F" w14:textId="77777777" w:rsidR="00060F77" w:rsidRPr="00F45E04" w:rsidRDefault="00060F77" w:rsidP="00351108">
            <w:pPr>
              <w:spacing w:before="120" w:after="120" w:line="23" w:lineRule="atLeast"/>
              <w:jc w:val="center"/>
              <w:rPr>
                <w:rFonts w:ascii="Arial" w:hAnsi="Arial" w:cs="Arial"/>
                <w:b/>
                <w:sz w:val="18"/>
                <w:szCs w:val="18"/>
              </w:rPr>
            </w:pPr>
            <w:r>
              <w:rPr>
                <w:rFonts w:ascii="Arial" w:hAnsi="Arial" w:cs="Arial"/>
                <w:b/>
                <w:sz w:val="18"/>
                <w:szCs w:val="18"/>
              </w:rPr>
              <w:t>Consideración</w:t>
            </w:r>
          </w:p>
        </w:tc>
      </w:tr>
      <w:tr w:rsidR="00060F77" w:rsidRPr="008003C4" w14:paraId="5C9AB827" w14:textId="77777777" w:rsidTr="00351108">
        <w:trPr>
          <w:jc w:val="center"/>
        </w:trPr>
        <w:tc>
          <w:tcPr>
            <w:tcW w:w="1550" w:type="dxa"/>
            <w:shd w:val="clear" w:color="auto" w:fill="auto"/>
            <w:vAlign w:val="center"/>
          </w:tcPr>
          <w:p w14:paraId="5EDB9202" w14:textId="145FC7EC" w:rsidR="00060F77" w:rsidRDefault="00060F77" w:rsidP="00351108">
            <w:pPr>
              <w:spacing w:before="120" w:after="120" w:line="23" w:lineRule="atLeast"/>
              <w:rPr>
                <w:rFonts w:ascii="Arial" w:hAnsi="Arial" w:cs="Arial"/>
                <w:b/>
                <w:sz w:val="18"/>
                <w:szCs w:val="18"/>
              </w:rPr>
            </w:pPr>
            <w:r>
              <w:rPr>
                <w:rFonts w:ascii="Arial" w:hAnsi="Arial" w:cs="Arial"/>
                <w:b/>
                <w:sz w:val="18"/>
                <w:szCs w:val="18"/>
              </w:rPr>
              <w:t>Comentario 1.</w:t>
            </w:r>
          </w:p>
        </w:tc>
        <w:tc>
          <w:tcPr>
            <w:tcW w:w="4252" w:type="dxa"/>
            <w:shd w:val="clear" w:color="auto" w:fill="auto"/>
          </w:tcPr>
          <w:p w14:paraId="287D4792" w14:textId="4D00B087" w:rsidR="00060F77" w:rsidRDefault="00853BE8" w:rsidP="00351108">
            <w:pPr>
              <w:autoSpaceDE w:val="0"/>
              <w:autoSpaceDN w:val="0"/>
              <w:adjustRightInd w:val="0"/>
              <w:spacing w:after="0" w:line="240" w:lineRule="auto"/>
              <w:jc w:val="both"/>
              <w:rPr>
                <w:rFonts w:ascii="Arial" w:hAnsi="Arial" w:cs="Arial"/>
                <w:sz w:val="18"/>
                <w:szCs w:val="18"/>
              </w:rPr>
            </w:pPr>
            <w:r w:rsidRPr="00853BE8">
              <w:rPr>
                <w:rFonts w:ascii="Arial" w:hAnsi="Arial" w:cs="Arial"/>
                <w:sz w:val="18"/>
                <w:szCs w:val="18"/>
              </w:rPr>
              <w:t xml:space="preserve">El procedimiento en medios electrónicos, establecido en el anteproyecto que nos ocupa es ambiguo, impreciso y contradictorio a lo establecido en los artículos 3, 4, 5, 6, 38 y 73 de la Ley Federal de Procedimiento </w:t>
            </w:r>
            <w:proofErr w:type="gramStart"/>
            <w:r w:rsidRPr="00853BE8">
              <w:rPr>
                <w:rFonts w:ascii="Arial" w:hAnsi="Arial" w:cs="Arial"/>
                <w:sz w:val="18"/>
                <w:szCs w:val="18"/>
              </w:rPr>
              <w:t>Administrativo</w:t>
            </w:r>
            <w:proofErr w:type="gramEnd"/>
            <w:r w:rsidRPr="00853BE8">
              <w:rPr>
                <w:rFonts w:ascii="Arial" w:hAnsi="Arial" w:cs="Arial"/>
                <w:sz w:val="18"/>
                <w:szCs w:val="18"/>
              </w:rPr>
              <w:t xml:space="preserve"> además, se otorgan facultades discrecionales a la autoridad, quien está obligada a motivar y fundamentar todas y cada una de sus actuaciones.</w:t>
            </w:r>
          </w:p>
        </w:tc>
        <w:tc>
          <w:tcPr>
            <w:tcW w:w="3544" w:type="dxa"/>
            <w:shd w:val="clear" w:color="auto" w:fill="auto"/>
          </w:tcPr>
          <w:p w14:paraId="6C4EDB8B" w14:textId="77777777" w:rsidR="006B0538" w:rsidRDefault="00C34436" w:rsidP="00351108">
            <w:pPr>
              <w:autoSpaceDE w:val="0"/>
              <w:autoSpaceDN w:val="0"/>
              <w:adjustRightInd w:val="0"/>
              <w:spacing w:after="0" w:line="240" w:lineRule="auto"/>
              <w:jc w:val="both"/>
              <w:rPr>
                <w:rFonts w:ascii="Arial" w:hAnsi="Arial" w:cs="Arial"/>
                <w:sz w:val="18"/>
                <w:szCs w:val="18"/>
              </w:rPr>
            </w:pPr>
            <w:r w:rsidRPr="00C34436">
              <w:rPr>
                <w:rFonts w:ascii="Arial" w:hAnsi="Arial" w:cs="Arial"/>
                <w:sz w:val="18"/>
                <w:szCs w:val="18"/>
              </w:rPr>
              <w:t>Este comentario es inválido</w:t>
            </w:r>
            <w:r w:rsidR="006B0538">
              <w:rPr>
                <w:rFonts w:ascii="Arial" w:hAnsi="Arial" w:cs="Arial"/>
                <w:sz w:val="18"/>
                <w:szCs w:val="18"/>
              </w:rPr>
              <w:t>.</w:t>
            </w:r>
          </w:p>
          <w:p w14:paraId="3FB5F7BA" w14:textId="6B7B218B" w:rsidR="006B0538" w:rsidRDefault="006B0538"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Se debe tener en cuenta que la gran mayoría de los procedimientos o trámites </w:t>
            </w:r>
            <w:r w:rsidR="0090646C">
              <w:rPr>
                <w:rFonts w:ascii="Arial" w:hAnsi="Arial" w:cs="Arial"/>
                <w:sz w:val="18"/>
                <w:szCs w:val="18"/>
              </w:rPr>
              <w:t>c</w:t>
            </w:r>
            <w:r>
              <w:rPr>
                <w:rFonts w:ascii="Arial" w:hAnsi="Arial" w:cs="Arial"/>
                <w:sz w:val="18"/>
                <w:szCs w:val="18"/>
              </w:rPr>
              <w:t>uya sustanciación por medios electrónicos se habilitará por medio de los Lineamientos están regulados por la Ley Federal de Competencia Económica</w:t>
            </w:r>
            <w:r w:rsidR="00C34436" w:rsidRPr="00C34436">
              <w:rPr>
                <w:rFonts w:ascii="Arial" w:hAnsi="Arial" w:cs="Arial"/>
                <w:sz w:val="18"/>
                <w:szCs w:val="18"/>
              </w:rPr>
              <w:t xml:space="preserve"> </w:t>
            </w:r>
            <w:r>
              <w:rPr>
                <w:rFonts w:ascii="Arial" w:hAnsi="Arial" w:cs="Arial"/>
                <w:sz w:val="18"/>
                <w:szCs w:val="18"/>
              </w:rPr>
              <w:t xml:space="preserve">la cual no señala a la Ley Federal de </w:t>
            </w:r>
            <w:r>
              <w:rPr>
                <w:rFonts w:ascii="Arial" w:hAnsi="Arial" w:cs="Arial"/>
                <w:sz w:val="18"/>
                <w:szCs w:val="18"/>
              </w:rPr>
              <w:lastRenderedPageBreak/>
              <w:t>Procedimiento Administrativo (LFPA) como una norma supletoria.</w:t>
            </w:r>
          </w:p>
          <w:p w14:paraId="39247E67" w14:textId="4A4FFDB0" w:rsidR="006B0538" w:rsidRDefault="006B0538"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Por otro lado, se considera que</w:t>
            </w:r>
            <w:r w:rsidR="00C34436" w:rsidRPr="00C34436">
              <w:rPr>
                <w:rFonts w:ascii="Arial" w:hAnsi="Arial" w:cs="Arial"/>
                <w:sz w:val="18"/>
                <w:szCs w:val="18"/>
              </w:rPr>
              <w:t xml:space="preserve"> los actos administrativos que </w:t>
            </w:r>
            <w:r>
              <w:rPr>
                <w:rFonts w:ascii="Arial" w:hAnsi="Arial" w:cs="Arial"/>
                <w:sz w:val="18"/>
                <w:szCs w:val="18"/>
              </w:rPr>
              <w:t xml:space="preserve">se lleven a cabo a través de Medios electrónicos </w:t>
            </w:r>
            <w:r w:rsidR="00C34436" w:rsidRPr="00C34436">
              <w:rPr>
                <w:rFonts w:ascii="Arial" w:hAnsi="Arial" w:cs="Arial"/>
                <w:sz w:val="18"/>
                <w:szCs w:val="18"/>
              </w:rPr>
              <w:t>cumpl</w:t>
            </w:r>
            <w:r w:rsidR="0090646C">
              <w:rPr>
                <w:rFonts w:ascii="Arial" w:hAnsi="Arial" w:cs="Arial"/>
                <w:sz w:val="18"/>
                <w:szCs w:val="18"/>
              </w:rPr>
              <w:t>irán</w:t>
            </w:r>
            <w:r w:rsidR="00C34436" w:rsidRPr="00C34436">
              <w:rPr>
                <w:rFonts w:ascii="Arial" w:hAnsi="Arial" w:cs="Arial"/>
                <w:sz w:val="18"/>
                <w:szCs w:val="18"/>
              </w:rPr>
              <w:t xml:space="preserve"> con todos los elementos que exige el artículo 3 de la LFPA, por lo que, se encontraría satisfecho lo señalado por los artículos 3, 5 y 6 de es</w:t>
            </w:r>
            <w:r>
              <w:rPr>
                <w:rFonts w:ascii="Arial" w:hAnsi="Arial" w:cs="Arial"/>
                <w:sz w:val="18"/>
                <w:szCs w:val="18"/>
              </w:rPr>
              <w:t>t</w:t>
            </w:r>
            <w:r w:rsidR="00C34436" w:rsidRPr="00C34436">
              <w:rPr>
                <w:rFonts w:ascii="Arial" w:hAnsi="Arial" w:cs="Arial"/>
                <w:sz w:val="18"/>
                <w:szCs w:val="18"/>
              </w:rPr>
              <w:t>a Ley. Asimismo, los</w:t>
            </w:r>
            <w:r>
              <w:rPr>
                <w:rFonts w:ascii="Arial" w:hAnsi="Arial" w:cs="Arial"/>
                <w:sz w:val="18"/>
                <w:szCs w:val="18"/>
              </w:rPr>
              <w:t xml:space="preserve"> L</w:t>
            </w:r>
            <w:r w:rsidR="00C34436" w:rsidRPr="00C34436">
              <w:rPr>
                <w:rFonts w:ascii="Arial" w:hAnsi="Arial" w:cs="Arial"/>
                <w:sz w:val="18"/>
                <w:szCs w:val="18"/>
              </w:rPr>
              <w:t xml:space="preserve">ineamientos serán publicados en el </w:t>
            </w:r>
            <w:r w:rsidR="0090646C">
              <w:rPr>
                <w:rFonts w:ascii="Arial" w:hAnsi="Arial" w:cs="Arial"/>
                <w:sz w:val="18"/>
                <w:szCs w:val="18"/>
              </w:rPr>
              <w:t>DOF</w:t>
            </w:r>
            <w:r w:rsidR="00C34436" w:rsidRPr="00C34436">
              <w:rPr>
                <w:rFonts w:ascii="Arial" w:hAnsi="Arial" w:cs="Arial"/>
                <w:sz w:val="18"/>
                <w:szCs w:val="18"/>
              </w:rPr>
              <w:t xml:space="preserve">, como lo indica el artículo </w:t>
            </w:r>
            <w:r>
              <w:rPr>
                <w:rFonts w:ascii="Arial" w:hAnsi="Arial" w:cs="Arial"/>
                <w:sz w:val="18"/>
                <w:szCs w:val="18"/>
              </w:rPr>
              <w:t>4</w:t>
            </w:r>
            <w:r w:rsidR="00C34436" w:rsidRPr="00C34436">
              <w:rPr>
                <w:rFonts w:ascii="Arial" w:hAnsi="Arial" w:cs="Arial"/>
                <w:sz w:val="18"/>
                <w:szCs w:val="18"/>
              </w:rPr>
              <w:t xml:space="preserve"> de la LFPA. </w:t>
            </w:r>
          </w:p>
          <w:p w14:paraId="692F74A4" w14:textId="4C152252" w:rsidR="00060F77" w:rsidRDefault="00C34436" w:rsidP="00351108">
            <w:pPr>
              <w:autoSpaceDE w:val="0"/>
              <w:autoSpaceDN w:val="0"/>
              <w:adjustRightInd w:val="0"/>
              <w:spacing w:after="0" w:line="240" w:lineRule="auto"/>
              <w:jc w:val="both"/>
              <w:rPr>
                <w:rFonts w:ascii="Arial" w:hAnsi="Arial" w:cs="Arial"/>
                <w:sz w:val="18"/>
                <w:szCs w:val="18"/>
              </w:rPr>
            </w:pPr>
            <w:r w:rsidRPr="00C34436">
              <w:rPr>
                <w:rFonts w:ascii="Arial" w:hAnsi="Arial" w:cs="Arial"/>
                <w:sz w:val="18"/>
                <w:szCs w:val="18"/>
              </w:rPr>
              <w:t>Ahora bien, por lo que hace a las notificaciones</w:t>
            </w:r>
            <w:r w:rsidR="006B0538">
              <w:rPr>
                <w:rFonts w:ascii="Arial" w:hAnsi="Arial" w:cs="Arial"/>
                <w:sz w:val="18"/>
                <w:szCs w:val="18"/>
              </w:rPr>
              <w:t>,</w:t>
            </w:r>
            <w:r w:rsidRPr="00C34436">
              <w:rPr>
                <w:rFonts w:ascii="Arial" w:hAnsi="Arial" w:cs="Arial"/>
                <w:sz w:val="18"/>
                <w:szCs w:val="18"/>
              </w:rPr>
              <w:t xml:space="preserve"> en las modificaciones que a los Lineamientos</w:t>
            </w:r>
            <w:r w:rsidR="006B0538">
              <w:rPr>
                <w:rFonts w:ascii="Arial" w:hAnsi="Arial" w:cs="Arial"/>
                <w:sz w:val="18"/>
                <w:szCs w:val="18"/>
              </w:rPr>
              <w:t xml:space="preserve"> que se propondrán al Pleno del Instituto</w:t>
            </w:r>
            <w:r w:rsidRPr="00C34436">
              <w:rPr>
                <w:rFonts w:ascii="Arial" w:hAnsi="Arial" w:cs="Arial"/>
                <w:sz w:val="18"/>
                <w:szCs w:val="18"/>
              </w:rPr>
              <w:t xml:space="preserve">, se </w:t>
            </w:r>
            <w:r w:rsidR="006B0538">
              <w:rPr>
                <w:rFonts w:ascii="Arial" w:hAnsi="Arial" w:cs="Arial"/>
                <w:sz w:val="18"/>
                <w:szCs w:val="18"/>
              </w:rPr>
              <w:t xml:space="preserve">establece </w:t>
            </w:r>
            <w:r w:rsidRPr="00C34436">
              <w:rPr>
                <w:rFonts w:ascii="Arial" w:hAnsi="Arial" w:cs="Arial"/>
                <w:sz w:val="18"/>
                <w:szCs w:val="18"/>
              </w:rPr>
              <w:t xml:space="preserve">que las notificaciones </w:t>
            </w:r>
            <w:r w:rsidR="006B0538">
              <w:rPr>
                <w:rFonts w:ascii="Arial" w:hAnsi="Arial" w:cs="Arial"/>
                <w:sz w:val="18"/>
                <w:szCs w:val="18"/>
              </w:rPr>
              <w:t xml:space="preserve">por medios electrónicos </w:t>
            </w:r>
            <w:r w:rsidRPr="00C34436">
              <w:rPr>
                <w:rFonts w:ascii="Arial" w:hAnsi="Arial" w:cs="Arial"/>
                <w:sz w:val="18"/>
                <w:szCs w:val="18"/>
              </w:rPr>
              <w:t>surt</w:t>
            </w:r>
            <w:r w:rsidR="006B0538">
              <w:rPr>
                <w:rFonts w:ascii="Arial" w:hAnsi="Arial" w:cs="Arial"/>
                <w:sz w:val="18"/>
                <w:szCs w:val="18"/>
              </w:rPr>
              <w:t>a</w:t>
            </w:r>
            <w:r w:rsidRPr="00C34436">
              <w:rPr>
                <w:rFonts w:ascii="Arial" w:hAnsi="Arial" w:cs="Arial"/>
                <w:sz w:val="18"/>
                <w:szCs w:val="18"/>
              </w:rPr>
              <w:t>n efectos</w:t>
            </w:r>
            <w:r w:rsidR="006B0538">
              <w:rPr>
                <w:rFonts w:ascii="Arial" w:hAnsi="Arial" w:cs="Arial"/>
                <w:sz w:val="18"/>
                <w:szCs w:val="18"/>
              </w:rPr>
              <w:t xml:space="preserve"> al momento de la impresión de la firma electrónica del </w:t>
            </w:r>
            <w:r w:rsidR="002C4AEE">
              <w:rPr>
                <w:rFonts w:ascii="Arial" w:hAnsi="Arial" w:cs="Arial"/>
                <w:sz w:val="18"/>
                <w:szCs w:val="18"/>
              </w:rPr>
              <w:t>notificado</w:t>
            </w:r>
            <w:r w:rsidRPr="00C34436">
              <w:rPr>
                <w:rFonts w:ascii="Arial" w:hAnsi="Arial" w:cs="Arial"/>
                <w:sz w:val="18"/>
                <w:szCs w:val="18"/>
              </w:rPr>
              <w:t xml:space="preserve">, por lo que se considera que se le </w:t>
            </w:r>
            <w:proofErr w:type="spellStart"/>
            <w:r w:rsidRPr="00C34436">
              <w:rPr>
                <w:rFonts w:ascii="Arial" w:hAnsi="Arial" w:cs="Arial"/>
                <w:sz w:val="18"/>
                <w:szCs w:val="18"/>
              </w:rPr>
              <w:t>esta</w:t>
            </w:r>
            <w:proofErr w:type="spellEnd"/>
            <w:r w:rsidRPr="00C34436">
              <w:rPr>
                <w:rFonts w:ascii="Arial" w:hAnsi="Arial" w:cs="Arial"/>
                <w:sz w:val="18"/>
                <w:szCs w:val="18"/>
              </w:rPr>
              <w:t xml:space="preserve"> otorgando a los agentes económicos un plazo razonable para</w:t>
            </w:r>
            <w:r w:rsidR="002C4AEE">
              <w:rPr>
                <w:rFonts w:ascii="Arial" w:hAnsi="Arial" w:cs="Arial"/>
                <w:sz w:val="18"/>
                <w:szCs w:val="18"/>
              </w:rPr>
              <w:t xml:space="preserve"> conocer los actos que se les notifican</w:t>
            </w:r>
            <w:r w:rsidRPr="00C34436">
              <w:rPr>
                <w:rFonts w:ascii="Arial" w:hAnsi="Arial" w:cs="Arial"/>
                <w:sz w:val="18"/>
                <w:szCs w:val="18"/>
              </w:rPr>
              <w:t xml:space="preserve">, de modo tal que no se le deja a los </w:t>
            </w:r>
            <w:r w:rsidR="002C4AEE">
              <w:rPr>
                <w:rFonts w:ascii="Arial" w:hAnsi="Arial" w:cs="Arial"/>
                <w:sz w:val="18"/>
                <w:szCs w:val="18"/>
              </w:rPr>
              <w:t>interesados</w:t>
            </w:r>
            <w:r w:rsidRPr="00C34436">
              <w:rPr>
                <w:rFonts w:ascii="Arial" w:hAnsi="Arial" w:cs="Arial"/>
                <w:sz w:val="18"/>
                <w:szCs w:val="18"/>
              </w:rPr>
              <w:t xml:space="preserve"> en estado de indefensión. Por úl</w:t>
            </w:r>
            <w:r w:rsidR="002C4AEE">
              <w:rPr>
                <w:rFonts w:ascii="Arial" w:hAnsi="Arial" w:cs="Arial"/>
                <w:sz w:val="18"/>
                <w:szCs w:val="18"/>
              </w:rPr>
              <w:t>t</w:t>
            </w:r>
            <w:r w:rsidRPr="00C34436">
              <w:rPr>
                <w:rFonts w:ascii="Arial" w:hAnsi="Arial" w:cs="Arial"/>
                <w:sz w:val="18"/>
                <w:szCs w:val="18"/>
              </w:rPr>
              <w:t>imo, el actuar de la UCE siempre ha sido apegado los principios del debido proceso, de ahí que las resoluciones, acuerdos y demás actos administrativos que emanen del desahogo de los trámites y procedimientos en el Sistema Electrónico, no dejaran de fundarse y motivarse, considerando los elementos contenidos en el artículo 73 de LFPA</w:t>
            </w:r>
          </w:p>
        </w:tc>
      </w:tr>
      <w:tr w:rsidR="0090646C" w:rsidRPr="008003C4" w14:paraId="1506F1E7" w14:textId="77777777" w:rsidTr="00351108">
        <w:trPr>
          <w:jc w:val="center"/>
        </w:trPr>
        <w:tc>
          <w:tcPr>
            <w:tcW w:w="1550" w:type="dxa"/>
            <w:shd w:val="clear" w:color="auto" w:fill="auto"/>
            <w:vAlign w:val="center"/>
          </w:tcPr>
          <w:p w14:paraId="45F286D5" w14:textId="1FBB5E19" w:rsidR="0090646C" w:rsidRDefault="0090646C" w:rsidP="00351108">
            <w:pPr>
              <w:spacing w:before="120" w:after="120" w:line="23" w:lineRule="atLeast"/>
              <w:rPr>
                <w:rFonts w:ascii="Arial" w:hAnsi="Arial" w:cs="Arial"/>
                <w:b/>
                <w:sz w:val="18"/>
                <w:szCs w:val="18"/>
              </w:rPr>
            </w:pPr>
            <w:r>
              <w:rPr>
                <w:rFonts w:ascii="Arial" w:hAnsi="Arial" w:cs="Arial"/>
                <w:b/>
                <w:sz w:val="18"/>
                <w:szCs w:val="18"/>
              </w:rPr>
              <w:lastRenderedPageBreak/>
              <w:t>Comentario 2</w:t>
            </w:r>
          </w:p>
        </w:tc>
        <w:tc>
          <w:tcPr>
            <w:tcW w:w="4252" w:type="dxa"/>
            <w:shd w:val="clear" w:color="auto" w:fill="auto"/>
          </w:tcPr>
          <w:p w14:paraId="39EA459A" w14:textId="77777777" w:rsidR="0090646C" w:rsidRPr="0090646C" w:rsidRDefault="0090646C" w:rsidP="0090646C">
            <w:pPr>
              <w:autoSpaceDE w:val="0"/>
              <w:autoSpaceDN w:val="0"/>
              <w:adjustRightInd w:val="0"/>
              <w:spacing w:after="0" w:line="240" w:lineRule="auto"/>
              <w:jc w:val="both"/>
              <w:rPr>
                <w:rFonts w:ascii="Arial" w:hAnsi="Arial" w:cs="Arial"/>
                <w:sz w:val="18"/>
                <w:szCs w:val="18"/>
              </w:rPr>
            </w:pPr>
            <w:r w:rsidRPr="0090646C">
              <w:rPr>
                <w:rFonts w:ascii="Arial" w:hAnsi="Arial" w:cs="Arial"/>
                <w:sz w:val="18"/>
                <w:szCs w:val="18"/>
              </w:rPr>
              <w:t>Se sugiere establecer consecuencias procesales claras para el caso de incumplimiento de las</w:t>
            </w:r>
          </w:p>
          <w:p w14:paraId="13B322C1" w14:textId="77777777" w:rsidR="0090646C" w:rsidRDefault="0090646C" w:rsidP="0090646C">
            <w:pPr>
              <w:autoSpaceDE w:val="0"/>
              <w:autoSpaceDN w:val="0"/>
              <w:adjustRightInd w:val="0"/>
              <w:spacing w:after="0" w:line="240" w:lineRule="auto"/>
              <w:jc w:val="both"/>
              <w:rPr>
                <w:rFonts w:ascii="Arial" w:hAnsi="Arial" w:cs="Arial"/>
                <w:sz w:val="18"/>
                <w:szCs w:val="18"/>
              </w:rPr>
            </w:pPr>
            <w:r w:rsidRPr="0090646C">
              <w:rPr>
                <w:rFonts w:ascii="Arial" w:hAnsi="Arial" w:cs="Arial"/>
                <w:sz w:val="18"/>
                <w:szCs w:val="18"/>
              </w:rPr>
              <w:t xml:space="preserve">reglas establecidas. </w:t>
            </w:r>
          </w:p>
          <w:p w14:paraId="042B83A2" w14:textId="2FA499B5" w:rsidR="0090646C" w:rsidRPr="00853BE8" w:rsidRDefault="0090646C" w:rsidP="0090646C">
            <w:pPr>
              <w:autoSpaceDE w:val="0"/>
              <w:autoSpaceDN w:val="0"/>
              <w:adjustRightInd w:val="0"/>
              <w:spacing w:after="0" w:line="240" w:lineRule="auto"/>
              <w:jc w:val="both"/>
              <w:rPr>
                <w:rFonts w:ascii="Arial" w:hAnsi="Arial" w:cs="Arial"/>
                <w:sz w:val="18"/>
                <w:szCs w:val="18"/>
              </w:rPr>
            </w:pPr>
            <w:r w:rsidRPr="0090646C">
              <w:rPr>
                <w:rFonts w:ascii="Arial" w:hAnsi="Arial" w:cs="Arial"/>
                <w:sz w:val="18"/>
                <w:szCs w:val="18"/>
              </w:rPr>
              <w:t>Por ejemplo, el artículo 75 no establece cuál es la consecuencia de que no se</w:t>
            </w:r>
            <w:r>
              <w:rPr>
                <w:rFonts w:ascii="Arial" w:hAnsi="Arial" w:cs="Arial"/>
                <w:sz w:val="18"/>
                <w:szCs w:val="18"/>
              </w:rPr>
              <w:t xml:space="preserve"> </w:t>
            </w:r>
            <w:r w:rsidRPr="0090646C">
              <w:rPr>
                <w:rFonts w:ascii="Arial" w:hAnsi="Arial" w:cs="Arial"/>
                <w:sz w:val="18"/>
                <w:szCs w:val="18"/>
              </w:rPr>
              <w:t>envíe la digitalización de la identificación del compareciente; tampoco existe la consecuencia en</w:t>
            </w:r>
            <w:r>
              <w:rPr>
                <w:rFonts w:ascii="Arial" w:hAnsi="Arial" w:cs="Arial"/>
                <w:sz w:val="18"/>
                <w:szCs w:val="18"/>
              </w:rPr>
              <w:t xml:space="preserve"> </w:t>
            </w:r>
            <w:r w:rsidRPr="0090646C">
              <w:rPr>
                <w:rFonts w:ascii="Arial" w:hAnsi="Arial" w:cs="Arial"/>
                <w:sz w:val="18"/>
                <w:szCs w:val="18"/>
              </w:rPr>
              <w:t>el artículo 79 para el caso de que el compareciente o su abogado no se abstengan de reproducir</w:t>
            </w:r>
            <w:r>
              <w:rPr>
                <w:rFonts w:ascii="Arial" w:hAnsi="Arial" w:cs="Arial"/>
                <w:sz w:val="18"/>
                <w:szCs w:val="18"/>
              </w:rPr>
              <w:t xml:space="preserve"> </w:t>
            </w:r>
            <w:r w:rsidRPr="0090646C">
              <w:rPr>
                <w:rFonts w:ascii="Arial" w:hAnsi="Arial" w:cs="Arial"/>
                <w:sz w:val="18"/>
                <w:szCs w:val="18"/>
              </w:rPr>
              <w:t>los documentos electrónicos exhibidos durante la diligencia Lo mismo sucede en el caso del</w:t>
            </w:r>
            <w:r>
              <w:rPr>
                <w:rFonts w:ascii="Arial" w:hAnsi="Arial" w:cs="Arial"/>
                <w:sz w:val="18"/>
                <w:szCs w:val="18"/>
              </w:rPr>
              <w:t xml:space="preserve"> </w:t>
            </w:r>
            <w:r w:rsidRPr="0090646C">
              <w:rPr>
                <w:rFonts w:ascii="Arial" w:hAnsi="Arial" w:cs="Arial"/>
                <w:sz w:val="18"/>
                <w:szCs w:val="18"/>
              </w:rPr>
              <w:t>artículo 84, en el que no se dice cuál es la consecuencia de no cumplir la norma que contiene.</w:t>
            </w:r>
          </w:p>
        </w:tc>
        <w:tc>
          <w:tcPr>
            <w:tcW w:w="3544" w:type="dxa"/>
            <w:shd w:val="clear" w:color="auto" w:fill="auto"/>
          </w:tcPr>
          <w:p w14:paraId="146580B2" w14:textId="7CBE9061" w:rsidR="0090646C" w:rsidRPr="00C34436" w:rsidRDefault="00BF2F95"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que el comentario es válido, por lo que se establecen las consecuencias procesales en los artículos señalados.</w:t>
            </w:r>
          </w:p>
        </w:tc>
      </w:tr>
      <w:tr w:rsidR="0010635C" w:rsidRPr="008003C4" w14:paraId="4353A965" w14:textId="77777777" w:rsidTr="00351108">
        <w:trPr>
          <w:jc w:val="center"/>
        </w:trPr>
        <w:tc>
          <w:tcPr>
            <w:tcW w:w="1550" w:type="dxa"/>
            <w:shd w:val="clear" w:color="auto" w:fill="auto"/>
            <w:vAlign w:val="center"/>
          </w:tcPr>
          <w:p w14:paraId="7B9EC57C" w14:textId="1F077157" w:rsidR="0010635C" w:rsidRDefault="0010635C" w:rsidP="00351108">
            <w:pPr>
              <w:spacing w:before="120" w:after="120" w:line="23" w:lineRule="atLeast"/>
              <w:rPr>
                <w:rFonts w:ascii="Arial" w:hAnsi="Arial" w:cs="Arial"/>
                <w:b/>
                <w:sz w:val="18"/>
                <w:szCs w:val="18"/>
              </w:rPr>
            </w:pPr>
            <w:r>
              <w:rPr>
                <w:rFonts w:ascii="Arial" w:hAnsi="Arial" w:cs="Arial"/>
                <w:b/>
                <w:sz w:val="18"/>
                <w:szCs w:val="18"/>
              </w:rPr>
              <w:t>Comentario 3</w:t>
            </w:r>
          </w:p>
        </w:tc>
        <w:tc>
          <w:tcPr>
            <w:tcW w:w="4252" w:type="dxa"/>
            <w:shd w:val="clear" w:color="auto" w:fill="auto"/>
          </w:tcPr>
          <w:p w14:paraId="150B1B03" w14:textId="04F6158B" w:rsidR="0010635C" w:rsidRPr="0090646C" w:rsidRDefault="0010635C" w:rsidP="0010635C">
            <w:pPr>
              <w:autoSpaceDE w:val="0"/>
              <w:autoSpaceDN w:val="0"/>
              <w:adjustRightInd w:val="0"/>
              <w:spacing w:after="0" w:line="240" w:lineRule="auto"/>
              <w:jc w:val="both"/>
              <w:rPr>
                <w:rFonts w:ascii="Arial" w:hAnsi="Arial" w:cs="Arial"/>
                <w:sz w:val="18"/>
                <w:szCs w:val="18"/>
              </w:rPr>
            </w:pPr>
            <w:r w:rsidRPr="0010635C">
              <w:rPr>
                <w:rFonts w:ascii="Arial" w:hAnsi="Arial" w:cs="Arial"/>
                <w:sz w:val="18"/>
                <w:szCs w:val="18"/>
              </w:rPr>
              <w:t>Por lo que hace a las menciones sobre la media filiación (</w:t>
            </w:r>
            <w:r>
              <w:rPr>
                <w:rFonts w:ascii="Arial" w:hAnsi="Arial" w:cs="Arial"/>
                <w:sz w:val="18"/>
                <w:szCs w:val="18"/>
              </w:rPr>
              <w:t xml:space="preserve">artículos </w:t>
            </w:r>
            <w:r w:rsidRPr="0010635C">
              <w:rPr>
                <w:rFonts w:ascii="Arial" w:hAnsi="Arial" w:cs="Arial"/>
                <w:sz w:val="18"/>
                <w:szCs w:val="18"/>
              </w:rPr>
              <w:t xml:space="preserve">76, 77, 84, 91), </w:t>
            </w:r>
            <w:r>
              <w:rPr>
                <w:rFonts w:ascii="Arial" w:hAnsi="Arial" w:cs="Arial"/>
                <w:sz w:val="18"/>
                <w:szCs w:val="18"/>
              </w:rPr>
              <w:t xml:space="preserve">se considera que </w:t>
            </w:r>
            <w:r w:rsidRPr="0010635C">
              <w:rPr>
                <w:rFonts w:ascii="Arial" w:hAnsi="Arial" w:cs="Arial"/>
                <w:sz w:val="18"/>
                <w:szCs w:val="18"/>
              </w:rPr>
              <w:t>es muy complicado que en cada diligencia se haga una descripción de ese estilo.</w:t>
            </w:r>
            <w:r>
              <w:rPr>
                <w:rFonts w:ascii="Arial" w:hAnsi="Arial" w:cs="Arial"/>
                <w:sz w:val="18"/>
                <w:szCs w:val="18"/>
              </w:rPr>
              <w:t xml:space="preserve"> Se recomienda sustituir el requisito </w:t>
            </w:r>
            <w:r w:rsidRPr="0010635C">
              <w:rPr>
                <w:rFonts w:ascii="Arial" w:hAnsi="Arial" w:cs="Arial"/>
                <w:sz w:val="18"/>
                <w:szCs w:val="18"/>
              </w:rPr>
              <w:t>por uno en donde sólo se debe verificar que los rasgos</w:t>
            </w:r>
            <w:r>
              <w:rPr>
                <w:rFonts w:ascii="Arial" w:hAnsi="Arial" w:cs="Arial"/>
                <w:sz w:val="18"/>
                <w:szCs w:val="18"/>
              </w:rPr>
              <w:t xml:space="preserve"> </w:t>
            </w:r>
            <w:r w:rsidRPr="0010635C">
              <w:rPr>
                <w:rFonts w:ascii="Arial" w:hAnsi="Arial" w:cs="Arial"/>
                <w:sz w:val="18"/>
                <w:szCs w:val="18"/>
              </w:rPr>
              <w:t>del compareciente coinciden con los de la identificación, máxime si se considera que en muchos</w:t>
            </w:r>
            <w:r>
              <w:rPr>
                <w:rFonts w:ascii="Arial" w:hAnsi="Arial" w:cs="Arial"/>
                <w:sz w:val="18"/>
                <w:szCs w:val="18"/>
              </w:rPr>
              <w:t xml:space="preserve"> </w:t>
            </w:r>
            <w:r w:rsidRPr="0010635C">
              <w:rPr>
                <w:rFonts w:ascii="Arial" w:hAnsi="Arial" w:cs="Arial"/>
                <w:sz w:val="18"/>
                <w:szCs w:val="18"/>
              </w:rPr>
              <w:t>casos existirá grabación de la diligencia.</w:t>
            </w:r>
          </w:p>
        </w:tc>
        <w:tc>
          <w:tcPr>
            <w:tcW w:w="3544" w:type="dxa"/>
            <w:shd w:val="clear" w:color="auto" w:fill="auto"/>
          </w:tcPr>
          <w:p w14:paraId="66180A65" w14:textId="2D07824F" w:rsidR="0010635C" w:rsidRPr="00C34436" w:rsidRDefault="00BF2F95" w:rsidP="0035110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Se considera que el comentario es válido, por lo que se modifican todos los artículo</w:t>
            </w:r>
            <w:r w:rsidR="00C36D71">
              <w:rPr>
                <w:rFonts w:ascii="Arial" w:hAnsi="Arial" w:cs="Arial"/>
                <w:sz w:val="18"/>
                <w:szCs w:val="18"/>
              </w:rPr>
              <w:t>s</w:t>
            </w:r>
            <w:r>
              <w:rPr>
                <w:rFonts w:ascii="Arial" w:hAnsi="Arial" w:cs="Arial"/>
                <w:sz w:val="18"/>
                <w:szCs w:val="18"/>
              </w:rPr>
              <w:t xml:space="preserve"> que contienen dicho término en el sentido sugerido.</w:t>
            </w:r>
          </w:p>
        </w:tc>
      </w:tr>
    </w:tbl>
    <w:p w14:paraId="50BCB5EE" w14:textId="77777777" w:rsidR="00400299" w:rsidRDefault="00400299" w:rsidP="00275B74">
      <w:pPr>
        <w:keepNext/>
        <w:spacing w:before="120" w:after="120" w:line="23" w:lineRule="atLeast"/>
        <w:jc w:val="both"/>
        <w:rPr>
          <w:rFonts w:ascii="Arial" w:hAnsi="Arial" w:cs="Arial"/>
          <w:b/>
        </w:rPr>
      </w:pPr>
    </w:p>
    <w:sectPr w:rsidR="00400299" w:rsidSect="00DE6F93">
      <w:footerReference w:type="default" r:id="rId12"/>
      <w:pgSz w:w="12240" w:h="15840"/>
      <w:pgMar w:top="1418" w:right="1418" w:bottom="1418" w:left="1418"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FA472" w14:textId="77777777" w:rsidR="000C6A2A" w:rsidRDefault="000C6A2A" w:rsidP="005C5B1C">
      <w:pPr>
        <w:spacing w:after="0" w:line="240" w:lineRule="auto"/>
      </w:pPr>
      <w:r>
        <w:separator/>
      </w:r>
    </w:p>
  </w:endnote>
  <w:endnote w:type="continuationSeparator" w:id="0">
    <w:p w14:paraId="418BC6C3" w14:textId="77777777" w:rsidR="000C6A2A" w:rsidRDefault="000C6A2A" w:rsidP="005C5B1C">
      <w:pPr>
        <w:spacing w:after="0" w:line="240" w:lineRule="auto"/>
      </w:pPr>
      <w:r>
        <w:continuationSeparator/>
      </w:r>
    </w:p>
  </w:endnote>
  <w:endnote w:type="continuationNotice" w:id="1">
    <w:p w14:paraId="1ABFDC9C" w14:textId="77777777" w:rsidR="000C6A2A" w:rsidRDefault="000C6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412521"/>
      <w:docPartObj>
        <w:docPartGallery w:val="Page Numbers (Bottom of Page)"/>
        <w:docPartUnique/>
      </w:docPartObj>
    </w:sdtPr>
    <w:sdtEndPr/>
    <w:sdtContent>
      <w:sdt>
        <w:sdtPr>
          <w:id w:val="-1769616900"/>
          <w:docPartObj>
            <w:docPartGallery w:val="Page Numbers (Top of Page)"/>
            <w:docPartUnique/>
          </w:docPartObj>
        </w:sdtPr>
        <w:sdtEndPr/>
        <w:sdtContent>
          <w:p w14:paraId="4EE68677" w14:textId="23A0303E" w:rsidR="00351108" w:rsidRDefault="00351108">
            <w:pPr>
              <w:pStyle w:val="Piedepgina"/>
              <w:jc w:val="right"/>
            </w:pPr>
            <w:r w:rsidRPr="00275B74">
              <w:rPr>
                <w:rFonts w:ascii="Arial" w:hAnsi="Arial" w:cs="Arial"/>
                <w:sz w:val="18"/>
                <w:szCs w:val="18"/>
                <w:lang w:val="es-ES"/>
              </w:rPr>
              <w:t xml:space="preserve">Página </w:t>
            </w:r>
            <w:r w:rsidRPr="00275B74">
              <w:rPr>
                <w:rFonts w:ascii="Arial" w:hAnsi="Arial" w:cs="Arial"/>
                <w:b/>
                <w:bCs/>
                <w:sz w:val="18"/>
                <w:szCs w:val="18"/>
              </w:rPr>
              <w:fldChar w:fldCharType="begin"/>
            </w:r>
            <w:r w:rsidRPr="00275B74">
              <w:rPr>
                <w:rFonts w:ascii="Arial" w:hAnsi="Arial" w:cs="Arial"/>
                <w:b/>
                <w:bCs/>
                <w:sz w:val="18"/>
                <w:szCs w:val="18"/>
              </w:rPr>
              <w:instrText>PAGE</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r w:rsidRPr="00275B74">
              <w:rPr>
                <w:rFonts w:ascii="Arial" w:hAnsi="Arial" w:cs="Arial"/>
                <w:sz w:val="18"/>
                <w:szCs w:val="18"/>
                <w:lang w:val="es-ES"/>
              </w:rPr>
              <w:t xml:space="preserve"> de </w:t>
            </w:r>
            <w:r w:rsidRPr="00275B74">
              <w:rPr>
                <w:rFonts w:ascii="Arial" w:hAnsi="Arial" w:cs="Arial"/>
                <w:b/>
                <w:bCs/>
                <w:sz w:val="18"/>
                <w:szCs w:val="18"/>
              </w:rPr>
              <w:fldChar w:fldCharType="begin"/>
            </w:r>
            <w:r w:rsidRPr="00275B74">
              <w:rPr>
                <w:rFonts w:ascii="Arial" w:hAnsi="Arial" w:cs="Arial"/>
                <w:b/>
                <w:bCs/>
                <w:sz w:val="18"/>
                <w:szCs w:val="18"/>
              </w:rPr>
              <w:instrText>NUMPAGES</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p>
        </w:sdtContent>
      </w:sdt>
    </w:sdtContent>
  </w:sdt>
  <w:p w14:paraId="5C39AAA1" w14:textId="77777777" w:rsidR="00351108" w:rsidRDefault="003511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058C" w14:textId="77777777" w:rsidR="000C6A2A" w:rsidRDefault="000C6A2A" w:rsidP="005C5B1C">
      <w:pPr>
        <w:spacing w:after="0" w:line="240" w:lineRule="auto"/>
      </w:pPr>
      <w:r>
        <w:separator/>
      </w:r>
    </w:p>
  </w:footnote>
  <w:footnote w:type="continuationSeparator" w:id="0">
    <w:p w14:paraId="01155343" w14:textId="77777777" w:rsidR="000C6A2A" w:rsidRDefault="000C6A2A" w:rsidP="005C5B1C">
      <w:pPr>
        <w:spacing w:after="0" w:line="240" w:lineRule="auto"/>
      </w:pPr>
      <w:r>
        <w:continuationSeparator/>
      </w:r>
    </w:p>
  </w:footnote>
  <w:footnote w:type="continuationNotice" w:id="1">
    <w:p w14:paraId="58342F94" w14:textId="77777777" w:rsidR="000C6A2A" w:rsidRDefault="000C6A2A">
      <w:pPr>
        <w:spacing w:after="0" w:line="240" w:lineRule="auto"/>
      </w:pPr>
    </w:p>
  </w:footnote>
  <w:footnote w:id="2">
    <w:p w14:paraId="4D57FEAB" w14:textId="77777777" w:rsidR="00351108" w:rsidRPr="00A43C75" w:rsidRDefault="00351108" w:rsidP="003142E8">
      <w:pPr>
        <w:spacing w:after="0" w:line="240" w:lineRule="auto"/>
        <w:jc w:val="both"/>
        <w:rPr>
          <w:rFonts w:ascii="Arial" w:hAnsi="Arial" w:cs="Arial"/>
          <w:i/>
          <w:iCs/>
          <w:sz w:val="14"/>
          <w:szCs w:val="14"/>
        </w:rPr>
      </w:pPr>
      <w:r w:rsidRPr="00A43C75">
        <w:rPr>
          <w:rStyle w:val="Refdenotaalpie"/>
          <w:rFonts w:ascii="Arial" w:hAnsi="Arial" w:cs="Arial"/>
          <w:sz w:val="14"/>
          <w:szCs w:val="14"/>
        </w:rPr>
        <w:footnoteRef/>
      </w:r>
      <w:r w:rsidRPr="00A43C75">
        <w:rPr>
          <w:rFonts w:ascii="Arial" w:hAnsi="Arial" w:cs="Arial"/>
          <w:sz w:val="14"/>
          <w:szCs w:val="14"/>
        </w:rPr>
        <w:t xml:space="preserve"> “</w:t>
      </w:r>
      <w:proofErr w:type="gramStart"/>
      <w:r w:rsidRPr="00A43C75">
        <w:rPr>
          <w:rFonts w:ascii="Arial" w:hAnsi="Arial" w:cs="Arial"/>
          <w:b/>
          <w:bCs/>
          <w:i/>
          <w:iCs/>
          <w:sz w:val="14"/>
          <w:szCs w:val="14"/>
        </w:rPr>
        <w:t>Noveno.-</w:t>
      </w:r>
      <w:proofErr w:type="gramEnd"/>
      <w:r w:rsidRPr="00A43C75">
        <w:rPr>
          <w:rFonts w:ascii="Arial" w:hAnsi="Arial" w:cs="Arial"/>
          <w:b/>
          <w:bCs/>
          <w:i/>
          <w:iCs/>
          <w:sz w:val="14"/>
          <w:szCs w:val="14"/>
        </w:rPr>
        <w:t xml:space="preserve"> </w:t>
      </w:r>
      <w:r w:rsidRPr="00A43C75">
        <w:rPr>
          <w:rFonts w:ascii="Arial" w:hAnsi="Arial" w:cs="Arial"/>
          <w:i/>
          <w:iCs/>
          <w:sz w:val="14"/>
          <w:szCs w:val="14"/>
        </w:rPr>
        <w:t>La información, comentarios, opiniones, aportaciones u otros elementos de análisis que los participantes presenten al Instituto, en los procesos de consulta pública que realice, no tendrán carácter vinculante. No obstante, siempre y cuando se hayan recibido en tiempo y forma, las Unidades y/o Coordinaciones Generales correspondientes deberán analizarlos, ponderarlos y presentar una respuesta o posicionamiento sobre ellos a través de un Informe de Consideraciones, que contenga, cuando menos, la siguiente información:</w:t>
      </w:r>
    </w:p>
    <w:p w14:paraId="43D1BBD7"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I.     Fecha de elaboración;</w:t>
      </w:r>
    </w:p>
    <w:p w14:paraId="601FF926"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II.    Título o denominación de la consulta pública;</w:t>
      </w:r>
    </w:p>
    <w:p w14:paraId="45A62309"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III.    Descripción de la consulta pública;</w:t>
      </w:r>
    </w:p>
    <w:p w14:paraId="119AF041"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IV.   Objetivos de la consulta pública;</w:t>
      </w:r>
    </w:p>
    <w:p w14:paraId="7FFFBB3C"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V.    Unidades y/o Coordinaciones Generales responsables de la consulta pública;</w:t>
      </w:r>
    </w:p>
    <w:p w14:paraId="10BEF3E5"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VI.   Descripción de los participantes en la consulta pública, y</w:t>
      </w:r>
    </w:p>
    <w:p w14:paraId="089F5EDA"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VII.  Las respuestas o posicionamientos que correspondan por parte del Instituto.</w:t>
      </w:r>
    </w:p>
    <w:p w14:paraId="65068FAF" w14:textId="77777777" w:rsidR="00351108" w:rsidRPr="00A43C75" w:rsidRDefault="00351108" w:rsidP="003142E8">
      <w:pPr>
        <w:spacing w:after="0" w:line="240" w:lineRule="auto"/>
        <w:jc w:val="both"/>
        <w:rPr>
          <w:rFonts w:ascii="Arial" w:hAnsi="Arial" w:cs="Arial"/>
          <w:i/>
          <w:iCs/>
          <w:sz w:val="14"/>
          <w:szCs w:val="14"/>
        </w:rPr>
      </w:pPr>
      <w:r w:rsidRPr="00A43C75">
        <w:rPr>
          <w:rFonts w:ascii="Arial" w:hAnsi="Arial" w:cs="Arial"/>
          <w:i/>
          <w:iCs/>
          <w:sz w:val="14"/>
          <w:szCs w:val="14"/>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14:paraId="3A9F4E3C" w14:textId="55D385A1" w:rsidR="00351108" w:rsidRPr="00B53CE1" w:rsidRDefault="00351108" w:rsidP="00B53CE1">
      <w:pPr>
        <w:spacing w:after="0" w:line="240" w:lineRule="auto"/>
        <w:jc w:val="both"/>
        <w:rPr>
          <w:rFonts w:ascii="Arial" w:hAnsi="Arial" w:cs="Arial"/>
          <w:i/>
          <w:iCs/>
          <w:sz w:val="14"/>
          <w:szCs w:val="14"/>
        </w:rPr>
      </w:pPr>
      <w:r w:rsidRPr="00A43C75">
        <w:rPr>
          <w:rFonts w:ascii="Arial" w:hAnsi="Arial" w:cs="Arial"/>
          <w:i/>
          <w:iCs/>
          <w:sz w:val="14"/>
          <w:szCs w:val="14"/>
        </w:rPr>
        <w:t>En el caso de que el Instituto determine la integración de algún grupo de enfoque, conforme a lo señalado en el Lineamiento Sexto, segundo párrafo, deberán referir en el Informe de Consideraciones los resultados del mismo, preservando la confidencialidad o reserva de la información que se haya determinado con ese carácter”.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7160D51"/>
    <w:multiLevelType w:val="multilevel"/>
    <w:tmpl w:val="DD440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345FE1"/>
    <w:multiLevelType w:val="hybridMultilevel"/>
    <w:tmpl w:val="00F4FDCA"/>
    <w:lvl w:ilvl="0" w:tplc="CC380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D68AF"/>
    <w:multiLevelType w:val="hybridMultilevel"/>
    <w:tmpl w:val="B0A89A02"/>
    <w:lvl w:ilvl="0" w:tplc="855A74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B2DE0"/>
    <w:multiLevelType w:val="hybridMultilevel"/>
    <w:tmpl w:val="1C5C3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02F78"/>
    <w:multiLevelType w:val="hybridMultilevel"/>
    <w:tmpl w:val="5EDA4734"/>
    <w:lvl w:ilvl="0" w:tplc="D5801E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350F7"/>
    <w:multiLevelType w:val="hybridMultilevel"/>
    <w:tmpl w:val="92AE8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D30A3"/>
    <w:multiLevelType w:val="hybridMultilevel"/>
    <w:tmpl w:val="0BFC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D945D82"/>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C5547E"/>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9E23D1"/>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A3259F"/>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8837354"/>
    <w:multiLevelType w:val="hybridMultilevel"/>
    <w:tmpl w:val="7C3C6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76825"/>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105EEF"/>
    <w:multiLevelType w:val="hybridMultilevel"/>
    <w:tmpl w:val="92C03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3E52821"/>
    <w:multiLevelType w:val="hybridMultilevel"/>
    <w:tmpl w:val="8814D038"/>
    <w:lvl w:ilvl="0" w:tplc="3DE8612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48E60DF"/>
    <w:multiLevelType w:val="hybridMultilevel"/>
    <w:tmpl w:val="A2EE0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78552F"/>
    <w:multiLevelType w:val="hybridMultilevel"/>
    <w:tmpl w:val="F1F61B18"/>
    <w:lvl w:ilvl="0" w:tplc="C0864CC0">
      <w:start w:val="1"/>
      <w:numFmt w:val="upperRoman"/>
      <w:lvlText w:val="%1."/>
      <w:lvlJc w:val="left"/>
      <w:pPr>
        <w:ind w:left="1004" w:hanging="720"/>
      </w:pPr>
      <w:rPr>
        <w:rFonts w:hint="default"/>
        <w:b/>
        <w:sz w:val="18"/>
        <w:szCs w:val="18"/>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37AE4AA7"/>
    <w:multiLevelType w:val="hybridMultilevel"/>
    <w:tmpl w:val="D802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A5089A"/>
    <w:multiLevelType w:val="hybridMultilevel"/>
    <w:tmpl w:val="8E0E496C"/>
    <w:lvl w:ilvl="0" w:tplc="29E465A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347"/>
    <w:multiLevelType w:val="hybridMultilevel"/>
    <w:tmpl w:val="74CAF998"/>
    <w:lvl w:ilvl="0" w:tplc="F84042F2">
      <w:start w:val="1"/>
      <w:numFmt w:val="decimal"/>
      <w:lvlText w:val="%1."/>
      <w:lvlJc w:val="left"/>
      <w:pPr>
        <w:ind w:left="720" w:hanging="360"/>
      </w:pPr>
      <w:rPr>
        <w:rFonts w:ascii="ITC Avant Garde" w:hAnsi="ITC Avant Garde"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372F8"/>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5E1B60"/>
    <w:multiLevelType w:val="hybridMultilevel"/>
    <w:tmpl w:val="DBC6DF94"/>
    <w:lvl w:ilvl="0" w:tplc="29E465A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00C56C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1029B"/>
    <w:multiLevelType w:val="hybridMultilevel"/>
    <w:tmpl w:val="8AD6CD32"/>
    <w:lvl w:ilvl="0" w:tplc="805A6D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3F4D38"/>
    <w:multiLevelType w:val="hybridMultilevel"/>
    <w:tmpl w:val="D5C2F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AA6D18"/>
    <w:multiLevelType w:val="hybridMultilevel"/>
    <w:tmpl w:val="643CE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26D3E"/>
    <w:multiLevelType w:val="hybridMultilevel"/>
    <w:tmpl w:val="7E92306A"/>
    <w:lvl w:ilvl="0" w:tplc="0A0CCA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AA5434"/>
    <w:multiLevelType w:val="hybridMultilevel"/>
    <w:tmpl w:val="28128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446C82"/>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34543"/>
    <w:multiLevelType w:val="hybridMultilevel"/>
    <w:tmpl w:val="F5E047A8"/>
    <w:lvl w:ilvl="0" w:tplc="7B92144A">
      <w:start w:val="1"/>
      <w:numFmt w:val="decimal"/>
      <w:lvlText w:val="%1."/>
      <w:lvlJc w:val="left"/>
      <w:pPr>
        <w:ind w:left="643" w:hanging="36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2" w15:restartNumberingAfterBreak="0">
    <w:nsid w:val="669C3317"/>
    <w:multiLevelType w:val="hybridMultilevel"/>
    <w:tmpl w:val="7F94D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01F4"/>
    <w:multiLevelType w:val="hybridMultilevel"/>
    <w:tmpl w:val="D93A2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DC2C7D"/>
    <w:multiLevelType w:val="hybridMultilevel"/>
    <w:tmpl w:val="BE66C1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D35397"/>
    <w:multiLevelType w:val="hybridMultilevel"/>
    <w:tmpl w:val="0A3C03BA"/>
    <w:lvl w:ilvl="0" w:tplc="29E465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B82833"/>
    <w:multiLevelType w:val="hybridMultilevel"/>
    <w:tmpl w:val="543A87EE"/>
    <w:lvl w:ilvl="0" w:tplc="290E852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1"/>
  </w:num>
  <w:num w:numId="5">
    <w:abstractNumId w:val="27"/>
  </w:num>
  <w:num w:numId="6">
    <w:abstractNumId w:val="20"/>
  </w:num>
  <w:num w:numId="7">
    <w:abstractNumId w:val="10"/>
  </w:num>
  <w:num w:numId="8">
    <w:abstractNumId w:val="8"/>
  </w:num>
  <w:num w:numId="9">
    <w:abstractNumId w:val="23"/>
  </w:num>
  <w:num w:numId="10">
    <w:abstractNumId w:val="12"/>
  </w:num>
  <w:num w:numId="11">
    <w:abstractNumId w:val="4"/>
  </w:num>
  <w:num w:numId="12">
    <w:abstractNumId w:val="22"/>
  </w:num>
  <w:num w:numId="13">
    <w:abstractNumId w:val="33"/>
  </w:num>
  <w:num w:numId="14">
    <w:abstractNumId w:val="34"/>
  </w:num>
  <w:num w:numId="15">
    <w:abstractNumId w:val="30"/>
  </w:num>
  <w:num w:numId="16">
    <w:abstractNumId w:val="9"/>
  </w:num>
  <w:num w:numId="17">
    <w:abstractNumId w:val="24"/>
  </w:num>
  <w:num w:numId="18">
    <w:abstractNumId w:val="19"/>
  </w:num>
  <w:num w:numId="19">
    <w:abstractNumId w:val="35"/>
  </w:num>
  <w:num w:numId="20">
    <w:abstractNumId w:val="29"/>
  </w:num>
  <w:num w:numId="21">
    <w:abstractNumId w:val="32"/>
  </w:num>
  <w:num w:numId="22">
    <w:abstractNumId w:val="36"/>
  </w:num>
  <w:num w:numId="23">
    <w:abstractNumId w:val="26"/>
  </w:num>
  <w:num w:numId="24">
    <w:abstractNumId w:val="0"/>
  </w:num>
  <w:num w:numId="25">
    <w:abstractNumId w:val="18"/>
  </w:num>
  <w:num w:numId="26">
    <w:abstractNumId w:val="2"/>
  </w:num>
  <w:num w:numId="27">
    <w:abstractNumId w:val="17"/>
  </w:num>
  <w:num w:numId="28">
    <w:abstractNumId w:val="31"/>
  </w:num>
  <w:num w:numId="29">
    <w:abstractNumId w:val="21"/>
  </w:num>
  <w:num w:numId="30">
    <w:abstractNumId w:val="16"/>
  </w:num>
  <w:num w:numId="31">
    <w:abstractNumId w:val="14"/>
  </w:num>
  <w:num w:numId="32">
    <w:abstractNumId w:val="3"/>
  </w:num>
  <w:num w:numId="33">
    <w:abstractNumId w:val="25"/>
  </w:num>
  <w:num w:numId="34">
    <w:abstractNumId w:val="13"/>
  </w:num>
  <w:num w:numId="35">
    <w:abstractNumId w:val="28"/>
  </w:num>
  <w:num w:numId="36">
    <w:abstractNumId w:val="1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7A"/>
    <w:rsid w:val="00004E20"/>
    <w:rsid w:val="00006624"/>
    <w:rsid w:val="000066E0"/>
    <w:rsid w:val="00010D0C"/>
    <w:rsid w:val="00010DCB"/>
    <w:rsid w:val="00011521"/>
    <w:rsid w:val="000115FD"/>
    <w:rsid w:val="00012AF5"/>
    <w:rsid w:val="000134ED"/>
    <w:rsid w:val="00014617"/>
    <w:rsid w:val="0001601C"/>
    <w:rsid w:val="0001649C"/>
    <w:rsid w:val="000166F1"/>
    <w:rsid w:val="00016BD7"/>
    <w:rsid w:val="0002118A"/>
    <w:rsid w:val="00023D55"/>
    <w:rsid w:val="000244FB"/>
    <w:rsid w:val="00032A99"/>
    <w:rsid w:val="00035B1B"/>
    <w:rsid w:val="000403FA"/>
    <w:rsid w:val="000416C8"/>
    <w:rsid w:val="00041FF5"/>
    <w:rsid w:val="00044E20"/>
    <w:rsid w:val="000454B9"/>
    <w:rsid w:val="00045ACC"/>
    <w:rsid w:val="000460F3"/>
    <w:rsid w:val="0004653A"/>
    <w:rsid w:val="0005040A"/>
    <w:rsid w:val="00055C5C"/>
    <w:rsid w:val="00055C92"/>
    <w:rsid w:val="00055D15"/>
    <w:rsid w:val="00056983"/>
    <w:rsid w:val="00060002"/>
    <w:rsid w:val="00060F77"/>
    <w:rsid w:val="000617FD"/>
    <w:rsid w:val="00063DE3"/>
    <w:rsid w:val="000655AC"/>
    <w:rsid w:val="000701C1"/>
    <w:rsid w:val="000715DD"/>
    <w:rsid w:val="000746F9"/>
    <w:rsid w:val="00074E92"/>
    <w:rsid w:val="000758B7"/>
    <w:rsid w:val="00076141"/>
    <w:rsid w:val="000765A6"/>
    <w:rsid w:val="00076CF6"/>
    <w:rsid w:val="00077345"/>
    <w:rsid w:val="00077AFA"/>
    <w:rsid w:val="00077F26"/>
    <w:rsid w:val="000820DE"/>
    <w:rsid w:val="000844D3"/>
    <w:rsid w:val="0009119E"/>
    <w:rsid w:val="00091F8A"/>
    <w:rsid w:val="000943F0"/>
    <w:rsid w:val="00096F5A"/>
    <w:rsid w:val="00097ACC"/>
    <w:rsid w:val="000A5428"/>
    <w:rsid w:val="000A5C4A"/>
    <w:rsid w:val="000A655F"/>
    <w:rsid w:val="000B10A2"/>
    <w:rsid w:val="000B57D7"/>
    <w:rsid w:val="000B699E"/>
    <w:rsid w:val="000C1F69"/>
    <w:rsid w:val="000C2949"/>
    <w:rsid w:val="000C3148"/>
    <w:rsid w:val="000C6A2A"/>
    <w:rsid w:val="000C79AF"/>
    <w:rsid w:val="000C7C3A"/>
    <w:rsid w:val="000D255B"/>
    <w:rsid w:val="000D36F5"/>
    <w:rsid w:val="000D434B"/>
    <w:rsid w:val="000D6019"/>
    <w:rsid w:val="000D63F9"/>
    <w:rsid w:val="000D72D3"/>
    <w:rsid w:val="000D7DC9"/>
    <w:rsid w:val="000E0F47"/>
    <w:rsid w:val="000E21CC"/>
    <w:rsid w:val="000E3059"/>
    <w:rsid w:val="000E4AC5"/>
    <w:rsid w:val="000E53CE"/>
    <w:rsid w:val="000E7114"/>
    <w:rsid w:val="000F489D"/>
    <w:rsid w:val="000F4BE6"/>
    <w:rsid w:val="000F57FE"/>
    <w:rsid w:val="000F76E9"/>
    <w:rsid w:val="00101960"/>
    <w:rsid w:val="00101BB8"/>
    <w:rsid w:val="00106342"/>
    <w:rsid w:val="0010635C"/>
    <w:rsid w:val="00116014"/>
    <w:rsid w:val="001173FF"/>
    <w:rsid w:val="00117C6E"/>
    <w:rsid w:val="00117DB0"/>
    <w:rsid w:val="001207EA"/>
    <w:rsid w:val="00121A19"/>
    <w:rsid w:val="00123F09"/>
    <w:rsid w:val="00125B76"/>
    <w:rsid w:val="001262FF"/>
    <w:rsid w:val="00130226"/>
    <w:rsid w:val="00134034"/>
    <w:rsid w:val="00134E70"/>
    <w:rsid w:val="00135776"/>
    <w:rsid w:val="00135E83"/>
    <w:rsid w:val="0014356A"/>
    <w:rsid w:val="001436B1"/>
    <w:rsid w:val="001440F6"/>
    <w:rsid w:val="00144DBB"/>
    <w:rsid w:val="00145329"/>
    <w:rsid w:val="00151E9C"/>
    <w:rsid w:val="00152AAA"/>
    <w:rsid w:val="00152D38"/>
    <w:rsid w:val="0016272F"/>
    <w:rsid w:val="00162932"/>
    <w:rsid w:val="00165E5F"/>
    <w:rsid w:val="00165EC0"/>
    <w:rsid w:val="00166365"/>
    <w:rsid w:val="00166CC6"/>
    <w:rsid w:val="00170807"/>
    <w:rsid w:val="00170FDE"/>
    <w:rsid w:val="00172438"/>
    <w:rsid w:val="001724CA"/>
    <w:rsid w:val="001745F0"/>
    <w:rsid w:val="00174E90"/>
    <w:rsid w:val="001755AE"/>
    <w:rsid w:val="001768F6"/>
    <w:rsid w:val="001828DA"/>
    <w:rsid w:val="00185AF0"/>
    <w:rsid w:val="00186130"/>
    <w:rsid w:val="00192000"/>
    <w:rsid w:val="00192796"/>
    <w:rsid w:val="0019499F"/>
    <w:rsid w:val="001956CC"/>
    <w:rsid w:val="0019663C"/>
    <w:rsid w:val="00197F08"/>
    <w:rsid w:val="001A09A7"/>
    <w:rsid w:val="001A4045"/>
    <w:rsid w:val="001A768E"/>
    <w:rsid w:val="001A7FBB"/>
    <w:rsid w:val="001B00BB"/>
    <w:rsid w:val="001B254F"/>
    <w:rsid w:val="001B3AB0"/>
    <w:rsid w:val="001B47B9"/>
    <w:rsid w:val="001B47FE"/>
    <w:rsid w:val="001B6BF9"/>
    <w:rsid w:val="001B7F50"/>
    <w:rsid w:val="001C1BC4"/>
    <w:rsid w:val="001C27F6"/>
    <w:rsid w:val="001C4237"/>
    <w:rsid w:val="001D089F"/>
    <w:rsid w:val="001D0E4D"/>
    <w:rsid w:val="001D10CF"/>
    <w:rsid w:val="001D267B"/>
    <w:rsid w:val="001D5458"/>
    <w:rsid w:val="001D72F3"/>
    <w:rsid w:val="001E127B"/>
    <w:rsid w:val="001E19E3"/>
    <w:rsid w:val="001E2B35"/>
    <w:rsid w:val="001E3817"/>
    <w:rsid w:val="001E4A78"/>
    <w:rsid w:val="001E5789"/>
    <w:rsid w:val="001E6040"/>
    <w:rsid w:val="001E7EAA"/>
    <w:rsid w:val="001F1398"/>
    <w:rsid w:val="001F4740"/>
    <w:rsid w:val="001F532C"/>
    <w:rsid w:val="001F60BD"/>
    <w:rsid w:val="001F68FE"/>
    <w:rsid w:val="001F6A82"/>
    <w:rsid w:val="001F6B45"/>
    <w:rsid w:val="001F6C81"/>
    <w:rsid w:val="002009B6"/>
    <w:rsid w:val="00200F3D"/>
    <w:rsid w:val="002020EB"/>
    <w:rsid w:val="00202C11"/>
    <w:rsid w:val="00205CD7"/>
    <w:rsid w:val="00206B66"/>
    <w:rsid w:val="002111E9"/>
    <w:rsid w:val="00211B44"/>
    <w:rsid w:val="00211C29"/>
    <w:rsid w:val="00211E24"/>
    <w:rsid w:val="00212658"/>
    <w:rsid w:val="002131E4"/>
    <w:rsid w:val="00213538"/>
    <w:rsid w:val="0021442B"/>
    <w:rsid w:val="00216851"/>
    <w:rsid w:val="00216B29"/>
    <w:rsid w:val="002176DE"/>
    <w:rsid w:val="00217C5C"/>
    <w:rsid w:val="00220658"/>
    <w:rsid w:val="00220C84"/>
    <w:rsid w:val="00226B60"/>
    <w:rsid w:val="00230CBC"/>
    <w:rsid w:val="00231E89"/>
    <w:rsid w:val="0023221B"/>
    <w:rsid w:val="0023377D"/>
    <w:rsid w:val="0023453B"/>
    <w:rsid w:val="002364EE"/>
    <w:rsid w:val="0024108C"/>
    <w:rsid w:val="00242985"/>
    <w:rsid w:val="00244AA9"/>
    <w:rsid w:val="00244CF8"/>
    <w:rsid w:val="00250158"/>
    <w:rsid w:val="002507BD"/>
    <w:rsid w:val="00251814"/>
    <w:rsid w:val="00253B96"/>
    <w:rsid w:val="00254DB2"/>
    <w:rsid w:val="002605CE"/>
    <w:rsid w:val="00261109"/>
    <w:rsid w:val="00263847"/>
    <w:rsid w:val="00264092"/>
    <w:rsid w:val="0026513B"/>
    <w:rsid w:val="00265627"/>
    <w:rsid w:val="00265B7F"/>
    <w:rsid w:val="00266261"/>
    <w:rsid w:val="0027071B"/>
    <w:rsid w:val="00273070"/>
    <w:rsid w:val="00273754"/>
    <w:rsid w:val="00275B74"/>
    <w:rsid w:val="002804D1"/>
    <w:rsid w:val="002813CD"/>
    <w:rsid w:val="0028351F"/>
    <w:rsid w:val="00284EBA"/>
    <w:rsid w:val="00286895"/>
    <w:rsid w:val="00287765"/>
    <w:rsid w:val="00292899"/>
    <w:rsid w:val="00295F15"/>
    <w:rsid w:val="00296A16"/>
    <w:rsid w:val="00297B8E"/>
    <w:rsid w:val="002A3917"/>
    <w:rsid w:val="002A3CB0"/>
    <w:rsid w:val="002A3EE9"/>
    <w:rsid w:val="002A7849"/>
    <w:rsid w:val="002B47D3"/>
    <w:rsid w:val="002B523B"/>
    <w:rsid w:val="002C1532"/>
    <w:rsid w:val="002C1B6B"/>
    <w:rsid w:val="002C451F"/>
    <w:rsid w:val="002C4AEE"/>
    <w:rsid w:val="002C6C2A"/>
    <w:rsid w:val="002D0230"/>
    <w:rsid w:val="002D08D5"/>
    <w:rsid w:val="002D1FAA"/>
    <w:rsid w:val="002D5D4A"/>
    <w:rsid w:val="002E0A12"/>
    <w:rsid w:val="002E206B"/>
    <w:rsid w:val="002E2516"/>
    <w:rsid w:val="002E27E9"/>
    <w:rsid w:val="002E35A6"/>
    <w:rsid w:val="002E6229"/>
    <w:rsid w:val="002E7781"/>
    <w:rsid w:val="002F0CB8"/>
    <w:rsid w:val="002F407D"/>
    <w:rsid w:val="002F40B3"/>
    <w:rsid w:val="002F5FE5"/>
    <w:rsid w:val="002F6684"/>
    <w:rsid w:val="00302035"/>
    <w:rsid w:val="00302DF0"/>
    <w:rsid w:val="00303D98"/>
    <w:rsid w:val="00303E7F"/>
    <w:rsid w:val="00305AEB"/>
    <w:rsid w:val="00305EFB"/>
    <w:rsid w:val="003066FD"/>
    <w:rsid w:val="00311827"/>
    <w:rsid w:val="003142E8"/>
    <w:rsid w:val="003143D2"/>
    <w:rsid w:val="00331D5E"/>
    <w:rsid w:val="00332198"/>
    <w:rsid w:val="00332853"/>
    <w:rsid w:val="00332B2E"/>
    <w:rsid w:val="0033341F"/>
    <w:rsid w:val="00335C55"/>
    <w:rsid w:val="00335FA8"/>
    <w:rsid w:val="0033698F"/>
    <w:rsid w:val="00340515"/>
    <w:rsid w:val="00341911"/>
    <w:rsid w:val="00342EB7"/>
    <w:rsid w:val="00344D76"/>
    <w:rsid w:val="00344EAF"/>
    <w:rsid w:val="00345DFA"/>
    <w:rsid w:val="00351108"/>
    <w:rsid w:val="003513DE"/>
    <w:rsid w:val="00351AE7"/>
    <w:rsid w:val="00351BE8"/>
    <w:rsid w:val="00352206"/>
    <w:rsid w:val="00353906"/>
    <w:rsid w:val="00355EBF"/>
    <w:rsid w:val="00357891"/>
    <w:rsid w:val="00360CD0"/>
    <w:rsid w:val="00361A71"/>
    <w:rsid w:val="00363050"/>
    <w:rsid w:val="00363D58"/>
    <w:rsid w:val="0036451A"/>
    <w:rsid w:val="00364746"/>
    <w:rsid w:val="00366EFC"/>
    <w:rsid w:val="0036704F"/>
    <w:rsid w:val="00370E58"/>
    <w:rsid w:val="0037196C"/>
    <w:rsid w:val="00372945"/>
    <w:rsid w:val="00373BAD"/>
    <w:rsid w:val="00373E42"/>
    <w:rsid w:val="00375202"/>
    <w:rsid w:val="003752B7"/>
    <w:rsid w:val="00375A38"/>
    <w:rsid w:val="003814DC"/>
    <w:rsid w:val="00381F81"/>
    <w:rsid w:val="00383FC5"/>
    <w:rsid w:val="00384832"/>
    <w:rsid w:val="0038566C"/>
    <w:rsid w:val="00385762"/>
    <w:rsid w:val="00385767"/>
    <w:rsid w:val="00386014"/>
    <w:rsid w:val="00386A18"/>
    <w:rsid w:val="00387709"/>
    <w:rsid w:val="00391881"/>
    <w:rsid w:val="00392DA2"/>
    <w:rsid w:val="00392E56"/>
    <w:rsid w:val="00393393"/>
    <w:rsid w:val="003952E4"/>
    <w:rsid w:val="00395501"/>
    <w:rsid w:val="00395D35"/>
    <w:rsid w:val="00395E27"/>
    <w:rsid w:val="003977FF"/>
    <w:rsid w:val="003A246E"/>
    <w:rsid w:val="003A2E6F"/>
    <w:rsid w:val="003A40BC"/>
    <w:rsid w:val="003A576D"/>
    <w:rsid w:val="003A7174"/>
    <w:rsid w:val="003A7333"/>
    <w:rsid w:val="003A7B38"/>
    <w:rsid w:val="003A7BD8"/>
    <w:rsid w:val="003B201D"/>
    <w:rsid w:val="003B4BA7"/>
    <w:rsid w:val="003B4E20"/>
    <w:rsid w:val="003B5485"/>
    <w:rsid w:val="003B5812"/>
    <w:rsid w:val="003B5C21"/>
    <w:rsid w:val="003B61B1"/>
    <w:rsid w:val="003C2892"/>
    <w:rsid w:val="003C5326"/>
    <w:rsid w:val="003C591D"/>
    <w:rsid w:val="003C7860"/>
    <w:rsid w:val="003D2318"/>
    <w:rsid w:val="003D35A6"/>
    <w:rsid w:val="003D5A50"/>
    <w:rsid w:val="003D6873"/>
    <w:rsid w:val="003D7CF9"/>
    <w:rsid w:val="003E0812"/>
    <w:rsid w:val="003E2214"/>
    <w:rsid w:val="003E412B"/>
    <w:rsid w:val="003E467D"/>
    <w:rsid w:val="003E492E"/>
    <w:rsid w:val="003E6F3B"/>
    <w:rsid w:val="003E7A34"/>
    <w:rsid w:val="003F133C"/>
    <w:rsid w:val="003F135F"/>
    <w:rsid w:val="003F41D4"/>
    <w:rsid w:val="003F506C"/>
    <w:rsid w:val="003F54CE"/>
    <w:rsid w:val="003F5C4B"/>
    <w:rsid w:val="003F749B"/>
    <w:rsid w:val="003F74A6"/>
    <w:rsid w:val="00400299"/>
    <w:rsid w:val="00401ED8"/>
    <w:rsid w:val="00402C08"/>
    <w:rsid w:val="00405484"/>
    <w:rsid w:val="004060A7"/>
    <w:rsid w:val="00406479"/>
    <w:rsid w:val="004116DA"/>
    <w:rsid w:val="004119AB"/>
    <w:rsid w:val="004121DC"/>
    <w:rsid w:val="00413890"/>
    <w:rsid w:val="00413DEE"/>
    <w:rsid w:val="004173FB"/>
    <w:rsid w:val="00417EBC"/>
    <w:rsid w:val="004239CA"/>
    <w:rsid w:val="00424FF8"/>
    <w:rsid w:val="00425702"/>
    <w:rsid w:val="00427261"/>
    <w:rsid w:val="00430151"/>
    <w:rsid w:val="0043398C"/>
    <w:rsid w:val="00440CA8"/>
    <w:rsid w:val="0044171B"/>
    <w:rsid w:val="00442797"/>
    <w:rsid w:val="00442A86"/>
    <w:rsid w:val="00442F05"/>
    <w:rsid w:val="00442F76"/>
    <w:rsid w:val="00442F83"/>
    <w:rsid w:val="004465D9"/>
    <w:rsid w:val="0044714D"/>
    <w:rsid w:val="00447AA8"/>
    <w:rsid w:val="0045599E"/>
    <w:rsid w:val="00455F29"/>
    <w:rsid w:val="00461F1A"/>
    <w:rsid w:val="00462185"/>
    <w:rsid w:val="0046389B"/>
    <w:rsid w:val="004639D9"/>
    <w:rsid w:val="0046791E"/>
    <w:rsid w:val="00470D93"/>
    <w:rsid w:val="0047180C"/>
    <w:rsid w:val="00472720"/>
    <w:rsid w:val="00472EAC"/>
    <w:rsid w:val="0047346A"/>
    <w:rsid w:val="00481272"/>
    <w:rsid w:val="00481890"/>
    <w:rsid w:val="00482420"/>
    <w:rsid w:val="004827A1"/>
    <w:rsid w:val="00482E1C"/>
    <w:rsid w:val="004839BC"/>
    <w:rsid w:val="00483E45"/>
    <w:rsid w:val="00484755"/>
    <w:rsid w:val="004907C4"/>
    <w:rsid w:val="00490991"/>
    <w:rsid w:val="004914CD"/>
    <w:rsid w:val="00491E09"/>
    <w:rsid w:val="00495729"/>
    <w:rsid w:val="00496FB4"/>
    <w:rsid w:val="004A2A5D"/>
    <w:rsid w:val="004A2B27"/>
    <w:rsid w:val="004A2CE1"/>
    <w:rsid w:val="004A34B0"/>
    <w:rsid w:val="004A4245"/>
    <w:rsid w:val="004A46C1"/>
    <w:rsid w:val="004A4B96"/>
    <w:rsid w:val="004B185F"/>
    <w:rsid w:val="004B3B1F"/>
    <w:rsid w:val="004B3E17"/>
    <w:rsid w:val="004B5B44"/>
    <w:rsid w:val="004B62FC"/>
    <w:rsid w:val="004C2B28"/>
    <w:rsid w:val="004C3A10"/>
    <w:rsid w:val="004C48C2"/>
    <w:rsid w:val="004C580C"/>
    <w:rsid w:val="004C5A7B"/>
    <w:rsid w:val="004D015D"/>
    <w:rsid w:val="004D24CF"/>
    <w:rsid w:val="004D4B31"/>
    <w:rsid w:val="004D5139"/>
    <w:rsid w:val="004D55FA"/>
    <w:rsid w:val="004D5B53"/>
    <w:rsid w:val="004D6BDA"/>
    <w:rsid w:val="004D7125"/>
    <w:rsid w:val="004D78E6"/>
    <w:rsid w:val="004E02BE"/>
    <w:rsid w:val="004E1B5C"/>
    <w:rsid w:val="004E44E2"/>
    <w:rsid w:val="004E5601"/>
    <w:rsid w:val="004F0C84"/>
    <w:rsid w:val="004F309C"/>
    <w:rsid w:val="004F37E4"/>
    <w:rsid w:val="004F38AF"/>
    <w:rsid w:val="004F6B3D"/>
    <w:rsid w:val="004F77AA"/>
    <w:rsid w:val="005017D8"/>
    <w:rsid w:val="005019B4"/>
    <w:rsid w:val="005035E3"/>
    <w:rsid w:val="00503FF5"/>
    <w:rsid w:val="00506681"/>
    <w:rsid w:val="005109FA"/>
    <w:rsid w:val="00512B32"/>
    <w:rsid w:val="005139C9"/>
    <w:rsid w:val="00514714"/>
    <w:rsid w:val="00516339"/>
    <w:rsid w:val="00516A4F"/>
    <w:rsid w:val="00520F7B"/>
    <w:rsid w:val="00521563"/>
    <w:rsid w:val="00522CD5"/>
    <w:rsid w:val="00524BC7"/>
    <w:rsid w:val="005255D1"/>
    <w:rsid w:val="00525996"/>
    <w:rsid w:val="00527EA3"/>
    <w:rsid w:val="005346BE"/>
    <w:rsid w:val="00535F77"/>
    <w:rsid w:val="00536C6F"/>
    <w:rsid w:val="00537249"/>
    <w:rsid w:val="00542AF1"/>
    <w:rsid w:val="00543E6D"/>
    <w:rsid w:val="00543EC4"/>
    <w:rsid w:val="00550103"/>
    <w:rsid w:val="00552B97"/>
    <w:rsid w:val="00553332"/>
    <w:rsid w:val="00554135"/>
    <w:rsid w:val="00554E16"/>
    <w:rsid w:val="0056026C"/>
    <w:rsid w:val="005602F1"/>
    <w:rsid w:val="005619D6"/>
    <w:rsid w:val="00562452"/>
    <w:rsid w:val="00571FF3"/>
    <w:rsid w:val="005729BD"/>
    <w:rsid w:val="0057596A"/>
    <w:rsid w:val="00576D1C"/>
    <w:rsid w:val="0058256D"/>
    <w:rsid w:val="005826FC"/>
    <w:rsid w:val="0058319C"/>
    <w:rsid w:val="00583D21"/>
    <w:rsid w:val="00586598"/>
    <w:rsid w:val="0059029D"/>
    <w:rsid w:val="005924D3"/>
    <w:rsid w:val="00593730"/>
    <w:rsid w:val="005945EA"/>
    <w:rsid w:val="00595F59"/>
    <w:rsid w:val="005A2251"/>
    <w:rsid w:val="005A270A"/>
    <w:rsid w:val="005A28AB"/>
    <w:rsid w:val="005A558A"/>
    <w:rsid w:val="005A56BF"/>
    <w:rsid w:val="005A63B9"/>
    <w:rsid w:val="005B0004"/>
    <w:rsid w:val="005B4841"/>
    <w:rsid w:val="005B4F52"/>
    <w:rsid w:val="005B7B53"/>
    <w:rsid w:val="005B7C38"/>
    <w:rsid w:val="005C0C95"/>
    <w:rsid w:val="005C1867"/>
    <w:rsid w:val="005C1F5D"/>
    <w:rsid w:val="005C4147"/>
    <w:rsid w:val="005C4451"/>
    <w:rsid w:val="005C4C22"/>
    <w:rsid w:val="005C5B16"/>
    <w:rsid w:val="005C5B1C"/>
    <w:rsid w:val="005C6AB8"/>
    <w:rsid w:val="005C7E68"/>
    <w:rsid w:val="005D0B71"/>
    <w:rsid w:val="005D5DBC"/>
    <w:rsid w:val="005D7417"/>
    <w:rsid w:val="005D77F9"/>
    <w:rsid w:val="005E11F9"/>
    <w:rsid w:val="005E2937"/>
    <w:rsid w:val="005E2AC8"/>
    <w:rsid w:val="005E5A82"/>
    <w:rsid w:val="005E6AB4"/>
    <w:rsid w:val="005E7E74"/>
    <w:rsid w:val="005F0386"/>
    <w:rsid w:val="005F2C5E"/>
    <w:rsid w:val="005F36A6"/>
    <w:rsid w:val="005F39CC"/>
    <w:rsid w:val="005F6EA1"/>
    <w:rsid w:val="005F7C27"/>
    <w:rsid w:val="00600897"/>
    <w:rsid w:val="00600C81"/>
    <w:rsid w:val="006017DA"/>
    <w:rsid w:val="006052D6"/>
    <w:rsid w:val="00606231"/>
    <w:rsid w:val="006128C9"/>
    <w:rsid w:val="00616A7D"/>
    <w:rsid w:val="00616B71"/>
    <w:rsid w:val="00617CFF"/>
    <w:rsid w:val="0062242C"/>
    <w:rsid w:val="00626529"/>
    <w:rsid w:val="006265D9"/>
    <w:rsid w:val="006314E1"/>
    <w:rsid w:val="006329D7"/>
    <w:rsid w:val="0063303B"/>
    <w:rsid w:val="00635852"/>
    <w:rsid w:val="0063797D"/>
    <w:rsid w:val="00640CFC"/>
    <w:rsid w:val="00641B5D"/>
    <w:rsid w:val="0064207A"/>
    <w:rsid w:val="00643756"/>
    <w:rsid w:val="006445B0"/>
    <w:rsid w:val="00646188"/>
    <w:rsid w:val="00646511"/>
    <w:rsid w:val="006477AA"/>
    <w:rsid w:val="00647ACE"/>
    <w:rsid w:val="00652243"/>
    <w:rsid w:val="006524BA"/>
    <w:rsid w:val="00653B3B"/>
    <w:rsid w:val="006577B2"/>
    <w:rsid w:val="00657D61"/>
    <w:rsid w:val="00660E58"/>
    <w:rsid w:val="00661BDD"/>
    <w:rsid w:val="00662F40"/>
    <w:rsid w:val="006646BA"/>
    <w:rsid w:val="00666D78"/>
    <w:rsid w:val="00671A5F"/>
    <w:rsid w:val="006762A4"/>
    <w:rsid w:val="00681169"/>
    <w:rsid w:val="00681A5F"/>
    <w:rsid w:val="0068284C"/>
    <w:rsid w:val="006837A2"/>
    <w:rsid w:val="00683C71"/>
    <w:rsid w:val="00685822"/>
    <w:rsid w:val="00686FED"/>
    <w:rsid w:val="006873AA"/>
    <w:rsid w:val="0069131E"/>
    <w:rsid w:val="00692E81"/>
    <w:rsid w:val="00694066"/>
    <w:rsid w:val="006947D5"/>
    <w:rsid w:val="00694FBA"/>
    <w:rsid w:val="006953C3"/>
    <w:rsid w:val="006963B5"/>
    <w:rsid w:val="00697730"/>
    <w:rsid w:val="006A05D7"/>
    <w:rsid w:val="006A16D1"/>
    <w:rsid w:val="006A1F8C"/>
    <w:rsid w:val="006A364B"/>
    <w:rsid w:val="006A3656"/>
    <w:rsid w:val="006A366D"/>
    <w:rsid w:val="006A437F"/>
    <w:rsid w:val="006A560C"/>
    <w:rsid w:val="006A74F0"/>
    <w:rsid w:val="006A7D30"/>
    <w:rsid w:val="006B0538"/>
    <w:rsid w:val="006B1889"/>
    <w:rsid w:val="006B602B"/>
    <w:rsid w:val="006B671B"/>
    <w:rsid w:val="006B7394"/>
    <w:rsid w:val="006C00A0"/>
    <w:rsid w:val="006C30DD"/>
    <w:rsid w:val="006C68A4"/>
    <w:rsid w:val="006C7D9F"/>
    <w:rsid w:val="006D3C47"/>
    <w:rsid w:val="006D4A95"/>
    <w:rsid w:val="006D6A9B"/>
    <w:rsid w:val="006D7EE8"/>
    <w:rsid w:val="006E0715"/>
    <w:rsid w:val="006E3E70"/>
    <w:rsid w:val="006E52CA"/>
    <w:rsid w:val="006E5348"/>
    <w:rsid w:val="006F24A2"/>
    <w:rsid w:val="006F428D"/>
    <w:rsid w:val="006F614B"/>
    <w:rsid w:val="006F6AEE"/>
    <w:rsid w:val="006F7079"/>
    <w:rsid w:val="006F7F1C"/>
    <w:rsid w:val="00700556"/>
    <w:rsid w:val="00702726"/>
    <w:rsid w:val="007039D8"/>
    <w:rsid w:val="00705494"/>
    <w:rsid w:val="007054BF"/>
    <w:rsid w:val="00705B02"/>
    <w:rsid w:val="0071198F"/>
    <w:rsid w:val="007125B8"/>
    <w:rsid w:val="00713A97"/>
    <w:rsid w:val="00714F3D"/>
    <w:rsid w:val="007154B5"/>
    <w:rsid w:val="00715874"/>
    <w:rsid w:val="007175DF"/>
    <w:rsid w:val="00721264"/>
    <w:rsid w:val="00724E99"/>
    <w:rsid w:val="007250FA"/>
    <w:rsid w:val="007270EE"/>
    <w:rsid w:val="0073606C"/>
    <w:rsid w:val="00736A66"/>
    <w:rsid w:val="00740007"/>
    <w:rsid w:val="0074301B"/>
    <w:rsid w:val="00745A4E"/>
    <w:rsid w:val="00747249"/>
    <w:rsid w:val="0074754D"/>
    <w:rsid w:val="007475E9"/>
    <w:rsid w:val="00751875"/>
    <w:rsid w:val="00753BA2"/>
    <w:rsid w:val="00753DBB"/>
    <w:rsid w:val="00754377"/>
    <w:rsid w:val="0075452A"/>
    <w:rsid w:val="0075631F"/>
    <w:rsid w:val="007602C2"/>
    <w:rsid w:val="0076086E"/>
    <w:rsid w:val="00763738"/>
    <w:rsid w:val="00764650"/>
    <w:rsid w:val="00765B3B"/>
    <w:rsid w:val="0076778C"/>
    <w:rsid w:val="00770EE6"/>
    <w:rsid w:val="007729A7"/>
    <w:rsid w:val="00773B4A"/>
    <w:rsid w:val="007759C2"/>
    <w:rsid w:val="007759CB"/>
    <w:rsid w:val="00775B97"/>
    <w:rsid w:val="00776616"/>
    <w:rsid w:val="00780CCC"/>
    <w:rsid w:val="0078220E"/>
    <w:rsid w:val="00794355"/>
    <w:rsid w:val="00795CB6"/>
    <w:rsid w:val="0079645B"/>
    <w:rsid w:val="0079773D"/>
    <w:rsid w:val="007979CD"/>
    <w:rsid w:val="007A176A"/>
    <w:rsid w:val="007A1DE0"/>
    <w:rsid w:val="007A2BCE"/>
    <w:rsid w:val="007A2BFF"/>
    <w:rsid w:val="007A353C"/>
    <w:rsid w:val="007B154D"/>
    <w:rsid w:val="007B30C6"/>
    <w:rsid w:val="007B5019"/>
    <w:rsid w:val="007B5242"/>
    <w:rsid w:val="007B6B9E"/>
    <w:rsid w:val="007B6E26"/>
    <w:rsid w:val="007C0715"/>
    <w:rsid w:val="007C1BEB"/>
    <w:rsid w:val="007C1D00"/>
    <w:rsid w:val="007C32D9"/>
    <w:rsid w:val="007C7DEE"/>
    <w:rsid w:val="007C7E70"/>
    <w:rsid w:val="007D1938"/>
    <w:rsid w:val="007D44B4"/>
    <w:rsid w:val="007D499A"/>
    <w:rsid w:val="007D6631"/>
    <w:rsid w:val="007D7C60"/>
    <w:rsid w:val="007E42D0"/>
    <w:rsid w:val="007E46AA"/>
    <w:rsid w:val="007E6A0E"/>
    <w:rsid w:val="007E7216"/>
    <w:rsid w:val="007F0AF6"/>
    <w:rsid w:val="007F0EEE"/>
    <w:rsid w:val="007F25D5"/>
    <w:rsid w:val="007F3C33"/>
    <w:rsid w:val="007F420A"/>
    <w:rsid w:val="007F4955"/>
    <w:rsid w:val="007F5858"/>
    <w:rsid w:val="007F6983"/>
    <w:rsid w:val="007F6A8F"/>
    <w:rsid w:val="007F7D0D"/>
    <w:rsid w:val="008003C4"/>
    <w:rsid w:val="0080074E"/>
    <w:rsid w:val="008007AD"/>
    <w:rsid w:val="008016C0"/>
    <w:rsid w:val="008042AE"/>
    <w:rsid w:val="008051BC"/>
    <w:rsid w:val="00810FF3"/>
    <w:rsid w:val="008116F2"/>
    <w:rsid w:val="00811C4A"/>
    <w:rsid w:val="0081218E"/>
    <w:rsid w:val="008154BB"/>
    <w:rsid w:val="00817F45"/>
    <w:rsid w:val="0082028B"/>
    <w:rsid w:val="00820C78"/>
    <w:rsid w:val="00820F27"/>
    <w:rsid w:val="00822569"/>
    <w:rsid w:val="008240CB"/>
    <w:rsid w:val="0082549D"/>
    <w:rsid w:val="00827ED5"/>
    <w:rsid w:val="008302DD"/>
    <w:rsid w:val="008317F5"/>
    <w:rsid w:val="0083352F"/>
    <w:rsid w:val="0083421F"/>
    <w:rsid w:val="0083504E"/>
    <w:rsid w:val="00835EFD"/>
    <w:rsid w:val="0083604B"/>
    <w:rsid w:val="00840CEC"/>
    <w:rsid w:val="0084204A"/>
    <w:rsid w:val="00842124"/>
    <w:rsid w:val="00842E43"/>
    <w:rsid w:val="00842E5A"/>
    <w:rsid w:val="00843186"/>
    <w:rsid w:val="00843C24"/>
    <w:rsid w:val="00844861"/>
    <w:rsid w:val="008450FE"/>
    <w:rsid w:val="0084539D"/>
    <w:rsid w:val="00846622"/>
    <w:rsid w:val="00847C9A"/>
    <w:rsid w:val="008513E2"/>
    <w:rsid w:val="00851A8D"/>
    <w:rsid w:val="00852F99"/>
    <w:rsid w:val="0085320E"/>
    <w:rsid w:val="008537F3"/>
    <w:rsid w:val="00853BE8"/>
    <w:rsid w:val="00853CA0"/>
    <w:rsid w:val="0085461F"/>
    <w:rsid w:val="0085469B"/>
    <w:rsid w:val="00855AED"/>
    <w:rsid w:val="00861691"/>
    <w:rsid w:val="00861DB7"/>
    <w:rsid w:val="0086229E"/>
    <w:rsid w:val="008626E8"/>
    <w:rsid w:val="00862ACA"/>
    <w:rsid w:val="00862C32"/>
    <w:rsid w:val="00864A6B"/>
    <w:rsid w:val="00865321"/>
    <w:rsid w:val="0086535B"/>
    <w:rsid w:val="0086711F"/>
    <w:rsid w:val="008677D3"/>
    <w:rsid w:val="0086791D"/>
    <w:rsid w:val="00871F42"/>
    <w:rsid w:val="008722C1"/>
    <w:rsid w:val="008757E2"/>
    <w:rsid w:val="00875C66"/>
    <w:rsid w:val="008767E2"/>
    <w:rsid w:val="008800AF"/>
    <w:rsid w:val="00881B8C"/>
    <w:rsid w:val="00881BE3"/>
    <w:rsid w:val="00882881"/>
    <w:rsid w:val="008832AC"/>
    <w:rsid w:val="008839E0"/>
    <w:rsid w:val="00884A5D"/>
    <w:rsid w:val="00884F0A"/>
    <w:rsid w:val="0088630D"/>
    <w:rsid w:val="0088636C"/>
    <w:rsid w:val="0088653C"/>
    <w:rsid w:val="00886F2A"/>
    <w:rsid w:val="008906A7"/>
    <w:rsid w:val="00890886"/>
    <w:rsid w:val="00890AEF"/>
    <w:rsid w:val="008966F8"/>
    <w:rsid w:val="008A03E6"/>
    <w:rsid w:val="008A102F"/>
    <w:rsid w:val="008A1554"/>
    <w:rsid w:val="008A230D"/>
    <w:rsid w:val="008A2D10"/>
    <w:rsid w:val="008A34AF"/>
    <w:rsid w:val="008A3C17"/>
    <w:rsid w:val="008A4D6A"/>
    <w:rsid w:val="008A52C6"/>
    <w:rsid w:val="008A5754"/>
    <w:rsid w:val="008A582D"/>
    <w:rsid w:val="008A6237"/>
    <w:rsid w:val="008A6891"/>
    <w:rsid w:val="008A7A14"/>
    <w:rsid w:val="008B186E"/>
    <w:rsid w:val="008B30E3"/>
    <w:rsid w:val="008B5F82"/>
    <w:rsid w:val="008B6D3F"/>
    <w:rsid w:val="008C0937"/>
    <w:rsid w:val="008C27E2"/>
    <w:rsid w:val="008D0DC4"/>
    <w:rsid w:val="008D1654"/>
    <w:rsid w:val="008D204B"/>
    <w:rsid w:val="008D4BCC"/>
    <w:rsid w:val="008D51A0"/>
    <w:rsid w:val="008D5332"/>
    <w:rsid w:val="008D6515"/>
    <w:rsid w:val="008D68B2"/>
    <w:rsid w:val="008D6F75"/>
    <w:rsid w:val="008D7CEF"/>
    <w:rsid w:val="008E1F1F"/>
    <w:rsid w:val="008E2FB9"/>
    <w:rsid w:val="008E364C"/>
    <w:rsid w:val="008E36D0"/>
    <w:rsid w:val="008E3C2F"/>
    <w:rsid w:val="008E54C7"/>
    <w:rsid w:val="008E69EE"/>
    <w:rsid w:val="008F0610"/>
    <w:rsid w:val="008F080A"/>
    <w:rsid w:val="008F0A7D"/>
    <w:rsid w:val="008F0E17"/>
    <w:rsid w:val="008F260E"/>
    <w:rsid w:val="008F3A86"/>
    <w:rsid w:val="008F5C21"/>
    <w:rsid w:val="009012DA"/>
    <w:rsid w:val="00901398"/>
    <w:rsid w:val="00901992"/>
    <w:rsid w:val="00902F7A"/>
    <w:rsid w:val="00903609"/>
    <w:rsid w:val="009045FE"/>
    <w:rsid w:val="00904B8F"/>
    <w:rsid w:val="0090581F"/>
    <w:rsid w:val="00905C08"/>
    <w:rsid w:val="0090646C"/>
    <w:rsid w:val="00906594"/>
    <w:rsid w:val="009079C8"/>
    <w:rsid w:val="00921A40"/>
    <w:rsid w:val="00921AC7"/>
    <w:rsid w:val="0092342B"/>
    <w:rsid w:val="00925F03"/>
    <w:rsid w:val="00927C1C"/>
    <w:rsid w:val="009357A8"/>
    <w:rsid w:val="00935A94"/>
    <w:rsid w:val="00940DF9"/>
    <w:rsid w:val="009414F2"/>
    <w:rsid w:val="00942010"/>
    <w:rsid w:val="00944194"/>
    <w:rsid w:val="00945738"/>
    <w:rsid w:val="00952EDD"/>
    <w:rsid w:val="009539E7"/>
    <w:rsid w:val="0095458B"/>
    <w:rsid w:val="00957B22"/>
    <w:rsid w:val="00957D40"/>
    <w:rsid w:val="0096124E"/>
    <w:rsid w:val="0096132E"/>
    <w:rsid w:val="009628FA"/>
    <w:rsid w:val="00962F4C"/>
    <w:rsid w:val="009631F1"/>
    <w:rsid w:val="0096407F"/>
    <w:rsid w:val="00964B56"/>
    <w:rsid w:val="009654E5"/>
    <w:rsid w:val="0097072A"/>
    <w:rsid w:val="00973ABA"/>
    <w:rsid w:val="00973C52"/>
    <w:rsid w:val="00973E96"/>
    <w:rsid w:val="009740E3"/>
    <w:rsid w:val="00976546"/>
    <w:rsid w:val="0097748B"/>
    <w:rsid w:val="00981316"/>
    <w:rsid w:val="00983BA8"/>
    <w:rsid w:val="00986AF7"/>
    <w:rsid w:val="009879FE"/>
    <w:rsid w:val="00992307"/>
    <w:rsid w:val="00995ECE"/>
    <w:rsid w:val="00995EE6"/>
    <w:rsid w:val="00996299"/>
    <w:rsid w:val="009962C9"/>
    <w:rsid w:val="00996816"/>
    <w:rsid w:val="009A0811"/>
    <w:rsid w:val="009A0C73"/>
    <w:rsid w:val="009A41D4"/>
    <w:rsid w:val="009A4794"/>
    <w:rsid w:val="009A500D"/>
    <w:rsid w:val="009A5E2C"/>
    <w:rsid w:val="009A5F06"/>
    <w:rsid w:val="009A7404"/>
    <w:rsid w:val="009A7A2E"/>
    <w:rsid w:val="009A7F7A"/>
    <w:rsid w:val="009B2DD3"/>
    <w:rsid w:val="009B2FB0"/>
    <w:rsid w:val="009B5532"/>
    <w:rsid w:val="009B7FD9"/>
    <w:rsid w:val="009C0C80"/>
    <w:rsid w:val="009C0E1B"/>
    <w:rsid w:val="009C195B"/>
    <w:rsid w:val="009C2746"/>
    <w:rsid w:val="009C3B88"/>
    <w:rsid w:val="009C589A"/>
    <w:rsid w:val="009D0821"/>
    <w:rsid w:val="009D422C"/>
    <w:rsid w:val="009D7CAF"/>
    <w:rsid w:val="009E0038"/>
    <w:rsid w:val="009E0A3D"/>
    <w:rsid w:val="009E22B5"/>
    <w:rsid w:val="009E24E1"/>
    <w:rsid w:val="009E2A23"/>
    <w:rsid w:val="009E3B99"/>
    <w:rsid w:val="009E7A32"/>
    <w:rsid w:val="009E7AC5"/>
    <w:rsid w:val="009F0E6A"/>
    <w:rsid w:val="009F1A8A"/>
    <w:rsid w:val="009F1AB7"/>
    <w:rsid w:val="009F47E4"/>
    <w:rsid w:val="009F6C1E"/>
    <w:rsid w:val="00A008CE"/>
    <w:rsid w:val="00A00FA1"/>
    <w:rsid w:val="00A01A48"/>
    <w:rsid w:val="00A03B00"/>
    <w:rsid w:val="00A0482D"/>
    <w:rsid w:val="00A04D2E"/>
    <w:rsid w:val="00A05251"/>
    <w:rsid w:val="00A053D0"/>
    <w:rsid w:val="00A05720"/>
    <w:rsid w:val="00A066DE"/>
    <w:rsid w:val="00A105BE"/>
    <w:rsid w:val="00A13123"/>
    <w:rsid w:val="00A1576A"/>
    <w:rsid w:val="00A15925"/>
    <w:rsid w:val="00A1659F"/>
    <w:rsid w:val="00A176EA"/>
    <w:rsid w:val="00A204A7"/>
    <w:rsid w:val="00A22EA9"/>
    <w:rsid w:val="00A2641D"/>
    <w:rsid w:val="00A265C3"/>
    <w:rsid w:val="00A2799A"/>
    <w:rsid w:val="00A30171"/>
    <w:rsid w:val="00A30E28"/>
    <w:rsid w:val="00A31725"/>
    <w:rsid w:val="00A3216F"/>
    <w:rsid w:val="00A33AE8"/>
    <w:rsid w:val="00A35028"/>
    <w:rsid w:val="00A354C9"/>
    <w:rsid w:val="00A42739"/>
    <w:rsid w:val="00A43C75"/>
    <w:rsid w:val="00A457E8"/>
    <w:rsid w:val="00A4705A"/>
    <w:rsid w:val="00A47C03"/>
    <w:rsid w:val="00A5059F"/>
    <w:rsid w:val="00A518C1"/>
    <w:rsid w:val="00A51DA7"/>
    <w:rsid w:val="00A52885"/>
    <w:rsid w:val="00A52D13"/>
    <w:rsid w:val="00A60AA4"/>
    <w:rsid w:val="00A6673A"/>
    <w:rsid w:val="00A70876"/>
    <w:rsid w:val="00A70A5E"/>
    <w:rsid w:val="00A719D4"/>
    <w:rsid w:val="00A743DC"/>
    <w:rsid w:val="00A76128"/>
    <w:rsid w:val="00A77771"/>
    <w:rsid w:val="00A80689"/>
    <w:rsid w:val="00A85675"/>
    <w:rsid w:val="00A904C2"/>
    <w:rsid w:val="00A90F86"/>
    <w:rsid w:val="00A92571"/>
    <w:rsid w:val="00A94E1A"/>
    <w:rsid w:val="00A96781"/>
    <w:rsid w:val="00A9702C"/>
    <w:rsid w:val="00AA0B75"/>
    <w:rsid w:val="00AA1412"/>
    <w:rsid w:val="00AA14A8"/>
    <w:rsid w:val="00AA15D4"/>
    <w:rsid w:val="00AA226B"/>
    <w:rsid w:val="00AA22E3"/>
    <w:rsid w:val="00AA392D"/>
    <w:rsid w:val="00AA4643"/>
    <w:rsid w:val="00AA49F8"/>
    <w:rsid w:val="00AA7B67"/>
    <w:rsid w:val="00AB0828"/>
    <w:rsid w:val="00AB1CFF"/>
    <w:rsid w:val="00AB2DDB"/>
    <w:rsid w:val="00AB3536"/>
    <w:rsid w:val="00AB5742"/>
    <w:rsid w:val="00AB7752"/>
    <w:rsid w:val="00AC1D27"/>
    <w:rsid w:val="00AD0D7D"/>
    <w:rsid w:val="00AD212E"/>
    <w:rsid w:val="00AD267A"/>
    <w:rsid w:val="00AE0F59"/>
    <w:rsid w:val="00AE16F1"/>
    <w:rsid w:val="00AE1CB0"/>
    <w:rsid w:val="00AE1CCD"/>
    <w:rsid w:val="00AE3653"/>
    <w:rsid w:val="00AE3DFC"/>
    <w:rsid w:val="00AE4E55"/>
    <w:rsid w:val="00AE575A"/>
    <w:rsid w:val="00AF1CBA"/>
    <w:rsid w:val="00AF2906"/>
    <w:rsid w:val="00AF68A6"/>
    <w:rsid w:val="00B0040C"/>
    <w:rsid w:val="00B031A5"/>
    <w:rsid w:val="00B034B8"/>
    <w:rsid w:val="00B10A5F"/>
    <w:rsid w:val="00B161C3"/>
    <w:rsid w:val="00B21266"/>
    <w:rsid w:val="00B21329"/>
    <w:rsid w:val="00B21BCD"/>
    <w:rsid w:val="00B24004"/>
    <w:rsid w:val="00B24FAD"/>
    <w:rsid w:val="00B262DD"/>
    <w:rsid w:val="00B26C7A"/>
    <w:rsid w:val="00B31779"/>
    <w:rsid w:val="00B3430D"/>
    <w:rsid w:val="00B35046"/>
    <w:rsid w:val="00B420A1"/>
    <w:rsid w:val="00B420F2"/>
    <w:rsid w:val="00B424D0"/>
    <w:rsid w:val="00B42C51"/>
    <w:rsid w:val="00B43BB1"/>
    <w:rsid w:val="00B46518"/>
    <w:rsid w:val="00B46B7A"/>
    <w:rsid w:val="00B50012"/>
    <w:rsid w:val="00B53CE1"/>
    <w:rsid w:val="00B556ED"/>
    <w:rsid w:val="00B55732"/>
    <w:rsid w:val="00B558D0"/>
    <w:rsid w:val="00B61C89"/>
    <w:rsid w:val="00B620A3"/>
    <w:rsid w:val="00B63C19"/>
    <w:rsid w:val="00B63D7D"/>
    <w:rsid w:val="00B715FE"/>
    <w:rsid w:val="00B73257"/>
    <w:rsid w:val="00B7592F"/>
    <w:rsid w:val="00B76E9D"/>
    <w:rsid w:val="00B770E5"/>
    <w:rsid w:val="00B77B08"/>
    <w:rsid w:val="00B80646"/>
    <w:rsid w:val="00B81F64"/>
    <w:rsid w:val="00B84766"/>
    <w:rsid w:val="00B863EC"/>
    <w:rsid w:val="00B86455"/>
    <w:rsid w:val="00B87A69"/>
    <w:rsid w:val="00B87E65"/>
    <w:rsid w:val="00B90774"/>
    <w:rsid w:val="00B9227A"/>
    <w:rsid w:val="00B9306B"/>
    <w:rsid w:val="00B9412C"/>
    <w:rsid w:val="00B94774"/>
    <w:rsid w:val="00B951D6"/>
    <w:rsid w:val="00B9523E"/>
    <w:rsid w:val="00B97779"/>
    <w:rsid w:val="00BA053B"/>
    <w:rsid w:val="00BA0D6E"/>
    <w:rsid w:val="00BA22A0"/>
    <w:rsid w:val="00BA27C5"/>
    <w:rsid w:val="00BA4A09"/>
    <w:rsid w:val="00BA547C"/>
    <w:rsid w:val="00BA55C5"/>
    <w:rsid w:val="00BA56FB"/>
    <w:rsid w:val="00BA5E90"/>
    <w:rsid w:val="00BA69B1"/>
    <w:rsid w:val="00BB136D"/>
    <w:rsid w:val="00BB1D60"/>
    <w:rsid w:val="00BB2054"/>
    <w:rsid w:val="00BB4D65"/>
    <w:rsid w:val="00BC084E"/>
    <w:rsid w:val="00BC10F2"/>
    <w:rsid w:val="00BC15A5"/>
    <w:rsid w:val="00BC1B99"/>
    <w:rsid w:val="00BC2A54"/>
    <w:rsid w:val="00BC2E02"/>
    <w:rsid w:val="00BC3F9C"/>
    <w:rsid w:val="00BC6EE8"/>
    <w:rsid w:val="00BC79E1"/>
    <w:rsid w:val="00BD0207"/>
    <w:rsid w:val="00BD06A3"/>
    <w:rsid w:val="00BD084A"/>
    <w:rsid w:val="00BD1758"/>
    <w:rsid w:val="00BD2CDD"/>
    <w:rsid w:val="00BD36AE"/>
    <w:rsid w:val="00BD3E15"/>
    <w:rsid w:val="00BD5AEB"/>
    <w:rsid w:val="00BD5C05"/>
    <w:rsid w:val="00BE0E5D"/>
    <w:rsid w:val="00BE13A8"/>
    <w:rsid w:val="00BE224F"/>
    <w:rsid w:val="00BE2E47"/>
    <w:rsid w:val="00BE654F"/>
    <w:rsid w:val="00BF06F0"/>
    <w:rsid w:val="00BF0D8D"/>
    <w:rsid w:val="00BF1480"/>
    <w:rsid w:val="00BF22FE"/>
    <w:rsid w:val="00BF2F95"/>
    <w:rsid w:val="00BF4F5D"/>
    <w:rsid w:val="00BF5699"/>
    <w:rsid w:val="00BF5B00"/>
    <w:rsid w:val="00BF7202"/>
    <w:rsid w:val="00BF7B2B"/>
    <w:rsid w:val="00C006C1"/>
    <w:rsid w:val="00C012D5"/>
    <w:rsid w:val="00C110A6"/>
    <w:rsid w:val="00C143C5"/>
    <w:rsid w:val="00C1519B"/>
    <w:rsid w:val="00C161A2"/>
    <w:rsid w:val="00C16BA5"/>
    <w:rsid w:val="00C171CA"/>
    <w:rsid w:val="00C200B9"/>
    <w:rsid w:val="00C22153"/>
    <w:rsid w:val="00C23CB9"/>
    <w:rsid w:val="00C2439E"/>
    <w:rsid w:val="00C24811"/>
    <w:rsid w:val="00C25138"/>
    <w:rsid w:val="00C25D93"/>
    <w:rsid w:val="00C272A8"/>
    <w:rsid w:val="00C30788"/>
    <w:rsid w:val="00C320A9"/>
    <w:rsid w:val="00C32F2B"/>
    <w:rsid w:val="00C34436"/>
    <w:rsid w:val="00C346CB"/>
    <w:rsid w:val="00C34E7B"/>
    <w:rsid w:val="00C35F7D"/>
    <w:rsid w:val="00C36C64"/>
    <w:rsid w:val="00C36D71"/>
    <w:rsid w:val="00C376E5"/>
    <w:rsid w:val="00C378BA"/>
    <w:rsid w:val="00C378E7"/>
    <w:rsid w:val="00C40D02"/>
    <w:rsid w:val="00C427D9"/>
    <w:rsid w:val="00C429A6"/>
    <w:rsid w:val="00C44483"/>
    <w:rsid w:val="00C4602B"/>
    <w:rsid w:val="00C46E16"/>
    <w:rsid w:val="00C4747B"/>
    <w:rsid w:val="00C519A6"/>
    <w:rsid w:val="00C52FAD"/>
    <w:rsid w:val="00C53334"/>
    <w:rsid w:val="00C53CAF"/>
    <w:rsid w:val="00C544D6"/>
    <w:rsid w:val="00C62D06"/>
    <w:rsid w:val="00C637ED"/>
    <w:rsid w:val="00C65325"/>
    <w:rsid w:val="00C65CEC"/>
    <w:rsid w:val="00C70638"/>
    <w:rsid w:val="00C7080B"/>
    <w:rsid w:val="00C7151E"/>
    <w:rsid w:val="00C73CEB"/>
    <w:rsid w:val="00C743A6"/>
    <w:rsid w:val="00C76008"/>
    <w:rsid w:val="00C76A30"/>
    <w:rsid w:val="00C80258"/>
    <w:rsid w:val="00C827C1"/>
    <w:rsid w:val="00C90E8B"/>
    <w:rsid w:val="00C93BC5"/>
    <w:rsid w:val="00C9419E"/>
    <w:rsid w:val="00C95404"/>
    <w:rsid w:val="00C9737B"/>
    <w:rsid w:val="00C976EB"/>
    <w:rsid w:val="00CA3EE4"/>
    <w:rsid w:val="00CA4419"/>
    <w:rsid w:val="00CA57C7"/>
    <w:rsid w:val="00CA617F"/>
    <w:rsid w:val="00CA62CA"/>
    <w:rsid w:val="00CA70FD"/>
    <w:rsid w:val="00CB0679"/>
    <w:rsid w:val="00CB0750"/>
    <w:rsid w:val="00CB16F0"/>
    <w:rsid w:val="00CB17B6"/>
    <w:rsid w:val="00CB300E"/>
    <w:rsid w:val="00CB5A6E"/>
    <w:rsid w:val="00CB65E8"/>
    <w:rsid w:val="00CC0FD8"/>
    <w:rsid w:val="00CC55B2"/>
    <w:rsid w:val="00CC64D4"/>
    <w:rsid w:val="00CD618A"/>
    <w:rsid w:val="00CD6FEA"/>
    <w:rsid w:val="00CD6FFB"/>
    <w:rsid w:val="00CD72D0"/>
    <w:rsid w:val="00CD7306"/>
    <w:rsid w:val="00CD77C4"/>
    <w:rsid w:val="00CE0A8C"/>
    <w:rsid w:val="00CE0BB6"/>
    <w:rsid w:val="00CE4E69"/>
    <w:rsid w:val="00CE5237"/>
    <w:rsid w:val="00CE6E6A"/>
    <w:rsid w:val="00CE7397"/>
    <w:rsid w:val="00CE73ED"/>
    <w:rsid w:val="00CF0E0D"/>
    <w:rsid w:val="00CF1653"/>
    <w:rsid w:val="00CF390B"/>
    <w:rsid w:val="00CF482A"/>
    <w:rsid w:val="00CF7797"/>
    <w:rsid w:val="00CF78A7"/>
    <w:rsid w:val="00D00D4D"/>
    <w:rsid w:val="00D011C6"/>
    <w:rsid w:val="00D01BF3"/>
    <w:rsid w:val="00D020C8"/>
    <w:rsid w:val="00D05F20"/>
    <w:rsid w:val="00D06B49"/>
    <w:rsid w:val="00D077C0"/>
    <w:rsid w:val="00D10456"/>
    <w:rsid w:val="00D12D2F"/>
    <w:rsid w:val="00D14E56"/>
    <w:rsid w:val="00D15B23"/>
    <w:rsid w:val="00D162DC"/>
    <w:rsid w:val="00D176B7"/>
    <w:rsid w:val="00D2060A"/>
    <w:rsid w:val="00D21484"/>
    <w:rsid w:val="00D236DF"/>
    <w:rsid w:val="00D302F2"/>
    <w:rsid w:val="00D323B2"/>
    <w:rsid w:val="00D32584"/>
    <w:rsid w:val="00D37393"/>
    <w:rsid w:val="00D40A19"/>
    <w:rsid w:val="00D469D4"/>
    <w:rsid w:val="00D50B18"/>
    <w:rsid w:val="00D50DD0"/>
    <w:rsid w:val="00D519E4"/>
    <w:rsid w:val="00D51C4F"/>
    <w:rsid w:val="00D53FD1"/>
    <w:rsid w:val="00D542B6"/>
    <w:rsid w:val="00D5600A"/>
    <w:rsid w:val="00D57058"/>
    <w:rsid w:val="00D607B6"/>
    <w:rsid w:val="00D617EF"/>
    <w:rsid w:val="00D6181F"/>
    <w:rsid w:val="00D61941"/>
    <w:rsid w:val="00D63939"/>
    <w:rsid w:val="00D64E40"/>
    <w:rsid w:val="00D703E0"/>
    <w:rsid w:val="00D70DAE"/>
    <w:rsid w:val="00D73C38"/>
    <w:rsid w:val="00D74193"/>
    <w:rsid w:val="00D74A52"/>
    <w:rsid w:val="00D75F18"/>
    <w:rsid w:val="00D75FC5"/>
    <w:rsid w:val="00D7622D"/>
    <w:rsid w:val="00D80BBD"/>
    <w:rsid w:val="00D82389"/>
    <w:rsid w:val="00D826AD"/>
    <w:rsid w:val="00D83808"/>
    <w:rsid w:val="00D83C3C"/>
    <w:rsid w:val="00D84817"/>
    <w:rsid w:val="00D852E0"/>
    <w:rsid w:val="00D856E1"/>
    <w:rsid w:val="00D85C3F"/>
    <w:rsid w:val="00D87D57"/>
    <w:rsid w:val="00D90B7D"/>
    <w:rsid w:val="00D94360"/>
    <w:rsid w:val="00D944F0"/>
    <w:rsid w:val="00D972F0"/>
    <w:rsid w:val="00D97E11"/>
    <w:rsid w:val="00DA07BC"/>
    <w:rsid w:val="00DA23FC"/>
    <w:rsid w:val="00DA3B0C"/>
    <w:rsid w:val="00DA527A"/>
    <w:rsid w:val="00DA5707"/>
    <w:rsid w:val="00DA6315"/>
    <w:rsid w:val="00DA6A68"/>
    <w:rsid w:val="00DB00CA"/>
    <w:rsid w:val="00DB0182"/>
    <w:rsid w:val="00DB1806"/>
    <w:rsid w:val="00DB1CC4"/>
    <w:rsid w:val="00DB71F2"/>
    <w:rsid w:val="00DC0837"/>
    <w:rsid w:val="00DC2148"/>
    <w:rsid w:val="00DC4877"/>
    <w:rsid w:val="00DC7A2C"/>
    <w:rsid w:val="00DD0098"/>
    <w:rsid w:val="00DD1015"/>
    <w:rsid w:val="00DD16B7"/>
    <w:rsid w:val="00DD240C"/>
    <w:rsid w:val="00DD2E12"/>
    <w:rsid w:val="00DD53CB"/>
    <w:rsid w:val="00DD61F7"/>
    <w:rsid w:val="00DD6B95"/>
    <w:rsid w:val="00DE129B"/>
    <w:rsid w:val="00DE2D75"/>
    <w:rsid w:val="00DE6B1E"/>
    <w:rsid w:val="00DE6F93"/>
    <w:rsid w:val="00DE770C"/>
    <w:rsid w:val="00DE7950"/>
    <w:rsid w:val="00DF0322"/>
    <w:rsid w:val="00DF0DC0"/>
    <w:rsid w:val="00DF1BD3"/>
    <w:rsid w:val="00DF1FF1"/>
    <w:rsid w:val="00DF2F70"/>
    <w:rsid w:val="00DF3C59"/>
    <w:rsid w:val="00DF5029"/>
    <w:rsid w:val="00E10940"/>
    <w:rsid w:val="00E1250A"/>
    <w:rsid w:val="00E13035"/>
    <w:rsid w:val="00E1311E"/>
    <w:rsid w:val="00E16400"/>
    <w:rsid w:val="00E20717"/>
    <w:rsid w:val="00E21279"/>
    <w:rsid w:val="00E237BD"/>
    <w:rsid w:val="00E252CE"/>
    <w:rsid w:val="00E26055"/>
    <w:rsid w:val="00E30F9B"/>
    <w:rsid w:val="00E32FB7"/>
    <w:rsid w:val="00E347B5"/>
    <w:rsid w:val="00E36450"/>
    <w:rsid w:val="00E3711D"/>
    <w:rsid w:val="00E43073"/>
    <w:rsid w:val="00E445F0"/>
    <w:rsid w:val="00E505DE"/>
    <w:rsid w:val="00E506AF"/>
    <w:rsid w:val="00E51898"/>
    <w:rsid w:val="00E53578"/>
    <w:rsid w:val="00E55056"/>
    <w:rsid w:val="00E56929"/>
    <w:rsid w:val="00E578EE"/>
    <w:rsid w:val="00E60E00"/>
    <w:rsid w:val="00E61964"/>
    <w:rsid w:val="00E62693"/>
    <w:rsid w:val="00E653B3"/>
    <w:rsid w:val="00E656F1"/>
    <w:rsid w:val="00E706D3"/>
    <w:rsid w:val="00E70A14"/>
    <w:rsid w:val="00E73777"/>
    <w:rsid w:val="00E73E88"/>
    <w:rsid w:val="00E7747E"/>
    <w:rsid w:val="00E77A28"/>
    <w:rsid w:val="00E81177"/>
    <w:rsid w:val="00E85583"/>
    <w:rsid w:val="00E8703C"/>
    <w:rsid w:val="00E87D77"/>
    <w:rsid w:val="00E92065"/>
    <w:rsid w:val="00E94051"/>
    <w:rsid w:val="00E961E4"/>
    <w:rsid w:val="00EA04DA"/>
    <w:rsid w:val="00EA233D"/>
    <w:rsid w:val="00EA2F2C"/>
    <w:rsid w:val="00EA4331"/>
    <w:rsid w:val="00EA5F83"/>
    <w:rsid w:val="00EA7590"/>
    <w:rsid w:val="00EB1177"/>
    <w:rsid w:val="00EB31E0"/>
    <w:rsid w:val="00EB433C"/>
    <w:rsid w:val="00EC041F"/>
    <w:rsid w:val="00EC11E6"/>
    <w:rsid w:val="00EC203D"/>
    <w:rsid w:val="00EC2238"/>
    <w:rsid w:val="00EC2F91"/>
    <w:rsid w:val="00EC41F1"/>
    <w:rsid w:val="00ED1719"/>
    <w:rsid w:val="00ED2AB3"/>
    <w:rsid w:val="00ED3768"/>
    <w:rsid w:val="00ED4278"/>
    <w:rsid w:val="00ED5274"/>
    <w:rsid w:val="00ED5EB7"/>
    <w:rsid w:val="00ED6944"/>
    <w:rsid w:val="00EE0B5B"/>
    <w:rsid w:val="00EE1667"/>
    <w:rsid w:val="00EE2572"/>
    <w:rsid w:val="00EE4315"/>
    <w:rsid w:val="00EE4D14"/>
    <w:rsid w:val="00EE74FC"/>
    <w:rsid w:val="00EE7B42"/>
    <w:rsid w:val="00EF155B"/>
    <w:rsid w:val="00EF54C8"/>
    <w:rsid w:val="00EF54D0"/>
    <w:rsid w:val="00EF7B80"/>
    <w:rsid w:val="00F00F62"/>
    <w:rsid w:val="00F01E0B"/>
    <w:rsid w:val="00F02101"/>
    <w:rsid w:val="00F03781"/>
    <w:rsid w:val="00F03A51"/>
    <w:rsid w:val="00F04D00"/>
    <w:rsid w:val="00F050FF"/>
    <w:rsid w:val="00F1120C"/>
    <w:rsid w:val="00F1488D"/>
    <w:rsid w:val="00F15C21"/>
    <w:rsid w:val="00F2069C"/>
    <w:rsid w:val="00F20D2B"/>
    <w:rsid w:val="00F2126B"/>
    <w:rsid w:val="00F2338E"/>
    <w:rsid w:val="00F241B4"/>
    <w:rsid w:val="00F350E2"/>
    <w:rsid w:val="00F36622"/>
    <w:rsid w:val="00F40EA1"/>
    <w:rsid w:val="00F43731"/>
    <w:rsid w:val="00F43C40"/>
    <w:rsid w:val="00F43DAE"/>
    <w:rsid w:val="00F44BB7"/>
    <w:rsid w:val="00F453FF"/>
    <w:rsid w:val="00F45E04"/>
    <w:rsid w:val="00F45E18"/>
    <w:rsid w:val="00F46322"/>
    <w:rsid w:val="00F4656C"/>
    <w:rsid w:val="00F503FC"/>
    <w:rsid w:val="00F50D0B"/>
    <w:rsid w:val="00F52101"/>
    <w:rsid w:val="00F525DA"/>
    <w:rsid w:val="00F52EDB"/>
    <w:rsid w:val="00F52F23"/>
    <w:rsid w:val="00F54DD4"/>
    <w:rsid w:val="00F56027"/>
    <w:rsid w:val="00F60417"/>
    <w:rsid w:val="00F62011"/>
    <w:rsid w:val="00F64340"/>
    <w:rsid w:val="00F67619"/>
    <w:rsid w:val="00F71B9B"/>
    <w:rsid w:val="00F722C7"/>
    <w:rsid w:val="00F72EB0"/>
    <w:rsid w:val="00F73B23"/>
    <w:rsid w:val="00F7446D"/>
    <w:rsid w:val="00F803F7"/>
    <w:rsid w:val="00F828A2"/>
    <w:rsid w:val="00F82F7A"/>
    <w:rsid w:val="00F90FD4"/>
    <w:rsid w:val="00F91E29"/>
    <w:rsid w:val="00F94DA5"/>
    <w:rsid w:val="00F9520A"/>
    <w:rsid w:val="00F967E6"/>
    <w:rsid w:val="00F976AB"/>
    <w:rsid w:val="00F97AC4"/>
    <w:rsid w:val="00F97AEB"/>
    <w:rsid w:val="00FA0AA8"/>
    <w:rsid w:val="00FA2706"/>
    <w:rsid w:val="00FA2B08"/>
    <w:rsid w:val="00FA3B13"/>
    <w:rsid w:val="00FA6CE8"/>
    <w:rsid w:val="00FB04F0"/>
    <w:rsid w:val="00FB2363"/>
    <w:rsid w:val="00FB50A9"/>
    <w:rsid w:val="00FB57C6"/>
    <w:rsid w:val="00FB5E92"/>
    <w:rsid w:val="00FC18DA"/>
    <w:rsid w:val="00FC3E67"/>
    <w:rsid w:val="00FC50CA"/>
    <w:rsid w:val="00FC5424"/>
    <w:rsid w:val="00FC5606"/>
    <w:rsid w:val="00FC5C3F"/>
    <w:rsid w:val="00FD1373"/>
    <w:rsid w:val="00FD235C"/>
    <w:rsid w:val="00FD28EB"/>
    <w:rsid w:val="00FD641D"/>
    <w:rsid w:val="00FE2AA4"/>
    <w:rsid w:val="00FE5991"/>
    <w:rsid w:val="00FE656C"/>
    <w:rsid w:val="00FF03A8"/>
    <w:rsid w:val="00FF2D68"/>
    <w:rsid w:val="00FF7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2925"/>
  <w15:chartTrackingRefBased/>
  <w15:docId w15:val="{85F4A58C-C9AC-49C8-AA67-E757A9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221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E221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E221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221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E221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E2214"/>
    <w:rPr>
      <w:rFonts w:asciiTheme="majorHAnsi" w:eastAsiaTheme="majorEastAsia" w:hAnsiTheme="majorHAnsi" w:cstheme="majorBidi"/>
      <w:color w:val="1F3763" w:themeColor="accent1" w:themeShade="7F"/>
      <w:sz w:val="24"/>
      <w:szCs w:val="24"/>
    </w:rPr>
  </w:style>
  <w:style w:type="paragraph" w:styleId="Prrafodelista">
    <w:name w:val="List Paragraph"/>
    <w:aliases w:val="Llista Nivell1,Lista de nivel 1,Numeración 1,Cuadrícula media 1 - Énfasis 21,prueba1,List Paragraph"/>
    <w:basedOn w:val="Normal"/>
    <w:link w:val="PrrafodelistaCar"/>
    <w:uiPriority w:val="34"/>
    <w:qFormat/>
    <w:rsid w:val="00B9227A"/>
    <w:pPr>
      <w:ind w:left="720"/>
      <w:contextualSpacing/>
    </w:pPr>
  </w:style>
  <w:style w:type="character" w:customStyle="1" w:styleId="PrrafodelistaCar">
    <w:name w:val="Párrafo de lista Car"/>
    <w:aliases w:val="Llista Nivell1 Car,Lista de nivel 1 Car,Numeración 1 Car,Cuadrícula media 1 - Énfasis 21 Car,prueba1 Car,List Paragraph Car"/>
    <w:link w:val="Prrafodelista"/>
    <w:uiPriority w:val="34"/>
    <w:qFormat/>
    <w:rsid w:val="003E2214"/>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C5B1C"/>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C5B1C"/>
    <w:rPr>
      <w:sz w:val="20"/>
      <w:szCs w:val="20"/>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5C5B1C"/>
    <w:rPr>
      <w:vertAlign w:val="superscript"/>
    </w:rPr>
  </w:style>
  <w:style w:type="paragraph" w:styleId="Encabezado">
    <w:name w:val="header"/>
    <w:basedOn w:val="Normal"/>
    <w:link w:val="Encabezado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E2214"/>
    <w:rPr>
      <w:rFonts w:ascii="Calibri" w:eastAsia="Calibri" w:hAnsi="Calibri" w:cs="Times New Roman"/>
    </w:rPr>
  </w:style>
  <w:style w:type="paragraph" w:styleId="Piedepgina">
    <w:name w:val="footer"/>
    <w:basedOn w:val="Normal"/>
    <w:link w:val="Piedepgina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E2214"/>
    <w:rPr>
      <w:rFonts w:ascii="Calibri" w:eastAsia="Calibri" w:hAnsi="Calibri" w:cs="Times New Roman"/>
    </w:rPr>
  </w:style>
  <w:style w:type="paragraph" w:customStyle="1" w:styleId="estilo30">
    <w:name w:val="estilo30"/>
    <w:basedOn w:val="Normal"/>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E221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uiPriority w:val="99"/>
    <w:unhideWhenUsed/>
    <w:rsid w:val="003E2214"/>
    <w:rPr>
      <w:color w:val="0563C1"/>
      <w:u w:val="single"/>
    </w:rPr>
  </w:style>
  <w:style w:type="table" w:styleId="Tablaconcuadrcula">
    <w:name w:val="Table Grid"/>
    <w:basedOn w:val="Tablanormal"/>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2214"/>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rsid w:val="003E2214"/>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3E2214"/>
    <w:rPr>
      <w:rFonts w:ascii="Calibri" w:eastAsia="Calibri" w:hAnsi="Calibri" w:cs="Times New Roman"/>
      <w:sz w:val="20"/>
      <w:szCs w:val="20"/>
      <w:lang w:val="x-none"/>
    </w:rPr>
  </w:style>
  <w:style w:type="character" w:customStyle="1" w:styleId="TextodegloboCar">
    <w:name w:val="Texto de globo Car"/>
    <w:basedOn w:val="Fuentedeprrafopredeter"/>
    <w:link w:val="Textodeglobo"/>
    <w:uiPriority w:val="99"/>
    <w:semiHidden/>
    <w:rsid w:val="003E2214"/>
    <w:rPr>
      <w:rFonts w:ascii="Tahoma" w:eastAsia="Calibri" w:hAnsi="Tahoma" w:cs="Times New Roman"/>
      <w:sz w:val="16"/>
      <w:szCs w:val="16"/>
      <w:lang w:val="x-none"/>
    </w:rPr>
  </w:style>
  <w:style w:type="paragraph" w:styleId="Textodeglobo">
    <w:name w:val="Balloon Text"/>
    <w:basedOn w:val="Normal"/>
    <w:link w:val="TextodegloboCar"/>
    <w:uiPriority w:val="99"/>
    <w:semiHidden/>
    <w:unhideWhenUsed/>
    <w:rsid w:val="003E2214"/>
    <w:pPr>
      <w:spacing w:after="0" w:line="240" w:lineRule="auto"/>
    </w:pPr>
    <w:rPr>
      <w:rFonts w:ascii="Tahoma" w:eastAsia="Calibri" w:hAnsi="Tahoma" w:cs="Times New Roman"/>
      <w:sz w:val="16"/>
      <w:szCs w:val="16"/>
      <w:lang w:val="x-none"/>
    </w:rPr>
  </w:style>
  <w:style w:type="character" w:customStyle="1" w:styleId="apple-converted-space">
    <w:name w:val="apple-converted-space"/>
    <w:basedOn w:val="Fuentedeprrafopredeter"/>
    <w:rsid w:val="003E2214"/>
  </w:style>
  <w:style w:type="character" w:customStyle="1" w:styleId="AsuntodelcomentarioCar">
    <w:name w:val="Asunto del comentario Car"/>
    <w:basedOn w:val="TextocomentarioCar"/>
    <w:link w:val="Asuntodelcomentario"/>
    <w:uiPriority w:val="99"/>
    <w:semiHidden/>
    <w:rsid w:val="003E2214"/>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3E2214"/>
    <w:pPr>
      <w:spacing w:line="240" w:lineRule="auto"/>
    </w:pPr>
    <w:rPr>
      <w:b/>
      <w:bCs/>
      <w:lang w:val="es-MX"/>
    </w:rPr>
  </w:style>
  <w:style w:type="character" w:styleId="Textoennegrita">
    <w:name w:val="Strong"/>
    <w:basedOn w:val="Fuentedeprrafopredeter"/>
    <w:uiPriority w:val="22"/>
    <w:qFormat/>
    <w:rsid w:val="003E2214"/>
    <w:rPr>
      <w:b/>
      <w:bCs/>
    </w:rPr>
  </w:style>
  <w:style w:type="paragraph" w:customStyle="1" w:styleId="Seccin">
    <w:name w:val="Sección"/>
    <w:basedOn w:val="Normal"/>
    <w:qFormat/>
    <w:rsid w:val="003E2214"/>
    <w:pPr>
      <w:spacing w:before="360" w:after="0"/>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3E2214"/>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E2214"/>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3E2214"/>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2214"/>
    <w:rPr>
      <w:rFonts w:eastAsiaTheme="minorEastAsia"/>
      <w:color w:val="5A5A5A" w:themeColor="text1" w:themeTint="A5"/>
      <w:spacing w:val="15"/>
    </w:rPr>
  </w:style>
  <w:style w:type="character" w:customStyle="1" w:styleId="Textoindependiente2Car">
    <w:name w:val="Texto independiente 2 Car"/>
    <w:basedOn w:val="Fuentedeprrafopredeter"/>
    <w:link w:val="Textoindependiente2"/>
    <w:uiPriority w:val="99"/>
    <w:semiHidden/>
    <w:rsid w:val="003E2214"/>
    <w:rPr>
      <w:rFonts w:ascii="Calibri" w:eastAsia="Calibri" w:hAnsi="Calibri" w:cs="Times New Roman"/>
    </w:rPr>
  </w:style>
  <w:style w:type="paragraph" w:styleId="Textoindependiente2">
    <w:name w:val="Body Text 2"/>
    <w:basedOn w:val="Normal"/>
    <w:link w:val="Textoindependiente2Car"/>
    <w:uiPriority w:val="99"/>
    <w:semiHidden/>
    <w:unhideWhenUsed/>
    <w:rsid w:val="003E2214"/>
    <w:pPr>
      <w:spacing w:after="120" w:line="480" w:lineRule="auto"/>
    </w:pPr>
    <w:rPr>
      <w:rFonts w:ascii="Calibri" w:eastAsia="Calibri" w:hAnsi="Calibri" w:cs="Times New Roman"/>
    </w:rPr>
  </w:style>
  <w:style w:type="paragraph" w:styleId="Textoindependiente">
    <w:name w:val="Body Text"/>
    <w:basedOn w:val="Normal"/>
    <w:link w:val="TextoindependienteCar"/>
    <w:uiPriority w:val="99"/>
    <w:unhideWhenUsed/>
    <w:rsid w:val="003E2214"/>
    <w:pPr>
      <w:spacing w:after="120"/>
    </w:pPr>
  </w:style>
  <w:style w:type="character" w:customStyle="1" w:styleId="TextoindependienteCar">
    <w:name w:val="Texto independiente Car"/>
    <w:basedOn w:val="Fuentedeprrafopredeter"/>
    <w:link w:val="Textoindependiente"/>
    <w:uiPriority w:val="99"/>
    <w:rsid w:val="003E2214"/>
  </w:style>
  <w:style w:type="character" w:styleId="nfasisintenso">
    <w:name w:val="Intense Emphasis"/>
    <w:basedOn w:val="Fuentedeprrafopredeter"/>
    <w:uiPriority w:val="21"/>
    <w:qFormat/>
    <w:rsid w:val="003E2214"/>
    <w:rPr>
      <w:i/>
      <w:iCs/>
      <w:color w:val="4472C4" w:themeColor="accent1"/>
    </w:rPr>
  </w:style>
  <w:style w:type="paragraph" w:customStyle="1" w:styleId="PreguntaInciso">
    <w:name w:val="Pregunta Inciso"/>
    <w:link w:val="PreguntaIncisoCar"/>
    <w:qFormat/>
    <w:rsid w:val="003E2214"/>
    <w:pPr>
      <w:spacing w:after="120" w:line="240" w:lineRule="auto"/>
      <w:ind w:left="720" w:hanging="360"/>
      <w:jc w:val="both"/>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3E2214"/>
    <w:rPr>
      <w:rFonts w:ascii="ITC Avant Garde" w:eastAsia="Calibri" w:hAnsi="ITC Avant Garde" w:cs="Times New Roman"/>
      <w:color w:val="000000"/>
      <w:lang w:val="es-ES"/>
    </w:rPr>
  </w:style>
  <w:style w:type="table" w:customStyle="1" w:styleId="Tablaconcuadrcula3">
    <w:name w:val="Tabla con cuadrícula3"/>
    <w:basedOn w:val="Tablanormal"/>
    <w:next w:val="Tablaconcuadrcula"/>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3E2214"/>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E2214"/>
    <w:pPr>
      <w:spacing w:after="0" w:line="240" w:lineRule="auto"/>
    </w:pPr>
    <w:rPr>
      <w:rFonts w:ascii="Calibri" w:eastAsia="Calibri" w:hAnsi="Calibri" w:cs="Times New Roman"/>
      <w:sz w:val="20"/>
      <w:szCs w:val="20"/>
    </w:rPr>
  </w:style>
  <w:style w:type="character" w:customStyle="1" w:styleId="TextoCar">
    <w:name w:val="Texto Car"/>
    <w:link w:val="Texto"/>
    <w:locked/>
    <w:rsid w:val="003E2214"/>
    <w:rPr>
      <w:rFonts w:ascii="Arial" w:hAnsi="Arial" w:cs="Arial"/>
      <w:sz w:val="18"/>
      <w:lang w:val="es-ES" w:eastAsia="es-ES"/>
    </w:rPr>
  </w:style>
  <w:style w:type="paragraph" w:customStyle="1" w:styleId="Texto">
    <w:name w:val="Texto"/>
    <w:basedOn w:val="Normal"/>
    <w:link w:val="TextoCar"/>
    <w:rsid w:val="003E2214"/>
    <w:pPr>
      <w:spacing w:after="101" w:line="216" w:lineRule="exact"/>
      <w:ind w:firstLine="288"/>
      <w:jc w:val="both"/>
    </w:pPr>
    <w:rPr>
      <w:rFonts w:ascii="Arial" w:hAnsi="Arial" w:cs="Arial"/>
      <w:sz w:val="18"/>
      <w:lang w:val="es-ES" w:eastAsia="es-ES"/>
    </w:rPr>
  </w:style>
  <w:style w:type="paragraph" w:styleId="Cita">
    <w:name w:val="Quote"/>
    <w:link w:val="CitaCar"/>
    <w:uiPriority w:val="73"/>
    <w:rsid w:val="003E2214"/>
    <w:pPr>
      <w:spacing w:before="120" w:after="120" w:line="240" w:lineRule="auto"/>
      <w:ind w:left="862" w:right="862"/>
      <w:jc w:val="both"/>
    </w:pPr>
    <w:rPr>
      <w:rFonts w:ascii="Arial" w:eastAsia="Times New Roman" w:hAnsi="Arial" w:cs="Times New Roman"/>
      <w:i/>
      <w:iCs/>
      <w:sz w:val="20"/>
      <w:lang w:eastAsia="es-MX"/>
    </w:rPr>
  </w:style>
  <w:style w:type="character" w:customStyle="1" w:styleId="CitaCar">
    <w:name w:val="Cita Car"/>
    <w:basedOn w:val="Fuentedeprrafopredeter"/>
    <w:link w:val="Cita"/>
    <w:uiPriority w:val="73"/>
    <w:rsid w:val="003E2214"/>
    <w:rPr>
      <w:rFonts w:ascii="Arial" w:eastAsia="Times New Roman" w:hAnsi="Arial" w:cs="Times New Roman"/>
      <w:i/>
      <w:iCs/>
      <w:sz w:val="20"/>
      <w:lang w:eastAsia="es-MX"/>
    </w:rPr>
  </w:style>
  <w:style w:type="character" w:customStyle="1" w:styleId="CitaN">
    <w:name w:val="Cita N"/>
    <w:uiPriority w:val="1"/>
    <w:qFormat/>
    <w:rsid w:val="003E2214"/>
    <w:rPr>
      <w:rFonts w:ascii="Arial" w:hAnsi="Arial"/>
      <w:b/>
      <w:i w:val="0"/>
      <w:sz w:val="20"/>
    </w:rPr>
  </w:style>
  <w:style w:type="paragraph" w:customStyle="1" w:styleId="Listavistosa-nfasis11">
    <w:name w:val="Lista vistosa - Énfasis 11"/>
    <w:basedOn w:val="Normal"/>
    <w:uiPriority w:val="34"/>
    <w:qFormat/>
    <w:rsid w:val="003E2214"/>
    <w:pPr>
      <w:ind w:left="720"/>
      <w:contextualSpacing/>
    </w:pPr>
    <w:rPr>
      <w:rFonts w:ascii="Calibri" w:eastAsia="Calibri" w:hAnsi="Calibri" w:cs="Times New Roman"/>
    </w:rPr>
  </w:style>
  <w:style w:type="paragraph" w:styleId="Revisin">
    <w:name w:val="Revision"/>
    <w:hidden/>
    <w:uiPriority w:val="99"/>
    <w:semiHidden/>
    <w:rsid w:val="00B42C51"/>
    <w:pPr>
      <w:spacing w:after="0" w:line="240" w:lineRule="auto"/>
    </w:pPr>
  </w:style>
  <w:style w:type="table" w:styleId="Tablaconcuadrcula5oscura-nfasis6">
    <w:name w:val="Grid Table 5 Dark Accent 6"/>
    <w:basedOn w:val="Tablanormal"/>
    <w:uiPriority w:val="50"/>
    <w:rsid w:val="003C28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cinsinresolver">
    <w:name w:val="Unresolved Mention"/>
    <w:basedOn w:val="Fuentedeprrafopredeter"/>
    <w:uiPriority w:val="99"/>
    <w:semiHidden/>
    <w:unhideWhenUsed/>
    <w:rsid w:val="0033341F"/>
    <w:rPr>
      <w:color w:val="605E5C"/>
      <w:shd w:val="clear" w:color="auto" w:fill="E1DFDD"/>
    </w:rPr>
  </w:style>
  <w:style w:type="character" w:styleId="Refdecomentario">
    <w:name w:val="annotation reference"/>
    <w:basedOn w:val="Fuentedeprrafopredeter"/>
    <w:uiPriority w:val="99"/>
    <w:semiHidden/>
    <w:unhideWhenUsed/>
    <w:rsid w:val="00FF764E"/>
    <w:rPr>
      <w:sz w:val="16"/>
      <w:szCs w:val="16"/>
    </w:rPr>
  </w:style>
  <w:style w:type="character" w:styleId="Hipervnculovisitado">
    <w:name w:val="FollowedHyperlink"/>
    <w:basedOn w:val="Fuentedeprrafopredeter"/>
    <w:uiPriority w:val="99"/>
    <w:semiHidden/>
    <w:unhideWhenUsed/>
    <w:rsid w:val="00767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227766">
      <w:bodyDiv w:val="1"/>
      <w:marLeft w:val="0"/>
      <w:marRight w:val="0"/>
      <w:marTop w:val="0"/>
      <w:marBottom w:val="0"/>
      <w:divBdr>
        <w:top w:val="none" w:sz="0" w:space="0" w:color="auto"/>
        <w:left w:val="none" w:sz="0" w:space="0" w:color="auto"/>
        <w:bottom w:val="none" w:sz="0" w:space="0" w:color="auto"/>
        <w:right w:val="none" w:sz="0" w:space="0" w:color="auto"/>
      </w:divBdr>
    </w:div>
    <w:div w:id="808280124">
      <w:bodyDiv w:val="1"/>
      <w:marLeft w:val="0"/>
      <w:marRight w:val="0"/>
      <w:marTop w:val="0"/>
      <w:marBottom w:val="0"/>
      <w:divBdr>
        <w:top w:val="none" w:sz="0" w:space="0" w:color="auto"/>
        <w:left w:val="none" w:sz="0" w:space="0" w:color="auto"/>
        <w:bottom w:val="none" w:sz="0" w:space="0" w:color="auto"/>
        <w:right w:val="none" w:sz="0" w:space="0" w:color="auto"/>
      </w:divBdr>
    </w:div>
    <w:div w:id="1046493742">
      <w:bodyDiv w:val="1"/>
      <w:marLeft w:val="0"/>
      <w:marRight w:val="0"/>
      <w:marTop w:val="0"/>
      <w:marBottom w:val="0"/>
      <w:divBdr>
        <w:top w:val="none" w:sz="0" w:space="0" w:color="auto"/>
        <w:left w:val="none" w:sz="0" w:space="0" w:color="auto"/>
        <w:bottom w:val="none" w:sz="0" w:space="0" w:color="auto"/>
        <w:right w:val="none" w:sz="0" w:space="0" w:color="auto"/>
      </w:divBdr>
    </w:div>
    <w:div w:id="1195998261">
      <w:bodyDiv w:val="1"/>
      <w:marLeft w:val="0"/>
      <w:marRight w:val="0"/>
      <w:marTop w:val="0"/>
      <w:marBottom w:val="0"/>
      <w:divBdr>
        <w:top w:val="none" w:sz="0" w:space="0" w:color="auto"/>
        <w:left w:val="none" w:sz="0" w:space="0" w:color="auto"/>
        <w:bottom w:val="none" w:sz="0" w:space="0" w:color="auto"/>
        <w:right w:val="none" w:sz="0" w:space="0" w:color="auto"/>
      </w:divBdr>
    </w:div>
    <w:div w:id="1238319737">
      <w:bodyDiv w:val="1"/>
      <w:marLeft w:val="0"/>
      <w:marRight w:val="0"/>
      <w:marTop w:val="0"/>
      <w:marBottom w:val="0"/>
      <w:divBdr>
        <w:top w:val="none" w:sz="0" w:space="0" w:color="auto"/>
        <w:left w:val="none" w:sz="0" w:space="0" w:color="auto"/>
        <w:bottom w:val="none" w:sz="0" w:space="0" w:color="auto"/>
        <w:right w:val="none" w:sz="0" w:space="0" w:color="auto"/>
      </w:divBdr>
    </w:div>
    <w:div w:id="1395543490">
      <w:bodyDiv w:val="1"/>
      <w:marLeft w:val="0"/>
      <w:marRight w:val="0"/>
      <w:marTop w:val="0"/>
      <w:marBottom w:val="0"/>
      <w:divBdr>
        <w:top w:val="none" w:sz="0" w:space="0" w:color="auto"/>
        <w:left w:val="none" w:sz="0" w:space="0" w:color="auto"/>
        <w:bottom w:val="none" w:sz="0" w:space="0" w:color="auto"/>
        <w:right w:val="none" w:sz="0" w:space="0" w:color="auto"/>
      </w:divBdr>
    </w:div>
    <w:div w:id="1538934582">
      <w:bodyDiv w:val="1"/>
      <w:marLeft w:val="0"/>
      <w:marRight w:val="0"/>
      <w:marTop w:val="0"/>
      <w:marBottom w:val="0"/>
      <w:divBdr>
        <w:top w:val="none" w:sz="0" w:space="0" w:color="auto"/>
        <w:left w:val="none" w:sz="0" w:space="0" w:color="auto"/>
        <w:bottom w:val="none" w:sz="0" w:space="0" w:color="auto"/>
        <w:right w:val="none" w:sz="0" w:space="0" w:color="auto"/>
      </w:divBdr>
    </w:div>
    <w:div w:id="1826042019">
      <w:bodyDiv w:val="1"/>
      <w:marLeft w:val="0"/>
      <w:marRight w:val="0"/>
      <w:marTop w:val="0"/>
      <w:marBottom w:val="0"/>
      <w:divBdr>
        <w:top w:val="none" w:sz="0" w:space="0" w:color="auto"/>
        <w:left w:val="none" w:sz="0" w:space="0" w:color="auto"/>
        <w:bottom w:val="none" w:sz="0" w:space="0" w:color="auto"/>
        <w:right w:val="none" w:sz="0" w:space="0" w:color="auto"/>
      </w:divBdr>
    </w:div>
    <w:div w:id="1932274839">
      <w:bodyDiv w:val="1"/>
      <w:marLeft w:val="0"/>
      <w:marRight w:val="0"/>
      <w:marTop w:val="0"/>
      <w:marBottom w:val="0"/>
      <w:divBdr>
        <w:top w:val="none" w:sz="0" w:space="0" w:color="auto"/>
        <w:left w:val="none" w:sz="0" w:space="0" w:color="auto"/>
        <w:bottom w:val="none" w:sz="0" w:space="0" w:color="auto"/>
        <w:right w:val="none" w:sz="0" w:space="0" w:color="auto"/>
      </w:divBdr>
    </w:div>
    <w:div w:id="1970865689">
      <w:bodyDiv w:val="1"/>
      <w:marLeft w:val="0"/>
      <w:marRight w:val="0"/>
      <w:marTop w:val="0"/>
      <w:marBottom w:val="0"/>
      <w:divBdr>
        <w:top w:val="none" w:sz="0" w:space="0" w:color="auto"/>
        <w:left w:val="none" w:sz="0" w:space="0" w:color="auto"/>
        <w:bottom w:val="none" w:sz="0" w:space="0" w:color="auto"/>
        <w:right w:val="none" w:sz="0" w:space="0" w:color="auto"/>
      </w:divBdr>
      <w:divsChild>
        <w:div w:id="1689520131">
          <w:marLeft w:val="0"/>
          <w:marRight w:val="0"/>
          <w:marTop w:val="0"/>
          <w:marBottom w:val="101"/>
          <w:divBdr>
            <w:top w:val="none" w:sz="0" w:space="0" w:color="auto"/>
            <w:left w:val="none" w:sz="0" w:space="0" w:color="auto"/>
            <w:bottom w:val="none" w:sz="0" w:space="0" w:color="auto"/>
            <w:right w:val="none" w:sz="0" w:space="0" w:color="auto"/>
          </w:divBdr>
        </w:div>
        <w:div w:id="1835341195">
          <w:marLeft w:val="0"/>
          <w:marRight w:val="0"/>
          <w:marTop w:val="0"/>
          <w:marBottom w:val="101"/>
          <w:divBdr>
            <w:top w:val="none" w:sz="0" w:space="0" w:color="auto"/>
            <w:left w:val="none" w:sz="0" w:space="0" w:color="auto"/>
            <w:bottom w:val="none" w:sz="0" w:space="0" w:color="auto"/>
            <w:right w:val="none" w:sz="0" w:space="0" w:color="auto"/>
          </w:divBdr>
        </w:div>
        <w:div w:id="2129619361">
          <w:marLeft w:val="0"/>
          <w:marRight w:val="0"/>
          <w:marTop w:val="0"/>
          <w:marBottom w:val="101"/>
          <w:divBdr>
            <w:top w:val="none" w:sz="0" w:space="0" w:color="auto"/>
            <w:left w:val="none" w:sz="0" w:space="0" w:color="auto"/>
            <w:bottom w:val="none" w:sz="0" w:space="0" w:color="auto"/>
            <w:right w:val="none" w:sz="0" w:space="0" w:color="auto"/>
          </w:divBdr>
        </w:div>
        <w:div w:id="2016876801">
          <w:marLeft w:val="0"/>
          <w:marRight w:val="0"/>
          <w:marTop w:val="0"/>
          <w:marBottom w:val="101"/>
          <w:divBdr>
            <w:top w:val="none" w:sz="0" w:space="0" w:color="auto"/>
            <w:left w:val="none" w:sz="0" w:space="0" w:color="auto"/>
            <w:bottom w:val="none" w:sz="0" w:space="0" w:color="auto"/>
            <w:right w:val="none" w:sz="0" w:space="0" w:color="auto"/>
          </w:divBdr>
        </w:div>
        <w:div w:id="1486319260">
          <w:marLeft w:val="0"/>
          <w:marRight w:val="0"/>
          <w:marTop w:val="0"/>
          <w:marBottom w:val="101"/>
          <w:divBdr>
            <w:top w:val="none" w:sz="0" w:space="0" w:color="auto"/>
            <w:left w:val="none" w:sz="0" w:space="0" w:color="auto"/>
            <w:bottom w:val="none" w:sz="0" w:space="0" w:color="auto"/>
            <w:right w:val="none" w:sz="0" w:space="0" w:color="auto"/>
          </w:divBdr>
        </w:div>
        <w:div w:id="141629147">
          <w:marLeft w:val="0"/>
          <w:marRight w:val="0"/>
          <w:marTop w:val="0"/>
          <w:marBottom w:val="101"/>
          <w:divBdr>
            <w:top w:val="none" w:sz="0" w:space="0" w:color="auto"/>
            <w:left w:val="none" w:sz="0" w:space="0" w:color="auto"/>
            <w:bottom w:val="none" w:sz="0" w:space="0" w:color="auto"/>
            <w:right w:val="none" w:sz="0" w:space="0" w:color="auto"/>
          </w:divBdr>
        </w:div>
        <w:div w:id="1351491216">
          <w:marLeft w:val="0"/>
          <w:marRight w:val="0"/>
          <w:marTop w:val="0"/>
          <w:marBottom w:val="101"/>
          <w:divBdr>
            <w:top w:val="none" w:sz="0" w:space="0" w:color="auto"/>
            <w:left w:val="none" w:sz="0" w:space="0" w:color="auto"/>
            <w:bottom w:val="none" w:sz="0" w:space="0" w:color="auto"/>
            <w:right w:val="none" w:sz="0" w:space="0" w:color="auto"/>
          </w:divBdr>
        </w:div>
        <w:div w:id="294263629">
          <w:marLeft w:val="0"/>
          <w:marRight w:val="0"/>
          <w:marTop w:val="0"/>
          <w:marBottom w:val="101"/>
          <w:divBdr>
            <w:top w:val="none" w:sz="0" w:space="0" w:color="auto"/>
            <w:left w:val="none" w:sz="0" w:space="0" w:color="auto"/>
            <w:bottom w:val="none" w:sz="0" w:space="0" w:color="auto"/>
            <w:right w:val="none" w:sz="0" w:space="0" w:color="auto"/>
          </w:divBdr>
        </w:div>
        <w:div w:id="1507208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consulta-publica-sobre-el-anteproyecto-de-lineamientos-para-la-sustanciacion-traves-de-medio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621c31e5a8c23a4bb7624e0035ed202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0E28-7F48-433B-9958-CD610C2AA8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10537-6E16-4BB2-97B5-54F1EE412D4B}">
  <ds:schemaRefs>
    <ds:schemaRef ds:uri="http://schemas.microsoft.com/sharepoint/v3/contenttype/forms"/>
  </ds:schemaRefs>
</ds:datastoreItem>
</file>

<file path=customXml/itemProps3.xml><?xml version="1.0" encoding="utf-8"?>
<ds:datastoreItem xmlns:ds="http://schemas.openxmlformats.org/officeDocument/2006/customXml" ds:itemID="{9AD6C9EC-727E-42E3-BC59-AAE62C7E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588E61-6C74-423E-9290-A1135631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7586</Words>
  <Characters>41729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Ulises Lopez Bautista</dc:creator>
  <cp:keywords/>
  <dc:description/>
  <cp:lastModifiedBy>Primitivo Ortiz Maldonado</cp:lastModifiedBy>
  <cp:revision>5</cp:revision>
  <cp:lastPrinted>2022-02-16T16:53:00Z</cp:lastPrinted>
  <dcterms:created xsi:type="dcterms:W3CDTF">2022-01-28T00:16:00Z</dcterms:created>
  <dcterms:modified xsi:type="dcterms:W3CDTF">2022-02-16T16:53:00Z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