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2689"/>
        <w:gridCol w:w="3118"/>
        <w:gridCol w:w="3021"/>
      </w:tblGrid>
      <w:tr w:rsidR="00501ADF" w:rsidRPr="00451B7D" w14:paraId="39C6E040" w14:textId="77777777" w:rsidTr="00D23BD5">
        <w:trPr>
          <w:trHeight w:val="816"/>
        </w:trPr>
        <w:tc>
          <w:tcPr>
            <w:tcW w:w="2689" w:type="dxa"/>
            <w:shd w:val="clear" w:color="auto" w:fill="DBDBDB" w:themeFill="accent3" w:themeFillTint="66"/>
          </w:tcPr>
          <w:p w14:paraId="6BE32FC2" w14:textId="77777777" w:rsidR="00501ADF" w:rsidRPr="00451B7D" w:rsidRDefault="00501ADF" w:rsidP="00501ADF">
            <w:pPr>
              <w:jc w:val="both"/>
              <w:rPr>
                <w:rFonts w:ascii="ITC Avant Garde" w:hAnsi="ITC Avant Garde"/>
                <w:b/>
                <w:sz w:val="18"/>
                <w:szCs w:val="18"/>
              </w:rPr>
            </w:pPr>
            <w:r w:rsidRPr="00451B7D">
              <w:rPr>
                <w:rFonts w:ascii="ITC Avant Garde" w:hAnsi="ITC Avant Garde"/>
                <w:b/>
                <w:sz w:val="18"/>
                <w:szCs w:val="18"/>
              </w:rPr>
              <w:t xml:space="preserve">Unidad </w:t>
            </w:r>
            <w:r w:rsidR="00D31AE9">
              <w:rPr>
                <w:rFonts w:ascii="ITC Avant Garde" w:hAnsi="ITC Avant Garde"/>
                <w:b/>
                <w:sz w:val="18"/>
                <w:szCs w:val="18"/>
              </w:rPr>
              <w:t>A</w:t>
            </w:r>
            <w:r w:rsidRPr="00451B7D">
              <w:rPr>
                <w:rFonts w:ascii="ITC Avant Garde" w:hAnsi="ITC Avant Garde"/>
                <w:b/>
                <w:sz w:val="18"/>
                <w:szCs w:val="18"/>
              </w:rPr>
              <w:t>dministrativa</w:t>
            </w:r>
            <w:r w:rsidR="00D23BD5" w:rsidRPr="00451B7D">
              <w:rPr>
                <w:rFonts w:ascii="ITC Avant Garde" w:hAnsi="ITC Avant Garde"/>
                <w:b/>
                <w:sz w:val="18"/>
                <w:szCs w:val="18"/>
              </w:rPr>
              <w:t xml:space="preserve"> </w:t>
            </w:r>
            <w:r w:rsidR="00F75427">
              <w:rPr>
                <w:rFonts w:ascii="ITC Avant Garde" w:hAnsi="ITC Avant Garde"/>
                <w:b/>
                <w:sz w:val="18"/>
                <w:szCs w:val="18"/>
              </w:rPr>
              <w:t xml:space="preserve">o Coordinación General </w:t>
            </w:r>
            <w:r w:rsidR="00D23BD5" w:rsidRPr="00451B7D">
              <w:rPr>
                <w:rFonts w:ascii="ITC Avant Garde" w:hAnsi="ITC Avant Garde"/>
                <w:b/>
                <w:sz w:val="18"/>
                <w:szCs w:val="18"/>
              </w:rPr>
              <w:t>del Instituto</w:t>
            </w:r>
            <w:r w:rsidRPr="00451B7D">
              <w:rPr>
                <w:rFonts w:ascii="ITC Avant Garde" w:hAnsi="ITC Avant Garde"/>
                <w:b/>
                <w:sz w:val="18"/>
                <w:szCs w:val="18"/>
              </w:rPr>
              <w:t>:</w:t>
            </w:r>
          </w:p>
          <w:p w14:paraId="05AC2921" w14:textId="77777777" w:rsidR="0068307E" w:rsidRDefault="0068307E" w:rsidP="00501ADF">
            <w:pPr>
              <w:jc w:val="both"/>
              <w:rPr>
                <w:rFonts w:ascii="ITC Avant Garde" w:hAnsi="ITC Avant Garde"/>
                <w:sz w:val="18"/>
                <w:szCs w:val="18"/>
              </w:rPr>
            </w:pPr>
          </w:p>
          <w:p w14:paraId="38B29002" w14:textId="77777777" w:rsidR="008634FA" w:rsidRPr="00451B7D" w:rsidRDefault="008634FA" w:rsidP="00501ADF">
            <w:pPr>
              <w:jc w:val="both"/>
              <w:rPr>
                <w:rFonts w:ascii="ITC Avant Garde" w:hAnsi="ITC Avant Garde"/>
                <w:sz w:val="18"/>
                <w:szCs w:val="18"/>
              </w:rPr>
            </w:pPr>
            <w:r>
              <w:rPr>
                <w:rFonts w:ascii="ITC Avant Garde" w:hAnsi="ITC Avant Garde"/>
                <w:sz w:val="18"/>
                <w:szCs w:val="18"/>
              </w:rPr>
              <w:t>Unidad de Competencia Económica</w:t>
            </w:r>
          </w:p>
          <w:p w14:paraId="354B7F55" w14:textId="77777777" w:rsidR="0068307E" w:rsidRPr="00451B7D" w:rsidRDefault="0068307E" w:rsidP="00501ADF">
            <w:pPr>
              <w:jc w:val="both"/>
              <w:rPr>
                <w:rFonts w:ascii="ITC Avant Garde" w:hAnsi="ITC Avant Garde"/>
                <w:sz w:val="18"/>
                <w:szCs w:val="18"/>
              </w:rPr>
            </w:pPr>
          </w:p>
        </w:tc>
        <w:tc>
          <w:tcPr>
            <w:tcW w:w="6139" w:type="dxa"/>
            <w:gridSpan w:val="2"/>
            <w:shd w:val="clear" w:color="auto" w:fill="DBDBDB" w:themeFill="accent3" w:themeFillTint="66"/>
          </w:tcPr>
          <w:p w14:paraId="15FB16EF" w14:textId="571D9C49" w:rsidR="0068307E" w:rsidRDefault="00D23BD5" w:rsidP="00501ADF">
            <w:pPr>
              <w:jc w:val="both"/>
              <w:rPr>
                <w:rFonts w:ascii="ITC Avant Garde" w:hAnsi="ITC Avant Garde"/>
                <w:b/>
                <w:sz w:val="18"/>
                <w:szCs w:val="18"/>
              </w:rPr>
            </w:pPr>
            <w:r w:rsidRPr="00451B7D">
              <w:rPr>
                <w:rFonts w:ascii="ITC Avant Garde" w:hAnsi="ITC Avant Garde"/>
                <w:b/>
                <w:sz w:val="18"/>
                <w:szCs w:val="18"/>
              </w:rPr>
              <w:t xml:space="preserve">Título de la propuesta </w:t>
            </w:r>
            <w:r w:rsidR="00501ADF" w:rsidRPr="00451B7D">
              <w:rPr>
                <w:rFonts w:ascii="ITC Avant Garde" w:hAnsi="ITC Avant Garde"/>
                <w:b/>
                <w:sz w:val="18"/>
                <w:szCs w:val="18"/>
              </w:rPr>
              <w:t>de regulación:</w:t>
            </w:r>
          </w:p>
          <w:p w14:paraId="2601832C" w14:textId="77777777" w:rsidR="002F335E" w:rsidRPr="00451B7D" w:rsidRDefault="002F335E" w:rsidP="00501ADF">
            <w:pPr>
              <w:jc w:val="both"/>
              <w:rPr>
                <w:rFonts w:ascii="ITC Avant Garde" w:hAnsi="ITC Avant Garde"/>
                <w:b/>
                <w:sz w:val="18"/>
                <w:szCs w:val="18"/>
              </w:rPr>
            </w:pPr>
          </w:p>
          <w:p w14:paraId="5CAB7C28" w14:textId="4C4AC150" w:rsidR="0068307E" w:rsidRPr="00451B7D" w:rsidRDefault="007719FF" w:rsidP="00501ADF">
            <w:pPr>
              <w:jc w:val="both"/>
              <w:rPr>
                <w:rFonts w:ascii="ITC Avant Garde" w:hAnsi="ITC Avant Garde"/>
                <w:sz w:val="18"/>
                <w:szCs w:val="18"/>
              </w:rPr>
            </w:pPr>
            <w:r>
              <w:rPr>
                <w:rFonts w:ascii="ITC Avant Garde" w:hAnsi="ITC Avant Garde"/>
                <w:sz w:val="18"/>
                <w:szCs w:val="18"/>
              </w:rPr>
              <w:t>“</w:t>
            </w:r>
            <w:r w:rsidR="002F335E" w:rsidRPr="002F335E">
              <w:rPr>
                <w:rFonts w:ascii="ITC Avant Garde" w:hAnsi="ITC Avant Garde"/>
                <w:sz w:val="18"/>
                <w:szCs w:val="18"/>
              </w:rPr>
              <w:t>ANTEPROYECTO DE LINEAMIENTOS PARA LA SUSTANCIACIÓN A TRAVÉS DE MEDIOS ELECTRÓNICOS DE PROCEDIMIENTOS Y TRÁMITES A CARGO DE LA UNIDAD DE COMPETENCIA ECONÓMICA DEL INSTITUTO FEDERAL DE TELECOMUNICACIONES</w:t>
            </w:r>
            <w:r w:rsidR="008634FA">
              <w:rPr>
                <w:rFonts w:ascii="ITC Avant Garde" w:hAnsi="ITC Avant Garde"/>
                <w:sz w:val="18"/>
                <w:szCs w:val="18"/>
              </w:rPr>
              <w:t>”.</w:t>
            </w:r>
          </w:p>
        </w:tc>
      </w:tr>
      <w:tr w:rsidR="0068307E" w:rsidRPr="00451B7D" w14:paraId="05F050EB" w14:textId="77777777" w:rsidTr="00D23BD5">
        <w:trPr>
          <w:trHeight w:val="889"/>
        </w:trPr>
        <w:tc>
          <w:tcPr>
            <w:tcW w:w="2689" w:type="dxa"/>
            <w:vMerge w:val="restart"/>
            <w:shd w:val="clear" w:color="auto" w:fill="DBDBDB" w:themeFill="accent3" w:themeFillTint="66"/>
          </w:tcPr>
          <w:p w14:paraId="1D95C94D" w14:textId="77777777" w:rsidR="0068307E" w:rsidRPr="00451B7D" w:rsidRDefault="00D23BD5" w:rsidP="00501ADF">
            <w:pPr>
              <w:jc w:val="both"/>
              <w:rPr>
                <w:rFonts w:ascii="ITC Avant Garde" w:hAnsi="ITC Avant Garde"/>
                <w:b/>
                <w:sz w:val="18"/>
                <w:szCs w:val="18"/>
              </w:rPr>
            </w:pPr>
            <w:r w:rsidRPr="00451B7D">
              <w:rPr>
                <w:rFonts w:ascii="ITC Avant Garde" w:hAnsi="ITC Avant Garde"/>
                <w:b/>
                <w:sz w:val="18"/>
                <w:szCs w:val="18"/>
              </w:rPr>
              <w:t>Responsable de la propuesta de regulación</w:t>
            </w:r>
            <w:r w:rsidR="0068307E" w:rsidRPr="00451B7D">
              <w:rPr>
                <w:rFonts w:ascii="ITC Avant Garde" w:hAnsi="ITC Avant Garde"/>
                <w:b/>
                <w:sz w:val="18"/>
                <w:szCs w:val="18"/>
              </w:rPr>
              <w:t>:</w:t>
            </w:r>
          </w:p>
          <w:p w14:paraId="16583E7B" w14:textId="77777777" w:rsidR="0068307E" w:rsidRPr="00451B7D" w:rsidRDefault="0068307E" w:rsidP="00501ADF">
            <w:pPr>
              <w:jc w:val="both"/>
              <w:rPr>
                <w:rFonts w:ascii="ITC Avant Garde" w:hAnsi="ITC Avant Garde"/>
                <w:b/>
                <w:sz w:val="18"/>
                <w:szCs w:val="18"/>
              </w:rPr>
            </w:pPr>
          </w:p>
          <w:p w14:paraId="5261AE4D" w14:textId="4905B43F" w:rsidR="0068307E" w:rsidRPr="00451B7D" w:rsidRDefault="00F31821" w:rsidP="00501ADF">
            <w:pPr>
              <w:jc w:val="both"/>
              <w:rPr>
                <w:rFonts w:ascii="ITC Avant Garde" w:hAnsi="ITC Avant Garde"/>
                <w:sz w:val="18"/>
                <w:szCs w:val="18"/>
              </w:rPr>
            </w:pPr>
            <w:r w:rsidRPr="00451B7D">
              <w:rPr>
                <w:rFonts w:ascii="ITC Avant Garde" w:hAnsi="ITC Avant Garde"/>
                <w:sz w:val="18"/>
                <w:szCs w:val="18"/>
              </w:rPr>
              <w:t xml:space="preserve">Nombre: </w:t>
            </w:r>
            <w:r w:rsidR="00CD7E90">
              <w:rPr>
                <w:rFonts w:ascii="ITC Avant Garde" w:hAnsi="ITC Avant Garde"/>
                <w:sz w:val="18"/>
                <w:szCs w:val="18"/>
              </w:rPr>
              <w:t xml:space="preserve">Rafael </w:t>
            </w:r>
            <w:r w:rsidR="002F335E">
              <w:rPr>
                <w:rFonts w:ascii="ITC Avant Garde" w:hAnsi="ITC Avant Garde"/>
                <w:sz w:val="18"/>
                <w:szCs w:val="18"/>
              </w:rPr>
              <w:t xml:space="preserve">José </w:t>
            </w:r>
            <w:r w:rsidR="00CD7E90">
              <w:rPr>
                <w:rFonts w:ascii="ITC Avant Garde" w:hAnsi="ITC Avant Garde"/>
                <w:sz w:val="18"/>
                <w:szCs w:val="18"/>
              </w:rPr>
              <w:t>López De Valle</w:t>
            </w:r>
          </w:p>
          <w:p w14:paraId="0868B3F7" w14:textId="76460D6F"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 xml:space="preserve">Teléfono: </w:t>
            </w:r>
            <w:r w:rsidR="00CD7E90">
              <w:rPr>
                <w:rFonts w:ascii="ITC Avant Garde" w:hAnsi="ITC Avant Garde"/>
                <w:sz w:val="18"/>
                <w:szCs w:val="18"/>
              </w:rPr>
              <w:t>5550154384</w:t>
            </w:r>
          </w:p>
          <w:p w14:paraId="33CCC51A" w14:textId="79ED187D" w:rsidR="0068307E" w:rsidRPr="00451B7D" w:rsidRDefault="0068307E" w:rsidP="00501ADF">
            <w:pPr>
              <w:jc w:val="both"/>
              <w:rPr>
                <w:rFonts w:ascii="ITC Avant Garde" w:hAnsi="ITC Avant Garde"/>
                <w:sz w:val="18"/>
                <w:szCs w:val="18"/>
              </w:rPr>
            </w:pPr>
            <w:r w:rsidRPr="00451B7D">
              <w:rPr>
                <w:rFonts w:ascii="ITC Avant Garde" w:hAnsi="ITC Avant Garde"/>
                <w:sz w:val="18"/>
                <w:szCs w:val="18"/>
              </w:rPr>
              <w:t>Correo electrónico:</w:t>
            </w:r>
            <w:r w:rsidR="008634FA">
              <w:rPr>
                <w:rFonts w:ascii="ITC Avant Garde" w:hAnsi="ITC Avant Garde"/>
                <w:sz w:val="18"/>
                <w:szCs w:val="18"/>
              </w:rPr>
              <w:t xml:space="preserve"> </w:t>
            </w:r>
            <w:r w:rsidR="002F335E">
              <w:rPr>
                <w:rFonts w:ascii="ITC Avant Garde" w:hAnsi="ITC Avant Garde"/>
                <w:sz w:val="18"/>
                <w:szCs w:val="18"/>
              </w:rPr>
              <w:t>rafael</w:t>
            </w:r>
            <w:r w:rsidR="008634FA">
              <w:rPr>
                <w:rFonts w:ascii="ITC Avant Garde" w:hAnsi="ITC Avant Garde"/>
                <w:sz w:val="18"/>
                <w:szCs w:val="18"/>
              </w:rPr>
              <w:t>.</w:t>
            </w:r>
            <w:r w:rsidR="002F335E">
              <w:rPr>
                <w:rFonts w:ascii="ITC Avant Garde" w:hAnsi="ITC Avant Garde"/>
                <w:sz w:val="18"/>
                <w:szCs w:val="18"/>
              </w:rPr>
              <w:t>lopez</w:t>
            </w:r>
            <w:r w:rsidR="008634FA">
              <w:rPr>
                <w:rFonts w:ascii="ITC Avant Garde" w:hAnsi="ITC Avant Garde"/>
                <w:sz w:val="18"/>
                <w:szCs w:val="18"/>
              </w:rPr>
              <w:t>@ift.org.mx</w:t>
            </w:r>
          </w:p>
          <w:p w14:paraId="51B23D07" w14:textId="77777777" w:rsidR="0068307E" w:rsidRPr="00451B7D" w:rsidRDefault="0068307E" w:rsidP="00501ADF">
            <w:pPr>
              <w:jc w:val="both"/>
              <w:rPr>
                <w:rFonts w:ascii="ITC Avant Garde" w:hAnsi="ITC Avant Garde"/>
                <w:b/>
                <w:sz w:val="18"/>
                <w:szCs w:val="18"/>
              </w:rPr>
            </w:pPr>
          </w:p>
        </w:tc>
        <w:tc>
          <w:tcPr>
            <w:tcW w:w="3118" w:type="dxa"/>
            <w:shd w:val="clear" w:color="auto" w:fill="DBDBDB" w:themeFill="accent3" w:themeFillTint="66"/>
            <w:vAlign w:val="center"/>
          </w:tcPr>
          <w:p w14:paraId="3DDC136E" w14:textId="77777777" w:rsidR="0068307E" w:rsidRPr="00451B7D" w:rsidRDefault="0068307E" w:rsidP="008A48B0">
            <w:pPr>
              <w:jc w:val="both"/>
              <w:rPr>
                <w:rFonts w:ascii="ITC Avant Garde" w:hAnsi="ITC Avant Garde"/>
                <w:b/>
                <w:sz w:val="18"/>
                <w:szCs w:val="18"/>
              </w:rPr>
            </w:pPr>
            <w:r w:rsidRPr="00451B7D">
              <w:rPr>
                <w:rFonts w:ascii="ITC Avant Garde" w:hAnsi="ITC Avant Garde"/>
                <w:b/>
                <w:sz w:val="18"/>
                <w:szCs w:val="18"/>
              </w:rPr>
              <w:t>Fecha de elaboración</w:t>
            </w:r>
            <w:r w:rsidR="00D23BD5" w:rsidRPr="00451B7D">
              <w:rPr>
                <w:rFonts w:ascii="ITC Avant Garde" w:hAnsi="ITC Avant Garde"/>
                <w:b/>
                <w:sz w:val="18"/>
                <w:szCs w:val="18"/>
              </w:rPr>
              <w:t xml:space="preserve"> del análisis de nulo impacto regulatorio</w:t>
            </w:r>
            <w:r w:rsidRPr="00451B7D">
              <w:rPr>
                <w:rFonts w:ascii="ITC Avant Garde" w:hAnsi="ITC Avant Garde"/>
                <w:b/>
                <w:sz w:val="18"/>
                <w:szCs w:val="18"/>
              </w:rPr>
              <w:t>:</w:t>
            </w:r>
          </w:p>
        </w:tc>
        <w:tc>
          <w:tcPr>
            <w:tcW w:w="3021" w:type="dxa"/>
            <w:shd w:val="clear" w:color="auto" w:fill="DBDBDB" w:themeFill="accent3" w:themeFillTint="66"/>
            <w:vAlign w:val="center"/>
          </w:tcPr>
          <w:p w14:paraId="3EE22D4A" w14:textId="2EB2CE33" w:rsidR="0068307E" w:rsidRPr="00451B7D" w:rsidRDefault="009C166F" w:rsidP="008634FA">
            <w:pPr>
              <w:jc w:val="center"/>
              <w:rPr>
                <w:rFonts w:ascii="ITC Avant Garde" w:hAnsi="ITC Avant Garde"/>
                <w:sz w:val="18"/>
                <w:szCs w:val="18"/>
              </w:rPr>
            </w:pPr>
            <w:r>
              <w:rPr>
                <w:rFonts w:ascii="ITC Avant Garde" w:hAnsi="ITC Avant Garde"/>
                <w:sz w:val="18"/>
                <w:szCs w:val="18"/>
              </w:rPr>
              <w:t>22</w:t>
            </w:r>
            <w:r w:rsidR="00CD7E90">
              <w:rPr>
                <w:rFonts w:ascii="ITC Avant Garde" w:hAnsi="ITC Avant Garde"/>
                <w:sz w:val="18"/>
                <w:szCs w:val="18"/>
              </w:rPr>
              <w:t>/</w:t>
            </w:r>
            <w:r>
              <w:rPr>
                <w:rFonts w:ascii="ITC Avant Garde" w:hAnsi="ITC Avant Garde"/>
                <w:sz w:val="18"/>
                <w:szCs w:val="18"/>
              </w:rPr>
              <w:t>02</w:t>
            </w:r>
            <w:r w:rsidR="0068307E" w:rsidRPr="00451B7D">
              <w:rPr>
                <w:rFonts w:ascii="ITC Avant Garde" w:hAnsi="ITC Avant Garde"/>
                <w:sz w:val="18"/>
                <w:szCs w:val="18"/>
              </w:rPr>
              <w:t>/</w:t>
            </w:r>
            <w:r w:rsidR="008634FA">
              <w:rPr>
                <w:rFonts w:ascii="ITC Avant Garde" w:hAnsi="ITC Avant Garde"/>
                <w:sz w:val="18"/>
                <w:szCs w:val="18"/>
              </w:rPr>
              <w:t>202</w:t>
            </w:r>
            <w:r>
              <w:rPr>
                <w:rFonts w:ascii="ITC Avant Garde" w:hAnsi="ITC Avant Garde"/>
                <w:sz w:val="18"/>
                <w:szCs w:val="18"/>
              </w:rPr>
              <w:t>2</w:t>
            </w:r>
          </w:p>
        </w:tc>
      </w:tr>
      <w:tr w:rsidR="0068307E" w:rsidRPr="00451B7D" w14:paraId="0F1D9108" w14:textId="77777777" w:rsidTr="00D23BD5">
        <w:trPr>
          <w:trHeight w:val="390"/>
        </w:trPr>
        <w:tc>
          <w:tcPr>
            <w:tcW w:w="2689" w:type="dxa"/>
            <w:vMerge/>
            <w:shd w:val="clear" w:color="auto" w:fill="DBDBDB" w:themeFill="accent3" w:themeFillTint="66"/>
          </w:tcPr>
          <w:p w14:paraId="6F5D0376" w14:textId="77777777" w:rsidR="0068307E" w:rsidRPr="00451B7D" w:rsidRDefault="0068307E" w:rsidP="00501ADF">
            <w:pPr>
              <w:jc w:val="both"/>
              <w:rPr>
                <w:rFonts w:ascii="ITC Avant Garde" w:hAnsi="ITC Avant Garde"/>
                <w:sz w:val="18"/>
                <w:szCs w:val="18"/>
              </w:rPr>
            </w:pPr>
          </w:p>
        </w:tc>
        <w:tc>
          <w:tcPr>
            <w:tcW w:w="3118" w:type="dxa"/>
            <w:shd w:val="clear" w:color="auto" w:fill="DBDBDB" w:themeFill="accent3" w:themeFillTint="66"/>
            <w:vAlign w:val="center"/>
          </w:tcPr>
          <w:p w14:paraId="5E5AB9A1" w14:textId="77777777" w:rsidR="0068307E" w:rsidRPr="00451B7D" w:rsidRDefault="0049127C" w:rsidP="0049127C">
            <w:pPr>
              <w:jc w:val="both"/>
              <w:rPr>
                <w:rFonts w:ascii="ITC Avant Garde" w:hAnsi="ITC Avant Garde"/>
                <w:b/>
                <w:sz w:val="18"/>
                <w:szCs w:val="18"/>
              </w:rPr>
            </w:pPr>
            <w:r w:rsidRPr="00451B7D">
              <w:rPr>
                <w:rFonts w:ascii="ITC Avant Garde" w:hAnsi="ITC Avant Garde"/>
                <w:b/>
                <w:sz w:val="18"/>
                <w:szCs w:val="18"/>
              </w:rPr>
              <w:t>En su caso, f</w:t>
            </w:r>
            <w:r w:rsidR="0068307E" w:rsidRPr="00451B7D">
              <w:rPr>
                <w:rFonts w:ascii="ITC Avant Garde" w:hAnsi="ITC Avant Garde"/>
                <w:b/>
                <w:sz w:val="18"/>
                <w:szCs w:val="18"/>
              </w:rPr>
              <w:t xml:space="preserve">echa de inicio </w:t>
            </w:r>
            <w:r w:rsidR="00D23BD5" w:rsidRPr="00451B7D">
              <w:rPr>
                <w:rFonts w:ascii="ITC Avant Garde" w:hAnsi="ITC Avant Garde"/>
                <w:b/>
                <w:sz w:val="18"/>
                <w:szCs w:val="18"/>
              </w:rPr>
              <w:t xml:space="preserve">y conclusión </w:t>
            </w:r>
            <w:r w:rsidR="0068307E" w:rsidRPr="00451B7D">
              <w:rPr>
                <w:rFonts w:ascii="ITC Avant Garde" w:hAnsi="ITC Avant Garde"/>
                <w:b/>
                <w:sz w:val="18"/>
                <w:szCs w:val="18"/>
              </w:rPr>
              <w:t>de la consulta pública:</w:t>
            </w:r>
          </w:p>
        </w:tc>
        <w:tc>
          <w:tcPr>
            <w:tcW w:w="3021" w:type="dxa"/>
            <w:shd w:val="clear" w:color="auto" w:fill="DBDBDB" w:themeFill="accent3" w:themeFillTint="66"/>
            <w:vAlign w:val="center"/>
          </w:tcPr>
          <w:p w14:paraId="599047C1" w14:textId="01F1EAA3" w:rsidR="0068307E" w:rsidRPr="00451B7D" w:rsidRDefault="007719FF" w:rsidP="007719FF">
            <w:pPr>
              <w:jc w:val="both"/>
              <w:rPr>
                <w:rFonts w:ascii="ITC Avant Garde" w:hAnsi="ITC Avant Garde"/>
                <w:sz w:val="18"/>
                <w:szCs w:val="18"/>
              </w:rPr>
            </w:pPr>
            <w:r>
              <w:rPr>
                <w:rFonts w:ascii="ITC Avant Garde" w:hAnsi="ITC Avant Garde"/>
                <w:sz w:val="18"/>
                <w:szCs w:val="18"/>
              </w:rPr>
              <w:t>Sujeta a publicación de extrac</w:t>
            </w:r>
            <w:r w:rsidR="005820F0">
              <w:rPr>
                <w:rFonts w:ascii="ITC Avant Garde" w:hAnsi="ITC Avant Garde"/>
                <w:sz w:val="18"/>
                <w:szCs w:val="18"/>
              </w:rPr>
              <w:t>to en el Diario Oficial de la Fe</w:t>
            </w:r>
            <w:r>
              <w:rPr>
                <w:rFonts w:ascii="ITC Avant Garde" w:hAnsi="ITC Avant Garde"/>
                <w:sz w:val="18"/>
                <w:szCs w:val="18"/>
              </w:rPr>
              <w:t>deración</w:t>
            </w:r>
          </w:p>
        </w:tc>
      </w:tr>
    </w:tbl>
    <w:p w14:paraId="7C51922E" w14:textId="77777777" w:rsidR="00501ADF" w:rsidRPr="00451B7D" w:rsidRDefault="00501ADF" w:rsidP="00501ADF">
      <w:pPr>
        <w:jc w:val="both"/>
        <w:rPr>
          <w:rFonts w:ascii="ITC Avant Garde" w:hAnsi="ITC Avant Garde"/>
          <w:sz w:val="18"/>
          <w:szCs w:val="18"/>
        </w:rPr>
      </w:pPr>
    </w:p>
    <w:p w14:paraId="6061EA57" w14:textId="77777777" w:rsidR="001932FC" w:rsidRPr="00451B7D" w:rsidRDefault="001932FC" w:rsidP="0068307E">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 DEFINICIÓN DEL PROBLEMA Y OBJETIVOS GENERALES DE LA </w:t>
      </w:r>
      <w:r w:rsidR="00D23BD5" w:rsidRPr="00451B7D">
        <w:rPr>
          <w:rFonts w:ascii="ITC Avant Garde" w:hAnsi="ITC Avant Garde"/>
          <w:b/>
          <w:sz w:val="18"/>
          <w:szCs w:val="18"/>
        </w:rPr>
        <w:t xml:space="preserve">PROPUESTA DE </w:t>
      </w:r>
      <w:r w:rsidRPr="00451B7D">
        <w:rPr>
          <w:rFonts w:ascii="ITC Avant Garde" w:hAnsi="ITC Avant Garde"/>
          <w:b/>
          <w:sz w:val="18"/>
          <w:szCs w:val="18"/>
        </w:rPr>
        <w:t>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451B7D" w14:paraId="482EFCA9" w14:textId="77777777" w:rsidTr="008A48B0">
        <w:tc>
          <w:tcPr>
            <w:tcW w:w="8828" w:type="dxa"/>
            <w:shd w:val="clear" w:color="auto" w:fill="FFFFFF" w:themeFill="background1"/>
          </w:tcPr>
          <w:p w14:paraId="276800B8" w14:textId="5BBF9A2E" w:rsidR="001932FC" w:rsidRDefault="001932FC" w:rsidP="008A48B0">
            <w:pPr>
              <w:shd w:val="clear" w:color="auto" w:fill="FFFFFF" w:themeFill="background1"/>
              <w:jc w:val="both"/>
              <w:rPr>
                <w:rFonts w:ascii="ITC Avant Garde" w:hAnsi="ITC Avant Garde"/>
                <w:b/>
                <w:sz w:val="18"/>
                <w:szCs w:val="18"/>
              </w:rPr>
            </w:pPr>
            <w:r w:rsidRPr="00935E92">
              <w:rPr>
                <w:rFonts w:ascii="ITC Avant Garde" w:hAnsi="ITC Avant Garde"/>
                <w:b/>
                <w:sz w:val="18"/>
                <w:szCs w:val="18"/>
              </w:rPr>
              <w:t>1.</w:t>
            </w:r>
            <w:r w:rsidR="00E6080B" w:rsidRPr="00935E92">
              <w:rPr>
                <w:rFonts w:ascii="ITC Avant Garde" w:hAnsi="ITC Avant Garde"/>
                <w:b/>
                <w:sz w:val="18"/>
                <w:szCs w:val="18"/>
              </w:rPr>
              <w:t>-</w:t>
            </w:r>
            <w:r w:rsidRPr="00935E92">
              <w:rPr>
                <w:rFonts w:ascii="ITC Avant Garde" w:hAnsi="ITC Avant Garde"/>
                <w:b/>
                <w:sz w:val="18"/>
                <w:szCs w:val="18"/>
              </w:rPr>
              <w:t xml:space="preserve"> </w:t>
            </w:r>
            <w:r w:rsidR="00D221B5" w:rsidRPr="00935E92">
              <w:rPr>
                <w:rFonts w:ascii="ITC Avant Garde" w:hAnsi="ITC Avant Garde"/>
                <w:b/>
                <w:sz w:val="18"/>
                <w:szCs w:val="18"/>
              </w:rPr>
              <w:t xml:space="preserve">Explique brevemente </w:t>
            </w:r>
            <w:r w:rsidR="00BE7D1C" w:rsidRPr="00935E92">
              <w:rPr>
                <w:rFonts w:ascii="ITC Avant Garde" w:hAnsi="ITC Avant Garde"/>
                <w:b/>
                <w:sz w:val="18"/>
                <w:szCs w:val="18"/>
              </w:rPr>
              <w:t xml:space="preserve">la problemática que pretende prevenir o resolver la propuesta de regulación, así como </w:t>
            </w:r>
            <w:r w:rsidR="00D221B5" w:rsidRPr="00935E92">
              <w:rPr>
                <w:rFonts w:ascii="ITC Avant Garde" w:hAnsi="ITC Avant Garde"/>
                <w:b/>
                <w:sz w:val="18"/>
                <w:szCs w:val="18"/>
              </w:rPr>
              <w:t xml:space="preserve">en qué consiste </w:t>
            </w:r>
            <w:r w:rsidR="005319D5" w:rsidRPr="00935E92">
              <w:rPr>
                <w:rFonts w:ascii="ITC Avant Garde" w:hAnsi="ITC Avant Garde"/>
                <w:b/>
                <w:sz w:val="18"/>
                <w:szCs w:val="18"/>
              </w:rPr>
              <w:t xml:space="preserve">ésta </w:t>
            </w:r>
            <w:r w:rsidR="00BE7D1C" w:rsidRPr="00935E92">
              <w:rPr>
                <w:rFonts w:ascii="ITC Avant Garde" w:hAnsi="ITC Avant Garde"/>
                <w:b/>
                <w:sz w:val="18"/>
                <w:szCs w:val="18"/>
              </w:rPr>
              <w:t>y</w:t>
            </w:r>
            <w:r w:rsidR="00D221B5" w:rsidRPr="00935E92">
              <w:rPr>
                <w:rFonts w:ascii="ITC Avant Garde" w:hAnsi="ITC Avant Garde"/>
                <w:b/>
                <w:sz w:val="18"/>
                <w:szCs w:val="18"/>
              </w:rPr>
              <w:t xml:space="preserve"> sus objetivos generales</w:t>
            </w:r>
            <w:r w:rsidRPr="00935E92">
              <w:rPr>
                <w:rFonts w:ascii="ITC Avant Garde" w:hAnsi="ITC Avant Garde"/>
                <w:b/>
                <w:sz w:val="18"/>
                <w:szCs w:val="18"/>
              </w:rPr>
              <w:t>:</w:t>
            </w:r>
          </w:p>
          <w:p w14:paraId="608ACD65" w14:textId="2DCF2376" w:rsidR="00911F4B" w:rsidRDefault="00911F4B" w:rsidP="008A48B0">
            <w:pPr>
              <w:shd w:val="clear" w:color="auto" w:fill="FFFFFF" w:themeFill="background1"/>
              <w:jc w:val="both"/>
              <w:rPr>
                <w:rFonts w:ascii="ITC Avant Garde" w:hAnsi="ITC Avant Garde"/>
                <w:b/>
                <w:sz w:val="18"/>
                <w:szCs w:val="18"/>
              </w:rPr>
            </w:pPr>
          </w:p>
          <w:p w14:paraId="25C56973" w14:textId="15BC18E5" w:rsidR="0016668F" w:rsidRDefault="0016668F" w:rsidP="008A48B0">
            <w:pPr>
              <w:shd w:val="clear" w:color="auto" w:fill="FFFFFF" w:themeFill="background1"/>
              <w:jc w:val="both"/>
              <w:rPr>
                <w:rFonts w:ascii="ITC Avant Garde" w:hAnsi="ITC Avant Garde"/>
                <w:sz w:val="18"/>
                <w:szCs w:val="18"/>
              </w:rPr>
            </w:pPr>
            <w:r>
              <w:rPr>
                <w:rFonts w:ascii="ITC Avant Garde" w:hAnsi="ITC Avant Garde"/>
                <w:sz w:val="18"/>
                <w:szCs w:val="18"/>
              </w:rPr>
              <w:t>De acuerdo con su artículo 118, cualquier solicitud o procedimiento de los establecidos en la Ley Federal de Competencia Económica (LFCE) podrá sustanciar</w:t>
            </w:r>
            <w:r w:rsidR="00823B89">
              <w:rPr>
                <w:rFonts w:ascii="ITC Avant Garde" w:hAnsi="ITC Avant Garde"/>
                <w:sz w:val="18"/>
                <w:szCs w:val="18"/>
              </w:rPr>
              <w:t>se</w:t>
            </w:r>
            <w:r>
              <w:rPr>
                <w:rFonts w:ascii="ITC Avant Garde" w:hAnsi="ITC Avant Garde"/>
                <w:sz w:val="18"/>
                <w:szCs w:val="18"/>
              </w:rPr>
              <w:t xml:space="preserve"> por medios electrónicos, observando en todo caso lo dispuesto por las disposiciones aplicables en la materia y respecto del uso de la firma electrónica, así como los principios </w:t>
            </w:r>
            <w:r w:rsidR="00823B89">
              <w:rPr>
                <w:rFonts w:ascii="ITC Avant Garde" w:hAnsi="ITC Avant Garde"/>
                <w:sz w:val="18"/>
                <w:szCs w:val="18"/>
              </w:rPr>
              <w:t>de gobierno digital y datos abiertos.</w:t>
            </w:r>
          </w:p>
          <w:p w14:paraId="6C13B998" w14:textId="4BC3E318" w:rsidR="00823B89" w:rsidRDefault="00823B89" w:rsidP="008A48B0">
            <w:pPr>
              <w:shd w:val="clear" w:color="auto" w:fill="FFFFFF" w:themeFill="background1"/>
              <w:jc w:val="both"/>
              <w:rPr>
                <w:rFonts w:ascii="ITC Avant Garde" w:hAnsi="ITC Avant Garde"/>
                <w:sz w:val="18"/>
                <w:szCs w:val="18"/>
              </w:rPr>
            </w:pPr>
          </w:p>
          <w:p w14:paraId="34EBF8B2" w14:textId="6778497E" w:rsidR="00823B89" w:rsidRDefault="00823B89"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De acuerdo con el artículo 158 de las Disposiciones Regulatorias de la LFCE para los sectores de telecomunicaciones y radiodifusión (DRLFCE), el Pleno del Instituto emitirá lineamientos en los que se establezcan los términos y condiciones de operación del sistema a través del cual se lleve a cabo la sustanciación de procedimientos y solicitudes </w:t>
            </w:r>
            <w:r w:rsidR="000821A4">
              <w:rPr>
                <w:rFonts w:ascii="ITC Avant Garde" w:hAnsi="ITC Avant Garde"/>
                <w:sz w:val="18"/>
                <w:szCs w:val="18"/>
              </w:rPr>
              <w:t>a través de</w:t>
            </w:r>
            <w:r>
              <w:rPr>
                <w:rFonts w:ascii="ITC Avant Garde" w:hAnsi="ITC Avant Garde"/>
                <w:sz w:val="18"/>
                <w:szCs w:val="18"/>
              </w:rPr>
              <w:t xml:space="preserve"> medios electrónicos</w:t>
            </w:r>
            <w:r w:rsidR="000821A4">
              <w:rPr>
                <w:rFonts w:ascii="ITC Avant Garde" w:hAnsi="ITC Avant Garde"/>
                <w:sz w:val="18"/>
                <w:szCs w:val="18"/>
              </w:rPr>
              <w:t>.</w:t>
            </w:r>
          </w:p>
          <w:p w14:paraId="0CA859A5" w14:textId="3183C484" w:rsidR="00C16B04" w:rsidRDefault="00C16B04" w:rsidP="008A48B0">
            <w:pPr>
              <w:shd w:val="clear" w:color="auto" w:fill="FFFFFF" w:themeFill="background1"/>
              <w:jc w:val="both"/>
              <w:rPr>
                <w:rFonts w:ascii="ITC Avant Garde" w:hAnsi="ITC Avant Garde"/>
                <w:sz w:val="18"/>
                <w:szCs w:val="18"/>
              </w:rPr>
            </w:pPr>
          </w:p>
          <w:p w14:paraId="2716D0EC" w14:textId="095334C7" w:rsidR="00C16B04" w:rsidRDefault="00C16B04" w:rsidP="008A48B0">
            <w:pPr>
              <w:shd w:val="clear" w:color="auto" w:fill="FFFFFF" w:themeFill="background1"/>
              <w:jc w:val="both"/>
              <w:rPr>
                <w:rFonts w:ascii="ITC Avant Garde" w:hAnsi="ITC Avant Garde"/>
                <w:sz w:val="18"/>
                <w:szCs w:val="18"/>
              </w:rPr>
            </w:pPr>
            <w:r>
              <w:rPr>
                <w:rFonts w:ascii="ITC Avant Garde" w:hAnsi="ITC Avant Garde"/>
                <w:sz w:val="18"/>
                <w:szCs w:val="18"/>
              </w:rPr>
              <w:t>De acuerdo con la fracción XXXI, del Lineamiento Segundo</w:t>
            </w:r>
            <w:r w:rsidR="002E56D4">
              <w:rPr>
                <w:rFonts w:ascii="ITC Avant Garde" w:hAnsi="ITC Avant Garde"/>
                <w:sz w:val="18"/>
                <w:szCs w:val="18"/>
              </w:rPr>
              <w:t>,</w:t>
            </w:r>
            <w:r>
              <w:rPr>
                <w:rFonts w:ascii="ITC Avant Garde" w:hAnsi="ITC Avant Garde"/>
                <w:sz w:val="18"/>
                <w:szCs w:val="18"/>
              </w:rPr>
              <w:t xml:space="preserve"> de los </w:t>
            </w:r>
            <w:r w:rsidRPr="00C16B04">
              <w:rPr>
                <w:rFonts w:ascii="ITC Avant Garde" w:hAnsi="ITC Avant Garde"/>
                <w:sz w:val="18"/>
                <w:szCs w:val="18"/>
              </w:rPr>
              <w:t>Lineamientos para la sustanciación de los trámites y servicios que se realicen ante el Instituto Federal de Telecomunicaciones, a través de la Ventanilla Electrónica</w:t>
            </w:r>
            <w:r>
              <w:rPr>
                <w:rFonts w:ascii="ITC Avant Garde" w:hAnsi="ITC Avant Garde"/>
                <w:sz w:val="18"/>
                <w:szCs w:val="18"/>
              </w:rPr>
              <w:t xml:space="preserve">, </w:t>
            </w:r>
            <w:r w:rsidR="008D2F59">
              <w:rPr>
                <w:rFonts w:ascii="ITC Avant Garde" w:hAnsi="ITC Avant Garde"/>
                <w:sz w:val="18"/>
                <w:szCs w:val="18"/>
              </w:rPr>
              <w:t>dicha ventanilla</w:t>
            </w:r>
            <w:r>
              <w:rPr>
                <w:rFonts w:ascii="ITC Avant Garde" w:hAnsi="ITC Avant Garde"/>
                <w:sz w:val="18"/>
                <w:szCs w:val="18"/>
              </w:rPr>
              <w:t xml:space="preserve"> es el </w:t>
            </w:r>
            <w:r w:rsidRPr="00C16B04">
              <w:rPr>
                <w:rFonts w:ascii="ITC Avant Garde" w:hAnsi="ITC Avant Garde"/>
                <w:sz w:val="18"/>
                <w:szCs w:val="18"/>
              </w:rPr>
              <w:t xml:space="preserve">punto de contacto digital a través del Portal de Internet del Instituto, que fungirá como el único medio para la realización de </w:t>
            </w:r>
            <w:r>
              <w:rPr>
                <w:rFonts w:ascii="ITC Avant Garde" w:hAnsi="ITC Avant Garde"/>
                <w:sz w:val="18"/>
                <w:szCs w:val="18"/>
              </w:rPr>
              <w:t>a</w:t>
            </w:r>
            <w:r w:rsidRPr="00C16B04">
              <w:rPr>
                <w:rFonts w:ascii="ITC Avant Garde" w:hAnsi="ITC Avant Garde"/>
                <w:sz w:val="18"/>
                <w:szCs w:val="18"/>
              </w:rPr>
              <w:t xml:space="preserve">ctuaciones </w:t>
            </w:r>
            <w:r>
              <w:rPr>
                <w:rFonts w:ascii="ITC Avant Garde" w:hAnsi="ITC Avant Garde"/>
                <w:sz w:val="18"/>
                <w:szCs w:val="18"/>
              </w:rPr>
              <w:t>e</w:t>
            </w:r>
            <w:r w:rsidRPr="00C16B04">
              <w:rPr>
                <w:rFonts w:ascii="ITC Avant Garde" w:hAnsi="ITC Avant Garde"/>
                <w:sz w:val="18"/>
                <w:szCs w:val="18"/>
              </w:rPr>
              <w:t xml:space="preserve">lectrónicas y que proporcionará la interconexión entre todos los </w:t>
            </w:r>
            <w:r>
              <w:rPr>
                <w:rFonts w:ascii="ITC Avant Garde" w:hAnsi="ITC Avant Garde"/>
                <w:sz w:val="18"/>
                <w:szCs w:val="18"/>
              </w:rPr>
              <w:t>m</w:t>
            </w:r>
            <w:r w:rsidRPr="00C16B04">
              <w:rPr>
                <w:rFonts w:ascii="ITC Avant Garde" w:hAnsi="ITC Avant Garde"/>
                <w:sz w:val="18"/>
                <w:szCs w:val="18"/>
              </w:rPr>
              <w:t xml:space="preserve">edios </w:t>
            </w:r>
            <w:r>
              <w:rPr>
                <w:rFonts w:ascii="ITC Avant Garde" w:hAnsi="ITC Avant Garde"/>
                <w:sz w:val="18"/>
                <w:szCs w:val="18"/>
              </w:rPr>
              <w:t>e</w:t>
            </w:r>
            <w:r w:rsidRPr="00C16B04">
              <w:rPr>
                <w:rFonts w:ascii="ITC Avant Garde" w:hAnsi="ITC Avant Garde"/>
                <w:sz w:val="18"/>
                <w:szCs w:val="18"/>
              </w:rPr>
              <w:t>lectrónicos que éste establezca</w:t>
            </w:r>
            <w:r>
              <w:rPr>
                <w:rFonts w:ascii="ITC Avant Garde" w:hAnsi="ITC Avant Garde"/>
                <w:sz w:val="18"/>
                <w:szCs w:val="18"/>
              </w:rPr>
              <w:t>.</w:t>
            </w:r>
          </w:p>
          <w:p w14:paraId="5E03053C" w14:textId="34ECB261" w:rsidR="000821A4" w:rsidRDefault="000821A4" w:rsidP="008A48B0">
            <w:pPr>
              <w:shd w:val="clear" w:color="auto" w:fill="FFFFFF" w:themeFill="background1"/>
              <w:jc w:val="both"/>
              <w:rPr>
                <w:rFonts w:ascii="ITC Avant Garde" w:hAnsi="ITC Avant Garde"/>
                <w:sz w:val="18"/>
                <w:szCs w:val="18"/>
              </w:rPr>
            </w:pPr>
          </w:p>
          <w:p w14:paraId="7783F612" w14:textId="2B368A1C" w:rsidR="000821A4" w:rsidRDefault="000821A4"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El anteproyecto de </w:t>
            </w:r>
            <w:r w:rsidRPr="000821A4">
              <w:rPr>
                <w:rFonts w:ascii="ITC Avant Garde" w:hAnsi="ITC Avant Garde"/>
                <w:i/>
                <w:iCs/>
                <w:sz w:val="18"/>
                <w:szCs w:val="18"/>
              </w:rPr>
              <w:t>Lineamientos para la sustanciación a través de medios electrónicos de procedimientos y trámites a cargo de la Unidad de Competencia Económica del Instituto</w:t>
            </w:r>
            <w:r w:rsidR="006D5CDA">
              <w:rPr>
                <w:rFonts w:ascii="ITC Avant Garde" w:hAnsi="ITC Avant Garde"/>
                <w:i/>
                <w:iCs/>
                <w:sz w:val="18"/>
                <w:szCs w:val="18"/>
              </w:rPr>
              <w:t>,</w:t>
            </w:r>
            <w:r>
              <w:rPr>
                <w:rFonts w:ascii="ITC Avant Garde" w:hAnsi="ITC Avant Garde"/>
                <w:sz w:val="18"/>
                <w:szCs w:val="18"/>
              </w:rPr>
              <w:t xml:space="preserve"> </w:t>
            </w:r>
            <w:r w:rsidR="00664718">
              <w:rPr>
                <w:rFonts w:ascii="ITC Avant Garde" w:hAnsi="ITC Avant Garde"/>
                <w:sz w:val="18"/>
                <w:szCs w:val="18"/>
              </w:rPr>
              <w:t>objeto d</w:t>
            </w:r>
            <w:r>
              <w:rPr>
                <w:rFonts w:ascii="ITC Avant Garde" w:hAnsi="ITC Avant Garde"/>
                <w:sz w:val="18"/>
                <w:szCs w:val="18"/>
              </w:rPr>
              <w:t>el presente análisis</w:t>
            </w:r>
            <w:r w:rsidR="006D5CDA">
              <w:rPr>
                <w:rFonts w:ascii="ITC Avant Garde" w:hAnsi="ITC Avant Garde"/>
                <w:sz w:val="18"/>
                <w:szCs w:val="18"/>
              </w:rPr>
              <w:t>,</w:t>
            </w:r>
            <w:r>
              <w:rPr>
                <w:rFonts w:ascii="ITC Avant Garde" w:hAnsi="ITC Avant Garde"/>
                <w:sz w:val="18"/>
                <w:szCs w:val="18"/>
              </w:rPr>
              <w:t xml:space="preserve"> tiene por objeto establecer </w:t>
            </w:r>
            <w:r w:rsidR="00955A1D">
              <w:rPr>
                <w:rFonts w:ascii="ITC Avant Garde" w:hAnsi="ITC Avant Garde"/>
                <w:sz w:val="18"/>
                <w:szCs w:val="18"/>
              </w:rPr>
              <w:t>las disposiciones</w:t>
            </w:r>
            <w:r>
              <w:rPr>
                <w:rFonts w:ascii="ITC Avant Garde" w:hAnsi="ITC Avant Garde"/>
                <w:sz w:val="18"/>
                <w:szCs w:val="18"/>
              </w:rPr>
              <w:t xml:space="preserve"> necesari</w:t>
            </w:r>
            <w:r w:rsidR="00955A1D">
              <w:rPr>
                <w:rFonts w:ascii="ITC Avant Garde" w:hAnsi="ITC Avant Garde"/>
                <w:sz w:val="18"/>
                <w:szCs w:val="18"/>
              </w:rPr>
              <w:t>a</w:t>
            </w:r>
            <w:r>
              <w:rPr>
                <w:rFonts w:ascii="ITC Avant Garde" w:hAnsi="ITC Avant Garde"/>
                <w:sz w:val="18"/>
                <w:szCs w:val="18"/>
              </w:rPr>
              <w:t xml:space="preserve">s para habilitar dicha sustanciación </w:t>
            </w:r>
            <w:r w:rsidR="00C16B04">
              <w:rPr>
                <w:rFonts w:ascii="ITC Avant Garde" w:hAnsi="ITC Avant Garde"/>
                <w:sz w:val="18"/>
                <w:szCs w:val="18"/>
              </w:rPr>
              <w:t xml:space="preserve">a través de la Ventanilla Electrónica del Instituto </w:t>
            </w:r>
            <w:r>
              <w:rPr>
                <w:rFonts w:ascii="ITC Avant Garde" w:hAnsi="ITC Avant Garde"/>
                <w:sz w:val="18"/>
                <w:szCs w:val="18"/>
              </w:rPr>
              <w:t xml:space="preserve">con la </w:t>
            </w:r>
            <w:r w:rsidR="00955A1D">
              <w:rPr>
                <w:rFonts w:ascii="ITC Avant Garde" w:hAnsi="ITC Avant Garde"/>
                <w:sz w:val="18"/>
                <w:szCs w:val="18"/>
              </w:rPr>
              <w:t xml:space="preserve">necesaria </w:t>
            </w:r>
            <w:r>
              <w:rPr>
                <w:rFonts w:ascii="ITC Avant Garde" w:hAnsi="ITC Avant Garde"/>
                <w:sz w:val="18"/>
                <w:szCs w:val="18"/>
              </w:rPr>
              <w:t>certidumbre jurídica</w:t>
            </w:r>
            <w:r w:rsidR="00955A1D">
              <w:rPr>
                <w:rFonts w:ascii="ITC Avant Garde" w:hAnsi="ITC Avant Garde"/>
                <w:sz w:val="18"/>
                <w:szCs w:val="18"/>
              </w:rPr>
              <w:t xml:space="preserve"> para la autoridad y regulados</w:t>
            </w:r>
            <w:r>
              <w:rPr>
                <w:rFonts w:ascii="ITC Avant Garde" w:hAnsi="ITC Avant Garde"/>
                <w:sz w:val="18"/>
                <w:szCs w:val="18"/>
              </w:rPr>
              <w:t>.</w:t>
            </w:r>
          </w:p>
          <w:p w14:paraId="104E4C66" w14:textId="702C3006" w:rsidR="00955A1D" w:rsidRDefault="00955A1D" w:rsidP="008A48B0">
            <w:pPr>
              <w:shd w:val="clear" w:color="auto" w:fill="FFFFFF" w:themeFill="background1"/>
              <w:jc w:val="both"/>
              <w:rPr>
                <w:rFonts w:ascii="ITC Avant Garde" w:hAnsi="ITC Avant Garde"/>
                <w:sz w:val="18"/>
                <w:szCs w:val="18"/>
              </w:rPr>
            </w:pPr>
          </w:p>
          <w:p w14:paraId="14E479BC" w14:textId="13626336" w:rsidR="002200D5" w:rsidRDefault="002200D5" w:rsidP="008A48B0">
            <w:pPr>
              <w:shd w:val="clear" w:color="auto" w:fill="FFFFFF" w:themeFill="background1"/>
              <w:jc w:val="both"/>
              <w:rPr>
                <w:rFonts w:ascii="ITC Avant Garde" w:hAnsi="ITC Avant Garde"/>
                <w:sz w:val="18"/>
                <w:szCs w:val="18"/>
              </w:rPr>
            </w:pPr>
            <w:r>
              <w:rPr>
                <w:rFonts w:ascii="ITC Avant Garde" w:hAnsi="ITC Avant Garde"/>
                <w:sz w:val="18"/>
                <w:szCs w:val="18"/>
              </w:rPr>
              <w:t>Por otro lado, l</w:t>
            </w:r>
            <w:r w:rsidR="00955A1D">
              <w:rPr>
                <w:rFonts w:ascii="ITC Avant Garde" w:hAnsi="ITC Avant Garde"/>
                <w:sz w:val="18"/>
                <w:szCs w:val="18"/>
              </w:rPr>
              <w:t>a Pandemia de Covid-19 obligó al Instituto a suspender todos los procedimientos de</w:t>
            </w:r>
            <w:r w:rsidR="006D5CDA">
              <w:rPr>
                <w:rFonts w:ascii="ITC Avant Garde" w:hAnsi="ITC Avant Garde"/>
                <w:sz w:val="18"/>
                <w:szCs w:val="18"/>
              </w:rPr>
              <w:t xml:space="preserve"> la LFCE</w:t>
            </w:r>
            <w:r w:rsidR="00955A1D">
              <w:rPr>
                <w:rFonts w:ascii="ITC Avant Garde" w:hAnsi="ITC Avant Garde"/>
                <w:sz w:val="18"/>
                <w:szCs w:val="18"/>
              </w:rPr>
              <w:t xml:space="preserve"> a su cargo.</w:t>
            </w:r>
            <w:r w:rsidR="006D5CDA">
              <w:rPr>
                <w:rFonts w:ascii="ITC Avant Garde" w:hAnsi="ITC Avant Garde"/>
                <w:sz w:val="18"/>
                <w:szCs w:val="18"/>
              </w:rPr>
              <w:t xml:space="preserve"> Fue a través de un acuerdo del Pleno publicado en el Diario Oficial de la Federación el 26 de marzo de 2020</w:t>
            </w:r>
            <w:r w:rsidR="00955A1D">
              <w:rPr>
                <w:rFonts w:ascii="ITC Avant Garde" w:hAnsi="ITC Avant Garde"/>
                <w:sz w:val="18"/>
                <w:szCs w:val="18"/>
              </w:rPr>
              <w:t xml:space="preserve"> </w:t>
            </w:r>
            <w:r w:rsidR="006D5CDA">
              <w:rPr>
                <w:rFonts w:ascii="ITC Avant Garde" w:hAnsi="ITC Avant Garde"/>
                <w:sz w:val="18"/>
                <w:szCs w:val="18"/>
              </w:rPr>
              <w:t>que dicha suspensión se realizó</w:t>
            </w:r>
            <w:r>
              <w:rPr>
                <w:rFonts w:ascii="ITC Avant Garde" w:hAnsi="ITC Avant Garde"/>
                <w:sz w:val="18"/>
                <w:szCs w:val="18"/>
              </w:rPr>
              <w:t xml:space="preserve"> oficialmente</w:t>
            </w:r>
            <w:r w:rsidR="00042A52">
              <w:rPr>
                <w:rFonts w:ascii="ITC Avant Garde" w:hAnsi="ITC Avant Garde"/>
                <w:sz w:val="18"/>
                <w:szCs w:val="18"/>
              </w:rPr>
              <w:t>,</w:t>
            </w:r>
            <w:r>
              <w:rPr>
                <w:rFonts w:ascii="ITC Avant Garde" w:hAnsi="ITC Avant Garde"/>
                <w:sz w:val="18"/>
                <w:szCs w:val="18"/>
              </w:rPr>
              <w:t xml:space="preserve"> posteriormente se reactivaron</w:t>
            </w:r>
            <w:r w:rsidR="00042A52">
              <w:rPr>
                <w:rFonts w:ascii="ITC Avant Garde" w:hAnsi="ITC Avant Garde"/>
                <w:sz w:val="18"/>
                <w:szCs w:val="18"/>
              </w:rPr>
              <w:t xml:space="preserve"> algunos de</w:t>
            </w:r>
            <w:r>
              <w:rPr>
                <w:rFonts w:ascii="ITC Avant Garde" w:hAnsi="ITC Avant Garde"/>
                <w:sz w:val="18"/>
                <w:szCs w:val="18"/>
              </w:rPr>
              <w:t xml:space="preserve"> estos procedimientos en una modalidad remota</w:t>
            </w:r>
            <w:r w:rsidR="00042A52">
              <w:rPr>
                <w:rFonts w:ascii="ITC Avant Garde" w:hAnsi="ITC Avant Garde"/>
                <w:sz w:val="18"/>
                <w:szCs w:val="18"/>
              </w:rPr>
              <w:t xml:space="preserve"> y finalmente se dio por terminada la suspensión mediante acuerdo publicado el 20 de agosto del presente año</w:t>
            </w:r>
            <w:r>
              <w:rPr>
                <w:rFonts w:ascii="ITC Avant Garde" w:hAnsi="ITC Avant Garde"/>
                <w:sz w:val="18"/>
                <w:szCs w:val="18"/>
              </w:rPr>
              <w:t>.</w:t>
            </w:r>
          </w:p>
          <w:p w14:paraId="69143C39" w14:textId="77777777" w:rsidR="002200D5" w:rsidRDefault="002200D5" w:rsidP="008A48B0">
            <w:pPr>
              <w:shd w:val="clear" w:color="auto" w:fill="FFFFFF" w:themeFill="background1"/>
              <w:jc w:val="both"/>
              <w:rPr>
                <w:rFonts w:ascii="ITC Avant Garde" w:hAnsi="ITC Avant Garde"/>
                <w:sz w:val="18"/>
                <w:szCs w:val="18"/>
              </w:rPr>
            </w:pPr>
          </w:p>
          <w:p w14:paraId="6798683A" w14:textId="7496E585" w:rsidR="000821A4" w:rsidRDefault="002200D5" w:rsidP="008A48B0">
            <w:pPr>
              <w:shd w:val="clear" w:color="auto" w:fill="FFFFFF" w:themeFill="background1"/>
              <w:jc w:val="both"/>
              <w:rPr>
                <w:rFonts w:ascii="ITC Avant Garde" w:hAnsi="ITC Avant Garde"/>
                <w:sz w:val="18"/>
                <w:szCs w:val="18"/>
              </w:rPr>
            </w:pPr>
            <w:r>
              <w:rPr>
                <w:rFonts w:ascii="ITC Avant Garde" w:hAnsi="ITC Avant Garde"/>
                <w:sz w:val="18"/>
                <w:szCs w:val="18"/>
              </w:rPr>
              <w:t xml:space="preserve">Esta emergencia sanitaria hizo más clara la necesidad de contar con formas alternativas de sustanciar los </w:t>
            </w:r>
            <w:proofErr w:type="gramStart"/>
            <w:r>
              <w:rPr>
                <w:rFonts w:ascii="ITC Avant Garde" w:hAnsi="ITC Avant Garde"/>
                <w:sz w:val="18"/>
                <w:szCs w:val="18"/>
              </w:rPr>
              <w:t>procedimientos  en</w:t>
            </w:r>
            <w:proofErr w:type="gramEnd"/>
            <w:r>
              <w:rPr>
                <w:rFonts w:ascii="ITC Avant Garde" w:hAnsi="ITC Avant Garde"/>
                <w:sz w:val="18"/>
                <w:szCs w:val="18"/>
              </w:rPr>
              <w:t xml:space="preserve"> materia de competencia económica que evitaran lo más posible </w:t>
            </w:r>
            <w:r>
              <w:rPr>
                <w:rFonts w:ascii="ITC Avant Garde" w:hAnsi="ITC Avant Garde"/>
                <w:sz w:val="18"/>
                <w:szCs w:val="18"/>
              </w:rPr>
              <w:lastRenderedPageBreak/>
              <w:t>el contacto físico</w:t>
            </w:r>
            <w:r w:rsidR="00445346">
              <w:rPr>
                <w:rFonts w:ascii="ITC Avant Garde" w:hAnsi="ITC Avant Garde"/>
                <w:sz w:val="18"/>
                <w:szCs w:val="18"/>
              </w:rPr>
              <w:t xml:space="preserve"> y la suspensión de procedimientos de orden público e interés social. Los medios electrónicos promueven adicionalmente la reducción de los</w:t>
            </w:r>
            <w:r w:rsidR="00664718">
              <w:rPr>
                <w:rFonts w:ascii="ITC Avant Garde" w:hAnsi="ITC Avant Garde"/>
                <w:sz w:val="18"/>
                <w:szCs w:val="18"/>
              </w:rPr>
              <w:t xml:space="preserve"> costos de cumplimiento por parte de las personas reguladas a través de </w:t>
            </w:r>
            <w:r w:rsidR="00445346">
              <w:rPr>
                <w:rFonts w:ascii="ITC Avant Garde" w:hAnsi="ITC Avant Garde"/>
                <w:sz w:val="18"/>
                <w:szCs w:val="18"/>
              </w:rPr>
              <w:t>procedimientos</w:t>
            </w:r>
            <w:r w:rsidR="00664718">
              <w:rPr>
                <w:rFonts w:ascii="ITC Avant Garde" w:hAnsi="ITC Avant Garde"/>
                <w:sz w:val="18"/>
                <w:szCs w:val="18"/>
              </w:rPr>
              <w:t xml:space="preserve"> más ágiles y eficientes.</w:t>
            </w:r>
          </w:p>
          <w:p w14:paraId="50A9FBB6" w14:textId="242A5819" w:rsidR="00664718" w:rsidRDefault="00664718" w:rsidP="008A48B0">
            <w:pPr>
              <w:shd w:val="clear" w:color="auto" w:fill="FFFFFF" w:themeFill="background1"/>
              <w:jc w:val="both"/>
              <w:rPr>
                <w:rFonts w:ascii="ITC Avant Garde" w:hAnsi="ITC Avant Garde"/>
                <w:sz w:val="18"/>
                <w:szCs w:val="18"/>
              </w:rPr>
            </w:pPr>
          </w:p>
          <w:p w14:paraId="07828EE7" w14:textId="39F0D0F1" w:rsidR="00664718" w:rsidRDefault="007969E1" w:rsidP="008A48B0">
            <w:pPr>
              <w:shd w:val="clear" w:color="auto" w:fill="FFFFFF" w:themeFill="background1"/>
              <w:jc w:val="both"/>
              <w:rPr>
                <w:rFonts w:ascii="ITC Avant Garde" w:hAnsi="ITC Avant Garde"/>
                <w:sz w:val="18"/>
                <w:szCs w:val="18"/>
              </w:rPr>
            </w:pPr>
            <w:r>
              <w:rPr>
                <w:rFonts w:ascii="ITC Avant Garde" w:hAnsi="ITC Avant Garde"/>
                <w:sz w:val="18"/>
                <w:szCs w:val="18"/>
              </w:rPr>
              <w:t>A través de estos</w:t>
            </w:r>
            <w:r w:rsidR="00664718">
              <w:rPr>
                <w:rFonts w:ascii="ITC Avant Garde" w:hAnsi="ITC Avant Garde"/>
                <w:sz w:val="18"/>
                <w:szCs w:val="18"/>
              </w:rPr>
              <w:t xml:space="preserve"> lineamientos </w:t>
            </w:r>
            <w:r>
              <w:rPr>
                <w:rFonts w:ascii="ITC Avant Garde" w:hAnsi="ITC Avant Garde"/>
                <w:sz w:val="18"/>
                <w:szCs w:val="18"/>
              </w:rPr>
              <w:t xml:space="preserve">se </w:t>
            </w:r>
            <w:r w:rsidR="00664718">
              <w:rPr>
                <w:rFonts w:ascii="ITC Avant Garde" w:hAnsi="ITC Avant Garde"/>
                <w:sz w:val="18"/>
                <w:szCs w:val="18"/>
              </w:rPr>
              <w:t>establecen disposiciones generales para que los agentes económicos que así lo decidan puedan sustanciar los siguientes procedimientos por medios electrónicos:</w:t>
            </w:r>
          </w:p>
          <w:p w14:paraId="26C29A10" w14:textId="129D212C" w:rsidR="00664718" w:rsidRDefault="00664718" w:rsidP="008A48B0">
            <w:pPr>
              <w:shd w:val="clear" w:color="auto" w:fill="FFFFFF" w:themeFill="background1"/>
              <w:jc w:val="both"/>
              <w:rPr>
                <w:rFonts w:ascii="ITC Avant Garde" w:hAnsi="ITC Avant Garde"/>
                <w:sz w:val="18"/>
                <w:szCs w:val="18"/>
              </w:rPr>
            </w:pPr>
          </w:p>
          <w:p w14:paraId="7326C76A"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procedimientos de notificación de concentraciones, en términos del artículo 90 de la LFCE;</w:t>
            </w:r>
          </w:p>
          <w:p w14:paraId="31BD1CA1"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 xml:space="preserve">Los procedimientos de notificación de concentraciones, en términos del artículo 92 de la LFCE; </w:t>
            </w:r>
          </w:p>
          <w:p w14:paraId="3F000E5A"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 xml:space="preserve">Los procedimientos de Aviso de concentración, en términos del artículo Noveno Transitorio del Decreto LFTR. </w:t>
            </w:r>
          </w:p>
          <w:p w14:paraId="00335F93"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procedimientos para la emisión de opiniones o resoluciones en el otorgamiento de licencias, concesiones, permisos y análogos, previstos en el artículo 98 de la LFCE;</w:t>
            </w:r>
          </w:p>
          <w:p w14:paraId="4DE64BD0"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procedimientos para la emisión de opiniones o resoluciones a organismos convocantes de licitaciones públicas para el otorgamiento de licencias, concesiones, venta de acciones de empresas concesionarias u otras cuestiones análogas, previstos en el artículo 98, fracción I, y 99, de la LFCE y 123 de las DRLFCE;</w:t>
            </w:r>
          </w:p>
          <w:p w14:paraId="16F75A5C"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procedimientos seguidos en forma de juicio, a que hace referencia el artículo 83 de la LFCE;</w:t>
            </w:r>
          </w:p>
          <w:p w14:paraId="2A523D96"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procedimientos especiales, en la etapa que corresponde sustanciar a la Unidad de Competencia Económica, previstos en el artículo 94 de la LFCE;</w:t>
            </w:r>
          </w:p>
          <w:p w14:paraId="301165E1"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 xml:space="preserve">Los procedimientos especiales, en la etapa que corresponde sustanciar a la Unidad de Competencia Económica, previstos en el artículo 96 de la LFCE;  </w:t>
            </w:r>
          </w:p>
          <w:p w14:paraId="267E4008"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procedimientos de solicitudes de opinión formal en materia de libre concurrencia y competencia económica, previstas en el artículo 104, de la LFCE;</w:t>
            </w:r>
          </w:p>
          <w:p w14:paraId="546B3DD5"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procedimientos de solicitudes de orientación general en materia de libre concurrencia y competencia económica ante la Unidad de Competencia Económica, previstas en el artículo 110 de la LFCE;</w:t>
            </w:r>
          </w:p>
          <w:p w14:paraId="313006CC"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incidentes relativos al cumplimiento y la ejecución de las resoluciones del Instituto, previstos en los artículos 132 y 133 de la LFCE;</w:t>
            </w:r>
          </w:p>
          <w:p w14:paraId="1A818199"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incidentes sobre cualquier cuestión procesal accesoria al procedimiento principal, los procedimientos para sancionar la omisión de notificar una concentración y la entrega de información falsa en el procedimiento de notificación de una concentración autorizada por el Instituto, y</w:t>
            </w:r>
          </w:p>
          <w:p w14:paraId="75559AFA" w14:textId="77777777" w:rsidR="009C166F" w:rsidRPr="009C166F" w:rsidRDefault="009C166F" w:rsidP="009C166F">
            <w:pPr>
              <w:pStyle w:val="Prrafodelista"/>
              <w:numPr>
                <w:ilvl w:val="0"/>
                <w:numId w:val="6"/>
              </w:numPr>
              <w:shd w:val="clear" w:color="auto" w:fill="FFFFFF" w:themeFill="background1"/>
              <w:jc w:val="both"/>
              <w:rPr>
                <w:rFonts w:ascii="ITC Avant Garde" w:hAnsi="ITC Avant Garde"/>
                <w:sz w:val="18"/>
                <w:szCs w:val="18"/>
              </w:rPr>
            </w:pPr>
            <w:r w:rsidRPr="009C166F">
              <w:rPr>
                <w:rFonts w:ascii="ITC Avant Garde" w:hAnsi="ITC Avant Garde"/>
                <w:sz w:val="18"/>
                <w:szCs w:val="18"/>
              </w:rPr>
              <w:t>Los procedimientos expeditos para fijar caución contra la imposición de medidas cautelares, previsto en el artículo 136 de la LFCE.</w:t>
            </w:r>
          </w:p>
          <w:p w14:paraId="6C264F33" w14:textId="67B30AF3" w:rsidR="002C1B20" w:rsidRDefault="002C1B20" w:rsidP="002C1B20">
            <w:pPr>
              <w:shd w:val="clear" w:color="auto" w:fill="FFFFFF" w:themeFill="background1"/>
              <w:jc w:val="both"/>
              <w:rPr>
                <w:rFonts w:ascii="ITC Avant Garde" w:hAnsi="ITC Avant Garde"/>
                <w:sz w:val="18"/>
                <w:szCs w:val="18"/>
              </w:rPr>
            </w:pPr>
          </w:p>
          <w:p w14:paraId="5AB80968" w14:textId="50C7BBDB" w:rsidR="002C1B20" w:rsidRDefault="007969E1" w:rsidP="002C1B20">
            <w:pPr>
              <w:shd w:val="clear" w:color="auto" w:fill="FFFFFF" w:themeFill="background1"/>
              <w:jc w:val="both"/>
              <w:rPr>
                <w:rFonts w:ascii="ITC Avant Garde" w:hAnsi="ITC Avant Garde"/>
                <w:sz w:val="18"/>
                <w:szCs w:val="18"/>
              </w:rPr>
            </w:pPr>
            <w:r>
              <w:rPr>
                <w:rFonts w:ascii="ITC Avant Garde" w:hAnsi="ITC Avant Garde"/>
                <w:sz w:val="18"/>
                <w:szCs w:val="18"/>
              </w:rPr>
              <w:t>Se</w:t>
            </w:r>
            <w:r w:rsidR="002C1B20">
              <w:rPr>
                <w:rFonts w:ascii="ITC Avant Garde" w:hAnsi="ITC Avant Garde"/>
                <w:sz w:val="18"/>
                <w:szCs w:val="18"/>
              </w:rPr>
              <w:t xml:space="preserve"> establecen normas generales relativas al uso de los medios electrónicos, tales como </w:t>
            </w:r>
            <w:r w:rsidR="00141749">
              <w:rPr>
                <w:rFonts w:ascii="ITC Avant Garde" w:hAnsi="ITC Avant Garde"/>
                <w:sz w:val="18"/>
                <w:szCs w:val="18"/>
              </w:rPr>
              <w:t xml:space="preserve">que </w:t>
            </w:r>
            <w:r w:rsidR="002C1B20">
              <w:rPr>
                <w:rFonts w:ascii="ITC Avant Garde" w:hAnsi="ITC Avant Garde"/>
                <w:sz w:val="18"/>
                <w:szCs w:val="18"/>
              </w:rPr>
              <w:t xml:space="preserve">los agentes deberán consentir expresamente el uso de estos medios, </w:t>
            </w:r>
            <w:r w:rsidR="00071C48">
              <w:rPr>
                <w:rFonts w:ascii="ITC Avant Garde" w:hAnsi="ITC Avant Garde"/>
                <w:sz w:val="18"/>
                <w:szCs w:val="18"/>
              </w:rPr>
              <w:t xml:space="preserve">así como </w:t>
            </w:r>
            <w:r w:rsidR="002C1B20">
              <w:rPr>
                <w:rFonts w:ascii="ITC Avant Garde" w:hAnsi="ITC Avant Garde"/>
                <w:sz w:val="18"/>
                <w:szCs w:val="18"/>
              </w:rPr>
              <w:t>la forma en que se integrarán expedientes en su versión electrónica y física</w:t>
            </w:r>
            <w:r w:rsidR="00071C48">
              <w:rPr>
                <w:rFonts w:ascii="ITC Avant Garde" w:hAnsi="ITC Avant Garde"/>
                <w:sz w:val="18"/>
                <w:szCs w:val="18"/>
              </w:rPr>
              <w:t xml:space="preserve"> y respecto del uso de la firma electrónica.</w:t>
            </w:r>
            <w:r w:rsidR="002C1B20">
              <w:rPr>
                <w:rFonts w:ascii="ITC Avant Garde" w:hAnsi="ITC Avant Garde"/>
                <w:sz w:val="18"/>
                <w:szCs w:val="18"/>
              </w:rPr>
              <w:t xml:space="preserve"> Las disposiciones sustantivas y adjetivas aplicables a cada uno de estos procedimientos de acuerdo con la LFCE y las DRLFCE</w:t>
            </w:r>
            <w:r w:rsidR="00071C48">
              <w:rPr>
                <w:rFonts w:ascii="ITC Avant Garde" w:hAnsi="ITC Avant Garde"/>
                <w:sz w:val="18"/>
                <w:szCs w:val="18"/>
              </w:rPr>
              <w:t xml:space="preserve"> seguirán </w:t>
            </w:r>
            <w:r>
              <w:rPr>
                <w:rFonts w:ascii="ITC Avant Garde" w:hAnsi="ITC Avant Garde"/>
                <w:sz w:val="18"/>
                <w:szCs w:val="18"/>
              </w:rPr>
              <w:t>normando su desahogo</w:t>
            </w:r>
            <w:r w:rsidR="00071C48">
              <w:rPr>
                <w:rFonts w:ascii="ITC Avant Garde" w:hAnsi="ITC Avant Garde"/>
                <w:sz w:val="18"/>
                <w:szCs w:val="18"/>
              </w:rPr>
              <w:t>.</w:t>
            </w:r>
          </w:p>
          <w:p w14:paraId="1871B314" w14:textId="5CEFB9BD" w:rsidR="00071C48" w:rsidRDefault="00071C48" w:rsidP="002C1B20">
            <w:pPr>
              <w:shd w:val="clear" w:color="auto" w:fill="FFFFFF" w:themeFill="background1"/>
              <w:jc w:val="both"/>
              <w:rPr>
                <w:rFonts w:ascii="ITC Avant Garde" w:hAnsi="ITC Avant Garde"/>
                <w:sz w:val="18"/>
                <w:szCs w:val="18"/>
              </w:rPr>
            </w:pPr>
          </w:p>
          <w:p w14:paraId="73B57FB1" w14:textId="2FF36AA7" w:rsidR="00071C48" w:rsidRDefault="007969E1" w:rsidP="002C1B20">
            <w:pPr>
              <w:shd w:val="clear" w:color="auto" w:fill="FFFFFF" w:themeFill="background1"/>
              <w:jc w:val="both"/>
              <w:rPr>
                <w:rFonts w:ascii="ITC Avant Garde" w:hAnsi="ITC Avant Garde"/>
                <w:sz w:val="18"/>
                <w:szCs w:val="18"/>
              </w:rPr>
            </w:pPr>
            <w:r>
              <w:rPr>
                <w:rFonts w:ascii="ITC Avant Garde" w:hAnsi="ITC Avant Garde"/>
                <w:sz w:val="18"/>
                <w:szCs w:val="18"/>
              </w:rPr>
              <w:t>Se establece</w:t>
            </w:r>
            <w:r w:rsidR="00141749">
              <w:rPr>
                <w:rFonts w:ascii="ITC Avant Garde" w:hAnsi="ITC Avant Garde"/>
                <w:sz w:val="18"/>
                <w:szCs w:val="18"/>
              </w:rPr>
              <w:t xml:space="preserve"> el uso de la Ventanilla electrónica como </w:t>
            </w:r>
            <w:r>
              <w:rPr>
                <w:rFonts w:ascii="ITC Avant Garde" w:hAnsi="ITC Avant Garde"/>
                <w:sz w:val="18"/>
                <w:szCs w:val="18"/>
              </w:rPr>
              <w:t>plataforma electrónica administrada por el Instituto para la sustanciación de los procedimientos, a fin de dotar</w:t>
            </w:r>
            <w:r w:rsidR="004E59F9">
              <w:rPr>
                <w:rFonts w:ascii="ITC Avant Garde" w:hAnsi="ITC Avant Garde"/>
                <w:sz w:val="18"/>
                <w:szCs w:val="18"/>
              </w:rPr>
              <w:t xml:space="preserve">los </w:t>
            </w:r>
            <w:r>
              <w:rPr>
                <w:rFonts w:ascii="ITC Avant Garde" w:hAnsi="ITC Avant Garde"/>
                <w:sz w:val="18"/>
                <w:szCs w:val="18"/>
              </w:rPr>
              <w:t>de certeza jurídica</w:t>
            </w:r>
            <w:r w:rsidR="004E59F9">
              <w:rPr>
                <w:rFonts w:ascii="ITC Avant Garde" w:hAnsi="ITC Avant Garde"/>
                <w:sz w:val="18"/>
                <w:szCs w:val="18"/>
              </w:rPr>
              <w:t>, así como para la notificación de actuaciones a través de dicho sistema</w:t>
            </w:r>
            <w:r>
              <w:rPr>
                <w:rFonts w:ascii="ITC Avant Garde" w:hAnsi="ITC Avant Garde"/>
                <w:sz w:val="18"/>
                <w:szCs w:val="18"/>
              </w:rPr>
              <w:t xml:space="preserve">. </w:t>
            </w:r>
          </w:p>
          <w:p w14:paraId="2B8925ED" w14:textId="4780C2F3" w:rsidR="007969E1" w:rsidRDefault="007969E1" w:rsidP="002C1B20">
            <w:pPr>
              <w:shd w:val="clear" w:color="auto" w:fill="FFFFFF" w:themeFill="background1"/>
              <w:jc w:val="both"/>
              <w:rPr>
                <w:rFonts w:ascii="ITC Avant Garde" w:hAnsi="ITC Avant Garde"/>
                <w:sz w:val="18"/>
                <w:szCs w:val="18"/>
              </w:rPr>
            </w:pPr>
          </w:p>
          <w:p w14:paraId="31C3B38D" w14:textId="574654C9" w:rsidR="007969E1" w:rsidRDefault="007969E1" w:rsidP="002C1B20">
            <w:pPr>
              <w:shd w:val="clear" w:color="auto" w:fill="FFFFFF" w:themeFill="background1"/>
              <w:jc w:val="both"/>
              <w:rPr>
                <w:rFonts w:ascii="ITC Avant Garde" w:hAnsi="ITC Avant Garde"/>
                <w:sz w:val="18"/>
                <w:szCs w:val="18"/>
              </w:rPr>
            </w:pPr>
            <w:r>
              <w:rPr>
                <w:rFonts w:ascii="ITC Avant Garde" w:hAnsi="ITC Avant Garde"/>
                <w:sz w:val="18"/>
                <w:szCs w:val="18"/>
              </w:rPr>
              <w:t>Se establecen así mismo normas para acreditar la personalidad jurídica de los actuantes en los procedimientos por medios electrónicos</w:t>
            </w:r>
            <w:r w:rsidR="00141749">
              <w:rPr>
                <w:rFonts w:ascii="ITC Avant Garde" w:hAnsi="ITC Avant Garde"/>
                <w:sz w:val="18"/>
                <w:szCs w:val="18"/>
              </w:rPr>
              <w:t xml:space="preserve"> conforme a la LFCE</w:t>
            </w:r>
            <w:r>
              <w:rPr>
                <w:rFonts w:ascii="ITC Avant Garde" w:hAnsi="ITC Avant Garde"/>
                <w:sz w:val="18"/>
                <w:szCs w:val="18"/>
              </w:rPr>
              <w:t xml:space="preserve">, así como para </w:t>
            </w:r>
            <w:r w:rsidR="00DC5480">
              <w:rPr>
                <w:rFonts w:ascii="ITC Avant Garde" w:hAnsi="ITC Avant Garde"/>
                <w:sz w:val="18"/>
                <w:szCs w:val="18"/>
              </w:rPr>
              <w:t>el</w:t>
            </w:r>
            <w:r>
              <w:rPr>
                <w:rFonts w:ascii="ITC Avant Garde" w:hAnsi="ITC Avant Garde"/>
                <w:sz w:val="18"/>
                <w:szCs w:val="18"/>
              </w:rPr>
              <w:t xml:space="preserve"> desahogo de distintos tipos de pruebas</w:t>
            </w:r>
            <w:r w:rsidR="00DC5480">
              <w:rPr>
                <w:rFonts w:ascii="ITC Avant Garde" w:hAnsi="ITC Avant Garde"/>
                <w:sz w:val="18"/>
                <w:szCs w:val="18"/>
              </w:rPr>
              <w:t xml:space="preserve"> que pueden ser presentadas en los procedimientos y algunas reglas </w:t>
            </w:r>
            <w:r w:rsidR="00DC5480">
              <w:rPr>
                <w:rFonts w:ascii="ITC Avant Garde" w:hAnsi="ITC Avant Garde"/>
                <w:sz w:val="18"/>
                <w:szCs w:val="18"/>
              </w:rPr>
              <w:lastRenderedPageBreak/>
              <w:t>específicas aplicables a los procedimientos de notificación de concentraciones y avisos de concentración.</w:t>
            </w:r>
          </w:p>
          <w:p w14:paraId="4956B76B" w14:textId="1EC767FA" w:rsidR="00DC5480" w:rsidRDefault="00DC5480" w:rsidP="002C1B20">
            <w:pPr>
              <w:shd w:val="clear" w:color="auto" w:fill="FFFFFF" w:themeFill="background1"/>
              <w:jc w:val="both"/>
              <w:rPr>
                <w:rFonts w:ascii="ITC Avant Garde" w:hAnsi="ITC Avant Garde"/>
                <w:sz w:val="18"/>
                <w:szCs w:val="18"/>
              </w:rPr>
            </w:pPr>
          </w:p>
          <w:p w14:paraId="62ECAF12" w14:textId="4C1EE9BA" w:rsidR="00DC5480" w:rsidRPr="002C1B20" w:rsidRDefault="004E59F9" w:rsidP="002C1B20">
            <w:pPr>
              <w:shd w:val="clear" w:color="auto" w:fill="FFFFFF" w:themeFill="background1"/>
              <w:jc w:val="both"/>
              <w:rPr>
                <w:rFonts w:ascii="ITC Avant Garde" w:hAnsi="ITC Avant Garde"/>
                <w:sz w:val="18"/>
                <w:szCs w:val="18"/>
              </w:rPr>
            </w:pPr>
            <w:r>
              <w:rPr>
                <w:rFonts w:ascii="ITC Avant Garde" w:hAnsi="ITC Avant Garde"/>
                <w:sz w:val="18"/>
                <w:szCs w:val="18"/>
              </w:rPr>
              <w:t>En resumen, los lineamientos planteados tienen el objetivo de normar los aspectos tecnológicos de la sustanciación de los procedimientos en materia de competencia económica a fin hacer posible su uso con la certeza jurídica necesaria</w:t>
            </w:r>
            <w:r w:rsidR="00141749">
              <w:rPr>
                <w:rFonts w:ascii="ITC Avant Garde" w:hAnsi="ITC Avant Garde"/>
                <w:sz w:val="18"/>
                <w:szCs w:val="18"/>
              </w:rPr>
              <w:t xml:space="preserve"> y haciendo uso de los elementos tecnológicos con los que ya cuenta el Instituto</w:t>
            </w:r>
            <w:r>
              <w:rPr>
                <w:rFonts w:ascii="ITC Avant Garde" w:hAnsi="ITC Avant Garde"/>
                <w:sz w:val="18"/>
                <w:szCs w:val="18"/>
              </w:rPr>
              <w:t>.</w:t>
            </w:r>
          </w:p>
          <w:p w14:paraId="77C47E52" w14:textId="2EA36D95" w:rsidR="00974F75" w:rsidRPr="00451B7D" w:rsidRDefault="00974F75" w:rsidP="004E59F9">
            <w:pPr>
              <w:rPr>
                <w:rFonts w:ascii="ITC Avant Garde" w:hAnsi="ITC Avant Garde"/>
                <w:sz w:val="18"/>
                <w:szCs w:val="18"/>
              </w:rPr>
            </w:pPr>
          </w:p>
        </w:tc>
      </w:tr>
    </w:tbl>
    <w:tbl>
      <w:tblPr>
        <w:tblStyle w:val="Tablaconcuadrcula"/>
        <w:tblpPr w:leftFromText="141" w:rightFromText="141" w:vertAnchor="text" w:horzAnchor="margin" w:tblpY="356"/>
        <w:tblW w:w="0" w:type="auto"/>
        <w:tblLook w:val="04A0" w:firstRow="1" w:lastRow="0" w:firstColumn="1" w:lastColumn="0" w:noHBand="0" w:noVBand="1"/>
      </w:tblPr>
      <w:tblGrid>
        <w:gridCol w:w="8828"/>
      </w:tblGrid>
      <w:tr w:rsidR="00B41497" w:rsidRPr="00451B7D" w14:paraId="70CB392A" w14:textId="77777777" w:rsidTr="00B41497">
        <w:tc>
          <w:tcPr>
            <w:tcW w:w="8828" w:type="dxa"/>
          </w:tcPr>
          <w:p w14:paraId="4D9FB663" w14:textId="77777777" w:rsidR="00B41497" w:rsidRPr="00451B7D" w:rsidRDefault="00B41497" w:rsidP="00B41497">
            <w:pPr>
              <w:jc w:val="both"/>
              <w:rPr>
                <w:rFonts w:ascii="ITC Avant Garde" w:hAnsi="ITC Avant Garde"/>
                <w:b/>
                <w:sz w:val="18"/>
                <w:szCs w:val="18"/>
              </w:rPr>
            </w:pPr>
            <w:r w:rsidRPr="00451B7D">
              <w:rPr>
                <w:rFonts w:ascii="ITC Avant Garde" w:hAnsi="ITC Avant Garde"/>
                <w:b/>
                <w:sz w:val="18"/>
                <w:szCs w:val="18"/>
              </w:rPr>
              <w:lastRenderedPageBreak/>
              <w:t xml:space="preserve">2.- </w:t>
            </w:r>
            <w:r w:rsidR="00A81C3A" w:rsidRPr="00A81C3A">
              <w:rPr>
                <w:rFonts w:ascii="ITC Avant Garde" w:hAnsi="ITC Avant Garde"/>
                <w:b/>
                <w:sz w:val="18"/>
                <w:szCs w:val="18"/>
              </w:rPr>
              <w:t>Según sea el caso, conforme a lo señalado por los artículos 51 de la Ley Federal de Telecomunicaciones y Radiodifusión y 12, fracción XXII, de la Ley Federal de Competencia Económica,</w:t>
            </w:r>
            <w:r w:rsidRPr="00451B7D">
              <w:rPr>
                <w:rFonts w:ascii="ITC Avant Garde" w:hAnsi="ITC Avant Garde"/>
                <w:b/>
                <w:sz w:val="18"/>
                <w:szCs w:val="18"/>
              </w:rPr>
              <w:t xml:space="preserve"> ¿considera que la publicidad de la propuesta de regulación pueda comprometer los efectos que se pretenden </w:t>
            </w:r>
            <w:r w:rsidR="004226AE" w:rsidRPr="00451B7D">
              <w:rPr>
                <w:rFonts w:ascii="ITC Avant Garde" w:hAnsi="ITC Avant Garde"/>
                <w:b/>
                <w:sz w:val="18"/>
                <w:szCs w:val="18"/>
              </w:rPr>
              <w:t xml:space="preserve">resolver o prevenir </w:t>
            </w:r>
            <w:r w:rsidRPr="00451B7D">
              <w:rPr>
                <w:rFonts w:ascii="ITC Avant Garde" w:hAnsi="ITC Avant Garde"/>
                <w:b/>
                <w:sz w:val="18"/>
                <w:szCs w:val="18"/>
              </w:rPr>
              <w:t xml:space="preserve">con </w:t>
            </w:r>
            <w:r w:rsidR="00372BF7" w:rsidRPr="00451B7D">
              <w:rPr>
                <w:rFonts w:ascii="ITC Avant Garde" w:hAnsi="ITC Avant Garde"/>
                <w:b/>
                <w:sz w:val="18"/>
                <w:szCs w:val="18"/>
              </w:rPr>
              <w:t>su</w:t>
            </w:r>
            <w:r w:rsidRPr="00451B7D">
              <w:rPr>
                <w:rFonts w:ascii="ITC Avant Garde" w:hAnsi="ITC Avant Garde"/>
                <w:b/>
                <w:sz w:val="18"/>
                <w:szCs w:val="18"/>
              </w:rPr>
              <w:t xml:space="preserve"> entrada en vigor?</w:t>
            </w:r>
          </w:p>
          <w:tbl>
            <w:tblPr>
              <w:tblStyle w:val="Tablaconcuadrcula"/>
              <w:tblpPr w:leftFromText="141" w:rightFromText="141" w:vertAnchor="text" w:horzAnchor="margin" w:tblpXSpec="center" w:tblpY="340"/>
              <w:tblOverlap w:val="never"/>
              <w:tblW w:w="0" w:type="auto"/>
              <w:tblLook w:val="04A0" w:firstRow="1" w:lastRow="0" w:firstColumn="1" w:lastColumn="0" w:noHBand="0" w:noVBand="1"/>
            </w:tblPr>
            <w:tblGrid>
              <w:gridCol w:w="1462"/>
            </w:tblGrid>
            <w:tr w:rsidR="00B41497" w:rsidRPr="00451B7D" w14:paraId="354E9124" w14:textId="77777777" w:rsidTr="00B41497">
              <w:tc>
                <w:tcPr>
                  <w:tcW w:w="1462" w:type="dxa"/>
                  <w:shd w:val="clear" w:color="auto" w:fill="A8D08D" w:themeFill="accent6" w:themeFillTint="99"/>
                </w:tcPr>
                <w:p w14:paraId="0324C963" w14:textId="77777777" w:rsidR="00B41497" w:rsidRPr="00451B7D" w:rsidRDefault="00B41497" w:rsidP="00B41497">
                  <w:pPr>
                    <w:jc w:val="center"/>
                    <w:rPr>
                      <w:rFonts w:ascii="ITC Avant Garde" w:hAnsi="ITC Avant Garde"/>
                      <w:b/>
                      <w:sz w:val="18"/>
                      <w:szCs w:val="18"/>
                    </w:rPr>
                  </w:pPr>
                  <w:r w:rsidRPr="00451B7D">
                    <w:rPr>
                      <w:rFonts w:ascii="ITC Avant Garde" w:hAnsi="ITC Avant Garde"/>
                      <w:b/>
                      <w:sz w:val="18"/>
                      <w:szCs w:val="18"/>
                    </w:rPr>
                    <w:t>Seleccione</w:t>
                  </w:r>
                </w:p>
              </w:tc>
            </w:tr>
            <w:tr w:rsidR="00B41497" w:rsidRPr="00451B7D" w14:paraId="2CE1CBAA" w14:textId="77777777" w:rsidTr="00B41497">
              <w:tc>
                <w:tcPr>
                  <w:tcW w:w="1462" w:type="dxa"/>
                </w:tcPr>
                <w:p w14:paraId="2222D212" w14:textId="77777777" w:rsidR="00B41497" w:rsidRPr="00451B7D" w:rsidRDefault="00B41497" w:rsidP="001B197A">
                  <w:pPr>
                    <w:jc w:val="center"/>
                    <w:rPr>
                      <w:rFonts w:ascii="ITC Avant Garde" w:hAnsi="ITC Avant Garde"/>
                      <w:sz w:val="18"/>
                      <w:szCs w:val="18"/>
                    </w:rPr>
                  </w:pPr>
                  <w:r w:rsidRPr="00451B7D">
                    <w:rPr>
                      <w:rFonts w:ascii="ITC Avant Garde" w:hAnsi="ITC Avant Garde"/>
                      <w:sz w:val="18"/>
                      <w:szCs w:val="18"/>
                    </w:rPr>
                    <w:t>S</w:t>
                  </w:r>
                  <w:r w:rsidR="00FB58BA">
                    <w:rPr>
                      <w:rFonts w:ascii="ITC Avant Garde" w:hAnsi="ITC Avant Garde"/>
                      <w:sz w:val="18"/>
                      <w:szCs w:val="18"/>
                    </w:rPr>
                    <w:t>í</w:t>
                  </w:r>
                  <w:r w:rsidRPr="00451B7D">
                    <w:rPr>
                      <w:rFonts w:ascii="ITC Avant Garde" w:hAnsi="ITC Avant Garde"/>
                      <w:sz w:val="18"/>
                      <w:szCs w:val="18"/>
                    </w:rPr>
                    <w:t xml:space="preserve"> </w:t>
                  </w:r>
                  <w:proofErr w:type="gramStart"/>
                  <w:r w:rsidRPr="00451B7D">
                    <w:rPr>
                      <w:rFonts w:ascii="ITC Avant Garde" w:hAnsi="ITC Avant Garde"/>
                      <w:sz w:val="18"/>
                      <w:szCs w:val="18"/>
                    </w:rPr>
                    <w:t>( )</w:t>
                  </w:r>
                  <w:proofErr w:type="gramEnd"/>
                  <w:r w:rsidRPr="00451B7D">
                    <w:rPr>
                      <w:rFonts w:ascii="ITC Avant Garde" w:hAnsi="ITC Avant Garde"/>
                      <w:sz w:val="18"/>
                      <w:szCs w:val="18"/>
                    </w:rPr>
                    <w:t xml:space="preserve"> No (</w:t>
                  </w:r>
                  <w:r w:rsidR="001B197A">
                    <w:rPr>
                      <w:rFonts w:ascii="ITC Avant Garde" w:hAnsi="ITC Avant Garde"/>
                      <w:sz w:val="18"/>
                      <w:szCs w:val="18"/>
                    </w:rPr>
                    <w:t xml:space="preserve"> </w:t>
                  </w:r>
                  <w:r w:rsidR="001B197A" w:rsidRPr="001B197A">
                    <w:rPr>
                      <w:rFonts w:ascii="ITC Avant Garde" w:hAnsi="ITC Avant Garde"/>
                      <w:b/>
                      <w:sz w:val="18"/>
                      <w:szCs w:val="18"/>
                    </w:rPr>
                    <w:t>X</w:t>
                  </w:r>
                  <w:r w:rsidR="001B197A">
                    <w:rPr>
                      <w:rFonts w:ascii="ITC Avant Garde" w:hAnsi="ITC Avant Garde"/>
                      <w:sz w:val="18"/>
                      <w:szCs w:val="18"/>
                    </w:rPr>
                    <w:t xml:space="preserve"> </w:t>
                  </w:r>
                  <w:r w:rsidRPr="00451B7D">
                    <w:rPr>
                      <w:rFonts w:ascii="ITC Avant Garde" w:hAnsi="ITC Avant Garde"/>
                      <w:sz w:val="18"/>
                      <w:szCs w:val="18"/>
                    </w:rPr>
                    <w:t>)</w:t>
                  </w:r>
                </w:p>
              </w:tc>
            </w:tr>
          </w:tbl>
          <w:p w14:paraId="6D4F0B67" w14:textId="77777777" w:rsidR="00B41497" w:rsidRPr="00451B7D" w:rsidRDefault="00B41497" w:rsidP="00B41497">
            <w:pPr>
              <w:jc w:val="both"/>
              <w:rPr>
                <w:rFonts w:ascii="ITC Avant Garde" w:hAnsi="ITC Avant Garde"/>
                <w:sz w:val="18"/>
                <w:szCs w:val="18"/>
              </w:rPr>
            </w:pPr>
          </w:p>
          <w:p w14:paraId="0C7555AC" w14:textId="77777777" w:rsidR="00B41497" w:rsidRPr="00451B7D" w:rsidRDefault="00B41497" w:rsidP="00B41497">
            <w:pPr>
              <w:jc w:val="both"/>
              <w:rPr>
                <w:rFonts w:ascii="ITC Avant Garde" w:hAnsi="ITC Avant Garde"/>
                <w:sz w:val="18"/>
                <w:szCs w:val="18"/>
              </w:rPr>
            </w:pPr>
          </w:p>
          <w:p w14:paraId="0C6466A7" w14:textId="77777777" w:rsidR="00B41497" w:rsidRPr="00451B7D" w:rsidRDefault="00B41497" w:rsidP="00B41497">
            <w:pPr>
              <w:jc w:val="both"/>
              <w:rPr>
                <w:rFonts w:ascii="ITC Avant Garde" w:hAnsi="ITC Avant Garde"/>
                <w:sz w:val="18"/>
                <w:szCs w:val="18"/>
              </w:rPr>
            </w:pPr>
          </w:p>
          <w:p w14:paraId="02C2CCDE" w14:textId="77777777" w:rsidR="00B41497" w:rsidRPr="00451B7D" w:rsidRDefault="00B41497" w:rsidP="00B41497">
            <w:pPr>
              <w:jc w:val="both"/>
              <w:rPr>
                <w:rFonts w:ascii="ITC Avant Garde" w:hAnsi="ITC Avant Garde"/>
                <w:sz w:val="18"/>
                <w:szCs w:val="18"/>
              </w:rPr>
            </w:pPr>
          </w:p>
          <w:p w14:paraId="063A1CF8" w14:textId="77777777" w:rsidR="000C16BC" w:rsidRDefault="000C16BC" w:rsidP="00B41497">
            <w:pPr>
              <w:jc w:val="both"/>
              <w:rPr>
                <w:rFonts w:ascii="ITC Avant Garde" w:hAnsi="ITC Avant Garde"/>
                <w:b/>
                <w:sz w:val="18"/>
                <w:szCs w:val="18"/>
              </w:rPr>
            </w:pPr>
          </w:p>
          <w:p w14:paraId="7E761209" w14:textId="77777777" w:rsidR="00B41497" w:rsidRPr="00451B7D" w:rsidRDefault="00B41497" w:rsidP="00B41497">
            <w:pPr>
              <w:jc w:val="both"/>
              <w:rPr>
                <w:rFonts w:ascii="ITC Avant Garde" w:hAnsi="ITC Avant Garde"/>
                <w:sz w:val="18"/>
                <w:szCs w:val="18"/>
              </w:rPr>
            </w:pPr>
            <w:r w:rsidRPr="00451B7D">
              <w:rPr>
                <w:rFonts w:ascii="ITC Avant Garde" w:hAnsi="ITC Avant Garde"/>
                <w:b/>
                <w:sz w:val="18"/>
                <w:szCs w:val="18"/>
              </w:rPr>
              <w:t>En caso de que la respuesta sea afirmativa, justifique y fundamente</w:t>
            </w:r>
            <w:r w:rsidR="00372BF7" w:rsidRPr="00451B7D">
              <w:rPr>
                <w:rFonts w:ascii="ITC Avant Garde" w:hAnsi="ITC Avant Garde"/>
                <w:b/>
                <w:sz w:val="18"/>
                <w:szCs w:val="18"/>
              </w:rPr>
              <w:t xml:space="preserve"> las razones por las cuales su publicidad puede comprometer los efectos que se pretenden </w:t>
            </w:r>
            <w:r w:rsidR="004226AE" w:rsidRPr="00451B7D">
              <w:rPr>
                <w:rFonts w:ascii="ITC Avant Garde" w:hAnsi="ITC Avant Garde"/>
                <w:b/>
                <w:sz w:val="18"/>
                <w:szCs w:val="18"/>
              </w:rPr>
              <w:t xml:space="preserve">resolver o prevenir </w:t>
            </w:r>
            <w:r w:rsidR="00372BF7" w:rsidRPr="00451B7D">
              <w:rPr>
                <w:rFonts w:ascii="ITC Avant Garde" w:hAnsi="ITC Avant Garde"/>
                <w:b/>
                <w:sz w:val="18"/>
                <w:szCs w:val="18"/>
              </w:rPr>
              <w:t>con la propuesta regulatoria</w:t>
            </w:r>
            <w:r w:rsidRPr="00451B7D">
              <w:rPr>
                <w:rFonts w:ascii="ITC Avant Garde" w:hAnsi="ITC Avant Garde"/>
                <w:b/>
                <w:sz w:val="18"/>
                <w:szCs w:val="18"/>
              </w:rPr>
              <w:t>:</w:t>
            </w:r>
          </w:p>
          <w:p w14:paraId="129EE018" w14:textId="77777777" w:rsidR="00B41497" w:rsidRPr="00451B7D" w:rsidRDefault="00B41497" w:rsidP="00B41497">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602"/>
            </w:tblGrid>
            <w:tr w:rsidR="00596FDE" w:rsidRPr="00451B7D" w14:paraId="4F797F07" w14:textId="77777777" w:rsidTr="00596FDE">
              <w:tc>
                <w:tcPr>
                  <w:tcW w:w="8602" w:type="dxa"/>
                </w:tcPr>
                <w:p w14:paraId="7407B495" w14:textId="77777777" w:rsidR="00596FDE" w:rsidRPr="00451B7D" w:rsidRDefault="00596FDE" w:rsidP="009C166F">
                  <w:pPr>
                    <w:framePr w:hSpace="141" w:wrap="around" w:vAnchor="text" w:hAnchor="margin" w:y="356"/>
                    <w:jc w:val="both"/>
                    <w:rPr>
                      <w:rFonts w:ascii="ITC Avant Garde" w:hAnsi="ITC Avant Garde"/>
                      <w:sz w:val="18"/>
                      <w:szCs w:val="18"/>
                    </w:rPr>
                  </w:pPr>
                </w:p>
                <w:p w14:paraId="66A7BD59" w14:textId="77777777" w:rsidR="00596FDE" w:rsidRDefault="00596FDE" w:rsidP="009C166F">
                  <w:pPr>
                    <w:framePr w:hSpace="141" w:wrap="around" w:vAnchor="text" w:hAnchor="margin" w:y="356"/>
                    <w:jc w:val="both"/>
                    <w:rPr>
                      <w:rFonts w:ascii="ITC Avant Garde" w:hAnsi="ITC Avant Garde"/>
                      <w:sz w:val="18"/>
                      <w:szCs w:val="18"/>
                    </w:rPr>
                  </w:pPr>
                </w:p>
                <w:p w14:paraId="4C17FE09" w14:textId="77777777" w:rsidR="000C16BC" w:rsidRPr="00451B7D" w:rsidRDefault="000C16BC" w:rsidP="009C166F">
                  <w:pPr>
                    <w:framePr w:hSpace="141" w:wrap="around" w:vAnchor="text" w:hAnchor="margin" w:y="356"/>
                    <w:jc w:val="both"/>
                    <w:rPr>
                      <w:rFonts w:ascii="ITC Avant Garde" w:hAnsi="ITC Avant Garde"/>
                      <w:sz w:val="18"/>
                      <w:szCs w:val="18"/>
                    </w:rPr>
                  </w:pPr>
                </w:p>
              </w:tc>
            </w:tr>
          </w:tbl>
          <w:p w14:paraId="030B0EA2" w14:textId="77777777" w:rsidR="00596FDE" w:rsidRPr="00451B7D" w:rsidRDefault="00596FDE" w:rsidP="00B41497">
            <w:pPr>
              <w:jc w:val="both"/>
              <w:rPr>
                <w:rFonts w:ascii="ITC Avant Garde" w:hAnsi="ITC Avant Garde"/>
                <w:sz w:val="18"/>
                <w:szCs w:val="18"/>
              </w:rPr>
            </w:pPr>
          </w:p>
          <w:p w14:paraId="5A3CFD38" w14:textId="77777777" w:rsidR="009656B1" w:rsidRPr="00451B7D" w:rsidRDefault="009656B1" w:rsidP="00B41497">
            <w:pPr>
              <w:jc w:val="both"/>
              <w:rPr>
                <w:rFonts w:ascii="ITC Avant Garde" w:hAnsi="ITC Avant Garde"/>
                <w:sz w:val="18"/>
                <w:szCs w:val="18"/>
              </w:rPr>
            </w:pPr>
          </w:p>
        </w:tc>
      </w:tr>
    </w:tbl>
    <w:p w14:paraId="3F5CFFB6" w14:textId="77777777" w:rsidR="001932FC" w:rsidRPr="00451B7D" w:rsidRDefault="001932FC" w:rsidP="001932FC">
      <w:pPr>
        <w:jc w:val="both"/>
        <w:rPr>
          <w:rFonts w:ascii="ITC Avant Garde" w:hAnsi="ITC Avant Garde"/>
          <w:sz w:val="18"/>
          <w:szCs w:val="18"/>
        </w:rPr>
      </w:pPr>
    </w:p>
    <w:p w14:paraId="6DCAC1E8" w14:textId="77777777" w:rsidR="00B41497" w:rsidRPr="00451B7D" w:rsidRDefault="00B41497" w:rsidP="001932FC">
      <w:pPr>
        <w:jc w:val="both"/>
        <w:rPr>
          <w:rFonts w:ascii="ITC Avant Garde" w:hAnsi="ITC Avant Garde"/>
          <w:sz w:val="18"/>
          <w:szCs w:val="18"/>
        </w:rPr>
      </w:pPr>
    </w:p>
    <w:p w14:paraId="167DC47D" w14:textId="77777777" w:rsidR="001932FC" w:rsidRPr="00451B7D" w:rsidRDefault="001932FC" w:rsidP="00A1622C">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 xml:space="preserve">II. </w:t>
      </w:r>
      <w:r w:rsidR="00E21B49" w:rsidRPr="00451B7D">
        <w:rPr>
          <w:rFonts w:ascii="ITC Avant Garde" w:hAnsi="ITC Avant Garde"/>
          <w:b/>
          <w:sz w:val="18"/>
          <w:szCs w:val="18"/>
        </w:rPr>
        <w:t xml:space="preserve">IMPACTO DE LA </w:t>
      </w:r>
      <w:r w:rsidR="00D23BD5" w:rsidRPr="00451B7D">
        <w:rPr>
          <w:rFonts w:ascii="ITC Avant Garde" w:hAnsi="ITC Avant Garde"/>
          <w:b/>
          <w:sz w:val="18"/>
          <w:szCs w:val="18"/>
        </w:rPr>
        <w:t xml:space="preserve">PROPUESTA DE </w:t>
      </w:r>
      <w:r w:rsidR="00E21B49" w:rsidRPr="00451B7D">
        <w:rPr>
          <w:rFonts w:ascii="ITC Avant Garde" w:hAnsi="ITC Avant Garde"/>
          <w:b/>
          <w:sz w:val="18"/>
          <w:szCs w:val="18"/>
        </w:rPr>
        <w:t>REGULACIÓN</w:t>
      </w:r>
      <w:r w:rsidRPr="00451B7D">
        <w:rPr>
          <w:rFonts w:ascii="ITC Avant Garde" w:hAnsi="ITC Avant Garde"/>
          <w:b/>
          <w:sz w:val="18"/>
          <w:szCs w:val="18"/>
        </w:rPr>
        <w:t>.</w:t>
      </w:r>
    </w:p>
    <w:tbl>
      <w:tblPr>
        <w:tblStyle w:val="Tablaconcuadrcula"/>
        <w:tblW w:w="0" w:type="auto"/>
        <w:tblLook w:val="04A0" w:firstRow="1" w:lastRow="0" w:firstColumn="1" w:lastColumn="0" w:noHBand="0" w:noVBand="1"/>
      </w:tblPr>
      <w:tblGrid>
        <w:gridCol w:w="8828"/>
      </w:tblGrid>
      <w:tr w:rsidR="00BE7D1C" w:rsidRPr="00451B7D" w14:paraId="4ECFD998" w14:textId="77777777" w:rsidTr="003F600A">
        <w:tc>
          <w:tcPr>
            <w:tcW w:w="8828" w:type="dxa"/>
          </w:tcPr>
          <w:p w14:paraId="71E7B5C4" w14:textId="77777777" w:rsidR="00BE7D1C" w:rsidRPr="00451B7D" w:rsidRDefault="00BE7D1C" w:rsidP="003F600A">
            <w:pPr>
              <w:jc w:val="both"/>
              <w:rPr>
                <w:rFonts w:ascii="ITC Avant Garde" w:hAnsi="ITC Avant Garde"/>
                <w:b/>
                <w:sz w:val="18"/>
                <w:szCs w:val="18"/>
              </w:rPr>
            </w:pPr>
            <w:r w:rsidRPr="00451B7D">
              <w:rPr>
                <w:rFonts w:ascii="ITC Avant Garde" w:hAnsi="ITC Avant Garde"/>
                <w:b/>
                <w:sz w:val="18"/>
                <w:szCs w:val="18"/>
              </w:rPr>
              <w:t>3.- Para solucionar la problemática identificada, describa las alternativas valoradas y señale las razones por las cuales fueron descartadas.</w:t>
            </w:r>
          </w:p>
          <w:p w14:paraId="61350F8B" w14:textId="77777777" w:rsidR="00BE7D1C" w:rsidRPr="00451B7D" w:rsidRDefault="00BE7D1C" w:rsidP="003F600A">
            <w:pPr>
              <w:jc w:val="both"/>
              <w:rPr>
                <w:rFonts w:ascii="ITC Avant Garde" w:hAnsi="ITC Avant Garde"/>
                <w:sz w:val="18"/>
                <w:szCs w:val="18"/>
              </w:rPr>
            </w:pPr>
            <w:r w:rsidRPr="00451B7D">
              <w:rPr>
                <w:rFonts w:ascii="ITC Avant Garde" w:hAnsi="ITC Avant Garde"/>
                <w:sz w:val="18"/>
                <w:szCs w:val="18"/>
              </w:rPr>
              <w:t>Seleccione las alternativas aplicables y, en su c</w:t>
            </w:r>
            <w:r w:rsidR="004E0AA9" w:rsidRPr="00451B7D">
              <w:rPr>
                <w:rFonts w:ascii="ITC Avant Garde" w:hAnsi="ITC Avant Garde"/>
                <w:sz w:val="18"/>
                <w:szCs w:val="18"/>
              </w:rPr>
              <w:t>aso, seleccione y describa</w:t>
            </w:r>
            <w:r w:rsidR="00E046F4" w:rsidRPr="00451B7D">
              <w:rPr>
                <w:rFonts w:ascii="ITC Avant Garde" w:hAnsi="ITC Avant Garde"/>
                <w:sz w:val="18"/>
                <w:szCs w:val="18"/>
              </w:rPr>
              <w:t xml:space="preserve"> otra</w:t>
            </w:r>
            <w:r w:rsidR="004E0AA9" w:rsidRPr="00451B7D">
              <w:rPr>
                <w:rFonts w:ascii="ITC Avant Garde" w:hAnsi="ITC Avant Garde"/>
                <w:sz w:val="18"/>
                <w:szCs w:val="18"/>
              </w:rPr>
              <w:t>.</w:t>
            </w:r>
            <w:r w:rsidRPr="00451B7D">
              <w:rPr>
                <w:rFonts w:ascii="ITC Avant Garde" w:hAnsi="ITC Avant Garde"/>
                <w:sz w:val="18"/>
                <w:szCs w:val="18"/>
              </w:rPr>
              <w:t xml:space="preserve"> </w:t>
            </w:r>
            <w:r w:rsidR="004E0AA9" w:rsidRPr="00451B7D">
              <w:rPr>
                <w:rFonts w:ascii="ITC Avant Garde" w:hAnsi="ITC Avant Garde"/>
                <w:sz w:val="18"/>
                <w:szCs w:val="18"/>
              </w:rPr>
              <w:t>C</w:t>
            </w:r>
            <w:r w:rsidRPr="00451B7D">
              <w:rPr>
                <w:rFonts w:ascii="ITC Avant Garde" w:hAnsi="ITC Avant Garde"/>
                <w:sz w:val="18"/>
                <w:szCs w:val="18"/>
              </w:rPr>
              <w:t xml:space="preserve">onsidere al menos </w:t>
            </w:r>
            <w:r w:rsidR="004E0AA9" w:rsidRPr="00451B7D">
              <w:rPr>
                <w:rFonts w:ascii="ITC Avant Garde" w:hAnsi="ITC Avant Garde"/>
                <w:sz w:val="18"/>
                <w:szCs w:val="18"/>
              </w:rPr>
              <w:t>dos</w:t>
            </w:r>
            <w:r w:rsidRPr="00451B7D">
              <w:rPr>
                <w:rFonts w:ascii="ITC Avant Garde" w:hAnsi="ITC Avant Garde"/>
                <w:sz w:val="18"/>
                <w:szCs w:val="18"/>
              </w:rPr>
              <w:t xml:space="preserve"> opciones entre las cuales se encuentre la opción de no intervención.</w:t>
            </w:r>
            <w:r w:rsidR="00FB58BA">
              <w:rPr>
                <w:rFonts w:ascii="ITC Avant Garde" w:hAnsi="ITC Avant Garde"/>
                <w:sz w:val="18"/>
                <w:szCs w:val="18"/>
              </w:rPr>
              <w:t xml:space="preserve"> Agregue las filas que considere necesarias.</w:t>
            </w:r>
          </w:p>
          <w:p w14:paraId="4BA244B3" w14:textId="77777777" w:rsidR="00BE7D1C" w:rsidRPr="00451B7D" w:rsidRDefault="00BE7D1C" w:rsidP="003F600A">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876"/>
              <w:gridCol w:w="2684"/>
              <w:gridCol w:w="3969"/>
            </w:tblGrid>
            <w:tr w:rsidR="00BE7D1C" w:rsidRPr="00451B7D" w14:paraId="39683613" w14:textId="77777777" w:rsidTr="003F600A">
              <w:tc>
                <w:tcPr>
                  <w:tcW w:w="1876" w:type="dxa"/>
                  <w:tcBorders>
                    <w:bottom w:val="single" w:sz="12" w:space="0" w:color="auto"/>
                  </w:tcBorders>
                  <w:shd w:val="clear" w:color="auto" w:fill="A8D08D" w:themeFill="accent6" w:themeFillTint="99"/>
                </w:tcPr>
                <w:p w14:paraId="2B3274E0"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 xml:space="preserve">Alternativa evaluada </w:t>
                  </w:r>
                </w:p>
              </w:tc>
              <w:tc>
                <w:tcPr>
                  <w:tcW w:w="2684" w:type="dxa"/>
                  <w:shd w:val="clear" w:color="auto" w:fill="A8D08D" w:themeFill="accent6" w:themeFillTint="99"/>
                </w:tcPr>
                <w:p w14:paraId="49BA73CA"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Descripción</w:t>
                  </w:r>
                </w:p>
              </w:tc>
              <w:tc>
                <w:tcPr>
                  <w:tcW w:w="3969" w:type="dxa"/>
                  <w:shd w:val="clear" w:color="auto" w:fill="A8D08D" w:themeFill="accent6" w:themeFillTint="99"/>
                </w:tcPr>
                <w:p w14:paraId="10F8F1FD" w14:textId="77777777" w:rsidR="00BE7D1C" w:rsidRPr="00451B7D" w:rsidRDefault="00BE7D1C" w:rsidP="003F600A">
                  <w:pPr>
                    <w:jc w:val="center"/>
                    <w:rPr>
                      <w:rFonts w:ascii="ITC Avant Garde" w:hAnsi="ITC Avant Garde"/>
                      <w:b/>
                      <w:sz w:val="18"/>
                      <w:szCs w:val="18"/>
                    </w:rPr>
                  </w:pPr>
                  <w:r w:rsidRPr="00451B7D">
                    <w:rPr>
                      <w:rFonts w:ascii="ITC Avant Garde" w:hAnsi="ITC Avant Garde"/>
                      <w:b/>
                      <w:sz w:val="18"/>
                      <w:szCs w:val="18"/>
                    </w:rPr>
                    <w:t>Razones</w:t>
                  </w:r>
                </w:p>
              </w:tc>
            </w:tr>
            <w:tr w:rsidR="00BE7D1C" w:rsidRPr="00451B7D" w14:paraId="3752DBF5" w14:textId="77777777" w:rsidTr="003F600A">
              <w:sdt>
                <w:sdtPr>
                  <w:rPr>
                    <w:rFonts w:ascii="ITC Avant Garde" w:hAnsi="ITC Avant Garde"/>
                    <w:i/>
                    <w:sz w:val="18"/>
                    <w:szCs w:val="18"/>
                  </w:rPr>
                  <w:alias w:val="Alternativa evaluada"/>
                  <w:tag w:val="Alternativa evaluada"/>
                  <w:id w:val="1516970041"/>
                  <w:placeholder>
                    <w:docPart w:val="53C06C5BEAE94D5BAF43FB3D4551B4A8"/>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6DEF5576" w14:textId="77777777" w:rsidR="00BE7D1C" w:rsidRPr="00451B7D" w:rsidRDefault="006F25B0" w:rsidP="003F600A">
                      <w:pPr>
                        <w:rPr>
                          <w:rFonts w:ascii="ITC Avant Garde" w:hAnsi="ITC Avant Garde"/>
                          <w:i/>
                          <w:sz w:val="18"/>
                          <w:szCs w:val="18"/>
                        </w:rPr>
                      </w:pPr>
                      <w:r>
                        <w:rPr>
                          <w:rFonts w:ascii="ITC Avant Garde" w:hAnsi="ITC Avant Garde"/>
                          <w:i/>
                          <w:sz w:val="18"/>
                          <w:szCs w:val="18"/>
                        </w:rPr>
                        <w:t>Otro tipo de regulación</w:t>
                      </w:r>
                    </w:p>
                  </w:tc>
                </w:sdtContent>
              </w:sdt>
              <w:tc>
                <w:tcPr>
                  <w:tcW w:w="2684" w:type="dxa"/>
                  <w:tcBorders>
                    <w:left w:val="single" w:sz="12" w:space="0" w:color="auto"/>
                  </w:tcBorders>
                </w:tcPr>
                <w:p w14:paraId="11AE728D" w14:textId="0D6354DE" w:rsidR="00BE7D1C" w:rsidRPr="00451B7D" w:rsidRDefault="00E37C02" w:rsidP="00E37C02">
                  <w:pPr>
                    <w:jc w:val="both"/>
                    <w:rPr>
                      <w:rFonts w:ascii="ITC Avant Garde" w:hAnsi="ITC Avant Garde"/>
                      <w:sz w:val="18"/>
                      <w:szCs w:val="18"/>
                    </w:rPr>
                  </w:pPr>
                  <w:r>
                    <w:rPr>
                      <w:rFonts w:ascii="ITC Avant Garde" w:hAnsi="ITC Avant Garde"/>
                      <w:sz w:val="18"/>
                      <w:szCs w:val="18"/>
                    </w:rPr>
                    <w:t xml:space="preserve">Modificar </w:t>
                  </w:r>
                  <w:r w:rsidR="00F70AC7">
                    <w:rPr>
                      <w:rFonts w:ascii="ITC Avant Garde" w:hAnsi="ITC Avant Garde"/>
                      <w:sz w:val="18"/>
                      <w:szCs w:val="18"/>
                    </w:rPr>
                    <w:t>los Lineamientos para la sustanciación de los trámites y servicios que se realicen ante el Instituto Federal de Telecomunicaciones, a través de la Ventanilla Electrónica</w:t>
                  </w:r>
                  <w:r>
                    <w:rPr>
                      <w:rFonts w:ascii="ITC Avant Garde" w:hAnsi="ITC Avant Garde"/>
                      <w:sz w:val="18"/>
                      <w:szCs w:val="18"/>
                    </w:rPr>
                    <w:t>.</w:t>
                  </w:r>
                </w:p>
              </w:tc>
              <w:tc>
                <w:tcPr>
                  <w:tcW w:w="3969" w:type="dxa"/>
                </w:tcPr>
                <w:p w14:paraId="50E37150" w14:textId="789FEFED" w:rsidR="00F70AC7" w:rsidRDefault="000831A8" w:rsidP="00E37C02">
                  <w:pPr>
                    <w:jc w:val="both"/>
                    <w:rPr>
                      <w:rFonts w:ascii="ITC Avant Garde" w:hAnsi="ITC Avant Garde"/>
                      <w:sz w:val="18"/>
                      <w:szCs w:val="18"/>
                    </w:rPr>
                  </w:pPr>
                  <w:r>
                    <w:rPr>
                      <w:rFonts w:ascii="ITC Avant Garde" w:hAnsi="ITC Avant Garde"/>
                      <w:sz w:val="18"/>
                      <w:szCs w:val="18"/>
                    </w:rPr>
                    <w:t>Si bien l</w:t>
                  </w:r>
                  <w:r w:rsidR="00F70AC7">
                    <w:rPr>
                      <w:rFonts w:ascii="ITC Avant Garde" w:hAnsi="ITC Avant Garde"/>
                      <w:sz w:val="18"/>
                      <w:szCs w:val="18"/>
                    </w:rPr>
                    <w:t xml:space="preserve">os lineamientos de </w:t>
                  </w:r>
                  <w:r w:rsidR="00141749">
                    <w:rPr>
                      <w:rFonts w:ascii="ITC Avant Garde" w:hAnsi="ITC Avant Garde"/>
                      <w:sz w:val="18"/>
                      <w:szCs w:val="18"/>
                    </w:rPr>
                    <w:t>V</w:t>
                  </w:r>
                  <w:r w:rsidR="00F70AC7">
                    <w:rPr>
                      <w:rFonts w:ascii="ITC Avant Garde" w:hAnsi="ITC Avant Garde"/>
                      <w:sz w:val="18"/>
                      <w:szCs w:val="18"/>
                    </w:rPr>
                    <w:t xml:space="preserve">entanilla </w:t>
                  </w:r>
                  <w:r w:rsidR="00141749">
                    <w:rPr>
                      <w:rFonts w:ascii="ITC Avant Garde" w:hAnsi="ITC Avant Garde"/>
                      <w:sz w:val="18"/>
                      <w:szCs w:val="18"/>
                    </w:rPr>
                    <w:t>E</w:t>
                  </w:r>
                  <w:r w:rsidR="00F70AC7">
                    <w:rPr>
                      <w:rFonts w:ascii="ITC Avant Garde" w:hAnsi="ITC Avant Garde"/>
                      <w:sz w:val="18"/>
                      <w:szCs w:val="18"/>
                    </w:rPr>
                    <w:t xml:space="preserve">lectrónica contienen diversas disposiciones que regulan el intercambio oficial de información </w:t>
                  </w:r>
                  <w:r>
                    <w:rPr>
                      <w:rFonts w:ascii="ITC Avant Garde" w:hAnsi="ITC Avant Garde"/>
                      <w:sz w:val="18"/>
                      <w:szCs w:val="18"/>
                    </w:rPr>
                    <w:t xml:space="preserve">a través de medios electrónicos </w:t>
                  </w:r>
                  <w:r w:rsidR="00F70AC7">
                    <w:rPr>
                      <w:rFonts w:ascii="ITC Avant Garde" w:hAnsi="ITC Avant Garde"/>
                      <w:sz w:val="18"/>
                      <w:szCs w:val="18"/>
                    </w:rPr>
                    <w:t>entre el Instituto y los regulados para la sustanciación de trámites, tales como disposiciones referentes a</w:t>
                  </w:r>
                  <w:r>
                    <w:rPr>
                      <w:rFonts w:ascii="ITC Avant Garde" w:hAnsi="ITC Avant Garde"/>
                      <w:sz w:val="18"/>
                      <w:szCs w:val="18"/>
                    </w:rPr>
                    <w:t>l acceso a la ventanilla, acreditación de la personalidad jurídica y notificación de actos administrativos; estas son disposiciones genéricas que no hacen referencia a disposiciones específicas de la LFCE que norman estos aspectos</w:t>
                  </w:r>
                  <w:r w:rsidR="00141749">
                    <w:rPr>
                      <w:rFonts w:ascii="ITC Avant Garde" w:hAnsi="ITC Avant Garde"/>
                      <w:sz w:val="18"/>
                      <w:szCs w:val="18"/>
                    </w:rPr>
                    <w:t xml:space="preserve"> de los procedimientos en materia de </w:t>
                  </w:r>
                  <w:r w:rsidR="00141749">
                    <w:rPr>
                      <w:rFonts w:ascii="ITC Avant Garde" w:hAnsi="ITC Avant Garde"/>
                      <w:sz w:val="18"/>
                      <w:szCs w:val="18"/>
                    </w:rPr>
                    <w:lastRenderedPageBreak/>
                    <w:t>competencia económica</w:t>
                  </w:r>
                  <w:r>
                    <w:rPr>
                      <w:rFonts w:ascii="ITC Avant Garde" w:hAnsi="ITC Avant Garde"/>
                      <w:sz w:val="18"/>
                      <w:szCs w:val="18"/>
                    </w:rPr>
                    <w:t xml:space="preserve">. Esto hace necesaria la expedición de lineamientos específicos para </w:t>
                  </w:r>
                  <w:r w:rsidR="00141749">
                    <w:rPr>
                      <w:rFonts w:ascii="ITC Avant Garde" w:hAnsi="ITC Avant Garde"/>
                      <w:sz w:val="18"/>
                      <w:szCs w:val="18"/>
                    </w:rPr>
                    <w:t>estos</w:t>
                  </w:r>
                  <w:r>
                    <w:rPr>
                      <w:rFonts w:ascii="ITC Avant Garde" w:hAnsi="ITC Avant Garde"/>
                      <w:sz w:val="18"/>
                      <w:szCs w:val="18"/>
                    </w:rPr>
                    <w:t xml:space="preserve"> procedimientos.</w:t>
                  </w:r>
                </w:p>
                <w:p w14:paraId="38F1E8D4" w14:textId="4903DB34" w:rsidR="000831A8" w:rsidRDefault="000831A8" w:rsidP="00E37C02">
                  <w:pPr>
                    <w:jc w:val="both"/>
                    <w:rPr>
                      <w:rFonts w:ascii="ITC Avant Garde" w:hAnsi="ITC Avant Garde"/>
                      <w:sz w:val="18"/>
                      <w:szCs w:val="18"/>
                    </w:rPr>
                  </w:pPr>
                  <w:r>
                    <w:rPr>
                      <w:rFonts w:ascii="ITC Avant Garde" w:hAnsi="ITC Avant Garde"/>
                      <w:sz w:val="18"/>
                      <w:szCs w:val="18"/>
                    </w:rPr>
                    <w:t xml:space="preserve">Por otro lado, existen algunos tipos de actuaciones que </w:t>
                  </w:r>
                  <w:r w:rsidR="009B12B2">
                    <w:rPr>
                      <w:rFonts w:ascii="ITC Avant Garde" w:hAnsi="ITC Avant Garde"/>
                      <w:sz w:val="18"/>
                      <w:szCs w:val="18"/>
                    </w:rPr>
                    <w:t xml:space="preserve">los citados lineamientos </w:t>
                  </w:r>
                  <w:r>
                    <w:rPr>
                      <w:rFonts w:ascii="ITC Avant Garde" w:hAnsi="ITC Avant Garde"/>
                      <w:sz w:val="18"/>
                      <w:szCs w:val="18"/>
                    </w:rPr>
                    <w:t>no abordan por su mismo carácter genérico, por ejemplo</w:t>
                  </w:r>
                  <w:r w:rsidR="009B12B2">
                    <w:rPr>
                      <w:rFonts w:ascii="ITC Avant Garde" w:hAnsi="ITC Avant Garde"/>
                      <w:sz w:val="18"/>
                      <w:szCs w:val="18"/>
                    </w:rPr>
                    <w:t>,</w:t>
                  </w:r>
                  <w:r>
                    <w:rPr>
                      <w:rFonts w:ascii="ITC Avant Garde" w:hAnsi="ITC Avant Garde"/>
                      <w:sz w:val="18"/>
                      <w:szCs w:val="18"/>
                    </w:rPr>
                    <w:t xml:space="preserve"> los referentes a la presentación y desahogo de pruebas dentro de los procedimientos seguidos en forma de juicio a que se refiere el </w:t>
                  </w:r>
                  <w:r w:rsidR="009B12B2">
                    <w:rPr>
                      <w:rFonts w:ascii="ITC Avant Garde" w:hAnsi="ITC Avant Garde"/>
                      <w:sz w:val="18"/>
                      <w:szCs w:val="18"/>
                    </w:rPr>
                    <w:t xml:space="preserve">artículo </w:t>
                  </w:r>
                  <w:r>
                    <w:rPr>
                      <w:rFonts w:ascii="ITC Avant Garde" w:hAnsi="ITC Avant Garde"/>
                      <w:sz w:val="18"/>
                      <w:szCs w:val="18"/>
                    </w:rPr>
                    <w:t>83 de la LFCE</w:t>
                  </w:r>
                  <w:r w:rsidR="009B12B2">
                    <w:rPr>
                      <w:rFonts w:ascii="ITC Avant Garde" w:hAnsi="ITC Avant Garde"/>
                      <w:sz w:val="18"/>
                      <w:szCs w:val="18"/>
                    </w:rPr>
                    <w:t xml:space="preserve"> o a la presentación de notificaciones </w:t>
                  </w:r>
                  <w:r w:rsidR="00B1628B">
                    <w:rPr>
                      <w:rFonts w:ascii="ITC Avant Garde" w:hAnsi="ITC Avant Garde"/>
                      <w:sz w:val="18"/>
                      <w:szCs w:val="18"/>
                    </w:rPr>
                    <w:t>de concentración o de avisos de concentración.</w:t>
                  </w:r>
                </w:p>
                <w:p w14:paraId="33FD2365" w14:textId="0EF481FF" w:rsidR="00B1628B" w:rsidRDefault="00B1628B" w:rsidP="00E37C02">
                  <w:pPr>
                    <w:jc w:val="both"/>
                    <w:rPr>
                      <w:rFonts w:ascii="ITC Avant Garde" w:hAnsi="ITC Avant Garde"/>
                      <w:sz w:val="18"/>
                      <w:szCs w:val="18"/>
                    </w:rPr>
                  </w:pPr>
                  <w:r>
                    <w:rPr>
                      <w:rFonts w:ascii="ITC Avant Garde" w:hAnsi="ITC Avant Garde"/>
                      <w:sz w:val="18"/>
                      <w:szCs w:val="18"/>
                    </w:rPr>
                    <w:t xml:space="preserve">Finalmente, los lineamientos de la ventanilla electrónica prevén la necesidad de que el Instituto emita otras disposiciones para la habilitación de procedimientos en particular, tal como se desprende del texto del primer párrafo de su </w:t>
                  </w:r>
                  <w:r w:rsidR="00141749">
                    <w:rPr>
                      <w:rFonts w:ascii="ITC Avant Garde" w:hAnsi="ITC Avant Garde"/>
                      <w:sz w:val="18"/>
                      <w:szCs w:val="18"/>
                    </w:rPr>
                    <w:t>C</w:t>
                  </w:r>
                  <w:r>
                    <w:rPr>
                      <w:rFonts w:ascii="ITC Avant Garde" w:hAnsi="ITC Avant Garde"/>
                      <w:sz w:val="18"/>
                      <w:szCs w:val="18"/>
                    </w:rPr>
                    <w:t xml:space="preserve">uarto </w:t>
                  </w:r>
                  <w:r w:rsidR="00141749">
                    <w:rPr>
                      <w:rFonts w:ascii="ITC Avant Garde" w:hAnsi="ITC Avant Garde"/>
                      <w:sz w:val="18"/>
                      <w:szCs w:val="18"/>
                    </w:rPr>
                    <w:t>L</w:t>
                  </w:r>
                  <w:r>
                    <w:rPr>
                      <w:rFonts w:ascii="ITC Avant Garde" w:hAnsi="ITC Avant Garde"/>
                      <w:sz w:val="18"/>
                      <w:szCs w:val="18"/>
                    </w:rPr>
                    <w:t>ineamiento.</w:t>
                  </w:r>
                </w:p>
                <w:p w14:paraId="6C6D473D" w14:textId="335EE715" w:rsidR="00BE7D1C" w:rsidRPr="00451B7D" w:rsidRDefault="00B1628B" w:rsidP="00B1628B">
                  <w:pPr>
                    <w:jc w:val="both"/>
                    <w:rPr>
                      <w:rFonts w:ascii="ITC Avant Garde" w:hAnsi="ITC Avant Garde"/>
                      <w:sz w:val="18"/>
                      <w:szCs w:val="18"/>
                    </w:rPr>
                  </w:pPr>
                  <w:r>
                    <w:rPr>
                      <w:rFonts w:ascii="ITC Avant Garde" w:hAnsi="ITC Avant Garde"/>
                      <w:sz w:val="18"/>
                      <w:szCs w:val="18"/>
                    </w:rPr>
                    <w:t>En virtud de los anteriores argumentos se considera que los Lineamientos para la sustanciación a través de medios electrónicos de procedimientos y trámites a cargo de la Unidad de Competencia Económica del Instituto son el</w:t>
                  </w:r>
                  <w:r w:rsidR="00E37C02">
                    <w:rPr>
                      <w:rFonts w:ascii="ITC Avant Garde" w:hAnsi="ITC Avant Garde"/>
                      <w:sz w:val="18"/>
                      <w:szCs w:val="18"/>
                    </w:rPr>
                    <w:t xml:space="preserve"> instrumento idóneo </w:t>
                  </w:r>
                  <w:r>
                    <w:rPr>
                      <w:rFonts w:ascii="ITC Avant Garde" w:hAnsi="ITC Avant Garde"/>
                      <w:sz w:val="18"/>
                      <w:szCs w:val="18"/>
                    </w:rPr>
                    <w:t>para cumplir su objeto</w:t>
                  </w:r>
                  <w:r w:rsidR="00E37C02">
                    <w:rPr>
                      <w:rFonts w:ascii="ITC Avant Garde" w:hAnsi="ITC Avant Garde"/>
                      <w:sz w:val="18"/>
                      <w:szCs w:val="18"/>
                    </w:rPr>
                    <w:t>.</w:t>
                  </w:r>
                  <w:r w:rsidR="00497878" w:rsidRPr="00451B7D">
                    <w:rPr>
                      <w:rFonts w:ascii="ITC Avant Garde" w:hAnsi="ITC Avant Garde"/>
                      <w:sz w:val="18"/>
                      <w:szCs w:val="18"/>
                    </w:rPr>
                    <w:t xml:space="preserve"> </w:t>
                  </w:r>
                </w:p>
              </w:tc>
            </w:tr>
            <w:tr w:rsidR="00BE7D1C" w:rsidRPr="00451B7D" w14:paraId="46BE4B85" w14:textId="77777777" w:rsidTr="003F600A">
              <w:sdt>
                <w:sdtPr>
                  <w:rPr>
                    <w:rFonts w:ascii="ITC Avant Garde" w:hAnsi="ITC Avant Garde"/>
                    <w:i/>
                    <w:sz w:val="18"/>
                    <w:szCs w:val="18"/>
                  </w:rPr>
                  <w:alias w:val="Alternativa evaluada"/>
                  <w:tag w:val="Alternativa evaluada"/>
                  <w:id w:val="946584835"/>
                  <w:placeholder>
                    <w:docPart w:val="5CAECFA481BF4B18BAA1A109B5DCE30F"/>
                  </w:placeholder>
                  <w:dropDownList>
                    <w:listItem w:value="Elija un elemento."/>
                    <w:listItem w:displayText="No emitir regulación alguna" w:value="No emitir regulación alguna"/>
                    <w:listItem w:displayText="Alternativa cero (largo plazo)" w:value="Alternativa cero (largo plazo)"/>
                    <w:listItem w:displayText="Esquemas voluntarios" w:value="Esquemas voluntarios"/>
                    <w:listItem w:displayText="Incentivos económicos" w:value="Incentivos económicos"/>
                    <w:listItem w:displayText="Otro tipo de regulación" w:value="Otro tipo de regulación"/>
                  </w:dropDownList>
                </w:sdtPr>
                <w:sdtEndPr/>
                <w:sdtContent>
                  <w:tc>
                    <w:tcPr>
                      <w:tcW w:w="1876" w:type="dxa"/>
                      <w:tcBorders>
                        <w:top w:val="single" w:sz="12" w:space="0" w:color="auto"/>
                        <w:left w:val="single" w:sz="12" w:space="0" w:color="auto"/>
                        <w:bottom w:val="single" w:sz="12" w:space="0" w:color="auto"/>
                        <w:right w:val="single" w:sz="12" w:space="0" w:color="auto"/>
                      </w:tcBorders>
                      <w:shd w:val="clear" w:color="auto" w:fill="E2EFD9" w:themeFill="accent6" w:themeFillTint="33"/>
                    </w:tcPr>
                    <w:p w14:paraId="00CD15F5" w14:textId="77777777" w:rsidR="00BE7D1C" w:rsidRPr="00451B7D" w:rsidRDefault="006F25B0" w:rsidP="003F600A">
                      <w:pPr>
                        <w:rPr>
                          <w:rFonts w:ascii="ITC Avant Garde" w:hAnsi="ITC Avant Garde"/>
                          <w:i/>
                          <w:sz w:val="18"/>
                          <w:szCs w:val="18"/>
                        </w:rPr>
                      </w:pPr>
                      <w:r>
                        <w:rPr>
                          <w:rFonts w:ascii="ITC Avant Garde" w:hAnsi="ITC Avant Garde"/>
                          <w:i/>
                          <w:sz w:val="18"/>
                          <w:szCs w:val="18"/>
                        </w:rPr>
                        <w:t>No emitir regulación alguna</w:t>
                      </w:r>
                    </w:p>
                  </w:tc>
                </w:sdtContent>
              </w:sdt>
              <w:tc>
                <w:tcPr>
                  <w:tcW w:w="2684" w:type="dxa"/>
                  <w:tcBorders>
                    <w:left w:val="single" w:sz="12" w:space="0" w:color="auto"/>
                  </w:tcBorders>
                </w:tcPr>
                <w:p w14:paraId="56D00436" w14:textId="0157B948" w:rsidR="00BE7D1C" w:rsidRPr="00451B7D" w:rsidRDefault="006F25B0" w:rsidP="00E37C02">
                  <w:pPr>
                    <w:jc w:val="both"/>
                    <w:rPr>
                      <w:rFonts w:ascii="ITC Avant Garde" w:hAnsi="ITC Avant Garde"/>
                      <w:sz w:val="18"/>
                      <w:szCs w:val="18"/>
                    </w:rPr>
                  </w:pPr>
                  <w:r>
                    <w:rPr>
                      <w:rFonts w:ascii="ITC Avant Garde" w:hAnsi="ITC Avant Garde"/>
                      <w:sz w:val="18"/>
                      <w:szCs w:val="18"/>
                    </w:rPr>
                    <w:t>No emitir l</w:t>
                  </w:r>
                  <w:r w:rsidR="000D6AA2">
                    <w:rPr>
                      <w:rFonts w:ascii="ITC Avant Garde" w:hAnsi="ITC Avant Garde"/>
                      <w:sz w:val="18"/>
                      <w:szCs w:val="18"/>
                    </w:rPr>
                    <w:t>os Lineamientos para la sustanciación a través de medios electrónicos de procedimientos y trámites a cargo de la Unidad de Competencia Económica del Instituto.</w:t>
                  </w:r>
                </w:p>
              </w:tc>
              <w:tc>
                <w:tcPr>
                  <w:tcW w:w="3969" w:type="dxa"/>
                </w:tcPr>
                <w:p w14:paraId="053E6BE8" w14:textId="14EF0CD3" w:rsidR="00BE7D1C" w:rsidRPr="00451B7D" w:rsidRDefault="00AA19BE" w:rsidP="00AA19BE">
                  <w:pPr>
                    <w:jc w:val="both"/>
                    <w:rPr>
                      <w:rFonts w:ascii="ITC Avant Garde" w:hAnsi="ITC Avant Garde"/>
                      <w:sz w:val="18"/>
                      <w:szCs w:val="18"/>
                    </w:rPr>
                  </w:pPr>
                  <w:r>
                    <w:rPr>
                      <w:rFonts w:ascii="ITC Avant Garde" w:hAnsi="ITC Avant Garde"/>
                      <w:sz w:val="18"/>
                      <w:szCs w:val="18"/>
                    </w:rPr>
                    <w:t>De no emitirse los lineamientos en análisis, los participantes en los procedimientos de competencia económica, autoridad, regulados y terceros, enfrentarían incertidumbre jurídica al no tener un respaldo normativo sobre su actuación frente a elementos tecnológicos que no se han empleado anteriormente en su sustanciación y que pueden presentar fallas o particularidades que afecten su conducción y legalidad.</w:t>
                  </w:r>
                </w:p>
              </w:tc>
            </w:tr>
          </w:tbl>
          <w:p w14:paraId="0D63F58D" w14:textId="77777777" w:rsidR="00BE7D1C" w:rsidRPr="00451B7D" w:rsidRDefault="00BE7D1C" w:rsidP="003F600A">
            <w:pPr>
              <w:jc w:val="both"/>
              <w:rPr>
                <w:rFonts w:ascii="ITC Avant Garde" w:hAnsi="ITC Avant Garde"/>
                <w:sz w:val="18"/>
                <w:szCs w:val="18"/>
              </w:rPr>
            </w:pPr>
          </w:p>
        </w:tc>
      </w:tr>
    </w:tbl>
    <w:p w14:paraId="16DB7EFA" w14:textId="77777777" w:rsidR="00634DE8" w:rsidRPr="00451B7D" w:rsidRDefault="00634DE8"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8828"/>
      </w:tblGrid>
      <w:tr w:rsidR="00BE7D1C" w:rsidRPr="00451B7D" w14:paraId="2FB3552B" w14:textId="77777777" w:rsidTr="003F600A">
        <w:tc>
          <w:tcPr>
            <w:tcW w:w="8828" w:type="dxa"/>
          </w:tcPr>
          <w:p w14:paraId="7DA2FFBA" w14:textId="2C4ACE15" w:rsidR="00BE7D1C" w:rsidRDefault="00BE7D1C" w:rsidP="003F600A">
            <w:pPr>
              <w:jc w:val="both"/>
              <w:rPr>
                <w:rFonts w:ascii="ITC Avant Garde" w:hAnsi="ITC Avant Garde"/>
                <w:b/>
                <w:sz w:val="18"/>
                <w:szCs w:val="18"/>
              </w:rPr>
            </w:pPr>
            <w:r w:rsidRPr="00451B7D">
              <w:rPr>
                <w:rFonts w:ascii="ITC Avant Garde" w:hAnsi="ITC Avant Garde"/>
                <w:b/>
                <w:sz w:val="18"/>
                <w:szCs w:val="18"/>
              </w:rPr>
              <w:t>4.- Justifique las razones por las que considera que la propuesta de regulación no genera costos de cumplimiento, independientemente de los beneficios que ésta genere:</w:t>
            </w:r>
          </w:p>
          <w:p w14:paraId="4CD0C5CF" w14:textId="7A71B810" w:rsidR="00603B81" w:rsidRDefault="00603B81" w:rsidP="003F600A">
            <w:pPr>
              <w:jc w:val="both"/>
              <w:rPr>
                <w:rFonts w:ascii="ITC Avant Garde" w:hAnsi="ITC Avant Garde"/>
                <w:b/>
                <w:sz w:val="18"/>
                <w:szCs w:val="18"/>
              </w:rPr>
            </w:pPr>
          </w:p>
          <w:p w14:paraId="6415EB7D" w14:textId="2BF4078B" w:rsidR="0076597B" w:rsidRDefault="0076597B" w:rsidP="003F600A">
            <w:pPr>
              <w:jc w:val="both"/>
              <w:rPr>
                <w:rFonts w:ascii="ITC Avant Garde" w:hAnsi="ITC Avant Garde"/>
                <w:sz w:val="18"/>
                <w:szCs w:val="18"/>
              </w:rPr>
            </w:pPr>
            <w:r>
              <w:rPr>
                <w:rFonts w:ascii="ITC Avant Garde" w:hAnsi="ITC Avant Garde"/>
                <w:sz w:val="18"/>
                <w:szCs w:val="18"/>
              </w:rPr>
              <w:t xml:space="preserve">La emisión de los Lineamientos para la sustanciación a través de medios electrónicos de procedimientos y trámites a cargo de la Unidad de Competencia Económica del Instituto Federal de Telecomunicaciones no solo no generarán costos de cumplimiento </w:t>
            </w:r>
            <w:proofErr w:type="gramStart"/>
            <w:r w:rsidR="00F02CAE">
              <w:rPr>
                <w:rFonts w:ascii="ITC Avant Garde" w:hAnsi="ITC Avant Garde"/>
                <w:sz w:val="18"/>
                <w:szCs w:val="18"/>
              </w:rPr>
              <w:t>adicionales</w:t>
            </w:r>
            <w:proofErr w:type="gramEnd"/>
            <w:r w:rsidR="00F02CAE">
              <w:rPr>
                <w:rFonts w:ascii="ITC Avant Garde" w:hAnsi="ITC Avant Garde"/>
                <w:sz w:val="18"/>
                <w:szCs w:val="18"/>
              </w:rPr>
              <w:t xml:space="preserve"> </w:t>
            </w:r>
            <w:r>
              <w:rPr>
                <w:rFonts w:ascii="ITC Avant Garde" w:hAnsi="ITC Avant Garde"/>
                <w:sz w:val="18"/>
                <w:szCs w:val="18"/>
              </w:rPr>
              <w:t>sino que los reducirán.</w:t>
            </w:r>
          </w:p>
          <w:p w14:paraId="67B08979" w14:textId="7A96DFE3" w:rsidR="0076597B" w:rsidRDefault="0076597B" w:rsidP="003F600A">
            <w:pPr>
              <w:jc w:val="both"/>
              <w:rPr>
                <w:rFonts w:ascii="ITC Avant Garde" w:hAnsi="ITC Avant Garde"/>
                <w:sz w:val="18"/>
                <w:szCs w:val="18"/>
              </w:rPr>
            </w:pPr>
          </w:p>
          <w:p w14:paraId="09180E1D" w14:textId="494F6429" w:rsidR="0076597B" w:rsidRDefault="00263B74" w:rsidP="003F600A">
            <w:pPr>
              <w:jc w:val="both"/>
              <w:rPr>
                <w:rFonts w:ascii="ITC Avant Garde" w:hAnsi="ITC Avant Garde"/>
                <w:sz w:val="18"/>
                <w:szCs w:val="18"/>
              </w:rPr>
            </w:pPr>
            <w:r>
              <w:rPr>
                <w:rFonts w:ascii="ITC Avant Garde" w:hAnsi="ITC Avant Garde"/>
                <w:sz w:val="18"/>
                <w:szCs w:val="18"/>
              </w:rPr>
              <w:t xml:space="preserve">Tal y como fue expresado en el comunicado emitido por el Instituto en ocasión de la entrada en operación de la ventanilla electrónica (en enero de 2020), de acuerdo con investigaciones del Banco Interamericano de Desarrollo, los trámites digitales se demoran 74% menos que los presenciales y cuestan menos. Esta información resulta congruente con la idea de que la sustanciación de procedimientos y solicitudes por medios electrónicos ahorra a los regulados recursos de impresión, almacenamiento de archivos físicos y traslado de su personal o de personal </w:t>
            </w:r>
            <w:r>
              <w:rPr>
                <w:rFonts w:ascii="ITC Avant Garde" w:hAnsi="ITC Avant Garde"/>
                <w:sz w:val="18"/>
                <w:szCs w:val="18"/>
              </w:rPr>
              <w:lastRenderedPageBreak/>
              <w:t>de sus representantes hasta las oficinas del Instituto. Este ahorro adquiere mayor relevancia si se considera el tamaño del país y que la observancia de la LFCE es obligatoria en todo el territorio nacional.</w:t>
            </w:r>
          </w:p>
          <w:p w14:paraId="05C25177" w14:textId="0ABC012C" w:rsidR="00263B74" w:rsidRDefault="00263B74" w:rsidP="003F600A">
            <w:pPr>
              <w:jc w:val="both"/>
              <w:rPr>
                <w:rFonts w:ascii="ITC Avant Garde" w:hAnsi="ITC Avant Garde"/>
                <w:sz w:val="18"/>
                <w:szCs w:val="18"/>
              </w:rPr>
            </w:pPr>
          </w:p>
          <w:p w14:paraId="6985BEA3" w14:textId="6D6D6F7D" w:rsidR="00263B74" w:rsidRDefault="009A4B99" w:rsidP="003F600A">
            <w:pPr>
              <w:jc w:val="both"/>
              <w:rPr>
                <w:rFonts w:ascii="ITC Avant Garde" w:hAnsi="ITC Avant Garde"/>
                <w:sz w:val="18"/>
                <w:szCs w:val="18"/>
              </w:rPr>
            </w:pPr>
            <w:r>
              <w:rPr>
                <w:rFonts w:ascii="ITC Avant Garde" w:hAnsi="ITC Avant Garde"/>
                <w:sz w:val="18"/>
                <w:szCs w:val="18"/>
              </w:rPr>
              <w:t xml:space="preserve">Se podría señalar que los requisitos de contar con firma electrónica avanzada y de realizar el registro ante </w:t>
            </w:r>
            <w:r w:rsidR="00141749">
              <w:rPr>
                <w:rFonts w:ascii="ITC Avant Garde" w:hAnsi="ITC Avant Garde"/>
                <w:sz w:val="18"/>
                <w:szCs w:val="18"/>
              </w:rPr>
              <w:t xml:space="preserve">la Ventanilla Electrónica </w:t>
            </w:r>
            <w:r>
              <w:rPr>
                <w:rFonts w:ascii="ITC Avant Garde" w:hAnsi="ITC Avant Garde"/>
                <w:sz w:val="18"/>
                <w:szCs w:val="18"/>
              </w:rPr>
              <w:t>constituyen nuevos costos que no se incurrirían al sustanciar procedimientos y solicitudes por Medios tradicionales; sin embargo</w:t>
            </w:r>
            <w:r w:rsidR="00F02CAE">
              <w:rPr>
                <w:rFonts w:ascii="ITC Avant Garde" w:hAnsi="ITC Avant Garde"/>
                <w:sz w:val="18"/>
                <w:szCs w:val="18"/>
              </w:rPr>
              <w:t>,</w:t>
            </w:r>
            <w:r>
              <w:rPr>
                <w:rFonts w:ascii="ITC Avant Garde" w:hAnsi="ITC Avant Garde"/>
                <w:sz w:val="18"/>
                <w:szCs w:val="18"/>
              </w:rPr>
              <w:t xml:space="preserve"> este incremento en costos es menor que el ahorro que genera el uso de Medios electrónicos, además de que ambos elementos pueden ser utilizados en otros asuntos de la misma materia de competencia económica, o incluso de telecomunicaciones y radiodifusión o fiscal</w:t>
            </w:r>
            <w:r w:rsidR="00C200B9">
              <w:rPr>
                <w:rFonts w:ascii="ITC Avant Garde" w:hAnsi="ITC Avant Garde"/>
                <w:sz w:val="18"/>
                <w:szCs w:val="18"/>
              </w:rPr>
              <w:t xml:space="preserve"> (en el caso de la firma)</w:t>
            </w:r>
            <w:r>
              <w:rPr>
                <w:rFonts w:ascii="ITC Avant Garde" w:hAnsi="ITC Avant Garde"/>
                <w:sz w:val="18"/>
                <w:szCs w:val="18"/>
              </w:rPr>
              <w:t>. Por otro lado</w:t>
            </w:r>
            <w:r w:rsidR="00F02CAE">
              <w:rPr>
                <w:rFonts w:ascii="ITC Avant Garde" w:hAnsi="ITC Avant Garde"/>
                <w:sz w:val="18"/>
                <w:szCs w:val="18"/>
              </w:rPr>
              <w:t>,</w:t>
            </w:r>
            <w:r>
              <w:rPr>
                <w:rFonts w:ascii="ITC Avant Garde" w:hAnsi="ITC Avant Garde"/>
                <w:sz w:val="18"/>
                <w:szCs w:val="18"/>
              </w:rPr>
              <w:t xml:space="preserve"> el acceso a un equipo de cómputo </w:t>
            </w:r>
            <w:r w:rsidR="00C200B9">
              <w:rPr>
                <w:rFonts w:ascii="ITC Avant Garde" w:hAnsi="ITC Avant Garde"/>
                <w:sz w:val="18"/>
                <w:szCs w:val="18"/>
              </w:rPr>
              <w:t>y a una conexión a internet se encuentra tan generalizado que difícilmente podría decirse que estos requerimientos representan un costo para el acceso a los procedimientos por Medios tradicionales.</w:t>
            </w:r>
          </w:p>
          <w:p w14:paraId="1D662A2B" w14:textId="77777777" w:rsidR="00C200B9" w:rsidRDefault="00C200B9" w:rsidP="003F600A">
            <w:pPr>
              <w:jc w:val="both"/>
              <w:rPr>
                <w:rFonts w:ascii="ITC Avant Garde" w:hAnsi="ITC Avant Garde"/>
                <w:sz w:val="18"/>
                <w:szCs w:val="18"/>
              </w:rPr>
            </w:pPr>
          </w:p>
          <w:p w14:paraId="49752FB0" w14:textId="709A4428" w:rsidR="00B70876" w:rsidRPr="00D008D0" w:rsidRDefault="00C200B9" w:rsidP="00C200B9">
            <w:pPr>
              <w:jc w:val="both"/>
              <w:rPr>
                <w:rFonts w:ascii="ITC Avant Garde" w:hAnsi="ITC Avant Garde"/>
                <w:sz w:val="18"/>
                <w:szCs w:val="18"/>
              </w:rPr>
            </w:pPr>
            <w:r>
              <w:rPr>
                <w:rFonts w:ascii="ITC Avant Garde" w:hAnsi="ITC Avant Garde"/>
                <w:sz w:val="18"/>
                <w:szCs w:val="18"/>
              </w:rPr>
              <w:t>Finalmente, no resulta excesivo recordar que el uso de Medios tradicionales para la sustanciación de procedimientos y solicitudes a cargo de la Unidad de Competencia Económica no dejará de estar disponible para los regulados, por lo que la adopción de dichos lineamientos será plenamente opcional.</w:t>
            </w:r>
          </w:p>
        </w:tc>
      </w:tr>
    </w:tbl>
    <w:p w14:paraId="0DD7317C" w14:textId="77777777" w:rsidR="00BE7D1C" w:rsidRPr="00451B7D" w:rsidRDefault="00BE7D1C" w:rsidP="00E21B49">
      <w:pPr>
        <w:jc w:val="both"/>
        <w:rPr>
          <w:rFonts w:ascii="ITC Avant Garde" w:hAnsi="ITC Avant Garde"/>
          <w:sz w:val="18"/>
          <w:szCs w:val="18"/>
        </w:rPr>
      </w:pPr>
    </w:p>
    <w:tbl>
      <w:tblPr>
        <w:tblStyle w:val="Tablaconcuadrcula"/>
        <w:tblW w:w="0" w:type="auto"/>
        <w:tblLook w:val="04A0" w:firstRow="1" w:lastRow="0" w:firstColumn="1" w:lastColumn="0" w:noHBand="0" w:noVBand="1"/>
      </w:tblPr>
      <w:tblGrid>
        <w:gridCol w:w="1696"/>
        <w:gridCol w:w="5670"/>
        <w:gridCol w:w="1462"/>
      </w:tblGrid>
      <w:tr w:rsidR="00804F49" w:rsidRPr="00451B7D" w14:paraId="15BB72C2" w14:textId="77777777" w:rsidTr="003949C0">
        <w:tc>
          <w:tcPr>
            <w:tcW w:w="1696" w:type="dxa"/>
            <w:vMerge w:val="restart"/>
          </w:tcPr>
          <w:p w14:paraId="139213E1" w14:textId="77777777" w:rsidR="00804F49" w:rsidRPr="00451B7D" w:rsidRDefault="00BE7D1C" w:rsidP="00BE7D1C">
            <w:pPr>
              <w:rPr>
                <w:rFonts w:ascii="ITC Avant Garde" w:hAnsi="ITC Avant Garde"/>
                <w:b/>
                <w:sz w:val="18"/>
                <w:szCs w:val="18"/>
              </w:rPr>
            </w:pPr>
            <w:r w:rsidRPr="00451B7D">
              <w:rPr>
                <w:rFonts w:ascii="ITC Avant Garde" w:hAnsi="ITC Avant Garde"/>
                <w:b/>
                <w:sz w:val="18"/>
                <w:szCs w:val="18"/>
              </w:rPr>
              <w:t>5</w:t>
            </w:r>
            <w:r w:rsidR="00D23BD5" w:rsidRPr="00451B7D">
              <w:rPr>
                <w:rFonts w:ascii="ITC Avant Garde" w:hAnsi="ITC Avant Garde"/>
                <w:b/>
                <w:sz w:val="18"/>
                <w:szCs w:val="18"/>
              </w:rPr>
              <w:t>.- Indique cuál(es) de los siguientes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criterios</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actualiza la propuesta</w:t>
            </w:r>
            <w:r w:rsidR="00804F49" w:rsidRPr="00451B7D">
              <w:rPr>
                <w:rFonts w:ascii="ITC Avant Garde" w:hAnsi="ITC Avant Garde"/>
                <w:b/>
                <w:sz w:val="18"/>
                <w:szCs w:val="18"/>
              </w:rPr>
              <w:t xml:space="preserve"> de </w:t>
            </w:r>
            <w:r w:rsidR="00D23BD5" w:rsidRPr="00451B7D">
              <w:rPr>
                <w:rFonts w:ascii="ITC Avant Garde" w:hAnsi="ITC Avant Garde"/>
                <w:b/>
                <w:sz w:val="18"/>
                <w:szCs w:val="18"/>
              </w:rPr>
              <w:t>regulación</w:t>
            </w:r>
            <w:r w:rsidR="0006478F" w:rsidRPr="00451B7D">
              <w:rPr>
                <w:rFonts w:ascii="ITC Avant Garde" w:hAnsi="ITC Avant Garde"/>
                <w:b/>
                <w:sz w:val="18"/>
                <w:szCs w:val="18"/>
              </w:rPr>
              <w:t>:</w:t>
            </w:r>
          </w:p>
        </w:tc>
        <w:tc>
          <w:tcPr>
            <w:tcW w:w="5670" w:type="dxa"/>
            <w:shd w:val="clear" w:color="auto" w:fill="A8D08D" w:themeFill="accent6" w:themeFillTint="99"/>
          </w:tcPr>
          <w:p w14:paraId="66114A32"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Acciones</w:t>
            </w:r>
          </w:p>
        </w:tc>
        <w:tc>
          <w:tcPr>
            <w:tcW w:w="1462" w:type="dxa"/>
            <w:shd w:val="clear" w:color="auto" w:fill="A8D08D" w:themeFill="accent6" w:themeFillTint="99"/>
          </w:tcPr>
          <w:p w14:paraId="4058477E" w14:textId="77777777" w:rsidR="00804F49" w:rsidRPr="00451B7D" w:rsidRDefault="00804F49" w:rsidP="00804F49">
            <w:pPr>
              <w:jc w:val="center"/>
              <w:rPr>
                <w:rFonts w:ascii="ITC Avant Garde" w:hAnsi="ITC Avant Garde"/>
                <w:b/>
                <w:sz w:val="18"/>
                <w:szCs w:val="18"/>
              </w:rPr>
            </w:pPr>
            <w:r w:rsidRPr="00451B7D">
              <w:rPr>
                <w:rFonts w:ascii="ITC Avant Garde" w:hAnsi="ITC Avant Garde"/>
                <w:b/>
                <w:sz w:val="18"/>
                <w:szCs w:val="18"/>
              </w:rPr>
              <w:t>Seleccione</w:t>
            </w:r>
          </w:p>
        </w:tc>
      </w:tr>
      <w:tr w:rsidR="00804F49" w:rsidRPr="00451B7D" w14:paraId="4F376F17" w14:textId="77777777" w:rsidTr="003949C0">
        <w:tc>
          <w:tcPr>
            <w:tcW w:w="1696" w:type="dxa"/>
            <w:vMerge/>
          </w:tcPr>
          <w:p w14:paraId="532E48FA" w14:textId="77777777" w:rsidR="00804F49" w:rsidRPr="00451B7D" w:rsidRDefault="00804F49" w:rsidP="00E21B49">
            <w:pPr>
              <w:jc w:val="both"/>
              <w:rPr>
                <w:rFonts w:ascii="ITC Avant Garde" w:hAnsi="ITC Avant Garde"/>
                <w:sz w:val="18"/>
                <w:szCs w:val="18"/>
              </w:rPr>
            </w:pPr>
          </w:p>
        </w:tc>
        <w:tc>
          <w:tcPr>
            <w:tcW w:w="5670" w:type="dxa"/>
          </w:tcPr>
          <w:p w14:paraId="31B28A1E"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Crea nuevas obligaciones y/o sanciones o hace más estrictas las existentes.</w:t>
            </w:r>
          </w:p>
        </w:tc>
        <w:tc>
          <w:tcPr>
            <w:tcW w:w="1462" w:type="dxa"/>
          </w:tcPr>
          <w:p w14:paraId="29697EEF"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1B197A" w:rsidRPr="001B197A">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69FA04BC" w14:textId="77777777" w:rsidTr="003949C0">
        <w:tc>
          <w:tcPr>
            <w:tcW w:w="1696" w:type="dxa"/>
            <w:vMerge/>
          </w:tcPr>
          <w:p w14:paraId="1CAD9E26" w14:textId="77777777" w:rsidR="00804F49" w:rsidRPr="00451B7D" w:rsidRDefault="00804F49" w:rsidP="00804F49">
            <w:pPr>
              <w:jc w:val="both"/>
              <w:rPr>
                <w:rFonts w:ascii="ITC Avant Garde" w:hAnsi="ITC Avant Garde"/>
                <w:sz w:val="18"/>
                <w:szCs w:val="18"/>
              </w:rPr>
            </w:pPr>
          </w:p>
        </w:tc>
        <w:tc>
          <w:tcPr>
            <w:tcW w:w="5670" w:type="dxa"/>
          </w:tcPr>
          <w:p w14:paraId="4B98D4A5"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 xml:space="preserve">Modifica o crea </w:t>
            </w:r>
            <w:r w:rsidR="00814A48">
              <w:rPr>
                <w:rFonts w:ascii="ITC Avant Garde" w:hAnsi="ITC Avant Garde"/>
                <w:sz w:val="18"/>
                <w:szCs w:val="18"/>
              </w:rPr>
              <w:t>T</w:t>
            </w:r>
            <w:r w:rsidRPr="00451B7D">
              <w:rPr>
                <w:rFonts w:ascii="ITC Avant Garde" w:hAnsi="ITC Avant Garde"/>
                <w:sz w:val="18"/>
                <w:szCs w:val="18"/>
              </w:rPr>
              <w:t>rámites</w:t>
            </w:r>
            <w:r w:rsidR="008E1AD3" w:rsidRPr="00451B7D">
              <w:rPr>
                <w:rFonts w:ascii="ITC Avant Garde" w:hAnsi="ITC Avant Garde"/>
                <w:sz w:val="18"/>
                <w:szCs w:val="18"/>
              </w:rPr>
              <w:t xml:space="preserve"> </w:t>
            </w:r>
            <w:r w:rsidRPr="00451B7D">
              <w:rPr>
                <w:rFonts w:ascii="ITC Avant Garde" w:hAnsi="ITC Avant Garde"/>
                <w:sz w:val="18"/>
                <w:szCs w:val="18"/>
              </w:rPr>
              <w:t xml:space="preserve">que signifiquen mayores cargas administrativas o costos de </w:t>
            </w:r>
            <w:r w:rsidRPr="007C425A">
              <w:rPr>
                <w:rFonts w:ascii="ITC Avant Garde" w:hAnsi="ITC Avant Garde"/>
                <w:sz w:val="18"/>
                <w:szCs w:val="18"/>
              </w:rPr>
              <w:t>cumplimiento</w:t>
            </w:r>
            <w:r w:rsidR="008E1AD3" w:rsidRPr="007C425A">
              <w:rPr>
                <w:rFonts w:ascii="ITC Avant Garde" w:hAnsi="ITC Avant Garde"/>
                <w:sz w:val="18"/>
                <w:szCs w:val="18"/>
                <w:vertAlign w:val="superscript"/>
              </w:rPr>
              <w:footnoteReference w:id="1"/>
            </w:r>
            <w:r w:rsidRPr="007C425A">
              <w:rPr>
                <w:rFonts w:ascii="ITC Avant Garde" w:hAnsi="ITC Avant Garde"/>
                <w:sz w:val="18"/>
                <w:szCs w:val="18"/>
              </w:rPr>
              <w:t>.</w:t>
            </w:r>
          </w:p>
        </w:tc>
        <w:tc>
          <w:tcPr>
            <w:tcW w:w="1462" w:type="dxa"/>
          </w:tcPr>
          <w:p w14:paraId="4122AAAA"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w:t>
            </w:r>
            <w:r w:rsidR="004A7C30" w:rsidRPr="00451B7D">
              <w:rPr>
                <w:rFonts w:ascii="ITC Avant Garde" w:hAnsi="ITC Avant Garde"/>
                <w:sz w:val="18"/>
                <w:szCs w:val="18"/>
              </w:rPr>
              <w:t xml:space="preserve"> </w:t>
            </w:r>
            <w:r w:rsidR="001B197A" w:rsidRPr="001B197A">
              <w:rPr>
                <w:rFonts w:ascii="ITC Avant Garde" w:hAnsi="ITC Avant Garde"/>
                <w:b/>
                <w:sz w:val="18"/>
                <w:szCs w:val="18"/>
              </w:rPr>
              <w:t>X</w:t>
            </w:r>
            <w:r w:rsidRPr="00451B7D">
              <w:rPr>
                <w:rFonts w:ascii="ITC Avant Garde" w:hAnsi="ITC Avant Garde"/>
                <w:sz w:val="18"/>
                <w:szCs w:val="18"/>
              </w:rPr>
              <w:t xml:space="preserve"> )</w:t>
            </w:r>
          </w:p>
        </w:tc>
      </w:tr>
      <w:tr w:rsidR="00804F49" w:rsidRPr="00451B7D" w14:paraId="48733595" w14:textId="77777777" w:rsidTr="003949C0">
        <w:tc>
          <w:tcPr>
            <w:tcW w:w="1696" w:type="dxa"/>
            <w:vMerge/>
          </w:tcPr>
          <w:p w14:paraId="37949D5A" w14:textId="77777777" w:rsidR="00804F49" w:rsidRPr="00451B7D" w:rsidRDefault="00804F49" w:rsidP="00804F49">
            <w:pPr>
              <w:jc w:val="both"/>
              <w:rPr>
                <w:rFonts w:ascii="ITC Avant Garde" w:hAnsi="ITC Avant Garde"/>
                <w:sz w:val="18"/>
                <w:szCs w:val="18"/>
              </w:rPr>
            </w:pPr>
          </w:p>
        </w:tc>
        <w:tc>
          <w:tcPr>
            <w:tcW w:w="5670" w:type="dxa"/>
          </w:tcPr>
          <w:p w14:paraId="5B65659A"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Reduce o re</w:t>
            </w:r>
            <w:r w:rsidR="004A7C30" w:rsidRPr="00451B7D">
              <w:rPr>
                <w:rFonts w:ascii="ITC Avant Garde" w:hAnsi="ITC Avant Garde"/>
                <w:sz w:val="18"/>
                <w:szCs w:val="18"/>
              </w:rPr>
              <w:t>stringe prestaciones o derechos</w:t>
            </w:r>
            <w:r w:rsidRPr="00451B7D">
              <w:rPr>
                <w:rFonts w:ascii="ITC Avant Garde" w:hAnsi="ITC Avant Garde"/>
                <w:sz w:val="18"/>
                <w:szCs w:val="18"/>
              </w:rPr>
              <w:t>.</w:t>
            </w:r>
          </w:p>
        </w:tc>
        <w:tc>
          <w:tcPr>
            <w:tcW w:w="1462" w:type="dxa"/>
          </w:tcPr>
          <w:p w14:paraId="5BF7B1F7"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w:t>
            </w:r>
            <w:r w:rsidR="004A7C30" w:rsidRPr="00451B7D">
              <w:rPr>
                <w:rFonts w:ascii="ITC Avant Garde" w:hAnsi="ITC Avant Garde"/>
                <w:sz w:val="18"/>
                <w:szCs w:val="18"/>
              </w:rPr>
              <w:t xml:space="preserve"> </w:t>
            </w:r>
            <w:r w:rsidRPr="00451B7D">
              <w:rPr>
                <w:rFonts w:ascii="ITC Avant Garde" w:hAnsi="ITC Avant Garde"/>
                <w:sz w:val="18"/>
                <w:szCs w:val="18"/>
              </w:rPr>
              <w:t xml:space="preserve"> )</w:t>
            </w:r>
            <w:proofErr w:type="gramEnd"/>
            <w:r w:rsidRPr="00451B7D">
              <w:rPr>
                <w:rFonts w:ascii="ITC Avant Garde" w:hAnsi="ITC Avant Garde"/>
                <w:sz w:val="18"/>
                <w:szCs w:val="18"/>
              </w:rPr>
              <w:t xml:space="preserve"> No ( </w:t>
            </w:r>
            <w:r w:rsidR="001B197A" w:rsidRPr="001B197A">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r w:rsidR="00804F49" w:rsidRPr="00451B7D" w14:paraId="36167923" w14:textId="77777777" w:rsidTr="003949C0">
        <w:tc>
          <w:tcPr>
            <w:tcW w:w="1696" w:type="dxa"/>
            <w:vMerge/>
          </w:tcPr>
          <w:p w14:paraId="06DB81B4" w14:textId="77777777" w:rsidR="00804F49" w:rsidRPr="00451B7D" w:rsidRDefault="00804F49" w:rsidP="00804F49">
            <w:pPr>
              <w:jc w:val="both"/>
              <w:rPr>
                <w:rFonts w:ascii="ITC Avant Garde" w:hAnsi="ITC Avant Garde"/>
                <w:sz w:val="18"/>
                <w:szCs w:val="18"/>
              </w:rPr>
            </w:pPr>
          </w:p>
        </w:tc>
        <w:tc>
          <w:tcPr>
            <w:tcW w:w="5670" w:type="dxa"/>
          </w:tcPr>
          <w:p w14:paraId="2E0B916F" w14:textId="77777777" w:rsidR="00804F49" w:rsidRPr="00451B7D" w:rsidRDefault="00804F49" w:rsidP="004A7C30">
            <w:pPr>
              <w:jc w:val="both"/>
              <w:rPr>
                <w:rFonts w:ascii="ITC Avant Garde" w:hAnsi="ITC Avant Garde"/>
                <w:sz w:val="18"/>
                <w:szCs w:val="18"/>
              </w:rPr>
            </w:pPr>
            <w:r w:rsidRPr="00451B7D">
              <w:rPr>
                <w:rFonts w:ascii="ITC Avant Garde" w:hAnsi="ITC Avant Garde"/>
                <w:sz w:val="18"/>
                <w:szCs w:val="18"/>
              </w:rPr>
              <w:t>Establece o modifica definiciones, clasificaciones, metodologías, criterios, caracterizaciones o cualquier otro término de referencia, afectando derechos, obliga</w:t>
            </w:r>
            <w:r w:rsidR="004A7C30" w:rsidRPr="00451B7D">
              <w:rPr>
                <w:rFonts w:ascii="ITC Avant Garde" w:hAnsi="ITC Avant Garde"/>
                <w:sz w:val="18"/>
                <w:szCs w:val="18"/>
              </w:rPr>
              <w:t>ciones, prestaciones o trámites</w:t>
            </w:r>
            <w:r w:rsidRPr="00451B7D">
              <w:rPr>
                <w:rFonts w:ascii="ITC Avant Garde" w:hAnsi="ITC Avant Garde"/>
                <w:sz w:val="18"/>
                <w:szCs w:val="18"/>
              </w:rPr>
              <w:t>.</w:t>
            </w:r>
          </w:p>
        </w:tc>
        <w:tc>
          <w:tcPr>
            <w:tcW w:w="1462" w:type="dxa"/>
          </w:tcPr>
          <w:p w14:paraId="0CD72E43" w14:textId="77777777" w:rsidR="00804F49" w:rsidRPr="00451B7D" w:rsidRDefault="00804F49" w:rsidP="00804F49">
            <w:pPr>
              <w:jc w:val="center"/>
              <w:rPr>
                <w:rFonts w:ascii="ITC Avant Garde" w:hAnsi="ITC Avant Garde"/>
                <w:sz w:val="18"/>
                <w:szCs w:val="18"/>
              </w:rPr>
            </w:pPr>
            <w:r w:rsidRPr="00451B7D">
              <w:rPr>
                <w:rFonts w:ascii="ITC Avant Garde" w:hAnsi="ITC Avant Garde"/>
                <w:sz w:val="18"/>
                <w:szCs w:val="18"/>
              </w:rPr>
              <w:t xml:space="preserve">Si </w:t>
            </w:r>
            <w:proofErr w:type="gramStart"/>
            <w:r w:rsidRPr="00451B7D">
              <w:rPr>
                <w:rFonts w:ascii="ITC Avant Garde" w:hAnsi="ITC Avant Garde"/>
                <w:sz w:val="18"/>
                <w:szCs w:val="18"/>
              </w:rPr>
              <w:t xml:space="preserve">( </w:t>
            </w:r>
            <w:r w:rsidR="004A7C30" w:rsidRPr="00451B7D">
              <w:rPr>
                <w:rFonts w:ascii="ITC Avant Garde" w:hAnsi="ITC Avant Garde"/>
                <w:sz w:val="18"/>
                <w:szCs w:val="18"/>
              </w:rPr>
              <w:t xml:space="preserve"> </w:t>
            </w:r>
            <w:r w:rsidRPr="00451B7D">
              <w:rPr>
                <w:rFonts w:ascii="ITC Avant Garde" w:hAnsi="ITC Avant Garde"/>
                <w:sz w:val="18"/>
                <w:szCs w:val="18"/>
              </w:rPr>
              <w:t>)</w:t>
            </w:r>
            <w:proofErr w:type="gramEnd"/>
            <w:r w:rsidRPr="00451B7D">
              <w:rPr>
                <w:rFonts w:ascii="ITC Avant Garde" w:hAnsi="ITC Avant Garde"/>
                <w:sz w:val="18"/>
                <w:szCs w:val="18"/>
              </w:rPr>
              <w:t xml:space="preserve"> No ( </w:t>
            </w:r>
            <w:r w:rsidR="001B197A" w:rsidRPr="001B197A">
              <w:rPr>
                <w:rFonts w:ascii="ITC Avant Garde" w:hAnsi="ITC Avant Garde"/>
                <w:b/>
                <w:sz w:val="18"/>
                <w:szCs w:val="18"/>
              </w:rPr>
              <w:t>X</w:t>
            </w:r>
            <w:r w:rsidR="004A7C30" w:rsidRPr="00451B7D">
              <w:rPr>
                <w:rFonts w:ascii="ITC Avant Garde" w:hAnsi="ITC Avant Garde"/>
                <w:sz w:val="18"/>
                <w:szCs w:val="18"/>
              </w:rPr>
              <w:t xml:space="preserve"> </w:t>
            </w:r>
            <w:r w:rsidRPr="00451B7D">
              <w:rPr>
                <w:rFonts w:ascii="ITC Avant Garde" w:hAnsi="ITC Avant Garde"/>
                <w:sz w:val="18"/>
                <w:szCs w:val="18"/>
              </w:rPr>
              <w:t>)</w:t>
            </w:r>
          </w:p>
        </w:tc>
      </w:tr>
    </w:tbl>
    <w:p w14:paraId="1732016B" w14:textId="77777777" w:rsidR="00E21B49" w:rsidRPr="00451B7D" w:rsidRDefault="00E21B49" w:rsidP="00E21B49">
      <w:pPr>
        <w:jc w:val="both"/>
        <w:rPr>
          <w:rFonts w:ascii="ITC Avant Garde" w:hAnsi="ITC Avant Garde"/>
          <w:sz w:val="18"/>
          <w:szCs w:val="18"/>
        </w:rPr>
      </w:pPr>
    </w:p>
    <w:p w14:paraId="746D2735" w14:textId="77777777" w:rsidR="00A73AD8" w:rsidRPr="00451B7D" w:rsidRDefault="00A73AD8" w:rsidP="00A73AD8">
      <w:pPr>
        <w:shd w:val="clear" w:color="auto" w:fill="A8D08D" w:themeFill="accent6" w:themeFillTint="99"/>
        <w:jc w:val="both"/>
        <w:rPr>
          <w:rFonts w:ascii="ITC Avant Garde" w:hAnsi="ITC Avant Garde"/>
          <w:b/>
          <w:sz w:val="18"/>
          <w:szCs w:val="18"/>
        </w:rPr>
      </w:pPr>
      <w:r w:rsidRPr="00451B7D">
        <w:rPr>
          <w:rFonts w:ascii="ITC Avant Garde" w:hAnsi="ITC Avant Garde"/>
          <w:b/>
          <w:sz w:val="18"/>
          <w:szCs w:val="18"/>
        </w:rPr>
        <w:t>I</w:t>
      </w:r>
      <w:r w:rsidR="00804F49" w:rsidRPr="00451B7D">
        <w:rPr>
          <w:rFonts w:ascii="ITC Avant Garde" w:hAnsi="ITC Avant Garde"/>
          <w:b/>
          <w:sz w:val="18"/>
          <w:szCs w:val="18"/>
        </w:rPr>
        <w:t>I</w:t>
      </w:r>
      <w:r w:rsidRPr="00451B7D">
        <w:rPr>
          <w:rFonts w:ascii="ITC Avant Garde" w:hAnsi="ITC Avant Garde"/>
          <w:b/>
          <w:sz w:val="18"/>
          <w:szCs w:val="18"/>
        </w:rPr>
        <w:t xml:space="preserve">I. </w:t>
      </w:r>
      <w:r w:rsidR="003E1D84" w:rsidRPr="00451B7D">
        <w:rPr>
          <w:rFonts w:ascii="ITC Avant Garde" w:hAnsi="ITC Avant Garde"/>
          <w:b/>
          <w:sz w:val="18"/>
          <w:szCs w:val="18"/>
        </w:rPr>
        <w:t>BIBLIOGRAFÍA O REFERENCIAS DE CUALQUIER ÍNDOLE QUE SE HAYAN UTILIZADO EN LA ELABORACIÓN DE LA PROPUESTA DE REGULACIÓN</w:t>
      </w:r>
      <w:r w:rsidRPr="00451B7D">
        <w:rPr>
          <w:rFonts w:ascii="ITC Avant Garde" w:hAnsi="ITC Avant Garde"/>
          <w:b/>
          <w:sz w:val="18"/>
          <w:szCs w:val="18"/>
        </w:rPr>
        <w:t>.</w:t>
      </w:r>
    </w:p>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8828"/>
      </w:tblGrid>
      <w:tr w:rsidR="00A73AD8" w:rsidRPr="00451B7D" w14:paraId="05EFF277" w14:textId="77777777" w:rsidTr="00F57EB2">
        <w:tc>
          <w:tcPr>
            <w:tcW w:w="8828" w:type="dxa"/>
          </w:tcPr>
          <w:p w14:paraId="1A860515" w14:textId="77777777" w:rsidR="00B74C55" w:rsidRPr="00451B7D" w:rsidRDefault="00BE7D1C" w:rsidP="00A73AD8">
            <w:pPr>
              <w:jc w:val="both"/>
              <w:rPr>
                <w:rFonts w:ascii="ITC Avant Garde" w:hAnsi="ITC Avant Garde"/>
                <w:b/>
                <w:sz w:val="18"/>
                <w:szCs w:val="18"/>
              </w:rPr>
            </w:pPr>
            <w:r w:rsidRPr="00451B7D">
              <w:rPr>
                <w:rFonts w:ascii="ITC Avant Garde" w:hAnsi="ITC Avant Garde"/>
                <w:b/>
                <w:sz w:val="18"/>
                <w:szCs w:val="18"/>
              </w:rPr>
              <w:t>6</w:t>
            </w:r>
            <w:r w:rsidR="00A73AD8" w:rsidRPr="00451B7D">
              <w:rPr>
                <w:rFonts w:ascii="ITC Avant Garde" w:hAnsi="ITC Avant Garde"/>
                <w:b/>
                <w:sz w:val="18"/>
                <w:szCs w:val="18"/>
              </w:rPr>
              <w:t xml:space="preserve">.- Enliste </w:t>
            </w:r>
            <w:r w:rsidR="00B74C55" w:rsidRPr="00451B7D">
              <w:rPr>
                <w:rFonts w:ascii="ITC Avant Garde" w:hAnsi="ITC Avant Garde"/>
                <w:b/>
                <w:sz w:val="18"/>
                <w:szCs w:val="18"/>
              </w:rPr>
              <w:t>los datos bibliográficos o las direcciones electrónicas consultadas para el diseño y redacción</w:t>
            </w:r>
            <w:r w:rsidR="00804F49" w:rsidRPr="00451B7D">
              <w:rPr>
                <w:rFonts w:ascii="ITC Avant Garde" w:hAnsi="ITC Avant Garde"/>
                <w:b/>
                <w:sz w:val="18"/>
                <w:szCs w:val="18"/>
              </w:rPr>
              <w:t xml:space="preserve"> </w:t>
            </w:r>
            <w:r w:rsidR="00D23BD5" w:rsidRPr="00451B7D">
              <w:rPr>
                <w:rFonts w:ascii="ITC Avant Garde" w:hAnsi="ITC Avant Garde"/>
                <w:b/>
                <w:sz w:val="18"/>
                <w:szCs w:val="18"/>
              </w:rPr>
              <w:t>de la propuesta</w:t>
            </w:r>
            <w:r w:rsidR="00804F49" w:rsidRPr="00451B7D">
              <w:rPr>
                <w:rFonts w:ascii="ITC Avant Garde" w:hAnsi="ITC Avant Garde"/>
                <w:b/>
                <w:sz w:val="18"/>
                <w:szCs w:val="18"/>
              </w:rPr>
              <w:t xml:space="preserve"> de regulación, así como cualquier otra documentación que se considere de interés.</w:t>
            </w:r>
          </w:p>
          <w:p w14:paraId="227DAE9A" w14:textId="77777777" w:rsidR="001B197A" w:rsidRPr="006D3C93" w:rsidRDefault="001B197A" w:rsidP="006D3C93">
            <w:pPr>
              <w:jc w:val="both"/>
              <w:rPr>
                <w:rFonts w:ascii="ITC Avant Garde" w:hAnsi="ITC Avant Garde"/>
                <w:sz w:val="18"/>
                <w:szCs w:val="18"/>
              </w:rPr>
            </w:pPr>
          </w:p>
          <w:p w14:paraId="4AA017B8" w14:textId="77777777" w:rsidR="00870931" w:rsidRDefault="001B197A" w:rsidP="00B70876">
            <w:pPr>
              <w:pStyle w:val="Prrafodelista"/>
              <w:numPr>
                <w:ilvl w:val="0"/>
                <w:numId w:val="3"/>
              </w:numPr>
              <w:jc w:val="both"/>
              <w:rPr>
                <w:rFonts w:ascii="ITC Avant Garde" w:hAnsi="ITC Avant Garde"/>
                <w:sz w:val="18"/>
                <w:szCs w:val="18"/>
              </w:rPr>
            </w:pPr>
            <w:r>
              <w:rPr>
                <w:rFonts w:ascii="ITC Avant Garde" w:hAnsi="ITC Avant Garde"/>
                <w:sz w:val="18"/>
                <w:szCs w:val="18"/>
              </w:rPr>
              <w:t>Ley Federal de Competencia Económica.</w:t>
            </w:r>
            <w:r w:rsidR="00B70876">
              <w:rPr>
                <w:rFonts w:ascii="ITC Avant Garde" w:hAnsi="ITC Avant Garde"/>
                <w:sz w:val="18"/>
                <w:szCs w:val="18"/>
              </w:rPr>
              <w:t xml:space="preserve"> Disponible en: </w:t>
            </w:r>
            <w:hyperlink r:id="rId11" w:history="1">
              <w:r w:rsidR="00B70876" w:rsidRPr="00CD7E55">
                <w:rPr>
                  <w:rStyle w:val="Hipervnculo"/>
                  <w:rFonts w:ascii="ITC Avant Garde" w:hAnsi="ITC Avant Garde"/>
                  <w:sz w:val="18"/>
                  <w:szCs w:val="18"/>
                </w:rPr>
                <w:t>http://www.diputados.gob.mx/LeyesBiblio/ref/lfce.htm</w:t>
              </w:r>
            </w:hyperlink>
          </w:p>
          <w:p w14:paraId="7ABADC82" w14:textId="77777777" w:rsidR="00B70876" w:rsidRDefault="00B70876" w:rsidP="00B70876">
            <w:pPr>
              <w:pStyle w:val="Prrafodelista"/>
              <w:jc w:val="both"/>
              <w:rPr>
                <w:rFonts w:ascii="ITC Avant Garde" w:hAnsi="ITC Avant Garde"/>
                <w:sz w:val="18"/>
                <w:szCs w:val="18"/>
              </w:rPr>
            </w:pPr>
          </w:p>
          <w:p w14:paraId="6DAA724A" w14:textId="0094A240" w:rsidR="001B197A" w:rsidRDefault="001B197A" w:rsidP="00B70876">
            <w:pPr>
              <w:pStyle w:val="Prrafodelista"/>
              <w:numPr>
                <w:ilvl w:val="0"/>
                <w:numId w:val="3"/>
              </w:numPr>
              <w:jc w:val="both"/>
              <w:rPr>
                <w:rFonts w:ascii="ITC Avant Garde" w:hAnsi="ITC Avant Garde"/>
                <w:sz w:val="18"/>
                <w:szCs w:val="18"/>
              </w:rPr>
            </w:pPr>
            <w:r>
              <w:rPr>
                <w:rFonts w:ascii="ITC Avant Garde" w:hAnsi="ITC Avant Garde"/>
                <w:sz w:val="18"/>
                <w:szCs w:val="18"/>
              </w:rPr>
              <w:t>Disposiciones regulatorias de la Ley Federal de Competencia Económica para los sectores de telecomunicaciones y radiodifusión.</w:t>
            </w:r>
            <w:r w:rsidR="00B70876">
              <w:rPr>
                <w:rFonts w:ascii="ITC Avant Garde" w:hAnsi="ITC Avant Garde"/>
                <w:sz w:val="18"/>
                <w:szCs w:val="18"/>
              </w:rPr>
              <w:t xml:space="preserve"> Disponible en </w:t>
            </w:r>
            <w:hyperlink r:id="rId12" w:history="1">
              <w:r w:rsidR="00B70876" w:rsidRPr="00CD7E55">
                <w:rPr>
                  <w:rStyle w:val="Hipervnculo"/>
                  <w:rFonts w:ascii="ITC Avant Garde" w:hAnsi="ITC Avant Garde"/>
                  <w:sz w:val="18"/>
                  <w:szCs w:val="18"/>
                </w:rPr>
                <w:t>http://www.ift.org.mx/industria/autoridad-investigadora/documentos-materia-economica#</w:t>
              </w:r>
            </w:hyperlink>
            <w:r w:rsidR="00B70876">
              <w:rPr>
                <w:rFonts w:ascii="ITC Avant Garde" w:hAnsi="ITC Avant Garde"/>
                <w:sz w:val="18"/>
                <w:szCs w:val="18"/>
              </w:rPr>
              <w:t xml:space="preserve"> </w:t>
            </w:r>
          </w:p>
          <w:p w14:paraId="260F3EF4" w14:textId="77777777" w:rsidR="005820F0" w:rsidRPr="005820F0" w:rsidRDefault="005820F0" w:rsidP="005820F0">
            <w:pPr>
              <w:pStyle w:val="Prrafodelista"/>
              <w:rPr>
                <w:rFonts w:ascii="ITC Avant Garde" w:hAnsi="ITC Avant Garde"/>
                <w:sz w:val="18"/>
                <w:szCs w:val="18"/>
              </w:rPr>
            </w:pPr>
          </w:p>
          <w:p w14:paraId="359FC08C" w14:textId="5A3865D5" w:rsidR="00F02CAE" w:rsidRDefault="00F02CAE" w:rsidP="005820F0">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Lineamientos para la sustanciación de los trámites y servicios que se realicen ante el Instituto Federal de Telecomunicaciones, a través de la Ventanilla Electrónica. Disponible en: </w:t>
            </w:r>
            <w:hyperlink r:id="rId13" w:history="1">
              <w:r w:rsidRPr="006D0FA1">
                <w:rPr>
                  <w:rStyle w:val="Hipervnculo"/>
                  <w:rFonts w:ascii="ITC Avant Garde" w:hAnsi="ITC Avant Garde"/>
                  <w:sz w:val="18"/>
                  <w:szCs w:val="18"/>
                </w:rPr>
                <w:t>http://www.ift.org.mx/sites/default/files/conocenos/pleno/sesiones/acuerdoliga/dofpift210819394acc.pdf</w:t>
              </w:r>
            </w:hyperlink>
            <w:r>
              <w:rPr>
                <w:rFonts w:ascii="ITC Avant Garde" w:hAnsi="ITC Avant Garde"/>
                <w:sz w:val="18"/>
                <w:szCs w:val="18"/>
              </w:rPr>
              <w:t xml:space="preserve"> </w:t>
            </w:r>
          </w:p>
          <w:p w14:paraId="4CAA94EC" w14:textId="77777777" w:rsidR="00F02CAE" w:rsidRPr="00F02CAE" w:rsidRDefault="00F02CAE" w:rsidP="00F02CAE">
            <w:pPr>
              <w:pStyle w:val="Prrafodelista"/>
              <w:rPr>
                <w:rFonts w:ascii="ITC Avant Garde" w:hAnsi="ITC Avant Garde"/>
                <w:sz w:val="18"/>
                <w:szCs w:val="18"/>
              </w:rPr>
            </w:pPr>
          </w:p>
          <w:p w14:paraId="4D0F75F7" w14:textId="4718C30C" w:rsidR="00DE18B7" w:rsidRDefault="00DE18B7" w:rsidP="005820F0">
            <w:pPr>
              <w:pStyle w:val="Prrafodelista"/>
              <w:numPr>
                <w:ilvl w:val="0"/>
                <w:numId w:val="3"/>
              </w:numPr>
              <w:jc w:val="both"/>
              <w:rPr>
                <w:rFonts w:ascii="ITC Avant Garde" w:hAnsi="ITC Avant Garde"/>
                <w:sz w:val="18"/>
                <w:szCs w:val="18"/>
              </w:rPr>
            </w:pPr>
            <w:r>
              <w:rPr>
                <w:rFonts w:ascii="ITC Avant Garde" w:hAnsi="ITC Avant Garde"/>
                <w:sz w:val="18"/>
                <w:szCs w:val="18"/>
              </w:rPr>
              <w:t xml:space="preserve">Estatuto orgánico del Instituto Federal de Telecomunicaciones. Disponible en: </w:t>
            </w:r>
            <w:hyperlink r:id="rId14" w:history="1">
              <w:r w:rsidRPr="006D0FA1">
                <w:rPr>
                  <w:rStyle w:val="Hipervnculo"/>
                  <w:rFonts w:ascii="ITC Avant Garde" w:hAnsi="ITC Avant Garde"/>
                  <w:sz w:val="18"/>
                  <w:szCs w:val="18"/>
                </w:rPr>
                <w:t>http://www.ift.org.mx/sites/default/files/estatuto_organico_ift_version_vigente_jul_2020.pdf</w:t>
              </w:r>
            </w:hyperlink>
            <w:r>
              <w:rPr>
                <w:rFonts w:ascii="ITC Avant Garde" w:hAnsi="ITC Avant Garde"/>
                <w:sz w:val="18"/>
                <w:szCs w:val="18"/>
              </w:rPr>
              <w:t xml:space="preserve"> </w:t>
            </w:r>
          </w:p>
          <w:p w14:paraId="329B48E6" w14:textId="77777777" w:rsidR="00DE18B7" w:rsidRPr="00DE18B7" w:rsidRDefault="00DE18B7" w:rsidP="00DE18B7">
            <w:pPr>
              <w:pStyle w:val="Prrafodelista"/>
              <w:rPr>
                <w:rFonts w:ascii="ITC Avant Garde" w:hAnsi="ITC Avant Garde"/>
                <w:sz w:val="18"/>
                <w:szCs w:val="18"/>
              </w:rPr>
            </w:pPr>
          </w:p>
          <w:p w14:paraId="194EEF89" w14:textId="77777777" w:rsidR="001B197A" w:rsidRDefault="00DE18B7" w:rsidP="00EC467A">
            <w:pPr>
              <w:pStyle w:val="Prrafodelista"/>
              <w:numPr>
                <w:ilvl w:val="0"/>
                <w:numId w:val="3"/>
              </w:numPr>
              <w:jc w:val="both"/>
              <w:rPr>
                <w:rFonts w:ascii="ITC Avant Garde" w:hAnsi="ITC Avant Garde"/>
                <w:sz w:val="18"/>
                <w:szCs w:val="18"/>
              </w:rPr>
            </w:pPr>
            <w:r>
              <w:rPr>
                <w:rFonts w:ascii="ITC Avant Garde" w:hAnsi="ITC Avant Garde"/>
                <w:sz w:val="18"/>
                <w:szCs w:val="18"/>
              </w:rPr>
              <w:t>“El fin del trámite eterno: Ciudadanos, burocracia y gobierno digital”, publicado por el B</w:t>
            </w:r>
            <w:r w:rsidR="00EC467A">
              <w:rPr>
                <w:rFonts w:ascii="ITC Avant Garde" w:hAnsi="ITC Avant Garde"/>
                <w:sz w:val="18"/>
                <w:szCs w:val="18"/>
              </w:rPr>
              <w:t xml:space="preserve">anco Interamericano de Desarrollo en junio de 2011. Disponible en: </w:t>
            </w:r>
            <w:hyperlink r:id="rId15" w:history="1">
              <w:r w:rsidR="00EC467A" w:rsidRPr="006D0FA1">
                <w:rPr>
                  <w:rStyle w:val="Hipervnculo"/>
                  <w:rFonts w:ascii="ITC Avant Garde" w:hAnsi="ITC Avant Garde"/>
                  <w:sz w:val="18"/>
                  <w:szCs w:val="18"/>
                </w:rPr>
                <w:t>https://www.iadb.org/es/noticias/digitalizacion-de-los-tramites-reduciria-la-corrupcion-y-los-costos-de-la-burocracia-en</w:t>
              </w:r>
            </w:hyperlink>
            <w:r w:rsidR="00EC467A">
              <w:rPr>
                <w:rFonts w:ascii="ITC Avant Garde" w:hAnsi="ITC Avant Garde"/>
                <w:sz w:val="18"/>
                <w:szCs w:val="18"/>
              </w:rPr>
              <w:t xml:space="preserve"> </w:t>
            </w:r>
          </w:p>
          <w:p w14:paraId="3EEF85E2" w14:textId="0A81315A" w:rsidR="00EC467A" w:rsidRPr="00EC467A" w:rsidRDefault="00EC467A" w:rsidP="00EC467A">
            <w:pPr>
              <w:jc w:val="both"/>
              <w:rPr>
                <w:rFonts w:ascii="ITC Avant Garde" w:hAnsi="ITC Avant Garde"/>
                <w:sz w:val="18"/>
                <w:szCs w:val="18"/>
              </w:rPr>
            </w:pPr>
          </w:p>
        </w:tc>
      </w:tr>
    </w:tbl>
    <w:p w14:paraId="61357E05" w14:textId="77777777" w:rsidR="0086684A" w:rsidRPr="00451B7D" w:rsidRDefault="0086684A" w:rsidP="0086684A">
      <w:pPr>
        <w:jc w:val="both"/>
        <w:rPr>
          <w:rFonts w:ascii="ITC Avant Garde" w:hAnsi="ITC Avant Garde"/>
          <w:sz w:val="18"/>
          <w:szCs w:val="18"/>
        </w:rPr>
      </w:pPr>
    </w:p>
    <w:sectPr w:rsidR="0086684A" w:rsidRPr="00451B7D">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B7DAED" w14:textId="77777777" w:rsidR="00C41E98" w:rsidRDefault="00C41E98" w:rsidP="00501ADF">
      <w:pPr>
        <w:spacing w:after="0" w:line="240" w:lineRule="auto"/>
      </w:pPr>
      <w:r>
        <w:separator/>
      </w:r>
    </w:p>
  </w:endnote>
  <w:endnote w:type="continuationSeparator" w:id="0">
    <w:p w14:paraId="3419702A" w14:textId="77777777" w:rsidR="00C41E98" w:rsidRDefault="00C41E98"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1455668091"/>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48FFD41B" w14:textId="2A9EF3BA" w:rsidR="0006478F" w:rsidRPr="0006478F" w:rsidRDefault="0006478F">
            <w:pPr>
              <w:pStyle w:val="Piedepgina"/>
              <w:jc w:val="right"/>
              <w:rPr>
                <w:sz w:val="20"/>
              </w:rPr>
            </w:pPr>
            <w:r w:rsidRPr="0006478F">
              <w:rPr>
                <w:b/>
                <w:bCs/>
                <w:szCs w:val="24"/>
              </w:rPr>
              <w:fldChar w:fldCharType="begin"/>
            </w:r>
            <w:r w:rsidRPr="0006478F">
              <w:rPr>
                <w:b/>
                <w:bCs/>
                <w:sz w:val="20"/>
              </w:rPr>
              <w:instrText>PAGE</w:instrText>
            </w:r>
            <w:r w:rsidRPr="0006478F">
              <w:rPr>
                <w:b/>
                <w:bCs/>
                <w:szCs w:val="24"/>
              </w:rPr>
              <w:fldChar w:fldCharType="separate"/>
            </w:r>
            <w:r w:rsidR="00BB4386">
              <w:rPr>
                <w:b/>
                <w:bCs/>
                <w:noProof/>
                <w:sz w:val="20"/>
              </w:rPr>
              <w:t>3</w:t>
            </w:r>
            <w:r w:rsidRPr="0006478F">
              <w:rPr>
                <w:b/>
                <w:bCs/>
                <w:szCs w:val="24"/>
              </w:rPr>
              <w:fldChar w:fldCharType="end"/>
            </w:r>
          </w:p>
        </w:sdtContent>
      </w:sdt>
    </w:sdtContent>
  </w:sdt>
  <w:p w14:paraId="1978FDBB" w14:textId="77777777" w:rsidR="0006478F" w:rsidRDefault="0006478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3A3EA8" w14:textId="77777777" w:rsidR="00C41E98" w:rsidRDefault="00C41E98" w:rsidP="00501ADF">
      <w:pPr>
        <w:spacing w:after="0" w:line="240" w:lineRule="auto"/>
      </w:pPr>
      <w:r>
        <w:separator/>
      </w:r>
    </w:p>
  </w:footnote>
  <w:footnote w:type="continuationSeparator" w:id="0">
    <w:p w14:paraId="7FC4D448" w14:textId="77777777" w:rsidR="00C41E98" w:rsidRDefault="00C41E98" w:rsidP="00501ADF">
      <w:pPr>
        <w:spacing w:after="0" w:line="240" w:lineRule="auto"/>
      </w:pPr>
      <w:r>
        <w:continuationSeparator/>
      </w:r>
    </w:p>
  </w:footnote>
  <w:footnote w:id="1">
    <w:p w14:paraId="1DE853E7" w14:textId="77777777" w:rsidR="008E1AD3" w:rsidRPr="007C425A" w:rsidRDefault="008E1AD3" w:rsidP="00BA4E93">
      <w:pPr>
        <w:pStyle w:val="Textonotapie"/>
        <w:jc w:val="both"/>
        <w:rPr>
          <w:rFonts w:ascii="ITC Avant Garde" w:hAnsi="ITC Avant Garde"/>
          <w:sz w:val="16"/>
          <w:szCs w:val="16"/>
        </w:rPr>
      </w:pPr>
      <w:r w:rsidRPr="007C425A">
        <w:rPr>
          <w:rStyle w:val="Refdenotaalpie"/>
          <w:rFonts w:ascii="ITC Avant Garde" w:hAnsi="ITC Avant Garde"/>
          <w:sz w:val="16"/>
          <w:szCs w:val="16"/>
        </w:rPr>
        <w:footnoteRef/>
      </w:r>
      <w:r w:rsidR="00BA4E93" w:rsidRPr="007C425A">
        <w:rPr>
          <w:rFonts w:ascii="ITC Avant Garde" w:hAnsi="ITC Avant Garde"/>
          <w:sz w:val="16"/>
          <w:szCs w:val="16"/>
        </w:rPr>
        <w:t xml:space="preserve"> </w:t>
      </w:r>
      <w:r w:rsidR="00525271" w:rsidRPr="007C425A">
        <w:rPr>
          <w:rFonts w:ascii="ITC Avant Garde" w:hAnsi="ITC Avant Garde"/>
          <w:sz w:val="16"/>
          <w:szCs w:val="16"/>
        </w:rPr>
        <w:t xml:space="preserve">De conformidad con lo previsto en el artículo 3, fracción XXI de la Ley General de Mejora Regulatoria, por trámite se define a cualquier solicitud o entrega de información que las personas físicas o morales del sector privado realicen ante la autoridad competente en el ámbito federal, de las entidades federativas, municipal o de la alcaldía, ya sea para cumplir una obligación o, en general, a fin de que se emita una resolución. </w:t>
      </w:r>
    </w:p>
    <w:p w14:paraId="74E799A9" w14:textId="77777777" w:rsidR="00525271" w:rsidRPr="00525271" w:rsidRDefault="00525271" w:rsidP="00525271">
      <w:pPr>
        <w:pStyle w:val="Textonotapie"/>
        <w:jc w:val="both"/>
        <w:rPr>
          <w:rFonts w:ascii="ITC Avant Garde" w:hAnsi="ITC Avant Garde"/>
          <w:sz w:val="16"/>
          <w:szCs w:val="16"/>
        </w:rPr>
      </w:pPr>
      <w:r w:rsidRPr="007C425A">
        <w:rPr>
          <w:rFonts w:ascii="ITC Avant Garde" w:hAnsi="ITC Avant Garde"/>
          <w:sz w:val="16"/>
          <w:szCs w:val="16"/>
        </w:rPr>
        <w:t xml:space="preserve">El Decreto por el que se expide la Ley General de Mejora Regulatoria y se derogan diversas disposiciones de la Ley Federal de Procedimiento Administrativo fue publicado en el Diario Oficial de la Federación, el 18 de mayo del 2018. Disponible para su consulta en el siguiente vinculo electrónico: </w:t>
      </w:r>
      <w:hyperlink r:id="rId1" w:history="1">
        <w:r w:rsidR="00FD121A" w:rsidRPr="007C425A">
          <w:rPr>
            <w:rStyle w:val="Hipervnculo"/>
            <w:rFonts w:ascii="ITC Avant Garde" w:hAnsi="ITC Avant Garde"/>
            <w:sz w:val="16"/>
            <w:szCs w:val="16"/>
          </w:rPr>
          <w:t>http://www.diputados.gob.mx/LeyesBiblio/pdf/LGMR_180518.pdf</w:t>
        </w:r>
      </w:hyperlink>
      <w:r w:rsidR="00FD121A">
        <w:rPr>
          <w:rFonts w:ascii="ITC Avant Garde" w:hAnsi="ITC Avant Gar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E7B93" w14:textId="77777777" w:rsidR="00501ADF" w:rsidRPr="00501ADF" w:rsidRDefault="00911216" w:rsidP="00501ADF">
    <w:pPr>
      <w:spacing w:line="240" w:lineRule="auto"/>
      <w:rPr>
        <w:rFonts w:ascii="Arial" w:eastAsia="Times New Roman" w:hAnsi="Arial" w:cs="Arial"/>
        <w:color w:val="222222"/>
        <w:sz w:val="24"/>
        <w:szCs w:val="24"/>
        <w:lang w:eastAsia="es-MX"/>
      </w:rPr>
    </w:pPr>
    <w:r>
      <w:rPr>
        <w:noProof/>
        <w:lang w:eastAsia="es-MX"/>
      </w:rPr>
      <w:drawing>
        <wp:anchor distT="0" distB="0" distL="114300" distR="114300" simplePos="0" relativeHeight="251666432" behindDoc="1" locked="0" layoutInCell="1" allowOverlap="1" wp14:anchorId="1BC97230" wp14:editId="1A2E501D">
          <wp:simplePos x="0" y="0"/>
          <wp:positionH relativeFrom="margin">
            <wp:align>left</wp:align>
          </wp:positionH>
          <wp:positionV relativeFrom="paragraph">
            <wp:posOffset>-187960</wp:posOffset>
          </wp:positionV>
          <wp:extent cx="1362075" cy="939031"/>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Servlet.jpg"/>
                  <pic:cNvPicPr/>
                </pic:nvPicPr>
                <pic:blipFill>
                  <a:blip r:embed="rId1">
                    <a:extLst>
                      <a:ext uri="{28A0092B-C50C-407E-A947-70E740481C1C}">
                        <a14:useLocalDpi xmlns:a14="http://schemas.microsoft.com/office/drawing/2010/main" val="0"/>
                      </a:ext>
                    </a:extLst>
                  </a:blip>
                  <a:stretch>
                    <a:fillRect/>
                  </a:stretch>
                </pic:blipFill>
                <pic:spPr>
                  <a:xfrm>
                    <a:off x="0" y="0"/>
                    <a:ext cx="1362075" cy="939031"/>
                  </a:xfrm>
                  <a:prstGeom prst="rect">
                    <a:avLst/>
                  </a:prstGeom>
                </pic:spPr>
              </pic:pic>
            </a:graphicData>
          </a:graphic>
          <wp14:sizeRelH relativeFrom="margin">
            <wp14:pctWidth>0</wp14:pctWidth>
          </wp14:sizeRelH>
          <wp14:sizeRelV relativeFrom="margin">
            <wp14:pctHeight>0</wp14:pctHeight>
          </wp14:sizeRelV>
        </wp:anchor>
      </w:drawing>
    </w:r>
    <w:r w:rsidR="00804F49">
      <w:rPr>
        <w:noProof/>
        <w:lang w:eastAsia="es-MX"/>
      </w:rPr>
      <mc:AlternateContent>
        <mc:Choice Requires="wps">
          <w:drawing>
            <wp:anchor distT="45720" distB="45720" distL="114300" distR="114300" simplePos="0" relativeHeight="251661312" behindDoc="0" locked="0" layoutInCell="1" allowOverlap="1" wp14:anchorId="7DC4369B" wp14:editId="6B6FE2D9">
              <wp:simplePos x="0" y="0"/>
              <wp:positionH relativeFrom="margin">
                <wp:posOffset>3006090</wp:posOffset>
              </wp:positionH>
              <wp:positionV relativeFrom="paragraph">
                <wp:posOffset>140970</wp:posOffset>
              </wp:positionV>
              <wp:extent cx="2695575" cy="466725"/>
              <wp:effectExtent l="0" t="0" r="28575"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66725"/>
                      </a:xfrm>
                      <a:prstGeom prst="rect">
                        <a:avLst/>
                      </a:prstGeom>
                      <a:solidFill>
                        <a:srgbClr val="FFFFFF"/>
                      </a:solidFill>
                      <a:ln w="9525">
                        <a:solidFill>
                          <a:schemeClr val="bg1"/>
                        </a:solidFill>
                        <a:miter lim="800000"/>
                        <a:headEnd/>
                        <a:tailEnd/>
                      </a:ln>
                    </wps:spPr>
                    <wps:txbx>
                      <w:txbxContent>
                        <w:p w14:paraId="11EF4CC8"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C4369B" id="_x0000_t202" coordsize="21600,21600" o:spt="202" path="m,l,21600r21600,l21600,xe">
              <v:stroke joinstyle="miter"/>
              <v:path gradientshapeok="t" o:connecttype="rect"/>
            </v:shapetype>
            <v:shape id="Cuadro de texto 2" o:spid="_x0000_s1026" type="#_x0000_t202" style="position:absolute;margin-left:236.7pt;margin-top:11.1pt;width:212.25pt;height:36.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" strokecolor="white [3212]">
              <v:textbox>
                <w:txbxContent>
                  <w:p w14:paraId="11EF4CC8" w14:textId="77777777" w:rsidR="00804F49" w:rsidRPr="00451B7D" w:rsidRDefault="0006478F" w:rsidP="00804F49">
                    <w:pPr>
                      <w:jc w:val="right"/>
                      <w:rPr>
                        <w:rFonts w:ascii="ITC Avant Garde" w:hAnsi="ITC Avant Garde"/>
                        <w:sz w:val="20"/>
                      </w:rPr>
                    </w:pPr>
                    <w:r w:rsidRPr="00451B7D">
                      <w:rPr>
                        <w:rFonts w:ascii="ITC Avant Garde" w:hAnsi="ITC Avant Garde"/>
                        <w:sz w:val="20"/>
                      </w:rPr>
                      <w:t>ANÁ</w:t>
                    </w:r>
                    <w:r w:rsidR="00804F49" w:rsidRPr="00451B7D">
                      <w:rPr>
                        <w:rFonts w:ascii="ITC Avant Garde" w:hAnsi="ITC Avant Garde"/>
                        <w:sz w:val="20"/>
                      </w:rPr>
                      <w:t xml:space="preserve">LISIS DE </w:t>
                    </w:r>
                    <w:r w:rsidR="00F31821" w:rsidRPr="00451B7D">
                      <w:rPr>
                        <w:rFonts w:ascii="ITC Avant Garde" w:hAnsi="ITC Avant Garde"/>
                        <w:sz w:val="20"/>
                      </w:rPr>
                      <w:t xml:space="preserve">NULO </w:t>
                    </w:r>
                    <w:r w:rsidR="00804F49" w:rsidRPr="00451B7D">
                      <w:rPr>
                        <w:rFonts w:ascii="ITC Avant Garde" w:hAnsi="ITC Avant Garde"/>
                        <w:sz w:val="20"/>
                      </w:rPr>
                      <w:t>IMPACTO REGULATORIO</w:t>
                    </w:r>
                  </w:p>
                </w:txbxContent>
              </v:textbox>
              <w10:wrap type="square" anchorx="margin"/>
            </v:shape>
          </w:pict>
        </mc:Fallback>
      </mc:AlternateContent>
    </w:r>
  </w:p>
  <w:p w14:paraId="6FF784A0" w14:textId="77777777" w:rsidR="00501ADF" w:rsidRDefault="00501ADF">
    <w:pPr>
      <w:pStyle w:val="Encabezado"/>
    </w:pPr>
  </w:p>
  <w:p w14:paraId="05A7E03F" w14:textId="77777777" w:rsidR="00804F49" w:rsidRDefault="00804F49">
    <w:pPr>
      <w:pStyle w:val="Encabezado"/>
    </w:pPr>
  </w:p>
  <w:p w14:paraId="14527694" w14:textId="77777777" w:rsidR="00501ADF" w:rsidRDefault="00501ADF">
    <w:pPr>
      <w:pStyle w:val="Encabezado"/>
    </w:pPr>
    <w:r>
      <w:rPr>
        <w:noProof/>
        <w:lang w:eastAsia="es-MX"/>
      </w:rPr>
      <mc:AlternateContent>
        <mc:Choice Requires="wps">
          <w:drawing>
            <wp:anchor distT="0" distB="0" distL="114300" distR="114300" simplePos="0" relativeHeight="251659264" behindDoc="0" locked="0" layoutInCell="1" allowOverlap="1" wp14:anchorId="3E5E997D" wp14:editId="4E333796">
              <wp:simplePos x="0" y="0"/>
              <wp:positionH relativeFrom="margin">
                <wp:align>left</wp:align>
              </wp:positionH>
              <wp:positionV relativeFrom="paragraph">
                <wp:posOffset>132714</wp:posOffset>
              </wp:positionV>
              <wp:extent cx="5629275" cy="9525"/>
              <wp:effectExtent l="0" t="0" r="28575" b="28575"/>
              <wp:wrapNone/>
              <wp:docPr id="2" name="Conector recto 2"/>
              <wp:cNvGraphicFramePr/>
              <a:graphic xmlns:a="http://schemas.openxmlformats.org/drawingml/2006/main">
                <a:graphicData uri="http://schemas.microsoft.com/office/word/2010/wordprocessingShape">
                  <wps:wsp>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anchor>
          </w:drawing>
        </mc:Choice>
        <mc:Fallback>
          <w:pict>
            <v:line w14:anchorId="32FA8A67" id="Conector recto 2" o:spid="_x0000_s1026" style="position:absolute;flip:y;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" strokecolor="#70ad47 [3209]" strokeweight="1.5pt">
              <v:stroke joinstyle="miter"/>
              <w10:wrap anchorx="margin"/>
            </v:line>
          </w:pict>
        </mc:Fallback>
      </mc:AlternateContent>
    </w:r>
  </w:p>
  <w:p w14:paraId="3A9BCD41" w14:textId="77777777" w:rsidR="00501ADF" w:rsidRDefault="00501AD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B6B08"/>
    <w:multiLevelType w:val="hybridMultilevel"/>
    <w:tmpl w:val="C5725D36"/>
    <w:lvl w:ilvl="0" w:tplc="B3347172">
      <w:start w:val="1"/>
      <w:numFmt w:val="bullet"/>
      <w:lvlText w:val="-"/>
      <w:lvlJc w:val="left"/>
      <w:pPr>
        <w:ind w:left="720" w:hanging="360"/>
      </w:pPr>
      <w:rPr>
        <w:rFonts w:ascii="ITC Avant Garde" w:eastAsiaTheme="minorHAnsi" w:hAnsi="ITC Avant Garde"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6B05CA5"/>
    <w:multiLevelType w:val="hybridMultilevel"/>
    <w:tmpl w:val="DB7C9E80"/>
    <w:lvl w:ilvl="0" w:tplc="080A0011">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04451D2"/>
    <w:multiLevelType w:val="hybridMultilevel"/>
    <w:tmpl w:val="748823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17C3060"/>
    <w:multiLevelType w:val="hybridMultilevel"/>
    <w:tmpl w:val="20723F58"/>
    <w:lvl w:ilvl="0" w:tplc="5C360DE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C1A792C"/>
    <w:multiLevelType w:val="hybridMultilevel"/>
    <w:tmpl w:val="A3A22DEE"/>
    <w:lvl w:ilvl="0" w:tplc="080A0017">
      <w:start w:val="1"/>
      <w:numFmt w:val="lowerLetter"/>
      <w:lvlText w:val="%1)"/>
      <w:lvlJc w:val="left"/>
      <w:pPr>
        <w:ind w:left="720" w:hanging="360"/>
      </w:pPr>
      <w:rPr>
        <w:rFonts w:hint="default"/>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5F42B0E"/>
    <w:multiLevelType w:val="hybridMultilevel"/>
    <w:tmpl w:val="4C8AD290"/>
    <w:lvl w:ilvl="0" w:tplc="197C0D5E">
      <w:start w:val="18"/>
      <w:numFmt w:val="bullet"/>
      <w:lvlText w:val="-"/>
      <w:lvlJc w:val="left"/>
      <w:pPr>
        <w:ind w:left="720" w:hanging="360"/>
      </w:pPr>
      <w:rPr>
        <w:rFonts w:ascii="Calibri" w:eastAsiaTheme="minorHAnsi" w:hAnsi="Calibri" w:cstheme="minorBidi" w:hint="default"/>
        <w:sz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ADF"/>
    <w:rsid w:val="00021824"/>
    <w:rsid w:val="00021FB4"/>
    <w:rsid w:val="00042A52"/>
    <w:rsid w:val="00044D30"/>
    <w:rsid w:val="0005289B"/>
    <w:rsid w:val="00056AE8"/>
    <w:rsid w:val="0006478F"/>
    <w:rsid w:val="00071C48"/>
    <w:rsid w:val="00076902"/>
    <w:rsid w:val="000821A4"/>
    <w:rsid w:val="000831A8"/>
    <w:rsid w:val="000902B6"/>
    <w:rsid w:val="000C16BC"/>
    <w:rsid w:val="000D401B"/>
    <w:rsid w:val="000D6AA2"/>
    <w:rsid w:val="000D7248"/>
    <w:rsid w:val="000E6A13"/>
    <w:rsid w:val="000F669B"/>
    <w:rsid w:val="00141749"/>
    <w:rsid w:val="0016668F"/>
    <w:rsid w:val="00177F7B"/>
    <w:rsid w:val="00181A32"/>
    <w:rsid w:val="001932FC"/>
    <w:rsid w:val="001B197A"/>
    <w:rsid w:val="001B4A51"/>
    <w:rsid w:val="001E26FE"/>
    <w:rsid w:val="00206C6C"/>
    <w:rsid w:val="00211C96"/>
    <w:rsid w:val="002200D5"/>
    <w:rsid w:val="00247B33"/>
    <w:rsid w:val="002526B9"/>
    <w:rsid w:val="00263B74"/>
    <w:rsid w:val="00286496"/>
    <w:rsid w:val="00295E97"/>
    <w:rsid w:val="002A3FA1"/>
    <w:rsid w:val="002A60F9"/>
    <w:rsid w:val="002C1B20"/>
    <w:rsid w:val="002D0911"/>
    <w:rsid w:val="002D28C7"/>
    <w:rsid w:val="002E224D"/>
    <w:rsid w:val="002E56D4"/>
    <w:rsid w:val="002F335E"/>
    <w:rsid w:val="0030055F"/>
    <w:rsid w:val="003039BF"/>
    <w:rsid w:val="00304A8B"/>
    <w:rsid w:val="00323167"/>
    <w:rsid w:val="00333B41"/>
    <w:rsid w:val="00372BF7"/>
    <w:rsid w:val="0039169A"/>
    <w:rsid w:val="003949C0"/>
    <w:rsid w:val="003A530C"/>
    <w:rsid w:val="003A72BC"/>
    <w:rsid w:val="003B48A5"/>
    <w:rsid w:val="003D414E"/>
    <w:rsid w:val="003E1D84"/>
    <w:rsid w:val="003F05E7"/>
    <w:rsid w:val="004226AE"/>
    <w:rsid w:val="00427A15"/>
    <w:rsid w:val="0044221E"/>
    <w:rsid w:val="004431E4"/>
    <w:rsid w:val="00445346"/>
    <w:rsid w:val="00451B7D"/>
    <w:rsid w:val="004603F7"/>
    <w:rsid w:val="0049127C"/>
    <w:rsid w:val="00497878"/>
    <w:rsid w:val="004A7C30"/>
    <w:rsid w:val="004B14C7"/>
    <w:rsid w:val="004B6836"/>
    <w:rsid w:val="004C381D"/>
    <w:rsid w:val="004E0AA9"/>
    <w:rsid w:val="004E0DA9"/>
    <w:rsid w:val="004E59F9"/>
    <w:rsid w:val="00501ADF"/>
    <w:rsid w:val="00525271"/>
    <w:rsid w:val="005319D5"/>
    <w:rsid w:val="00536C2E"/>
    <w:rsid w:val="00544AE5"/>
    <w:rsid w:val="00562A53"/>
    <w:rsid w:val="005820F0"/>
    <w:rsid w:val="00594C83"/>
    <w:rsid w:val="00596FDE"/>
    <w:rsid w:val="005A06B2"/>
    <w:rsid w:val="005A40FB"/>
    <w:rsid w:val="005A48A4"/>
    <w:rsid w:val="005B2C92"/>
    <w:rsid w:val="005C44A8"/>
    <w:rsid w:val="00603B81"/>
    <w:rsid w:val="006133B1"/>
    <w:rsid w:val="006220C6"/>
    <w:rsid w:val="00623EB8"/>
    <w:rsid w:val="00634DE8"/>
    <w:rsid w:val="00641D09"/>
    <w:rsid w:val="00647FB6"/>
    <w:rsid w:val="00664718"/>
    <w:rsid w:val="006717D5"/>
    <w:rsid w:val="0068307E"/>
    <w:rsid w:val="006A3A0E"/>
    <w:rsid w:val="006D3C93"/>
    <w:rsid w:val="006D5CDA"/>
    <w:rsid w:val="006D7556"/>
    <w:rsid w:val="006D7A08"/>
    <w:rsid w:val="006F25B0"/>
    <w:rsid w:val="007018A1"/>
    <w:rsid w:val="00712636"/>
    <w:rsid w:val="00714252"/>
    <w:rsid w:val="0074323F"/>
    <w:rsid w:val="007561C2"/>
    <w:rsid w:val="0076488A"/>
    <w:rsid w:val="0076597B"/>
    <w:rsid w:val="007719FF"/>
    <w:rsid w:val="007906D0"/>
    <w:rsid w:val="007969E1"/>
    <w:rsid w:val="007A37D6"/>
    <w:rsid w:val="007C425A"/>
    <w:rsid w:val="007D4E5B"/>
    <w:rsid w:val="007D668A"/>
    <w:rsid w:val="007F2145"/>
    <w:rsid w:val="007F37BF"/>
    <w:rsid w:val="00800C70"/>
    <w:rsid w:val="00801FED"/>
    <w:rsid w:val="00804F49"/>
    <w:rsid w:val="008135FB"/>
    <w:rsid w:val="00814A48"/>
    <w:rsid w:val="00823B89"/>
    <w:rsid w:val="00824E9F"/>
    <w:rsid w:val="00827470"/>
    <w:rsid w:val="0084560D"/>
    <w:rsid w:val="008634FA"/>
    <w:rsid w:val="0086684A"/>
    <w:rsid w:val="00870931"/>
    <w:rsid w:val="0087265C"/>
    <w:rsid w:val="00876D05"/>
    <w:rsid w:val="008A1704"/>
    <w:rsid w:val="008A48B0"/>
    <w:rsid w:val="008C76AF"/>
    <w:rsid w:val="008D2F59"/>
    <w:rsid w:val="008E1AD3"/>
    <w:rsid w:val="008E3011"/>
    <w:rsid w:val="009058DB"/>
    <w:rsid w:val="00911216"/>
    <w:rsid w:val="00911F4B"/>
    <w:rsid w:val="009134DB"/>
    <w:rsid w:val="00922239"/>
    <w:rsid w:val="00922985"/>
    <w:rsid w:val="00935E92"/>
    <w:rsid w:val="009442FD"/>
    <w:rsid w:val="0095547D"/>
    <w:rsid w:val="00955A1D"/>
    <w:rsid w:val="009641A1"/>
    <w:rsid w:val="009656B1"/>
    <w:rsid w:val="009726EB"/>
    <w:rsid w:val="00974F75"/>
    <w:rsid w:val="009806B7"/>
    <w:rsid w:val="00986E23"/>
    <w:rsid w:val="00995CBD"/>
    <w:rsid w:val="009A4AA7"/>
    <w:rsid w:val="009A4B99"/>
    <w:rsid w:val="009B12B2"/>
    <w:rsid w:val="009C153F"/>
    <w:rsid w:val="009C166F"/>
    <w:rsid w:val="009C20C9"/>
    <w:rsid w:val="009D10E1"/>
    <w:rsid w:val="009D5C70"/>
    <w:rsid w:val="009D73E5"/>
    <w:rsid w:val="009E2F03"/>
    <w:rsid w:val="009F237F"/>
    <w:rsid w:val="00A011CF"/>
    <w:rsid w:val="00A1622C"/>
    <w:rsid w:val="00A7211D"/>
    <w:rsid w:val="00A723A9"/>
    <w:rsid w:val="00A73AD8"/>
    <w:rsid w:val="00A81C3A"/>
    <w:rsid w:val="00A855B0"/>
    <w:rsid w:val="00AA19BE"/>
    <w:rsid w:val="00AA4CB3"/>
    <w:rsid w:val="00AE6E77"/>
    <w:rsid w:val="00B007F9"/>
    <w:rsid w:val="00B1628B"/>
    <w:rsid w:val="00B20C85"/>
    <w:rsid w:val="00B2360F"/>
    <w:rsid w:val="00B24AB5"/>
    <w:rsid w:val="00B32137"/>
    <w:rsid w:val="00B3249B"/>
    <w:rsid w:val="00B32DDD"/>
    <w:rsid w:val="00B41497"/>
    <w:rsid w:val="00B43D57"/>
    <w:rsid w:val="00B6461E"/>
    <w:rsid w:val="00B70876"/>
    <w:rsid w:val="00B74C55"/>
    <w:rsid w:val="00B74F10"/>
    <w:rsid w:val="00B77B4B"/>
    <w:rsid w:val="00BA0F10"/>
    <w:rsid w:val="00BA4E93"/>
    <w:rsid w:val="00BB4386"/>
    <w:rsid w:val="00BB73BA"/>
    <w:rsid w:val="00BC2FF7"/>
    <w:rsid w:val="00BE7D1C"/>
    <w:rsid w:val="00C13958"/>
    <w:rsid w:val="00C16B04"/>
    <w:rsid w:val="00C200B9"/>
    <w:rsid w:val="00C330D9"/>
    <w:rsid w:val="00C37872"/>
    <w:rsid w:val="00C41E98"/>
    <w:rsid w:val="00C53388"/>
    <w:rsid w:val="00C5470D"/>
    <w:rsid w:val="00C8077F"/>
    <w:rsid w:val="00C917FC"/>
    <w:rsid w:val="00C9553C"/>
    <w:rsid w:val="00CA7CDC"/>
    <w:rsid w:val="00CB3B9E"/>
    <w:rsid w:val="00CD2954"/>
    <w:rsid w:val="00CD7E90"/>
    <w:rsid w:val="00CE0B62"/>
    <w:rsid w:val="00CE2EA1"/>
    <w:rsid w:val="00CF40FC"/>
    <w:rsid w:val="00D008D0"/>
    <w:rsid w:val="00D02DA9"/>
    <w:rsid w:val="00D0386B"/>
    <w:rsid w:val="00D221B5"/>
    <w:rsid w:val="00D23BD5"/>
    <w:rsid w:val="00D31AE9"/>
    <w:rsid w:val="00D55CA7"/>
    <w:rsid w:val="00DB01FA"/>
    <w:rsid w:val="00DC24AA"/>
    <w:rsid w:val="00DC5480"/>
    <w:rsid w:val="00DE18B7"/>
    <w:rsid w:val="00DE6F24"/>
    <w:rsid w:val="00E046F4"/>
    <w:rsid w:val="00E16506"/>
    <w:rsid w:val="00E21B49"/>
    <w:rsid w:val="00E27972"/>
    <w:rsid w:val="00E37C02"/>
    <w:rsid w:val="00E55DCB"/>
    <w:rsid w:val="00E57979"/>
    <w:rsid w:val="00E6080B"/>
    <w:rsid w:val="00E768BA"/>
    <w:rsid w:val="00E8340B"/>
    <w:rsid w:val="00EC467A"/>
    <w:rsid w:val="00EE6FE8"/>
    <w:rsid w:val="00EF5AF4"/>
    <w:rsid w:val="00F02CAE"/>
    <w:rsid w:val="00F03289"/>
    <w:rsid w:val="00F31821"/>
    <w:rsid w:val="00F342A4"/>
    <w:rsid w:val="00F57EB2"/>
    <w:rsid w:val="00F61B6C"/>
    <w:rsid w:val="00F70AC7"/>
    <w:rsid w:val="00F75427"/>
    <w:rsid w:val="00F75C80"/>
    <w:rsid w:val="00F81940"/>
    <w:rsid w:val="00F85D32"/>
    <w:rsid w:val="00F9299E"/>
    <w:rsid w:val="00F94A28"/>
    <w:rsid w:val="00FB158A"/>
    <w:rsid w:val="00FB4FEA"/>
    <w:rsid w:val="00FB58BA"/>
    <w:rsid w:val="00FD121A"/>
    <w:rsid w:val="00FE174F"/>
    <w:rsid w:val="00FF460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FE0565"/>
  <w15:chartTrackingRefBased/>
  <w15:docId w15:val="{74977E64-1795-42D2-ADC6-DC87B40D7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3249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paragraph" w:styleId="Textonotapie">
    <w:name w:val="footnote text"/>
    <w:basedOn w:val="Normal"/>
    <w:link w:val="TextonotapieCar"/>
    <w:uiPriority w:val="99"/>
    <w:unhideWhenUsed/>
    <w:rsid w:val="008E1AD3"/>
    <w:pPr>
      <w:spacing w:after="0" w:line="240" w:lineRule="auto"/>
    </w:pPr>
    <w:rPr>
      <w:sz w:val="20"/>
      <w:szCs w:val="20"/>
    </w:rPr>
  </w:style>
  <w:style w:type="character" w:customStyle="1" w:styleId="TextonotapieCar">
    <w:name w:val="Texto nota pie Car"/>
    <w:basedOn w:val="Fuentedeprrafopredeter"/>
    <w:link w:val="Textonotapie"/>
    <w:uiPriority w:val="99"/>
    <w:rsid w:val="008E1AD3"/>
    <w:rPr>
      <w:sz w:val="20"/>
      <w:szCs w:val="20"/>
    </w:rPr>
  </w:style>
  <w:style w:type="character" w:styleId="Refdenotaalpie">
    <w:name w:val="footnote reference"/>
    <w:basedOn w:val="Fuentedeprrafopredeter"/>
    <w:uiPriority w:val="99"/>
    <w:semiHidden/>
    <w:unhideWhenUsed/>
    <w:rsid w:val="008E1AD3"/>
    <w:rPr>
      <w:vertAlign w:val="superscript"/>
    </w:rPr>
  </w:style>
  <w:style w:type="paragraph" w:styleId="Textodeglobo">
    <w:name w:val="Balloon Text"/>
    <w:basedOn w:val="Normal"/>
    <w:link w:val="TextodegloboCar"/>
    <w:uiPriority w:val="99"/>
    <w:semiHidden/>
    <w:unhideWhenUsed/>
    <w:rsid w:val="006D7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7556"/>
    <w:rPr>
      <w:rFonts w:ascii="Segoe UI" w:hAnsi="Segoe UI" w:cs="Segoe UI"/>
      <w:sz w:val="18"/>
      <w:szCs w:val="18"/>
    </w:rPr>
  </w:style>
  <w:style w:type="character" w:styleId="Refdecomentario">
    <w:name w:val="annotation reference"/>
    <w:basedOn w:val="Fuentedeprrafopredeter"/>
    <w:uiPriority w:val="99"/>
    <w:semiHidden/>
    <w:unhideWhenUsed/>
    <w:rsid w:val="008135FB"/>
    <w:rPr>
      <w:sz w:val="16"/>
      <w:szCs w:val="16"/>
    </w:rPr>
  </w:style>
  <w:style w:type="paragraph" w:styleId="Textocomentario">
    <w:name w:val="annotation text"/>
    <w:basedOn w:val="Normal"/>
    <w:link w:val="TextocomentarioCar"/>
    <w:uiPriority w:val="99"/>
    <w:semiHidden/>
    <w:unhideWhenUsed/>
    <w:rsid w:val="008135F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135FB"/>
    <w:rPr>
      <w:sz w:val="20"/>
      <w:szCs w:val="20"/>
    </w:rPr>
  </w:style>
  <w:style w:type="paragraph" w:styleId="Asuntodelcomentario">
    <w:name w:val="annotation subject"/>
    <w:basedOn w:val="Textocomentario"/>
    <w:next w:val="Textocomentario"/>
    <w:link w:val="AsuntodelcomentarioCar"/>
    <w:uiPriority w:val="99"/>
    <w:semiHidden/>
    <w:unhideWhenUsed/>
    <w:rsid w:val="008135FB"/>
    <w:rPr>
      <w:b/>
      <w:bCs/>
    </w:rPr>
  </w:style>
  <w:style w:type="character" w:customStyle="1" w:styleId="AsuntodelcomentarioCar">
    <w:name w:val="Asunto del comentario Car"/>
    <w:basedOn w:val="TextocomentarioCar"/>
    <w:link w:val="Asuntodelcomentario"/>
    <w:uiPriority w:val="99"/>
    <w:semiHidden/>
    <w:rsid w:val="008135FB"/>
    <w:rPr>
      <w:b/>
      <w:bCs/>
      <w:sz w:val="20"/>
      <w:szCs w:val="20"/>
    </w:rPr>
  </w:style>
  <w:style w:type="paragraph" w:styleId="Revisin">
    <w:name w:val="Revision"/>
    <w:hidden/>
    <w:uiPriority w:val="99"/>
    <w:semiHidden/>
    <w:rsid w:val="00BE7D1C"/>
    <w:pPr>
      <w:spacing w:after="0" w:line="240" w:lineRule="auto"/>
    </w:pPr>
  </w:style>
  <w:style w:type="character" w:styleId="Textodelmarcadordeposicin">
    <w:name w:val="Placeholder Text"/>
    <w:basedOn w:val="Fuentedeprrafopredeter"/>
    <w:uiPriority w:val="99"/>
    <w:semiHidden/>
    <w:rsid w:val="00BE7D1C"/>
    <w:rPr>
      <w:color w:val="808080"/>
    </w:rPr>
  </w:style>
  <w:style w:type="character" w:customStyle="1" w:styleId="Ttulo1Car">
    <w:name w:val="Título 1 Car"/>
    <w:basedOn w:val="Fuentedeprrafopredeter"/>
    <w:link w:val="Ttulo1"/>
    <w:uiPriority w:val="9"/>
    <w:rsid w:val="00B3249B"/>
    <w:rPr>
      <w:rFonts w:asciiTheme="majorHAnsi" w:eastAsiaTheme="majorEastAsia" w:hAnsiTheme="majorHAnsi" w:cstheme="majorBidi"/>
      <w:color w:val="2E74B5" w:themeColor="accent1" w:themeShade="BF"/>
      <w:sz w:val="32"/>
      <w:szCs w:val="32"/>
    </w:rPr>
  </w:style>
  <w:style w:type="character" w:styleId="Mencinsinresolver">
    <w:name w:val="Unresolved Mention"/>
    <w:basedOn w:val="Fuentedeprrafopredeter"/>
    <w:uiPriority w:val="99"/>
    <w:semiHidden/>
    <w:unhideWhenUsed/>
    <w:rsid w:val="00F02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078">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8952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ft.org.mx/sites/default/files/conocenos/pleno/sesiones/acuerdoliga/dofpift210819394acc.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ft.org.mx/industria/autoridad-investigadora/documentos-materia-economica"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diputados.gob.mx/LeyesBiblio/ref/lfce.htm" TargetMode="External"/><Relationship Id="rId5" Type="http://schemas.openxmlformats.org/officeDocument/2006/relationships/numbering" Target="numbering.xml"/><Relationship Id="rId15" Type="http://schemas.openxmlformats.org/officeDocument/2006/relationships/hyperlink" Target="https://www.iadb.org/es/noticias/digitalizacion-de-los-tramites-reduciria-la-corrupcion-y-los-costos-de-la-burocracia-en"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ft.org.mx/sites/default/files/estatuto_organico_ift_version_vigente_jul_2020.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diputados.gob.mx/LeyesBiblio/pdf/LGMR_180518.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53C06C5BEAE94D5BAF43FB3D4551B4A8"/>
        <w:category>
          <w:name w:val="General"/>
          <w:gallery w:val="placeholder"/>
        </w:category>
        <w:types>
          <w:type w:val="bbPlcHdr"/>
        </w:types>
        <w:behaviors>
          <w:behavior w:val="content"/>
        </w:behaviors>
        <w:guid w:val="{466F39C6-64C3-475B-837F-04EB6D3EEB33}"/>
      </w:docPartPr>
      <w:docPartBody>
        <w:p w:rsidR="007118CA" w:rsidRDefault="00895355" w:rsidP="00895355">
          <w:pPr>
            <w:pStyle w:val="53C06C5BEAE94D5BAF43FB3D4551B4A8"/>
          </w:pPr>
          <w:r w:rsidRPr="00B76C9A">
            <w:rPr>
              <w:rStyle w:val="Textodelmarcadordeposicin"/>
              <w:sz w:val="20"/>
            </w:rPr>
            <w:t>Elija un elemento.</w:t>
          </w:r>
        </w:p>
      </w:docPartBody>
    </w:docPart>
    <w:docPart>
      <w:docPartPr>
        <w:name w:val="5CAECFA481BF4B18BAA1A109B5DCE30F"/>
        <w:category>
          <w:name w:val="General"/>
          <w:gallery w:val="placeholder"/>
        </w:category>
        <w:types>
          <w:type w:val="bbPlcHdr"/>
        </w:types>
        <w:behaviors>
          <w:behavior w:val="content"/>
        </w:behaviors>
        <w:guid w:val="{6D7537F5-3C15-4CCE-9242-D3FF204D6877}"/>
      </w:docPartPr>
      <w:docPartBody>
        <w:p w:rsidR="007118CA" w:rsidRDefault="00895355" w:rsidP="00895355">
          <w:pPr>
            <w:pStyle w:val="5CAECFA481BF4B18BAA1A109B5DCE30F"/>
          </w:pPr>
          <w:r w:rsidRPr="007430B6">
            <w:rPr>
              <w:rStyle w:val="Textodelmarcadordeposicin"/>
              <w:sz w:val="20"/>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TC Avant Garde">
    <w:altName w:val="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355"/>
    <w:rsid w:val="00014954"/>
    <w:rsid w:val="00024568"/>
    <w:rsid w:val="00033E76"/>
    <w:rsid w:val="00055F24"/>
    <w:rsid w:val="000565D3"/>
    <w:rsid w:val="000970D1"/>
    <w:rsid w:val="00156B10"/>
    <w:rsid w:val="00162398"/>
    <w:rsid w:val="002D1216"/>
    <w:rsid w:val="00361AF2"/>
    <w:rsid w:val="00445F9B"/>
    <w:rsid w:val="00460718"/>
    <w:rsid w:val="00504DE3"/>
    <w:rsid w:val="0051743B"/>
    <w:rsid w:val="00540EA6"/>
    <w:rsid w:val="0058081F"/>
    <w:rsid w:val="006020B4"/>
    <w:rsid w:val="00622624"/>
    <w:rsid w:val="0067131A"/>
    <w:rsid w:val="00687D37"/>
    <w:rsid w:val="006F1AE1"/>
    <w:rsid w:val="007118CA"/>
    <w:rsid w:val="00760FAD"/>
    <w:rsid w:val="00895355"/>
    <w:rsid w:val="008E4E94"/>
    <w:rsid w:val="00963F51"/>
    <w:rsid w:val="00981D52"/>
    <w:rsid w:val="00A80CA9"/>
    <w:rsid w:val="00B05362"/>
    <w:rsid w:val="00B234BA"/>
    <w:rsid w:val="00B53C30"/>
    <w:rsid w:val="00B748CE"/>
    <w:rsid w:val="00BD02AE"/>
    <w:rsid w:val="00BD59E5"/>
    <w:rsid w:val="00CF1BA4"/>
    <w:rsid w:val="00DB3940"/>
    <w:rsid w:val="00E75A8C"/>
    <w:rsid w:val="00EB2284"/>
    <w:rsid w:val="00ED076C"/>
    <w:rsid w:val="00F04DDA"/>
    <w:rsid w:val="00F91FFE"/>
    <w:rsid w:val="00FA2592"/>
    <w:rsid w:val="00FD0F2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95355"/>
    <w:rPr>
      <w:color w:val="808080"/>
    </w:rPr>
  </w:style>
  <w:style w:type="paragraph" w:customStyle="1" w:styleId="5235C19BA043488EA1B65C2DD0A3E839">
    <w:name w:val="5235C19BA043488EA1B65C2DD0A3E839"/>
    <w:rsid w:val="00895355"/>
  </w:style>
  <w:style w:type="paragraph" w:customStyle="1" w:styleId="3D3EC9324F5040AC9C975951905E1517">
    <w:name w:val="3D3EC9324F5040AC9C975951905E1517"/>
    <w:rsid w:val="00895355"/>
  </w:style>
  <w:style w:type="paragraph" w:customStyle="1" w:styleId="C4B027C011874EA7AF600C1939EC99E4">
    <w:name w:val="C4B027C011874EA7AF600C1939EC99E4"/>
    <w:rsid w:val="00895355"/>
  </w:style>
  <w:style w:type="paragraph" w:customStyle="1" w:styleId="27D3BC9CE75E4036A88FBF3C1F8963E0">
    <w:name w:val="27D3BC9CE75E4036A88FBF3C1F8963E0"/>
    <w:rsid w:val="00895355"/>
  </w:style>
  <w:style w:type="paragraph" w:customStyle="1" w:styleId="552A4FA671344E449C9EEAC117C9C883">
    <w:name w:val="552A4FA671344E449C9EEAC117C9C883"/>
    <w:rsid w:val="00895355"/>
  </w:style>
  <w:style w:type="paragraph" w:customStyle="1" w:styleId="B65FDBC055A74A4FBBC37B1059C1BB17">
    <w:name w:val="B65FDBC055A74A4FBBC37B1059C1BB17"/>
    <w:rsid w:val="00895355"/>
  </w:style>
  <w:style w:type="paragraph" w:customStyle="1" w:styleId="53C06C5BEAE94D5BAF43FB3D4551B4A8">
    <w:name w:val="53C06C5BEAE94D5BAF43FB3D4551B4A8"/>
    <w:rsid w:val="00895355"/>
  </w:style>
  <w:style w:type="paragraph" w:customStyle="1" w:styleId="5CAECFA481BF4B18BAA1A109B5DCE30F">
    <w:name w:val="5CAECFA481BF4B18BAA1A109B5DCE30F"/>
    <w:rsid w:val="00895355"/>
  </w:style>
  <w:style w:type="paragraph" w:customStyle="1" w:styleId="A27B1AB7C60549EAA5BCC32C46445E16">
    <w:name w:val="A27B1AB7C60549EAA5BCC32C46445E16"/>
    <w:rsid w:val="008953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6E7D6EC5640224DB1509D8815662B44" ma:contentTypeVersion="0" ma:contentTypeDescription="Crear nuevo documento." ma:contentTypeScope="" ma:versionID="665e15c8d41dc957b4eee22fee82fd4a">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682E52-85E1-442C-80E6-9A59C96FB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1D3ED04-EB07-44AA-97F5-C6C6DA661096}">
  <ds:schemaRefs>
    <ds:schemaRef ds:uri="http://schemas.openxmlformats.org/officeDocument/2006/bibliography"/>
  </ds:schemaRefs>
</ds:datastoreItem>
</file>

<file path=customXml/itemProps3.xml><?xml version="1.0" encoding="utf-8"?>
<ds:datastoreItem xmlns:ds="http://schemas.openxmlformats.org/officeDocument/2006/customXml" ds:itemID="{169259B3-C177-46A1-8B2C-D09ED1C29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4C2AEE7-5484-4F59-8B6C-5DF166446E4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2384</Words>
  <Characters>13113</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Javier Contreras Navarro</cp:lastModifiedBy>
  <cp:revision>2</cp:revision>
  <dcterms:created xsi:type="dcterms:W3CDTF">2022-02-22T21:52:00Z</dcterms:created>
  <dcterms:modified xsi:type="dcterms:W3CDTF">2022-02-22T21:52:00Z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0x01010096E7D6EC5640224DB1509D8815662B44</vt:lpwstr>
  </property>
</Properties>
</file>