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568D9" w14:textId="3E741118" w:rsidR="00DE4E91" w:rsidRPr="00DB3B0E" w:rsidRDefault="00DE4E91" w:rsidP="00F67D40">
      <w:pPr>
        <w:rPr>
          <w:lang w:val="es-MX"/>
        </w:rPr>
      </w:pPr>
    </w:p>
    <w:p w14:paraId="05C08B68" w14:textId="46B0C569" w:rsidR="00DE4E91" w:rsidRPr="00DB3B0E" w:rsidRDefault="00DE4E91" w:rsidP="00F67D40">
      <w:pPr>
        <w:rPr>
          <w:lang w:val="es-MX"/>
        </w:rPr>
      </w:pPr>
    </w:p>
    <w:p w14:paraId="06922291" w14:textId="2F44CADA" w:rsidR="00DE4E91" w:rsidRPr="00DB3B0E" w:rsidRDefault="00DE4E91" w:rsidP="00F67D40">
      <w:pPr>
        <w:rPr>
          <w:lang w:val="es-MX"/>
        </w:rPr>
      </w:pPr>
    </w:p>
    <w:p w14:paraId="7D26CD2E" w14:textId="549A628F" w:rsidR="00DE4E91" w:rsidRPr="00DB3B0E" w:rsidRDefault="00DE4E91" w:rsidP="00F67D40">
      <w:pPr>
        <w:rPr>
          <w:lang w:val="es-MX"/>
        </w:rPr>
      </w:pPr>
    </w:p>
    <w:p w14:paraId="41C3E3BD" w14:textId="130490B2" w:rsidR="00DE4E91" w:rsidRPr="00DB3B0E" w:rsidRDefault="00DE4E91" w:rsidP="00F67D40">
      <w:pPr>
        <w:rPr>
          <w:lang w:val="es-MX"/>
        </w:rPr>
      </w:pPr>
    </w:p>
    <w:p w14:paraId="312FB7A2" w14:textId="0EA499D2" w:rsidR="00DE4E91" w:rsidRPr="00DB3B0E" w:rsidRDefault="00DE4E91" w:rsidP="00F67D40">
      <w:pPr>
        <w:rPr>
          <w:lang w:val="es-MX"/>
        </w:rPr>
      </w:pPr>
    </w:p>
    <w:p w14:paraId="3AB1ED15" w14:textId="5CC0D636" w:rsidR="00E715DD" w:rsidRPr="00DB3B0E" w:rsidRDefault="00E715DD" w:rsidP="00E715DD">
      <w:pPr>
        <w:suppressAutoHyphens/>
        <w:spacing w:before="120" w:after="120"/>
        <w:rPr>
          <w:rFonts w:eastAsia="Times New Roman" w:cs="Times New Roman"/>
          <w:noProof/>
          <w:szCs w:val="24"/>
          <w:lang w:val="es-MX" w:eastAsia="fr-FR"/>
        </w:rPr>
      </w:pPr>
    </w:p>
    <w:p w14:paraId="24B204E6" w14:textId="6CE6AF27" w:rsidR="00E715DD" w:rsidRPr="00DB3B0E" w:rsidRDefault="00E715DD" w:rsidP="00E715DD">
      <w:pPr>
        <w:suppressAutoHyphens/>
        <w:spacing w:before="120" w:after="120"/>
        <w:rPr>
          <w:rFonts w:eastAsia="Times New Roman" w:cs="Times New Roman"/>
          <w:noProof/>
          <w:szCs w:val="24"/>
          <w:lang w:val="es-MX" w:eastAsia="fr-FR"/>
        </w:rPr>
      </w:pPr>
    </w:p>
    <w:p w14:paraId="29A0CEE3" w14:textId="77777777" w:rsidR="00E715DD" w:rsidRPr="00DB3B0E" w:rsidRDefault="00E715DD" w:rsidP="00E715DD">
      <w:pPr>
        <w:suppressAutoHyphens/>
        <w:spacing w:before="120" w:after="120"/>
        <w:rPr>
          <w:rFonts w:eastAsia="Times New Roman" w:cs="Times New Roman"/>
          <w:noProof/>
          <w:szCs w:val="24"/>
          <w:lang w:val="es-MX" w:eastAsia="fr-FR"/>
        </w:rPr>
      </w:pPr>
    </w:p>
    <w:p w14:paraId="5EB3500F" w14:textId="41F1218D" w:rsidR="00AB7C28" w:rsidRPr="00C47E08" w:rsidRDefault="00C47E08" w:rsidP="00E715DD">
      <w:pPr>
        <w:pStyle w:val="Ttulo"/>
        <w:spacing w:before="240" w:after="120"/>
        <w:contextualSpacing w:val="0"/>
        <w:jc w:val="left"/>
        <w:rPr>
          <w:lang w:val="es-MX"/>
        </w:rPr>
      </w:pPr>
      <w:r w:rsidRPr="00C47E08">
        <w:rPr>
          <w:lang w:val="es-MX"/>
        </w:rPr>
        <w:t>Módulo de Cálculo para determinar las tarifas del Servicio de Acceso Indirecto al Bucle Local</w:t>
      </w:r>
    </w:p>
    <w:p w14:paraId="4810F88D" w14:textId="60731FAC" w:rsidR="00E715DD" w:rsidRPr="00DB3B0E" w:rsidRDefault="00066D80" w:rsidP="00E715DD">
      <w:pPr>
        <w:jc w:val="left"/>
        <w:rPr>
          <w:sz w:val="36"/>
          <w:szCs w:val="36"/>
          <w:lang w:val="es-MX"/>
        </w:rPr>
      </w:pPr>
      <w:r>
        <w:rPr>
          <w:sz w:val="36"/>
          <w:szCs w:val="36"/>
          <w:lang w:val="es-MX"/>
        </w:rPr>
        <w:t>Documento metodológico</w:t>
      </w:r>
      <w:r w:rsidR="00DB3B0E" w:rsidRPr="00DB3B0E">
        <w:rPr>
          <w:sz w:val="36"/>
          <w:szCs w:val="36"/>
          <w:lang w:val="es-MX"/>
        </w:rPr>
        <w:t xml:space="preserve"> </w:t>
      </w:r>
    </w:p>
    <w:p w14:paraId="10E35464" w14:textId="6A1937C2" w:rsidR="00E715DD" w:rsidRPr="00066D80" w:rsidRDefault="00001794" w:rsidP="00DB3B0E">
      <w:pPr>
        <w:rPr>
          <w:lang w:val="es-MX"/>
        </w:rPr>
      </w:pPr>
      <w:r>
        <w:rPr>
          <w:lang w:val="es-MX"/>
        </w:rPr>
        <w:t>06</w:t>
      </w:r>
      <w:r w:rsidR="00E6668F" w:rsidRPr="00066D80">
        <w:rPr>
          <w:lang w:val="es-MX"/>
        </w:rPr>
        <w:t xml:space="preserve"> </w:t>
      </w:r>
      <w:r w:rsidR="00066D80">
        <w:rPr>
          <w:lang w:val="es-MX"/>
        </w:rPr>
        <w:t xml:space="preserve">de </w:t>
      </w:r>
      <w:r>
        <w:rPr>
          <w:lang w:val="es-MX"/>
        </w:rPr>
        <w:t>octubre</w:t>
      </w:r>
      <w:r w:rsidR="00DB3B0E" w:rsidRPr="00066D80">
        <w:rPr>
          <w:lang w:val="es-MX"/>
        </w:rPr>
        <w:t xml:space="preserve"> </w:t>
      </w:r>
      <w:r w:rsidR="00066D80">
        <w:rPr>
          <w:lang w:val="es-MX"/>
        </w:rPr>
        <w:t xml:space="preserve">de </w:t>
      </w:r>
      <w:r w:rsidR="00E6668F" w:rsidRPr="00066D80">
        <w:rPr>
          <w:lang w:val="es-MX"/>
        </w:rPr>
        <w:t>202</w:t>
      </w:r>
      <w:r w:rsidR="00DB3B0E" w:rsidRPr="00066D80">
        <w:rPr>
          <w:lang w:val="es-MX"/>
        </w:rPr>
        <w:t>1</w:t>
      </w:r>
    </w:p>
    <w:p w14:paraId="7755DFF6" w14:textId="1B0A410F" w:rsidR="00AB7C28" w:rsidRPr="00066D80" w:rsidRDefault="00AB7C28" w:rsidP="00F67D40">
      <w:pPr>
        <w:rPr>
          <w:lang w:val="es-MX"/>
        </w:rPr>
      </w:pPr>
      <w:r w:rsidRPr="00066D80">
        <w:rPr>
          <w:lang w:val="es-MX"/>
        </w:rPr>
        <w:br w:type="page"/>
      </w:r>
    </w:p>
    <w:p w14:paraId="297D54B6" w14:textId="69D7DBC4" w:rsidR="001A31C9" w:rsidRPr="00C47E08" w:rsidRDefault="001A31C9" w:rsidP="001A31C9">
      <w:pPr>
        <w:rPr>
          <w:b/>
          <w:bCs/>
          <w:sz w:val="28"/>
          <w:szCs w:val="28"/>
          <w:lang w:val="es-MX"/>
        </w:rPr>
      </w:pPr>
      <w:r w:rsidRPr="00C47E08">
        <w:rPr>
          <w:b/>
          <w:bCs/>
          <w:sz w:val="28"/>
          <w:szCs w:val="28"/>
          <w:lang w:val="es-MX"/>
        </w:rPr>
        <w:lastRenderedPageBreak/>
        <w:t>Tabl</w:t>
      </w:r>
      <w:r w:rsidR="00E6668F" w:rsidRPr="00C47E08">
        <w:rPr>
          <w:b/>
          <w:bCs/>
          <w:sz w:val="28"/>
          <w:szCs w:val="28"/>
          <w:lang w:val="es-MX"/>
        </w:rPr>
        <w:t>a</w:t>
      </w:r>
      <w:r w:rsidRPr="00C47E08">
        <w:rPr>
          <w:b/>
          <w:bCs/>
          <w:sz w:val="28"/>
          <w:szCs w:val="28"/>
          <w:lang w:val="es-MX"/>
        </w:rPr>
        <w:t xml:space="preserve"> </w:t>
      </w:r>
      <w:r w:rsidR="00E6668F" w:rsidRPr="00C47E08">
        <w:rPr>
          <w:b/>
          <w:bCs/>
          <w:sz w:val="28"/>
          <w:szCs w:val="28"/>
          <w:lang w:val="es-MX"/>
        </w:rPr>
        <w:t>de contenido</w:t>
      </w:r>
    </w:p>
    <w:p w14:paraId="0533158D" w14:textId="77777777" w:rsidR="001A31C9" w:rsidRPr="00DB3B0E" w:rsidRDefault="001A31C9">
      <w:pPr>
        <w:pStyle w:val="TDC1"/>
        <w:tabs>
          <w:tab w:val="right" w:leader="dot" w:pos="9062"/>
        </w:tabs>
        <w:rPr>
          <w:lang w:val="es-MX"/>
        </w:rPr>
      </w:pPr>
    </w:p>
    <w:p w14:paraId="3672ED34" w14:textId="147C7BC3" w:rsidR="008839E3" w:rsidRDefault="001A31C9">
      <w:pPr>
        <w:pStyle w:val="TDC1"/>
        <w:tabs>
          <w:tab w:val="left" w:pos="440"/>
          <w:tab w:val="right" w:leader="dot" w:pos="9396"/>
        </w:tabs>
        <w:rPr>
          <w:rFonts w:asciiTheme="minorHAnsi" w:eastAsiaTheme="minorEastAsia" w:hAnsiTheme="minorHAnsi" w:cstheme="minorBidi"/>
          <w:noProof/>
          <w:lang w:val="es-MX" w:eastAsia="es-MX"/>
        </w:rPr>
      </w:pPr>
      <w:r w:rsidRPr="00DB3B0E">
        <w:rPr>
          <w:lang w:val="es-MX"/>
        </w:rPr>
        <w:fldChar w:fldCharType="begin"/>
      </w:r>
      <w:r w:rsidRPr="00DB3B0E">
        <w:rPr>
          <w:lang w:val="es-MX"/>
        </w:rPr>
        <w:instrText xml:space="preserve"> TOC \o "1-3" \h \z \u </w:instrText>
      </w:r>
      <w:r w:rsidRPr="00DB3B0E">
        <w:rPr>
          <w:lang w:val="es-MX"/>
        </w:rPr>
        <w:fldChar w:fldCharType="separate"/>
      </w:r>
      <w:hyperlink w:anchor="_Toc83660733" w:history="1">
        <w:r w:rsidR="008839E3" w:rsidRPr="003222B1">
          <w:rPr>
            <w:rStyle w:val="Hipervnculo"/>
            <w:noProof/>
            <w:lang w:val="es-MX"/>
          </w:rPr>
          <w:t>1</w:t>
        </w:r>
        <w:r w:rsidR="008839E3">
          <w:rPr>
            <w:rFonts w:asciiTheme="minorHAnsi" w:eastAsiaTheme="minorEastAsia" w:hAnsiTheme="minorHAnsi" w:cstheme="minorBidi"/>
            <w:noProof/>
            <w:lang w:val="es-MX" w:eastAsia="es-MX"/>
          </w:rPr>
          <w:tab/>
        </w:r>
        <w:r w:rsidR="008839E3" w:rsidRPr="003222B1">
          <w:rPr>
            <w:rStyle w:val="Hipervnculo"/>
            <w:noProof/>
            <w:lang w:val="es-MX"/>
          </w:rPr>
          <w:t>Introducción</w:t>
        </w:r>
        <w:r w:rsidR="008839E3">
          <w:rPr>
            <w:noProof/>
            <w:webHidden/>
          </w:rPr>
          <w:tab/>
        </w:r>
        <w:r w:rsidR="008839E3">
          <w:rPr>
            <w:noProof/>
            <w:webHidden/>
          </w:rPr>
          <w:fldChar w:fldCharType="begin"/>
        </w:r>
        <w:r w:rsidR="008839E3">
          <w:rPr>
            <w:noProof/>
            <w:webHidden/>
          </w:rPr>
          <w:instrText xml:space="preserve"> PAGEREF _Toc83660733 \h </w:instrText>
        </w:r>
        <w:r w:rsidR="008839E3">
          <w:rPr>
            <w:noProof/>
            <w:webHidden/>
          </w:rPr>
        </w:r>
        <w:r w:rsidR="008839E3">
          <w:rPr>
            <w:noProof/>
            <w:webHidden/>
          </w:rPr>
          <w:fldChar w:fldCharType="separate"/>
        </w:r>
        <w:r w:rsidR="008839E3">
          <w:rPr>
            <w:noProof/>
            <w:webHidden/>
          </w:rPr>
          <w:t>3</w:t>
        </w:r>
        <w:r w:rsidR="008839E3">
          <w:rPr>
            <w:noProof/>
            <w:webHidden/>
          </w:rPr>
          <w:fldChar w:fldCharType="end"/>
        </w:r>
      </w:hyperlink>
    </w:p>
    <w:p w14:paraId="7202C239" w14:textId="1F7FD480" w:rsidR="008839E3" w:rsidRDefault="00E3633B">
      <w:pPr>
        <w:pStyle w:val="TDC2"/>
        <w:tabs>
          <w:tab w:val="left" w:pos="880"/>
          <w:tab w:val="right" w:leader="dot" w:pos="9396"/>
        </w:tabs>
        <w:rPr>
          <w:rFonts w:asciiTheme="minorHAnsi" w:eastAsiaTheme="minorEastAsia" w:hAnsiTheme="minorHAnsi" w:cstheme="minorBidi"/>
          <w:noProof/>
          <w:lang w:val="es-MX" w:eastAsia="es-MX"/>
        </w:rPr>
      </w:pPr>
      <w:hyperlink w:anchor="_Toc83660734" w:history="1">
        <w:r w:rsidR="008839E3" w:rsidRPr="003222B1">
          <w:rPr>
            <w:rStyle w:val="Hipervnculo"/>
            <w:noProof/>
            <w:lang w:val="es-MX"/>
          </w:rPr>
          <w:t>1.1</w:t>
        </w:r>
        <w:r w:rsidR="008839E3">
          <w:rPr>
            <w:rFonts w:asciiTheme="minorHAnsi" w:eastAsiaTheme="minorEastAsia" w:hAnsiTheme="minorHAnsi" w:cstheme="minorBidi"/>
            <w:noProof/>
            <w:lang w:val="es-MX" w:eastAsia="es-MX"/>
          </w:rPr>
          <w:tab/>
        </w:r>
        <w:r w:rsidR="008839E3" w:rsidRPr="003222B1">
          <w:rPr>
            <w:rStyle w:val="Hipervnculo"/>
            <w:noProof/>
            <w:lang w:val="es-MX"/>
          </w:rPr>
          <w:t>Antecedentes</w:t>
        </w:r>
        <w:r w:rsidR="008839E3">
          <w:rPr>
            <w:noProof/>
            <w:webHidden/>
          </w:rPr>
          <w:tab/>
        </w:r>
        <w:r w:rsidR="008839E3">
          <w:rPr>
            <w:noProof/>
            <w:webHidden/>
          </w:rPr>
          <w:fldChar w:fldCharType="begin"/>
        </w:r>
        <w:r w:rsidR="008839E3">
          <w:rPr>
            <w:noProof/>
            <w:webHidden/>
          </w:rPr>
          <w:instrText xml:space="preserve"> PAGEREF _Toc83660734 \h </w:instrText>
        </w:r>
        <w:r w:rsidR="008839E3">
          <w:rPr>
            <w:noProof/>
            <w:webHidden/>
          </w:rPr>
        </w:r>
        <w:r w:rsidR="008839E3">
          <w:rPr>
            <w:noProof/>
            <w:webHidden/>
          </w:rPr>
          <w:fldChar w:fldCharType="separate"/>
        </w:r>
        <w:r w:rsidR="008839E3">
          <w:rPr>
            <w:noProof/>
            <w:webHidden/>
          </w:rPr>
          <w:t>3</w:t>
        </w:r>
        <w:r w:rsidR="008839E3">
          <w:rPr>
            <w:noProof/>
            <w:webHidden/>
          </w:rPr>
          <w:fldChar w:fldCharType="end"/>
        </w:r>
      </w:hyperlink>
    </w:p>
    <w:p w14:paraId="6EE1F8D8" w14:textId="59C0A268" w:rsidR="008839E3" w:rsidRDefault="00E3633B">
      <w:pPr>
        <w:pStyle w:val="TDC2"/>
        <w:tabs>
          <w:tab w:val="left" w:pos="880"/>
          <w:tab w:val="right" w:leader="dot" w:pos="9396"/>
        </w:tabs>
        <w:rPr>
          <w:rFonts w:asciiTheme="minorHAnsi" w:eastAsiaTheme="minorEastAsia" w:hAnsiTheme="minorHAnsi" w:cstheme="minorBidi"/>
          <w:noProof/>
          <w:lang w:val="es-MX" w:eastAsia="es-MX"/>
        </w:rPr>
      </w:pPr>
      <w:hyperlink w:anchor="_Toc83660735" w:history="1">
        <w:r w:rsidR="008839E3" w:rsidRPr="003222B1">
          <w:rPr>
            <w:rStyle w:val="Hipervnculo"/>
            <w:noProof/>
            <w:lang w:val="es-MX"/>
          </w:rPr>
          <w:t>1.2</w:t>
        </w:r>
        <w:r w:rsidR="008839E3">
          <w:rPr>
            <w:rFonts w:asciiTheme="minorHAnsi" w:eastAsiaTheme="minorEastAsia" w:hAnsiTheme="minorHAnsi" w:cstheme="minorBidi"/>
            <w:noProof/>
            <w:lang w:val="es-MX" w:eastAsia="es-MX"/>
          </w:rPr>
          <w:tab/>
        </w:r>
        <w:r w:rsidR="008839E3" w:rsidRPr="003222B1">
          <w:rPr>
            <w:rStyle w:val="Hipervnculo"/>
            <w:noProof/>
            <w:lang w:val="es-MX"/>
          </w:rPr>
          <w:t>Alcance teórico.</w:t>
        </w:r>
        <w:r w:rsidR="008839E3">
          <w:rPr>
            <w:noProof/>
            <w:webHidden/>
          </w:rPr>
          <w:tab/>
        </w:r>
        <w:r w:rsidR="008839E3">
          <w:rPr>
            <w:noProof/>
            <w:webHidden/>
          </w:rPr>
          <w:fldChar w:fldCharType="begin"/>
        </w:r>
        <w:r w:rsidR="008839E3">
          <w:rPr>
            <w:noProof/>
            <w:webHidden/>
          </w:rPr>
          <w:instrText xml:space="preserve"> PAGEREF _Toc83660735 \h </w:instrText>
        </w:r>
        <w:r w:rsidR="008839E3">
          <w:rPr>
            <w:noProof/>
            <w:webHidden/>
          </w:rPr>
        </w:r>
        <w:r w:rsidR="008839E3">
          <w:rPr>
            <w:noProof/>
            <w:webHidden/>
          </w:rPr>
          <w:fldChar w:fldCharType="separate"/>
        </w:r>
        <w:r w:rsidR="008839E3">
          <w:rPr>
            <w:noProof/>
            <w:webHidden/>
          </w:rPr>
          <w:t>4</w:t>
        </w:r>
        <w:r w:rsidR="008839E3">
          <w:rPr>
            <w:noProof/>
            <w:webHidden/>
          </w:rPr>
          <w:fldChar w:fldCharType="end"/>
        </w:r>
      </w:hyperlink>
    </w:p>
    <w:p w14:paraId="6E146549" w14:textId="7353CD6D" w:rsidR="008839E3" w:rsidRDefault="00E3633B">
      <w:pPr>
        <w:pStyle w:val="TDC1"/>
        <w:tabs>
          <w:tab w:val="left" w:pos="440"/>
          <w:tab w:val="right" w:leader="dot" w:pos="9396"/>
        </w:tabs>
        <w:rPr>
          <w:rFonts w:asciiTheme="minorHAnsi" w:eastAsiaTheme="minorEastAsia" w:hAnsiTheme="minorHAnsi" w:cstheme="minorBidi"/>
          <w:noProof/>
          <w:lang w:val="es-MX" w:eastAsia="es-MX"/>
        </w:rPr>
      </w:pPr>
      <w:hyperlink w:anchor="_Toc83660736" w:history="1">
        <w:r w:rsidR="008839E3" w:rsidRPr="003222B1">
          <w:rPr>
            <w:rStyle w:val="Hipervnculo"/>
            <w:noProof/>
            <w:lang w:val="es-MX"/>
          </w:rPr>
          <w:t>2</w:t>
        </w:r>
        <w:r w:rsidR="008839E3">
          <w:rPr>
            <w:rFonts w:asciiTheme="minorHAnsi" w:eastAsiaTheme="minorEastAsia" w:hAnsiTheme="minorHAnsi" w:cstheme="minorBidi"/>
            <w:noProof/>
            <w:lang w:val="es-MX" w:eastAsia="es-MX"/>
          </w:rPr>
          <w:tab/>
        </w:r>
        <w:r w:rsidR="008839E3" w:rsidRPr="003222B1">
          <w:rPr>
            <w:rStyle w:val="Hipervnculo"/>
            <w:noProof/>
            <w:lang w:val="es-MX"/>
          </w:rPr>
          <w:t>Enfoque de modelación</w:t>
        </w:r>
        <w:r w:rsidR="008839E3">
          <w:rPr>
            <w:noProof/>
            <w:webHidden/>
          </w:rPr>
          <w:tab/>
        </w:r>
        <w:r w:rsidR="008839E3">
          <w:rPr>
            <w:noProof/>
            <w:webHidden/>
          </w:rPr>
          <w:fldChar w:fldCharType="begin"/>
        </w:r>
        <w:r w:rsidR="008839E3">
          <w:rPr>
            <w:noProof/>
            <w:webHidden/>
          </w:rPr>
          <w:instrText xml:space="preserve"> PAGEREF _Toc83660736 \h </w:instrText>
        </w:r>
        <w:r w:rsidR="008839E3">
          <w:rPr>
            <w:noProof/>
            <w:webHidden/>
          </w:rPr>
        </w:r>
        <w:r w:rsidR="008839E3">
          <w:rPr>
            <w:noProof/>
            <w:webHidden/>
          </w:rPr>
          <w:fldChar w:fldCharType="separate"/>
        </w:r>
        <w:r w:rsidR="008839E3">
          <w:rPr>
            <w:noProof/>
            <w:webHidden/>
          </w:rPr>
          <w:t>6</w:t>
        </w:r>
        <w:r w:rsidR="008839E3">
          <w:rPr>
            <w:noProof/>
            <w:webHidden/>
          </w:rPr>
          <w:fldChar w:fldCharType="end"/>
        </w:r>
      </w:hyperlink>
    </w:p>
    <w:p w14:paraId="1F7E943D" w14:textId="08C1FFEB" w:rsidR="008839E3" w:rsidRDefault="00E3633B">
      <w:pPr>
        <w:pStyle w:val="TDC2"/>
        <w:tabs>
          <w:tab w:val="left" w:pos="880"/>
          <w:tab w:val="right" w:leader="dot" w:pos="9396"/>
        </w:tabs>
        <w:rPr>
          <w:rFonts w:asciiTheme="minorHAnsi" w:eastAsiaTheme="minorEastAsia" w:hAnsiTheme="minorHAnsi" w:cstheme="minorBidi"/>
          <w:noProof/>
          <w:lang w:val="es-MX" w:eastAsia="es-MX"/>
        </w:rPr>
      </w:pPr>
      <w:hyperlink w:anchor="_Toc83660737" w:history="1">
        <w:r w:rsidR="008839E3" w:rsidRPr="003222B1">
          <w:rPr>
            <w:rStyle w:val="Hipervnculo"/>
            <w:noProof/>
            <w:lang w:val="es-MX"/>
          </w:rPr>
          <w:t>2.1</w:t>
        </w:r>
        <w:r w:rsidR="008839E3">
          <w:rPr>
            <w:rFonts w:asciiTheme="minorHAnsi" w:eastAsiaTheme="minorEastAsia" w:hAnsiTheme="minorHAnsi" w:cstheme="minorBidi"/>
            <w:noProof/>
            <w:lang w:val="es-MX" w:eastAsia="es-MX"/>
          </w:rPr>
          <w:tab/>
        </w:r>
        <w:r w:rsidR="008839E3" w:rsidRPr="003222B1">
          <w:rPr>
            <w:rStyle w:val="Hipervnculo"/>
            <w:noProof/>
            <w:lang w:val="es-MX"/>
          </w:rPr>
          <w:t>Parte de acceso del SAIB</w:t>
        </w:r>
        <w:r w:rsidR="008839E3">
          <w:rPr>
            <w:noProof/>
            <w:webHidden/>
          </w:rPr>
          <w:tab/>
        </w:r>
        <w:r w:rsidR="008839E3">
          <w:rPr>
            <w:noProof/>
            <w:webHidden/>
          </w:rPr>
          <w:fldChar w:fldCharType="begin"/>
        </w:r>
        <w:r w:rsidR="008839E3">
          <w:rPr>
            <w:noProof/>
            <w:webHidden/>
          </w:rPr>
          <w:instrText xml:space="preserve"> PAGEREF _Toc83660737 \h </w:instrText>
        </w:r>
        <w:r w:rsidR="008839E3">
          <w:rPr>
            <w:noProof/>
            <w:webHidden/>
          </w:rPr>
        </w:r>
        <w:r w:rsidR="008839E3">
          <w:rPr>
            <w:noProof/>
            <w:webHidden/>
          </w:rPr>
          <w:fldChar w:fldCharType="separate"/>
        </w:r>
        <w:r w:rsidR="008839E3">
          <w:rPr>
            <w:noProof/>
            <w:webHidden/>
          </w:rPr>
          <w:t>7</w:t>
        </w:r>
        <w:r w:rsidR="008839E3">
          <w:rPr>
            <w:noProof/>
            <w:webHidden/>
          </w:rPr>
          <w:fldChar w:fldCharType="end"/>
        </w:r>
      </w:hyperlink>
    </w:p>
    <w:p w14:paraId="56099F3B" w14:textId="13B24C41"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38" w:history="1">
        <w:r w:rsidR="008839E3" w:rsidRPr="003222B1">
          <w:rPr>
            <w:rStyle w:val="Hipervnculo"/>
            <w:noProof/>
            <w:lang w:val="es-ES"/>
          </w:rPr>
          <w:t>2.1.1</w:t>
        </w:r>
        <w:r w:rsidR="008839E3">
          <w:rPr>
            <w:rFonts w:asciiTheme="minorHAnsi" w:eastAsiaTheme="minorEastAsia" w:hAnsiTheme="minorHAnsi" w:cstheme="minorBidi"/>
            <w:noProof/>
            <w:lang w:val="es-MX" w:eastAsia="es-MX"/>
          </w:rPr>
          <w:tab/>
        </w:r>
        <w:r w:rsidR="008839E3" w:rsidRPr="003222B1">
          <w:rPr>
            <w:rStyle w:val="Hipervnculo"/>
            <w:noProof/>
            <w:lang w:val="es-MX"/>
          </w:rPr>
          <w:t>Estándar de costo</w:t>
        </w:r>
        <w:r w:rsidR="008839E3">
          <w:rPr>
            <w:noProof/>
            <w:webHidden/>
          </w:rPr>
          <w:tab/>
        </w:r>
        <w:r w:rsidR="008839E3">
          <w:rPr>
            <w:noProof/>
            <w:webHidden/>
          </w:rPr>
          <w:fldChar w:fldCharType="begin"/>
        </w:r>
        <w:r w:rsidR="008839E3">
          <w:rPr>
            <w:noProof/>
            <w:webHidden/>
          </w:rPr>
          <w:instrText xml:space="preserve"> PAGEREF _Toc83660738 \h </w:instrText>
        </w:r>
        <w:r w:rsidR="008839E3">
          <w:rPr>
            <w:noProof/>
            <w:webHidden/>
          </w:rPr>
        </w:r>
        <w:r w:rsidR="008839E3">
          <w:rPr>
            <w:noProof/>
            <w:webHidden/>
          </w:rPr>
          <w:fldChar w:fldCharType="separate"/>
        </w:r>
        <w:r w:rsidR="008839E3">
          <w:rPr>
            <w:noProof/>
            <w:webHidden/>
          </w:rPr>
          <w:t>7</w:t>
        </w:r>
        <w:r w:rsidR="008839E3">
          <w:rPr>
            <w:noProof/>
            <w:webHidden/>
          </w:rPr>
          <w:fldChar w:fldCharType="end"/>
        </w:r>
      </w:hyperlink>
    </w:p>
    <w:p w14:paraId="4A2E87AE" w14:textId="3C947D88"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39" w:history="1">
        <w:r w:rsidR="008839E3" w:rsidRPr="003222B1">
          <w:rPr>
            <w:rStyle w:val="Hipervnculo"/>
            <w:noProof/>
            <w:lang w:val="es-ES"/>
          </w:rPr>
          <w:t>2.1.2</w:t>
        </w:r>
        <w:r w:rsidR="008839E3">
          <w:rPr>
            <w:rFonts w:asciiTheme="minorHAnsi" w:eastAsiaTheme="minorEastAsia" w:hAnsiTheme="minorHAnsi" w:cstheme="minorBidi"/>
            <w:noProof/>
            <w:lang w:val="es-MX" w:eastAsia="es-MX"/>
          </w:rPr>
          <w:tab/>
        </w:r>
        <w:r w:rsidR="008839E3" w:rsidRPr="003222B1">
          <w:rPr>
            <w:rStyle w:val="Hipervnculo"/>
            <w:noProof/>
            <w:lang w:val="es-MX"/>
          </w:rPr>
          <w:t>CCPP</w:t>
        </w:r>
        <w:r w:rsidR="008839E3">
          <w:rPr>
            <w:noProof/>
            <w:webHidden/>
          </w:rPr>
          <w:tab/>
        </w:r>
        <w:r w:rsidR="008839E3">
          <w:rPr>
            <w:noProof/>
            <w:webHidden/>
          </w:rPr>
          <w:fldChar w:fldCharType="begin"/>
        </w:r>
        <w:r w:rsidR="008839E3">
          <w:rPr>
            <w:noProof/>
            <w:webHidden/>
          </w:rPr>
          <w:instrText xml:space="preserve"> PAGEREF _Toc83660739 \h </w:instrText>
        </w:r>
        <w:r w:rsidR="008839E3">
          <w:rPr>
            <w:noProof/>
            <w:webHidden/>
          </w:rPr>
        </w:r>
        <w:r w:rsidR="008839E3">
          <w:rPr>
            <w:noProof/>
            <w:webHidden/>
          </w:rPr>
          <w:fldChar w:fldCharType="separate"/>
        </w:r>
        <w:r w:rsidR="008839E3">
          <w:rPr>
            <w:noProof/>
            <w:webHidden/>
          </w:rPr>
          <w:t>8</w:t>
        </w:r>
        <w:r w:rsidR="008839E3">
          <w:rPr>
            <w:noProof/>
            <w:webHidden/>
          </w:rPr>
          <w:fldChar w:fldCharType="end"/>
        </w:r>
      </w:hyperlink>
    </w:p>
    <w:p w14:paraId="7617F19A" w14:textId="79DA9EF8"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40" w:history="1">
        <w:r w:rsidR="008839E3" w:rsidRPr="003222B1">
          <w:rPr>
            <w:rStyle w:val="Hipervnculo"/>
            <w:noProof/>
            <w:lang w:val="es-ES"/>
          </w:rPr>
          <w:t>2.1.3</w:t>
        </w:r>
        <w:r w:rsidR="008839E3">
          <w:rPr>
            <w:rFonts w:asciiTheme="minorHAnsi" w:eastAsiaTheme="minorEastAsia" w:hAnsiTheme="minorHAnsi" w:cstheme="minorBidi"/>
            <w:noProof/>
            <w:lang w:val="es-MX" w:eastAsia="es-MX"/>
          </w:rPr>
          <w:tab/>
        </w:r>
        <w:r w:rsidR="008839E3" w:rsidRPr="003222B1">
          <w:rPr>
            <w:rStyle w:val="Hipervnculo"/>
            <w:noProof/>
            <w:lang w:val="es-MX"/>
          </w:rPr>
          <w:t>Actualización del periodo y costo laboral</w:t>
        </w:r>
        <w:r w:rsidR="008839E3">
          <w:rPr>
            <w:noProof/>
            <w:webHidden/>
          </w:rPr>
          <w:tab/>
        </w:r>
        <w:r w:rsidR="008839E3">
          <w:rPr>
            <w:noProof/>
            <w:webHidden/>
          </w:rPr>
          <w:fldChar w:fldCharType="begin"/>
        </w:r>
        <w:r w:rsidR="008839E3">
          <w:rPr>
            <w:noProof/>
            <w:webHidden/>
          </w:rPr>
          <w:instrText xml:space="preserve"> PAGEREF _Toc83660740 \h </w:instrText>
        </w:r>
        <w:r w:rsidR="008839E3">
          <w:rPr>
            <w:noProof/>
            <w:webHidden/>
          </w:rPr>
        </w:r>
        <w:r w:rsidR="008839E3">
          <w:rPr>
            <w:noProof/>
            <w:webHidden/>
          </w:rPr>
          <w:fldChar w:fldCharType="separate"/>
        </w:r>
        <w:r w:rsidR="008839E3">
          <w:rPr>
            <w:noProof/>
            <w:webHidden/>
          </w:rPr>
          <w:t>8</w:t>
        </w:r>
        <w:r w:rsidR="008839E3">
          <w:rPr>
            <w:noProof/>
            <w:webHidden/>
          </w:rPr>
          <w:fldChar w:fldCharType="end"/>
        </w:r>
      </w:hyperlink>
    </w:p>
    <w:p w14:paraId="0F9CA785" w14:textId="28BF5607"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41" w:history="1">
        <w:r w:rsidR="008839E3" w:rsidRPr="003222B1">
          <w:rPr>
            <w:rStyle w:val="Hipervnculo"/>
            <w:noProof/>
            <w:lang w:val="es-ES"/>
          </w:rPr>
          <w:t>2.1.4</w:t>
        </w:r>
        <w:r w:rsidR="008839E3">
          <w:rPr>
            <w:rFonts w:asciiTheme="minorHAnsi" w:eastAsiaTheme="minorEastAsia" w:hAnsiTheme="minorHAnsi" w:cstheme="minorBidi"/>
            <w:noProof/>
            <w:lang w:val="es-MX" w:eastAsia="es-MX"/>
          </w:rPr>
          <w:tab/>
        </w:r>
        <w:r w:rsidR="008839E3" w:rsidRPr="003222B1">
          <w:rPr>
            <w:rStyle w:val="Hipervnculo"/>
            <w:noProof/>
            <w:lang w:val="es-MX"/>
          </w:rPr>
          <w:t>Resultados Acceso SAIB</w:t>
        </w:r>
        <w:r w:rsidR="008839E3">
          <w:rPr>
            <w:noProof/>
            <w:webHidden/>
          </w:rPr>
          <w:tab/>
        </w:r>
        <w:r w:rsidR="008839E3">
          <w:rPr>
            <w:noProof/>
            <w:webHidden/>
          </w:rPr>
          <w:fldChar w:fldCharType="begin"/>
        </w:r>
        <w:r w:rsidR="008839E3">
          <w:rPr>
            <w:noProof/>
            <w:webHidden/>
          </w:rPr>
          <w:instrText xml:space="preserve"> PAGEREF _Toc83660741 \h </w:instrText>
        </w:r>
        <w:r w:rsidR="008839E3">
          <w:rPr>
            <w:noProof/>
            <w:webHidden/>
          </w:rPr>
        </w:r>
        <w:r w:rsidR="008839E3">
          <w:rPr>
            <w:noProof/>
            <w:webHidden/>
          </w:rPr>
          <w:fldChar w:fldCharType="separate"/>
        </w:r>
        <w:r w:rsidR="008839E3">
          <w:rPr>
            <w:noProof/>
            <w:webHidden/>
          </w:rPr>
          <w:t>8</w:t>
        </w:r>
        <w:r w:rsidR="008839E3">
          <w:rPr>
            <w:noProof/>
            <w:webHidden/>
          </w:rPr>
          <w:fldChar w:fldCharType="end"/>
        </w:r>
      </w:hyperlink>
    </w:p>
    <w:p w14:paraId="07D3557D" w14:textId="2046FA8F" w:rsidR="008839E3" w:rsidRDefault="00E3633B">
      <w:pPr>
        <w:pStyle w:val="TDC2"/>
        <w:tabs>
          <w:tab w:val="left" w:pos="880"/>
          <w:tab w:val="right" w:leader="dot" w:pos="9396"/>
        </w:tabs>
        <w:rPr>
          <w:rFonts w:asciiTheme="minorHAnsi" w:eastAsiaTheme="minorEastAsia" w:hAnsiTheme="minorHAnsi" w:cstheme="minorBidi"/>
          <w:noProof/>
          <w:lang w:val="es-MX" w:eastAsia="es-MX"/>
        </w:rPr>
      </w:pPr>
      <w:hyperlink w:anchor="_Toc83660742" w:history="1">
        <w:r w:rsidR="008839E3" w:rsidRPr="003222B1">
          <w:rPr>
            <w:rStyle w:val="Hipervnculo"/>
            <w:noProof/>
            <w:lang w:val="es-MX"/>
          </w:rPr>
          <w:t>2.2</w:t>
        </w:r>
        <w:r w:rsidR="008839E3">
          <w:rPr>
            <w:rFonts w:asciiTheme="minorHAnsi" w:eastAsiaTheme="minorEastAsia" w:hAnsiTheme="minorHAnsi" w:cstheme="minorBidi"/>
            <w:noProof/>
            <w:lang w:val="es-MX" w:eastAsia="es-MX"/>
          </w:rPr>
          <w:tab/>
        </w:r>
        <w:r w:rsidR="008839E3" w:rsidRPr="003222B1">
          <w:rPr>
            <w:rStyle w:val="Hipervnculo"/>
            <w:noProof/>
            <w:lang w:val="es-MX"/>
          </w:rPr>
          <w:t>Parte de transporte del SAIB</w:t>
        </w:r>
        <w:r w:rsidR="008839E3">
          <w:rPr>
            <w:noProof/>
            <w:webHidden/>
          </w:rPr>
          <w:tab/>
        </w:r>
        <w:r w:rsidR="008839E3">
          <w:rPr>
            <w:noProof/>
            <w:webHidden/>
          </w:rPr>
          <w:fldChar w:fldCharType="begin"/>
        </w:r>
        <w:r w:rsidR="008839E3">
          <w:rPr>
            <w:noProof/>
            <w:webHidden/>
          </w:rPr>
          <w:instrText xml:space="preserve"> PAGEREF _Toc83660742 \h </w:instrText>
        </w:r>
        <w:r w:rsidR="008839E3">
          <w:rPr>
            <w:noProof/>
            <w:webHidden/>
          </w:rPr>
        </w:r>
        <w:r w:rsidR="008839E3">
          <w:rPr>
            <w:noProof/>
            <w:webHidden/>
          </w:rPr>
          <w:fldChar w:fldCharType="separate"/>
        </w:r>
        <w:r w:rsidR="008839E3">
          <w:rPr>
            <w:noProof/>
            <w:webHidden/>
          </w:rPr>
          <w:t>9</w:t>
        </w:r>
        <w:r w:rsidR="008839E3">
          <w:rPr>
            <w:noProof/>
            <w:webHidden/>
          </w:rPr>
          <w:fldChar w:fldCharType="end"/>
        </w:r>
      </w:hyperlink>
    </w:p>
    <w:p w14:paraId="51834A6A" w14:textId="7AB02EF7"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43" w:history="1">
        <w:r w:rsidR="008839E3" w:rsidRPr="003222B1">
          <w:rPr>
            <w:rStyle w:val="Hipervnculo"/>
            <w:noProof/>
            <w:lang w:val="es-ES"/>
          </w:rPr>
          <w:t>2.2.1</w:t>
        </w:r>
        <w:r w:rsidR="008839E3">
          <w:rPr>
            <w:rFonts w:asciiTheme="minorHAnsi" w:eastAsiaTheme="minorEastAsia" w:hAnsiTheme="minorHAnsi" w:cstheme="minorBidi"/>
            <w:noProof/>
            <w:lang w:val="es-MX" w:eastAsia="es-MX"/>
          </w:rPr>
          <w:tab/>
        </w:r>
        <w:r w:rsidR="008839E3" w:rsidRPr="003222B1">
          <w:rPr>
            <w:rStyle w:val="Hipervnculo"/>
            <w:noProof/>
            <w:lang w:val="es-MX"/>
          </w:rPr>
          <w:t>Estándar de costo</w:t>
        </w:r>
        <w:r w:rsidR="008839E3">
          <w:rPr>
            <w:noProof/>
            <w:webHidden/>
          </w:rPr>
          <w:tab/>
        </w:r>
        <w:r w:rsidR="008839E3">
          <w:rPr>
            <w:noProof/>
            <w:webHidden/>
          </w:rPr>
          <w:fldChar w:fldCharType="begin"/>
        </w:r>
        <w:r w:rsidR="008839E3">
          <w:rPr>
            <w:noProof/>
            <w:webHidden/>
          </w:rPr>
          <w:instrText xml:space="preserve"> PAGEREF _Toc83660743 \h </w:instrText>
        </w:r>
        <w:r w:rsidR="008839E3">
          <w:rPr>
            <w:noProof/>
            <w:webHidden/>
          </w:rPr>
        </w:r>
        <w:r w:rsidR="008839E3">
          <w:rPr>
            <w:noProof/>
            <w:webHidden/>
          </w:rPr>
          <w:fldChar w:fldCharType="separate"/>
        </w:r>
        <w:r w:rsidR="008839E3">
          <w:rPr>
            <w:noProof/>
            <w:webHidden/>
          </w:rPr>
          <w:t>9</w:t>
        </w:r>
        <w:r w:rsidR="008839E3">
          <w:rPr>
            <w:noProof/>
            <w:webHidden/>
          </w:rPr>
          <w:fldChar w:fldCharType="end"/>
        </w:r>
      </w:hyperlink>
    </w:p>
    <w:p w14:paraId="34CAB294" w14:textId="15FC4A7F"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44" w:history="1">
        <w:r w:rsidR="008839E3" w:rsidRPr="003222B1">
          <w:rPr>
            <w:rStyle w:val="Hipervnculo"/>
            <w:noProof/>
            <w:lang w:val="es-ES"/>
          </w:rPr>
          <w:t>2.2.2</w:t>
        </w:r>
        <w:r w:rsidR="008839E3">
          <w:rPr>
            <w:rFonts w:asciiTheme="minorHAnsi" w:eastAsiaTheme="minorEastAsia" w:hAnsiTheme="minorHAnsi" w:cstheme="minorBidi"/>
            <w:noProof/>
            <w:lang w:val="es-MX" w:eastAsia="es-MX"/>
          </w:rPr>
          <w:tab/>
        </w:r>
        <w:r w:rsidR="008839E3" w:rsidRPr="003222B1">
          <w:rPr>
            <w:rStyle w:val="Hipervnculo"/>
            <w:noProof/>
            <w:lang w:val="es-MX"/>
          </w:rPr>
          <w:t>CCPP</w:t>
        </w:r>
        <w:r w:rsidR="008839E3">
          <w:rPr>
            <w:noProof/>
            <w:webHidden/>
          </w:rPr>
          <w:tab/>
        </w:r>
        <w:r w:rsidR="008839E3">
          <w:rPr>
            <w:noProof/>
            <w:webHidden/>
          </w:rPr>
          <w:fldChar w:fldCharType="begin"/>
        </w:r>
        <w:r w:rsidR="008839E3">
          <w:rPr>
            <w:noProof/>
            <w:webHidden/>
          </w:rPr>
          <w:instrText xml:space="preserve"> PAGEREF _Toc83660744 \h </w:instrText>
        </w:r>
        <w:r w:rsidR="008839E3">
          <w:rPr>
            <w:noProof/>
            <w:webHidden/>
          </w:rPr>
        </w:r>
        <w:r w:rsidR="008839E3">
          <w:rPr>
            <w:noProof/>
            <w:webHidden/>
          </w:rPr>
          <w:fldChar w:fldCharType="separate"/>
        </w:r>
        <w:r w:rsidR="008839E3">
          <w:rPr>
            <w:noProof/>
            <w:webHidden/>
          </w:rPr>
          <w:t>9</w:t>
        </w:r>
        <w:r w:rsidR="008839E3">
          <w:rPr>
            <w:noProof/>
            <w:webHidden/>
          </w:rPr>
          <w:fldChar w:fldCharType="end"/>
        </w:r>
      </w:hyperlink>
    </w:p>
    <w:p w14:paraId="5F31AB16" w14:textId="0A86E2A5"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45" w:history="1">
        <w:r w:rsidR="008839E3" w:rsidRPr="003222B1">
          <w:rPr>
            <w:rStyle w:val="Hipervnculo"/>
            <w:noProof/>
            <w:lang w:val="es-ES"/>
          </w:rPr>
          <w:t>2.2.3</w:t>
        </w:r>
        <w:r w:rsidR="008839E3">
          <w:rPr>
            <w:rFonts w:asciiTheme="minorHAnsi" w:eastAsiaTheme="minorEastAsia" w:hAnsiTheme="minorHAnsi" w:cstheme="minorBidi"/>
            <w:noProof/>
            <w:lang w:val="es-MX" w:eastAsia="es-MX"/>
          </w:rPr>
          <w:tab/>
        </w:r>
        <w:r w:rsidR="008839E3" w:rsidRPr="003222B1">
          <w:rPr>
            <w:rStyle w:val="Hipervnculo"/>
            <w:noProof/>
            <w:lang w:val="es-MX"/>
          </w:rPr>
          <w:t>Actualización del periodo</w:t>
        </w:r>
        <w:r w:rsidR="008839E3">
          <w:rPr>
            <w:noProof/>
            <w:webHidden/>
          </w:rPr>
          <w:tab/>
        </w:r>
        <w:r w:rsidR="008839E3">
          <w:rPr>
            <w:noProof/>
            <w:webHidden/>
          </w:rPr>
          <w:fldChar w:fldCharType="begin"/>
        </w:r>
        <w:r w:rsidR="008839E3">
          <w:rPr>
            <w:noProof/>
            <w:webHidden/>
          </w:rPr>
          <w:instrText xml:space="preserve"> PAGEREF _Toc83660745 \h </w:instrText>
        </w:r>
        <w:r w:rsidR="008839E3">
          <w:rPr>
            <w:noProof/>
            <w:webHidden/>
          </w:rPr>
        </w:r>
        <w:r w:rsidR="008839E3">
          <w:rPr>
            <w:noProof/>
            <w:webHidden/>
          </w:rPr>
          <w:fldChar w:fldCharType="separate"/>
        </w:r>
        <w:r w:rsidR="008839E3">
          <w:rPr>
            <w:noProof/>
            <w:webHidden/>
          </w:rPr>
          <w:t>9</w:t>
        </w:r>
        <w:r w:rsidR="008839E3">
          <w:rPr>
            <w:noProof/>
            <w:webHidden/>
          </w:rPr>
          <w:fldChar w:fldCharType="end"/>
        </w:r>
      </w:hyperlink>
    </w:p>
    <w:p w14:paraId="0F7D443C" w14:textId="3C0D68A9"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46" w:history="1">
        <w:r w:rsidR="008839E3" w:rsidRPr="003222B1">
          <w:rPr>
            <w:rStyle w:val="Hipervnculo"/>
            <w:noProof/>
            <w:lang w:val="es-ES"/>
          </w:rPr>
          <w:t>2.2.4</w:t>
        </w:r>
        <w:r w:rsidR="008839E3">
          <w:rPr>
            <w:rFonts w:asciiTheme="minorHAnsi" w:eastAsiaTheme="minorEastAsia" w:hAnsiTheme="minorHAnsi" w:cstheme="minorBidi"/>
            <w:noProof/>
            <w:lang w:val="es-MX" w:eastAsia="es-MX"/>
          </w:rPr>
          <w:tab/>
        </w:r>
        <w:r w:rsidR="008839E3" w:rsidRPr="003222B1">
          <w:rPr>
            <w:rStyle w:val="Hipervnculo"/>
            <w:noProof/>
            <w:lang w:val="es-MX"/>
          </w:rPr>
          <w:t>Actualización de la inflación en el costo por Megabyte</w:t>
        </w:r>
        <w:r w:rsidR="008839E3">
          <w:rPr>
            <w:noProof/>
            <w:webHidden/>
          </w:rPr>
          <w:tab/>
        </w:r>
        <w:r w:rsidR="008839E3">
          <w:rPr>
            <w:noProof/>
            <w:webHidden/>
          </w:rPr>
          <w:fldChar w:fldCharType="begin"/>
        </w:r>
        <w:r w:rsidR="008839E3">
          <w:rPr>
            <w:noProof/>
            <w:webHidden/>
          </w:rPr>
          <w:instrText xml:space="preserve"> PAGEREF _Toc83660746 \h </w:instrText>
        </w:r>
        <w:r w:rsidR="008839E3">
          <w:rPr>
            <w:noProof/>
            <w:webHidden/>
          </w:rPr>
        </w:r>
        <w:r w:rsidR="008839E3">
          <w:rPr>
            <w:noProof/>
            <w:webHidden/>
          </w:rPr>
          <w:fldChar w:fldCharType="separate"/>
        </w:r>
        <w:r w:rsidR="008839E3">
          <w:rPr>
            <w:noProof/>
            <w:webHidden/>
          </w:rPr>
          <w:t>9</w:t>
        </w:r>
        <w:r w:rsidR="008839E3">
          <w:rPr>
            <w:noProof/>
            <w:webHidden/>
          </w:rPr>
          <w:fldChar w:fldCharType="end"/>
        </w:r>
      </w:hyperlink>
    </w:p>
    <w:p w14:paraId="53AF7216" w14:textId="4FBF161D" w:rsidR="008839E3" w:rsidRDefault="00E3633B">
      <w:pPr>
        <w:pStyle w:val="TDC1"/>
        <w:tabs>
          <w:tab w:val="left" w:pos="440"/>
          <w:tab w:val="right" w:leader="dot" w:pos="9396"/>
        </w:tabs>
        <w:rPr>
          <w:rFonts w:asciiTheme="minorHAnsi" w:eastAsiaTheme="minorEastAsia" w:hAnsiTheme="minorHAnsi" w:cstheme="minorBidi"/>
          <w:noProof/>
          <w:lang w:val="es-MX" w:eastAsia="es-MX"/>
        </w:rPr>
      </w:pPr>
      <w:hyperlink w:anchor="_Toc83660747" w:history="1">
        <w:r w:rsidR="008839E3" w:rsidRPr="003222B1">
          <w:rPr>
            <w:rStyle w:val="Hipervnculo"/>
            <w:noProof/>
            <w:lang w:val="es-MX"/>
          </w:rPr>
          <w:t>3</w:t>
        </w:r>
        <w:r w:rsidR="008839E3">
          <w:rPr>
            <w:rFonts w:asciiTheme="minorHAnsi" w:eastAsiaTheme="minorEastAsia" w:hAnsiTheme="minorHAnsi" w:cstheme="minorBidi"/>
            <w:noProof/>
            <w:lang w:val="es-MX" w:eastAsia="es-MX"/>
          </w:rPr>
          <w:tab/>
        </w:r>
        <w:r w:rsidR="008839E3" w:rsidRPr="003222B1">
          <w:rPr>
            <w:rStyle w:val="Hipervnculo"/>
            <w:noProof/>
            <w:lang w:val="es-MX"/>
          </w:rPr>
          <w:t>Metodología del Módulo de Cálculo del SAIB</w:t>
        </w:r>
        <w:r w:rsidR="008839E3">
          <w:rPr>
            <w:noProof/>
            <w:webHidden/>
          </w:rPr>
          <w:tab/>
        </w:r>
        <w:r w:rsidR="008839E3">
          <w:rPr>
            <w:noProof/>
            <w:webHidden/>
          </w:rPr>
          <w:fldChar w:fldCharType="begin"/>
        </w:r>
        <w:r w:rsidR="008839E3">
          <w:rPr>
            <w:noProof/>
            <w:webHidden/>
          </w:rPr>
          <w:instrText xml:space="preserve"> PAGEREF _Toc83660747 \h </w:instrText>
        </w:r>
        <w:r w:rsidR="008839E3">
          <w:rPr>
            <w:noProof/>
            <w:webHidden/>
          </w:rPr>
        </w:r>
        <w:r w:rsidR="008839E3">
          <w:rPr>
            <w:noProof/>
            <w:webHidden/>
          </w:rPr>
          <w:fldChar w:fldCharType="separate"/>
        </w:r>
        <w:r w:rsidR="008839E3">
          <w:rPr>
            <w:noProof/>
            <w:webHidden/>
          </w:rPr>
          <w:t>10</w:t>
        </w:r>
        <w:r w:rsidR="008839E3">
          <w:rPr>
            <w:noProof/>
            <w:webHidden/>
          </w:rPr>
          <w:fldChar w:fldCharType="end"/>
        </w:r>
      </w:hyperlink>
    </w:p>
    <w:p w14:paraId="0CB889FE" w14:textId="48DE9AA2" w:rsidR="008839E3" w:rsidRDefault="00E3633B">
      <w:pPr>
        <w:pStyle w:val="TDC2"/>
        <w:tabs>
          <w:tab w:val="left" w:pos="880"/>
          <w:tab w:val="right" w:leader="dot" w:pos="9396"/>
        </w:tabs>
        <w:rPr>
          <w:rFonts w:asciiTheme="minorHAnsi" w:eastAsiaTheme="minorEastAsia" w:hAnsiTheme="minorHAnsi" w:cstheme="minorBidi"/>
          <w:noProof/>
          <w:lang w:val="es-MX" w:eastAsia="es-MX"/>
        </w:rPr>
      </w:pPr>
      <w:hyperlink w:anchor="_Toc83660748" w:history="1">
        <w:r w:rsidR="008839E3" w:rsidRPr="003222B1">
          <w:rPr>
            <w:rStyle w:val="Hipervnculo"/>
            <w:noProof/>
            <w:lang w:val="es-MX"/>
          </w:rPr>
          <w:t>3.1</w:t>
        </w:r>
        <w:r w:rsidR="008839E3">
          <w:rPr>
            <w:rFonts w:asciiTheme="minorHAnsi" w:eastAsiaTheme="minorEastAsia" w:hAnsiTheme="minorHAnsi" w:cstheme="minorBidi"/>
            <w:noProof/>
            <w:lang w:val="es-MX" w:eastAsia="es-MX"/>
          </w:rPr>
          <w:tab/>
        </w:r>
        <w:r w:rsidR="008839E3" w:rsidRPr="003222B1">
          <w:rPr>
            <w:rStyle w:val="Hipervnculo"/>
            <w:noProof/>
            <w:lang w:val="es-MX"/>
          </w:rPr>
          <w:t>Discriminación de los costos del SCyD según la velocidad y calidades</w:t>
        </w:r>
        <w:r w:rsidR="008839E3">
          <w:rPr>
            <w:noProof/>
            <w:webHidden/>
          </w:rPr>
          <w:tab/>
        </w:r>
        <w:r w:rsidR="008839E3">
          <w:rPr>
            <w:noProof/>
            <w:webHidden/>
          </w:rPr>
          <w:fldChar w:fldCharType="begin"/>
        </w:r>
        <w:r w:rsidR="008839E3">
          <w:rPr>
            <w:noProof/>
            <w:webHidden/>
          </w:rPr>
          <w:instrText xml:space="preserve"> PAGEREF _Toc83660748 \h </w:instrText>
        </w:r>
        <w:r w:rsidR="008839E3">
          <w:rPr>
            <w:noProof/>
            <w:webHidden/>
          </w:rPr>
        </w:r>
        <w:r w:rsidR="008839E3">
          <w:rPr>
            <w:noProof/>
            <w:webHidden/>
          </w:rPr>
          <w:fldChar w:fldCharType="separate"/>
        </w:r>
        <w:r w:rsidR="008839E3">
          <w:rPr>
            <w:noProof/>
            <w:webHidden/>
          </w:rPr>
          <w:t>10</w:t>
        </w:r>
        <w:r w:rsidR="008839E3">
          <w:rPr>
            <w:noProof/>
            <w:webHidden/>
          </w:rPr>
          <w:fldChar w:fldCharType="end"/>
        </w:r>
      </w:hyperlink>
    </w:p>
    <w:p w14:paraId="1E927A24" w14:textId="2562A011" w:rsidR="008839E3" w:rsidRDefault="00E3633B">
      <w:pPr>
        <w:pStyle w:val="TDC3"/>
        <w:tabs>
          <w:tab w:val="left" w:pos="1320"/>
          <w:tab w:val="right" w:leader="dot" w:pos="9396"/>
        </w:tabs>
        <w:rPr>
          <w:rFonts w:asciiTheme="minorHAnsi" w:eastAsiaTheme="minorEastAsia" w:hAnsiTheme="minorHAnsi" w:cstheme="minorBidi"/>
          <w:noProof/>
          <w:lang w:val="es-MX" w:eastAsia="es-MX"/>
        </w:rPr>
      </w:pPr>
      <w:hyperlink w:anchor="_Toc83660749" w:history="1">
        <w:r w:rsidR="008839E3" w:rsidRPr="003222B1">
          <w:rPr>
            <w:rStyle w:val="Hipervnculo"/>
            <w:noProof/>
            <w:lang w:val="es-ES"/>
          </w:rPr>
          <w:t>3.1.1</w:t>
        </w:r>
        <w:r w:rsidR="008839E3">
          <w:rPr>
            <w:rFonts w:asciiTheme="minorHAnsi" w:eastAsiaTheme="minorEastAsia" w:hAnsiTheme="minorHAnsi" w:cstheme="minorBidi"/>
            <w:noProof/>
            <w:lang w:val="es-MX" w:eastAsia="es-MX"/>
          </w:rPr>
          <w:tab/>
        </w:r>
        <w:r w:rsidR="008839E3" w:rsidRPr="003222B1">
          <w:rPr>
            <w:rStyle w:val="Hipervnculo"/>
            <w:noProof/>
            <w:lang w:val="es-MX"/>
          </w:rPr>
          <w:t>Discriminación basada en la capacidad</w:t>
        </w:r>
        <w:r w:rsidR="008839E3">
          <w:rPr>
            <w:noProof/>
            <w:webHidden/>
          </w:rPr>
          <w:tab/>
        </w:r>
        <w:r w:rsidR="008839E3">
          <w:rPr>
            <w:noProof/>
            <w:webHidden/>
          </w:rPr>
          <w:fldChar w:fldCharType="begin"/>
        </w:r>
        <w:r w:rsidR="008839E3">
          <w:rPr>
            <w:noProof/>
            <w:webHidden/>
          </w:rPr>
          <w:instrText xml:space="preserve"> PAGEREF _Toc83660749 \h </w:instrText>
        </w:r>
        <w:r w:rsidR="008839E3">
          <w:rPr>
            <w:noProof/>
            <w:webHidden/>
          </w:rPr>
        </w:r>
        <w:r w:rsidR="008839E3">
          <w:rPr>
            <w:noProof/>
            <w:webHidden/>
          </w:rPr>
          <w:fldChar w:fldCharType="separate"/>
        </w:r>
        <w:r w:rsidR="008839E3">
          <w:rPr>
            <w:noProof/>
            <w:webHidden/>
          </w:rPr>
          <w:t>10</w:t>
        </w:r>
        <w:r w:rsidR="008839E3">
          <w:rPr>
            <w:noProof/>
            <w:webHidden/>
          </w:rPr>
          <w:fldChar w:fldCharType="end"/>
        </w:r>
      </w:hyperlink>
    </w:p>
    <w:p w14:paraId="746478A3" w14:textId="3988FD7B" w:rsidR="008839E3" w:rsidRDefault="00E3633B">
      <w:pPr>
        <w:pStyle w:val="TDC1"/>
        <w:tabs>
          <w:tab w:val="left" w:pos="440"/>
          <w:tab w:val="right" w:leader="dot" w:pos="9396"/>
        </w:tabs>
        <w:rPr>
          <w:rFonts w:asciiTheme="minorHAnsi" w:eastAsiaTheme="minorEastAsia" w:hAnsiTheme="minorHAnsi" w:cstheme="minorBidi"/>
          <w:noProof/>
          <w:lang w:val="es-MX" w:eastAsia="es-MX"/>
        </w:rPr>
      </w:pPr>
      <w:hyperlink w:anchor="_Toc83660750" w:history="1">
        <w:r w:rsidR="008839E3" w:rsidRPr="003222B1">
          <w:rPr>
            <w:rStyle w:val="Hipervnculo"/>
            <w:noProof/>
            <w:lang w:val="es-419"/>
          </w:rPr>
          <w:t>4</w:t>
        </w:r>
        <w:r w:rsidR="008839E3">
          <w:rPr>
            <w:rFonts w:asciiTheme="minorHAnsi" w:eastAsiaTheme="minorEastAsia" w:hAnsiTheme="minorHAnsi" w:cstheme="minorBidi"/>
            <w:noProof/>
            <w:lang w:val="es-MX" w:eastAsia="es-MX"/>
          </w:rPr>
          <w:tab/>
        </w:r>
        <w:r w:rsidR="008839E3" w:rsidRPr="003222B1">
          <w:rPr>
            <w:rStyle w:val="Hipervnculo"/>
            <w:noProof/>
            <w:lang w:val="es-419"/>
          </w:rPr>
          <w:t>Resumen esquemático para el cálculo de tarifas SAIB.</w:t>
        </w:r>
        <w:r w:rsidR="008839E3">
          <w:rPr>
            <w:noProof/>
            <w:webHidden/>
          </w:rPr>
          <w:tab/>
        </w:r>
        <w:r w:rsidR="008839E3">
          <w:rPr>
            <w:noProof/>
            <w:webHidden/>
          </w:rPr>
          <w:fldChar w:fldCharType="begin"/>
        </w:r>
        <w:r w:rsidR="008839E3">
          <w:rPr>
            <w:noProof/>
            <w:webHidden/>
          </w:rPr>
          <w:instrText xml:space="preserve"> PAGEREF _Toc83660750 \h </w:instrText>
        </w:r>
        <w:r w:rsidR="008839E3">
          <w:rPr>
            <w:noProof/>
            <w:webHidden/>
          </w:rPr>
        </w:r>
        <w:r w:rsidR="008839E3">
          <w:rPr>
            <w:noProof/>
            <w:webHidden/>
          </w:rPr>
          <w:fldChar w:fldCharType="separate"/>
        </w:r>
        <w:r w:rsidR="008839E3">
          <w:rPr>
            <w:noProof/>
            <w:webHidden/>
          </w:rPr>
          <w:t>14</w:t>
        </w:r>
        <w:r w:rsidR="008839E3">
          <w:rPr>
            <w:noProof/>
            <w:webHidden/>
          </w:rPr>
          <w:fldChar w:fldCharType="end"/>
        </w:r>
      </w:hyperlink>
    </w:p>
    <w:p w14:paraId="7B0E2C24" w14:textId="4D7502F2" w:rsidR="001A31C9" w:rsidRPr="00DB3B0E" w:rsidRDefault="001A31C9" w:rsidP="001A31C9">
      <w:pPr>
        <w:rPr>
          <w:b/>
          <w:bCs/>
          <w:lang w:val="es-MX"/>
        </w:rPr>
      </w:pPr>
      <w:r w:rsidRPr="00DB3B0E">
        <w:rPr>
          <w:lang w:val="es-MX"/>
        </w:rPr>
        <w:fldChar w:fldCharType="end"/>
      </w:r>
      <w:r w:rsidRPr="00DB3B0E">
        <w:rPr>
          <w:lang w:val="es-MX"/>
        </w:rPr>
        <w:br w:type="page"/>
      </w:r>
    </w:p>
    <w:p w14:paraId="680D851E" w14:textId="0DF882D5" w:rsidR="0091770E" w:rsidRDefault="0091770E" w:rsidP="00DB3B0E">
      <w:pPr>
        <w:pStyle w:val="Ttulo1"/>
        <w:rPr>
          <w:color w:val="auto"/>
          <w:lang w:val="es-MX"/>
        </w:rPr>
      </w:pPr>
      <w:bookmarkStart w:id="0" w:name="_Toc83660733"/>
      <w:r>
        <w:rPr>
          <w:color w:val="auto"/>
          <w:lang w:val="es-MX"/>
        </w:rPr>
        <w:lastRenderedPageBreak/>
        <w:t>Introducción</w:t>
      </w:r>
      <w:bookmarkEnd w:id="0"/>
    </w:p>
    <w:p w14:paraId="5C11934D" w14:textId="12E7F778" w:rsidR="00AB7C28" w:rsidRPr="00C47E08" w:rsidRDefault="00DB3B0E" w:rsidP="0091770E">
      <w:pPr>
        <w:pStyle w:val="Ttulo2"/>
        <w:rPr>
          <w:lang w:val="es-MX"/>
        </w:rPr>
      </w:pPr>
      <w:bookmarkStart w:id="1" w:name="_Toc83660734"/>
      <w:r w:rsidRPr="00C47E08">
        <w:rPr>
          <w:lang w:val="es-MX"/>
        </w:rPr>
        <w:t>A</w:t>
      </w:r>
      <w:r w:rsidR="0091770E">
        <w:rPr>
          <w:lang w:val="es-MX"/>
        </w:rPr>
        <w:t>ntecedentes</w:t>
      </w:r>
      <w:bookmarkEnd w:id="1"/>
      <w:r w:rsidR="0091770E">
        <w:rPr>
          <w:lang w:val="es-MX"/>
        </w:rPr>
        <w:t xml:space="preserve"> </w:t>
      </w:r>
    </w:p>
    <w:p w14:paraId="43598EF7" w14:textId="305851C8" w:rsidR="0091770E" w:rsidRDefault="0091770E" w:rsidP="00DB3B0E">
      <w:pPr>
        <w:pStyle w:val="Textoindependiente"/>
        <w:rPr>
          <w:sz w:val="20"/>
          <w:szCs w:val="22"/>
          <w:lang w:val="es-MX" w:eastAsia="en-US"/>
        </w:rPr>
      </w:pPr>
      <w:r w:rsidRPr="0091770E">
        <w:rPr>
          <w:sz w:val="20"/>
          <w:szCs w:val="22"/>
          <w:lang w:val="es-MX" w:eastAsia="en-US"/>
        </w:rPr>
        <w:t>Los días 2, 3 y 4 de diciembre de 2020 el Pleno del Instituto</w:t>
      </w:r>
      <w:r w:rsidR="00B817F3">
        <w:rPr>
          <w:sz w:val="20"/>
          <w:szCs w:val="22"/>
          <w:lang w:val="es-MX" w:eastAsia="en-US"/>
        </w:rPr>
        <w:t xml:space="preserve"> Federal de Telecomunicaciones</w:t>
      </w:r>
      <w:r w:rsidRPr="0091770E">
        <w:rPr>
          <w:sz w:val="20"/>
          <w:szCs w:val="22"/>
          <w:lang w:val="es-MX" w:eastAsia="en-US"/>
        </w:rPr>
        <w:t xml:space="preserve"> en su XXIV Sesión Ordinaria aprobó mediante Acuerdo P/IFT/021220/488 la “</w:t>
      </w:r>
      <w:r w:rsidR="008D703C" w:rsidRPr="008D703C">
        <w:rPr>
          <w:i/>
          <w:iCs/>
          <w:sz w:val="20"/>
          <w:szCs w:val="22"/>
          <w:lang w:val="es-MX" w:eastAsia="en-US"/>
        </w:rPr>
        <w:t>Resolución mediante la cual el Pleno del Instituto Federal de Telecomunicaciones suprime, modifica y adiciona las medidas impuestas al agente económico preponderante en el sector de telecomunicaciones mediante Acuerdos P/IFT/EXT/060314/76 y P/IFT/EXT/270217/119.</w:t>
      </w:r>
      <w:r>
        <w:rPr>
          <w:sz w:val="20"/>
          <w:szCs w:val="22"/>
          <w:lang w:val="es-MX" w:eastAsia="en-US"/>
        </w:rPr>
        <w:t>”</w:t>
      </w:r>
      <w:r w:rsidRPr="00453486">
        <w:rPr>
          <w:rStyle w:val="Refdenotaalpie"/>
          <w:sz w:val="20"/>
          <w:szCs w:val="22"/>
          <w:lang w:val="es-MX" w:eastAsia="en-US"/>
        </w:rPr>
        <w:footnoteReference w:id="2"/>
      </w:r>
      <w:r w:rsidRPr="0091770E">
        <w:rPr>
          <w:sz w:val="20"/>
          <w:szCs w:val="22"/>
          <w:lang w:val="es-MX" w:eastAsia="en-US"/>
        </w:rPr>
        <w:t xml:space="preserve"> (</w:t>
      </w:r>
      <w:r w:rsidRPr="00001794">
        <w:rPr>
          <w:sz w:val="20"/>
          <w:szCs w:val="22"/>
          <w:lang w:val="es-MX" w:eastAsia="en-US"/>
        </w:rPr>
        <w:t>Segunda Resolución Bienal</w:t>
      </w:r>
      <w:r w:rsidRPr="0091770E">
        <w:rPr>
          <w:sz w:val="20"/>
          <w:szCs w:val="22"/>
          <w:lang w:val="es-MX" w:eastAsia="en-US"/>
        </w:rPr>
        <w:t>)</w:t>
      </w:r>
      <w:r>
        <w:rPr>
          <w:sz w:val="20"/>
          <w:szCs w:val="22"/>
          <w:lang w:val="es-MX" w:eastAsia="en-US"/>
        </w:rPr>
        <w:t xml:space="preserve">. </w:t>
      </w:r>
    </w:p>
    <w:p w14:paraId="3494D016" w14:textId="09C33043" w:rsidR="0091770E" w:rsidRDefault="0091770E" w:rsidP="00DB3B0E">
      <w:pPr>
        <w:pStyle w:val="Textoindependiente"/>
        <w:rPr>
          <w:sz w:val="20"/>
          <w:szCs w:val="22"/>
          <w:lang w:val="es-MX" w:eastAsia="en-US"/>
        </w:rPr>
      </w:pPr>
      <w:r>
        <w:rPr>
          <w:sz w:val="20"/>
          <w:szCs w:val="22"/>
          <w:lang w:val="es-MX" w:eastAsia="en-US"/>
        </w:rPr>
        <w:t xml:space="preserve">En dicho instrumento, el Instituto autorizó </w:t>
      </w:r>
      <w:r w:rsidR="00B817F3">
        <w:rPr>
          <w:sz w:val="20"/>
          <w:szCs w:val="22"/>
          <w:lang w:val="es-MX" w:eastAsia="en-US"/>
        </w:rPr>
        <w:t>modificaciones a</w:t>
      </w:r>
      <w:r>
        <w:rPr>
          <w:sz w:val="20"/>
          <w:szCs w:val="22"/>
          <w:lang w:val="es-MX" w:eastAsia="en-US"/>
        </w:rPr>
        <w:t xml:space="preserve">l Anexo 3 </w:t>
      </w:r>
      <w:r w:rsidR="00B817F3">
        <w:rPr>
          <w:sz w:val="20"/>
          <w:szCs w:val="22"/>
          <w:lang w:val="es-MX" w:eastAsia="en-US"/>
        </w:rPr>
        <w:t>correspondiente a las</w:t>
      </w:r>
      <w:r>
        <w:rPr>
          <w:sz w:val="20"/>
          <w:szCs w:val="22"/>
          <w:lang w:val="es-MX" w:eastAsia="en-US"/>
        </w:rPr>
        <w:t xml:space="preserve"> “</w:t>
      </w:r>
      <w:r w:rsidRPr="00B817F3">
        <w:rPr>
          <w:i/>
          <w:iCs/>
          <w:sz w:val="20"/>
          <w:szCs w:val="22"/>
          <w:lang w:val="es-MX" w:eastAsia="en-US"/>
        </w:rPr>
        <w:t>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r>
        <w:rPr>
          <w:sz w:val="20"/>
          <w:szCs w:val="22"/>
          <w:lang w:val="es-MX" w:eastAsia="en-US"/>
        </w:rPr>
        <w:t>” (</w:t>
      </w:r>
      <w:r w:rsidRPr="00001794">
        <w:rPr>
          <w:sz w:val="20"/>
          <w:szCs w:val="22"/>
          <w:lang w:val="es-MX" w:eastAsia="en-US"/>
        </w:rPr>
        <w:t>Anexo 3 de la Segunda Resolución Bienal</w:t>
      </w:r>
      <w:r>
        <w:rPr>
          <w:sz w:val="20"/>
          <w:szCs w:val="22"/>
          <w:lang w:val="es-MX" w:eastAsia="en-US"/>
        </w:rPr>
        <w:t>)</w:t>
      </w:r>
      <w:r w:rsidRPr="00453486">
        <w:rPr>
          <w:rStyle w:val="Refdenotaalpie"/>
          <w:sz w:val="20"/>
          <w:szCs w:val="22"/>
          <w:lang w:val="es-MX" w:eastAsia="en-US"/>
        </w:rPr>
        <w:footnoteReference w:id="3"/>
      </w:r>
      <w:r w:rsidRPr="0091770E">
        <w:rPr>
          <w:sz w:val="20"/>
          <w:szCs w:val="22"/>
          <w:lang w:val="es-MX" w:eastAsia="en-US"/>
        </w:rPr>
        <w:t>.</w:t>
      </w:r>
    </w:p>
    <w:p w14:paraId="201F389C" w14:textId="4EC717AC" w:rsidR="00B817F3" w:rsidRDefault="00B817F3" w:rsidP="00DB3B0E">
      <w:pPr>
        <w:pStyle w:val="Textoindependiente"/>
        <w:rPr>
          <w:sz w:val="20"/>
          <w:szCs w:val="22"/>
          <w:lang w:val="es-MX" w:eastAsia="en-US"/>
        </w:rPr>
      </w:pPr>
      <w:r>
        <w:rPr>
          <w:sz w:val="20"/>
          <w:szCs w:val="22"/>
          <w:lang w:val="es-MX" w:eastAsia="en-US"/>
        </w:rPr>
        <w:t xml:space="preserve">En particular, la Medida TRIGÉSIMA NOVENA del Anexo 3 de la Segunda Resolución Bienal dispone que las tarifas aplicables a diversos servicios de desagregación, en particular el Servicio de Acceso Indirecto al Bucle Local </w:t>
      </w:r>
      <w:r w:rsidR="00AF5BF0">
        <w:rPr>
          <w:sz w:val="20"/>
          <w:szCs w:val="22"/>
          <w:lang w:val="es-MX" w:eastAsia="en-US"/>
        </w:rPr>
        <w:t>(</w:t>
      </w:r>
      <w:r w:rsidR="00AF5BF0" w:rsidRPr="00001794">
        <w:rPr>
          <w:sz w:val="20"/>
          <w:szCs w:val="22"/>
          <w:lang w:val="es-MX" w:eastAsia="en-US"/>
        </w:rPr>
        <w:t>SAIB</w:t>
      </w:r>
      <w:r w:rsidR="00AF5BF0">
        <w:rPr>
          <w:sz w:val="20"/>
          <w:szCs w:val="22"/>
          <w:lang w:val="es-MX" w:eastAsia="en-US"/>
        </w:rPr>
        <w:t xml:space="preserve">) </w:t>
      </w:r>
      <w:r>
        <w:rPr>
          <w:sz w:val="20"/>
          <w:szCs w:val="22"/>
          <w:lang w:val="es-MX" w:eastAsia="en-US"/>
        </w:rPr>
        <w:t xml:space="preserve">se determinará a partir de un modelo de costos basado en una metodología de costos incrementales promedio de largo plazo. Dicha obligación </w:t>
      </w:r>
      <w:r w:rsidR="00402515">
        <w:rPr>
          <w:sz w:val="20"/>
          <w:szCs w:val="22"/>
          <w:lang w:val="es-MX" w:eastAsia="en-US"/>
        </w:rPr>
        <w:t>se determinó de</w:t>
      </w:r>
      <w:r>
        <w:rPr>
          <w:sz w:val="20"/>
          <w:szCs w:val="22"/>
          <w:lang w:val="es-MX" w:eastAsia="en-US"/>
        </w:rPr>
        <w:t xml:space="preserve"> la siguiente forma:</w:t>
      </w:r>
    </w:p>
    <w:p w14:paraId="308E5AE0" w14:textId="3ADE15B0" w:rsidR="00B817F3" w:rsidRPr="00395A36" w:rsidRDefault="00B817F3" w:rsidP="00B817F3">
      <w:pPr>
        <w:pStyle w:val="Quotation"/>
        <w:jc w:val="both"/>
        <w:rPr>
          <w:sz w:val="18"/>
          <w:szCs w:val="20"/>
          <w:lang w:val="es-MX"/>
        </w:rPr>
      </w:pPr>
      <w:r w:rsidRPr="00395A36">
        <w:rPr>
          <w:sz w:val="18"/>
          <w:szCs w:val="20"/>
          <w:lang w:val="es-MX"/>
        </w:rPr>
        <w:t>“</w:t>
      </w:r>
      <w:r w:rsidRPr="00395A36">
        <w:rPr>
          <w:b/>
          <w:bCs/>
          <w:sz w:val="18"/>
          <w:szCs w:val="20"/>
          <w:lang w:val="es-MX"/>
        </w:rPr>
        <w:t>TRIGÉSIMA NOVENA.-</w:t>
      </w:r>
      <w:r w:rsidRPr="00395A36">
        <w:rPr>
          <w:sz w:val="18"/>
          <w:szCs w:val="20"/>
          <w:lang w:val="es-MX"/>
        </w:rPr>
        <w:t xml:space="preserve"> </w:t>
      </w:r>
      <w:r w:rsidRPr="00395A36">
        <w:rPr>
          <w:b/>
          <w:bCs/>
          <w:sz w:val="18"/>
          <w:szCs w:val="20"/>
          <w:u w:val="single"/>
          <w:lang w:val="es-MX"/>
        </w:rPr>
        <w:t>Las tarifas aplicables al Servicio de Acceso Indirecto al Bucle Local</w:t>
      </w:r>
      <w:r w:rsidRPr="00395A36">
        <w:rPr>
          <w:sz w:val="18"/>
          <w:szCs w:val="20"/>
          <w:lang w:val="es-MX"/>
        </w:rPr>
        <w:t xml:space="preserve"> y a los Servicios de Desagregación Total y Compartida del Bucle, Sub-bucle Local, Coubicación para Desagregación y Servicios Auxiliares, </w:t>
      </w:r>
      <w:r w:rsidRPr="00395A36">
        <w:rPr>
          <w:b/>
          <w:bCs/>
          <w:sz w:val="18"/>
          <w:szCs w:val="20"/>
          <w:u w:val="single"/>
          <w:lang w:val="es-MX"/>
        </w:rPr>
        <w:t>se determinarán a partir de un modelo de costos basado en una metodología de costos incrementales promedio de largo plazo, que al efecto emita el Instituto</w:t>
      </w:r>
      <w:r w:rsidRPr="00395A36">
        <w:rPr>
          <w:sz w:val="18"/>
          <w:szCs w:val="20"/>
          <w:lang w:val="es-MX"/>
        </w:rPr>
        <w:t>.</w:t>
      </w:r>
    </w:p>
    <w:p w14:paraId="7AE479C5" w14:textId="77777777" w:rsidR="00B817F3" w:rsidRPr="00395A36" w:rsidRDefault="00B817F3" w:rsidP="00B817F3">
      <w:pPr>
        <w:pStyle w:val="Quotation"/>
        <w:jc w:val="both"/>
        <w:rPr>
          <w:sz w:val="18"/>
          <w:szCs w:val="20"/>
          <w:lang w:val="es-MX"/>
        </w:rPr>
      </w:pPr>
      <w:r w:rsidRPr="00395A36">
        <w:rPr>
          <w:sz w:val="18"/>
          <w:szCs w:val="20"/>
          <w:lang w:val="es-MX"/>
        </w:rPr>
        <w:t>[…]”</w:t>
      </w:r>
    </w:p>
    <w:p w14:paraId="6792DCB2" w14:textId="2636DCEF" w:rsidR="00B817F3" w:rsidRPr="004E5EBE" w:rsidRDefault="00B817F3" w:rsidP="00B817F3">
      <w:pPr>
        <w:pStyle w:val="Quotation"/>
        <w:jc w:val="right"/>
        <w:rPr>
          <w:sz w:val="20"/>
          <w:szCs w:val="20"/>
          <w:lang w:val="es-MX"/>
        </w:rPr>
      </w:pPr>
      <w:r w:rsidRPr="004E5EBE">
        <w:rPr>
          <w:i w:val="0"/>
          <w:iCs/>
          <w:sz w:val="20"/>
          <w:szCs w:val="20"/>
          <w:lang w:val="es-MX"/>
        </w:rPr>
        <w:t>[Énfasis añadido]</w:t>
      </w:r>
      <w:r w:rsidRPr="004E5EBE">
        <w:rPr>
          <w:sz w:val="20"/>
          <w:szCs w:val="20"/>
          <w:lang w:val="es-MX"/>
        </w:rPr>
        <w:t>.</w:t>
      </w:r>
    </w:p>
    <w:p w14:paraId="7FD40CF4" w14:textId="0FB76C2C" w:rsidR="00CF0BD9" w:rsidRPr="004E5EBE" w:rsidRDefault="00573D16" w:rsidP="00CF0BD9">
      <w:pPr>
        <w:spacing w:after="0"/>
        <w:rPr>
          <w:bCs/>
          <w:sz w:val="20"/>
          <w:szCs w:val="20"/>
          <w:lang w:val="es-MX"/>
        </w:rPr>
      </w:pPr>
      <w:r w:rsidRPr="004E5EBE">
        <w:rPr>
          <w:bCs/>
          <w:sz w:val="20"/>
          <w:szCs w:val="20"/>
          <w:lang w:val="es-MX"/>
        </w:rPr>
        <w:t>Bajo estos términos</w:t>
      </w:r>
      <w:r w:rsidR="007934AA" w:rsidRPr="004E5EBE">
        <w:rPr>
          <w:bCs/>
          <w:sz w:val="20"/>
          <w:szCs w:val="20"/>
          <w:lang w:val="es-MX"/>
        </w:rPr>
        <w:t xml:space="preserve"> y con base en las modalidades del servicio autorizado por el Instituto en la “</w:t>
      </w:r>
      <w:r w:rsidR="007934AA" w:rsidRPr="004E5EBE">
        <w:rPr>
          <w:bCs/>
          <w:i/>
          <w:iCs/>
          <w:sz w:val="20"/>
          <w:szCs w:val="20"/>
          <w:lang w:val="es-MX"/>
        </w:rPr>
        <w:t>Resolución mediante la cual el Pleno del Instituto Federal de Telecomunicaciones modifica y aprueba los términos y condiciones de las Ofertas de Referencia de los Servicios de Desagregación presentadas por Red Nacional Última Milla, S.A.P.I. de C.V. y Red Última Milla del Noroeste, S.A.P.I. de C.V. aplicables del 1 de enero al 31 de diciembre de 2021</w:t>
      </w:r>
      <w:r w:rsidR="007934AA" w:rsidRPr="004E5EBE">
        <w:rPr>
          <w:bCs/>
          <w:sz w:val="20"/>
          <w:szCs w:val="20"/>
          <w:lang w:val="es-MX"/>
        </w:rPr>
        <w:t>”</w:t>
      </w:r>
      <w:r w:rsidR="006D3F7F" w:rsidRPr="004E5EBE">
        <w:rPr>
          <w:rStyle w:val="Refdenotaalpie"/>
          <w:bCs/>
          <w:sz w:val="20"/>
          <w:szCs w:val="20"/>
          <w:lang w:val="es-MX"/>
        </w:rPr>
        <w:footnoteReference w:id="4"/>
      </w:r>
      <w:r w:rsidR="007934AA" w:rsidRPr="004E5EBE">
        <w:rPr>
          <w:bCs/>
          <w:sz w:val="20"/>
          <w:szCs w:val="20"/>
          <w:lang w:val="es-MX"/>
        </w:rPr>
        <w:t xml:space="preserve"> (OREDA 2021)</w:t>
      </w:r>
      <w:r w:rsidR="006D3F7F" w:rsidRPr="004E5EBE">
        <w:rPr>
          <w:bCs/>
          <w:sz w:val="20"/>
          <w:szCs w:val="20"/>
          <w:lang w:val="es-MX"/>
        </w:rPr>
        <w:t>, el SAIB es un servicio mayorista ofrecido por Red Nacional Última Milla, S.A.P.I. de C.V. y Red Última Milla del Noroeste, S.A.P.I. de C.V. (</w:t>
      </w:r>
      <w:r w:rsidR="00001794">
        <w:rPr>
          <w:bCs/>
          <w:sz w:val="20"/>
          <w:szCs w:val="20"/>
          <w:lang w:val="es-MX"/>
        </w:rPr>
        <w:t>denominadas de manera conjunta como</w:t>
      </w:r>
      <w:r w:rsidR="006D3F7F" w:rsidRPr="004E5EBE">
        <w:rPr>
          <w:bCs/>
          <w:sz w:val="20"/>
          <w:szCs w:val="20"/>
          <w:lang w:val="es-MX"/>
        </w:rPr>
        <w:t xml:space="preserve"> EM) integrado con el Servicio de Concentración y Distribución (SCyD) en </w:t>
      </w:r>
      <w:r w:rsidR="00CF0BD9" w:rsidRPr="004E5EBE">
        <w:rPr>
          <w:bCs/>
          <w:sz w:val="20"/>
          <w:szCs w:val="20"/>
          <w:lang w:val="es-MX"/>
        </w:rPr>
        <w:t>tres niveles de agregación, es decir, local, regional  y nacional, distinguiendo además por diversos atributos o características, como asimetría/simetría, calidad de servicio y perfil de velocidad.</w:t>
      </w:r>
    </w:p>
    <w:p w14:paraId="0501E188" w14:textId="77777777" w:rsidR="00CF0BD9" w:rsidRPr="00CF0BD9" w:rsidRDefault="00CF0BD9" w:rsidP="00CF0BD9">
      <w:pPr>
        <w:spacing w:after="0"/>
        <w:rPr>
          <w:bCs/>
          <w:lang w:val="es-MX"/>
        </w:rPr>
      </w:pPr>
    </w:p>
    <w:p w14:paraId="54444D33" w14:textId="02BD7872" w:rsidR="00CF0BD9" w:rsidRPr="009E547F" w:rsidRDefault="00B53B77" w:rsidP="00CF0BD9">
      <w:pPr>
        <w:spacing w:after="0"/>
        <w:rPr>
          <w:bCs/>
          <w:sz w:val="20"/>
          <w:szCs w:val="20"/>
          <w:lang w:val="es-MX"/>
        </w:rPr>
      </w:pPr>
      <w:r>
        <w:rPr>
          <w:bCs/>
          <w:sz w:val="20"/>
          <w:szCs w:val="20"/>
          <w:lang w:val="es-MX"/>
        </w:rPr>
        <w:lastRenderedPageBreak/>
        <w:t>L</w:t>
      </w:r>
      <w:r w:rsidR="004E1FC0">
        <w:rPr>
          <w:bCs/>
          <w:sz w:val="20"/>
          <w:szCs w:val="20"/>
          <w:lang w:val="es-MX"/>
        </w:rPr>
        <w:t>o anterior</w:t>
      </w:r>
      <w:r>
        <w:rPr>
          <w:bCs/>
          <w:sz w:val="20"/>
          <w:szCs w:val="20"/>
          <w:lang w:val="es-MX"/>
        </w:rPr>
        <w:t xml:space="preserve"> requiere el desarrollo e implementación </w:t>
      </w:r>
      <w:r>
        <w:rPr>
          <w:rFonts w:eastAsia="ITC Avant Garde"/>
          <w:bCs/>
          <w:sz w:val="20"/>
          <w:szCs w:val="20"/>
          <w:lang w:val="es-MX"/>
        </w:rPr>
        <w:t xml:space="preserve">de un </w:t>
      </w:r>
      <w:r w:rsidR="009E547F" w:rsidRPr="008733AB">
        <w:rPr>
          <w:bCs/>
          <w:sz w:val="20"/>
          <w:szCs w:val="20"/>
          <w:lang w:val="es-MX"/>
        </w:rPr>
        <w:t>módulo de cálculo para estima</w:t>
      </w:r>
      <w:r>
        <w:rPr>
          <w:bCs/>
          <w:sz w:val="20"/>
          <w:szCs w:val="20"/>
          <w:lang w:val="es-MX"/>
        </w:rPr>
        <w:t xml:space="preserve">r </w:t>
      </w:r>
      <w:r w:rsidR="009E547F" w:rsidRPr="008733AB">
        <w:rPr>
          <w:bCs/>
          <w:sz w:val="20"/>
          <w:szCs w:val="20"/>
          <w:lang w:val="es-MX"/>
        </w:rPr>
        <w:t>las tarifas del SAIB (en lo sucesivo, el “Módulo de Cálculo del SAIB”)</w:t>
      </w:r>
      <w:r>
        <w:rPr>
          <w:bCs/>
          <w:sz w:val="20"/>
          <w:szCs w:val="20"/>
          <w:lang w:val="es-MX"/>
        </w:rPr>
        <w:t>, el cual incorpora</w:t>
      </w:r>
      <w:r w:rsidR="009E547F" w:rsidRPr="009E547F">
        <w:rPr>
          <w:rFonts w:eastAsia="ITC Avant Garde"/>
          <w:bCs/>
          <w:sz w:val="20"/>
          <w:szCs w:val="20"/>
          <w:lang w:val="es-MX"/>
        </w:rPr>
        <w:t xml:space="preserve"> </w:t>
      </w:r>
      <w:r w:rsidR="004E1FC0">
        <w:rPr>
          <w:rFonts w:eastAsia="ITC Avant Garde"/>
          <w:bCs/>
          <w:sz w:val="20"/>
          <w:szCs w:val="20"/>
          <w:lang w:val="es-MX"/>
        </w:rPr>
        <w:t xml:space="preserve">insumos </w:t>
      </w:r>
      <w:r w:rsidR="009E547F" w:rsidRPr="009E547F">
        <w:rPr>
          <w:rFonts w:eastAsia="ITC Avant Garde"/>
          <w:bCs/>
          <w:sz w:val="20"/>
          <w:szCs w:val="20"/>
          <w:lang w:val="es-MX"/>
        </w:rPr>
        <w:t>de los siguientes modelos de costos</w:t>
      </w:r>
      <w:r>
        <w:rPr>
          <w:rFonts w:eastAsia="ITC Avant Garde"/>
          <w:bCs/>
          <w:sz w:val="20"/>
          <w:szCs w:val="20"/>
          <w:lang w:val="es-MX"/>
        </w:rPr>
        <w:t xml:space="preserve"> desarrollados previamente por el Instituto</w:t>
      </w:r>
      <w:r w:rsidR="00CF0BD9" w:rsidRPr="009E547F">
        <w:rPr>
          <w:bCs/>
          <w:sz w:val="20"/>
          <w:szCs w:val="20"/>
          <w:lang w:val="es-MX"/>
        </w:rPr>
        <w:t>:</w:t>
      </w:r>
    </w:p>
    <w:p w14:paraId="5B528A52" w14:textId="77777777" w:rsidR="00CF0BD9" w:rsidRPr="008733AB" w:rsidRDefault="00CF0BD9" w:rsidP="00CF0BD9">
      <w:pPr>
        <w:spacing w:after="0"/>
        <w:rPr>
          <w:bCs/>
          <w:sz w:val="20"/>
          <w:szCs w:val="20"/>
          <w:lang w:val="es-MX"/>
        </w:rPr>
      </w:pPr>
    </w:p>
    <w:p w14:paraId="0891621B" w14:textId="24F120CF" w:rsidR="00CF0BD9" w:rsidRPr="008733AB" w:rsidRDefault="00CF0BD9" w:rsidP="00CF0BD9">
      <w:pPr>
        <w:pStyle w:val="Prrafodelista"/>
        <w:numPr>
          <w:ilvl w:val="0"/>
          <w:numId w:val="43"/>
        </w:numPr>
        <w:spacing w:after="0" w:line="276" w:lineRule="auto"/>
        <w:rPr>
          <w:bCs/>
          <w:sz w:val="20"/>
          <w:szCs w:val="20"/>
          <w:lang w:val="es-MX"/>
        </w:rPr>
      </w:pPr>
      <w:r w:rsidRPr="008733AB">
        <w:rPr>
          <w:bCs/>
          <w:sz w:val="20"/>
          <w:szCs w:val="20"/>
          <w:lang w:val="es-MX"/>
        </w:rPr>
        <w:t>Modelo Integral de Red de Acceso Fijo</w:t>
      </w:r>
      <w:r w:rsidRPr="008733AB">
        <w:rPr>
          <w:rStyle w:val="Refdenotaalpie"/>
          <w:bCs/>
          <w:sz w:val="20"/>
          <w:szCs w:val="20"/>
        </w:rPr>
        <w:footnoteReference w:id="5"/>
      </w:r>
      <w:r w:rsidR="006D3F7F" w:rsidRPr="008733AB">
        <w:rPr>
          <w:bCs/>
          <w:sz w:val="20"/>
          <w:szCs w:val="20"/>
          <w:lang w:val="es-MX"/>
        </w:rPr>
        <w:t xml:space="preserve"> y</w:t>
      </w:r>
    </w:p>
    <w:p w14:paraId="4C6D5204" w14:textId="0E52787B" w:rsidR="00CF0BD9" w:rsidRPr="009E547F" w:rsidRDefault="00CF0BD9" w:rsidP="00CF0BD9">
      <w:pPr>
        <w:pStyle w:val="Prrafodelista"/>
        <w:numPr>
          <w:ilvl w:val="0"/>
          <w:numId w:val="43"/>
        </w:numPr>
        <w:spacing w:after="0" w:line="276" w:lineRule="auto"/>
        <w:rPr>
          <w:bCs/>
          <w:sz w:val="20"/>
          <w:szCs w:val="20"/>
          <w:lang w:val="es-MX"/>
        </w:rPr>
      </w:pPr>
      <w:r w:rsidRPr="009E547F">
        <w:rPr>
          <w:bCs/>
          <w:sz w:val="20"/>
          <w:szCs w:val="20"/>
          <w:lang w:val="es-MX"/>
        </w:rPr>
        <w:t xml:space="preserve">Modelo </w:t>
      </w:r>
      <w:r w:rsidR="00CC04F6" w:rsidRPr="009E547F">
        <w:rPr>
          <w:bCs/>
          <w:sz w:val="20"/>
          <w:szCs w:val="20"/>
          <w:lang w:val="es-MX"/>
        </w:rPr>
        <w:t>de Interconexión Fijo</w:t>
      </w:r>
      <w:r w:rsidRPr="009E547F">
        <w:rPr>
          <w:bCs/>
          <w:sz w:val="20"/>
          <w:szCs w:val="20"/>
          <w:lang w:val="es-MX"/>
        </w:rPr>
        <w:t xml:space="preserve"> </w:t>
      </w:r>
      <w:r w:rsidR="00CC04F6" w:rsidRPr="009E547F">
        <w:rPr>
          <w:bCs/>
          <w:sz w:val="20"/>
          <w:szCs w:val="20"/>
          <w:lang w:val="es-MX"/>
        </w:rPr>
        <w:t xml:space="preserve">y de </w:t>
      </w:r>
      <w:r w:rsidR="004E5EBE" w:rsidRPr="009E547F">
        <w:rPr>
          <w:bCs/>
          <w:sz w:val="20"/>
          <w:szCs w:val="20"/>
          <w:lang w:val="es-MX"/>
        </w:rPr>
        <w:t>Mercado</w:t>
      </w:r>
      <w:r w:rsidR="00CC04F6" w:rsidRPr="009E547F">
        <w:rPr>
          <w:bCs/>
          <w:sz w:val="20"/>
          <w:szCs w:val="20"/>
          <w:lang w:val="es-MX"/>
        </w:rPr>
        <w:t xml:space="preserve"> </w:t>
      </w:r>
      <w:r w:rsidRPr="009E547F">
        <w:rPr>
          <w:bCs/>
          <w:sz w:val="20"/>
          <w:szCs w:val="20"/>
          <w:lang w:val="es-MX"/>
        </w:rPr>
        <w:t>del Agente Económico Preponderante</w:t>
      </w:r>
      <w:r w:rsidRPr="009E547F">
        <w:rPr>
          <w:rStyle w:val="Refdenotaalpie"/>
          <w:bCs/>
          <w:sz w:val="20"/>
          <w:szCs w:val="20"/>
        </w:rPr>
        <w:footnoteReference w:id="6"/>
      </w:r>
      <w:r w:rsidR="00B01E15" w:rsidRPr="009E547F">
        <w:rPr>
          <w:bCs/>
          <w:sz w:val="20"/>
          <w:szCs w:val="20"/>
          <w:lang w:val="es-MX"/>
        </w:rPr>
        <w:t xml:space="preserve"> emitidos a partir del </w:t>
      </w:r>
      <w:r w:rsidR="00FC4C9D">
        <w:rPr>
          <w:bCs/>
          <w:sz w:val="20"/>
          <w:szCs w:val="20"/>
          <w:lang w:val="es-MX"/>
        </w:rPr>
        <w:t>“</w:t>
      </w:r>
      <w:r w:rsidR="00FC4C9D" w:rsidRPr="008733AB">
        <w:rPr>
          <w:bCs/>
          <w:i/>
          <w:iCs/>
          <w:sz w:val="20"/>
          <w:szCs w:val="20"/>
          <w:lang w:val="es-MX"/>
        </w:rPr>
        <w:t xml:space="preserve">Acuerdo </w:t>
      </w:r>
      <w:r w:rsidR="00FC4C9D" w:rsidRPr="008733AB">
        <w:rPr>
          <w:i/>
          <w:iCs/>
          <w:sz w:val="20"/>
          <w:szCs w:val="20"/>
          <w:lang w:val="es-MX"/>
        </w:rPr>
        <w:t>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2021</w:t>
      </w:r>
      <w:r w:rsidR="00FC4C9D">
        <w:rPr>
          <w:i/>
          <w:iCs/>
          <w:sz w:val="20"/>
          <w:szCs w:val="20"/>
          <w:lang w:val="es-MX"/>
        </w:rPr>
        <w:t>”</w:t>
      </w:r>
      <w:r w:rsidR="00FC4C9D" w:rsidRPr="009E547F" w:rsidDel="00504E0A">
        <w:rPr>
          <w:bCs/>
          <w:sz w:val="20"/>
          <w:szCs w:val="20"/>
          <w:lang w:val="es-MX"/>
        </w:rPr>
        <w:t xml:space="preserve"> </w:t>
      </w:r>
      <w:r w:rsidR="00FC4C9D">
        <w:rPr>
          <w:bCs/>
          <w:sz w:val="20"/>
          <w:szCs w:val="20"/>
          <w:lang w:val="es-MX"/>
        </w:rPr>
        <w:t>(</w:t>
      </w:r>
      <w:r w:rsidR="00B01E15" w:rsidRPr="009E547F">
        <w:rPr>
          <w:bCs/>
          <w:sz w:val="20"/>
          <w:szCs w:val="20"/>
          <w:lang w:val="es-MX"/>
        </w:rPr>
        <w:t>Acuerdo de Interconexión 2021</w:t>
      </w:r>
      <w:r w:rsidR="00FC4C9D">
        <w:rPr>
          <w:bCs/>
          <w:sz w:val="20"/>
          <w:szCs w:val="20"/>
          <w:lang w:val="es-MX"/>
        </w:rPr>
        <w:t>)</w:t>
      </w:r>
      <w:r w:rsidR="00B01E15" w:rsidRPr="009E547F">
        <w:rPr>
          <w:rStyle w:val="Refdenotaalpie"/>
          <w:bCs/>
          <w:sz w:val="20"/>
          <w:szCs w:val="20"/>
          <w:lang w:val="es-MX"/>
        </w:rPr>
        <w:footnoteReference w:id="7"/>
      </w:r>
      <w:r w:rsidRPr="009E547F">
        <w:rPr>
          <w:bCs/>
          <w:sz w:val="20"/>
          <w:szCs w:val="20"/>
          <w:lang w:val="es-MX"/>
        </w:rPr>
        <w:t>.</w:t>
      </w:r>
    </w:p>
    <w:p w14:paraId="72978DAF" w14:textId="4D11D2A8" w:rsidR="003D7D99" w:rsidRPr="009E547F" w:rsidRDefault="003D7D99" w:rsidP="003D7D99">
      <w:pPr>
        <w:spacing w:after="0" w:line="276" w:lineRule="auto"/>
        <w:rPr>
          <w:bCs/>
          <w:sz w:val="20"/>
          <w:szCs w:val="20"/>
          <w:lang w:val="es-MX"/>
        </w:rPr>
      </w:pPr>
    </w:p>
    <w:p w14:paraId="22BD219B" w14:textId="4F42ACCC" w:rsidR="00B817F3" w:rsidRPr="008733AB" w:rsidRDefault="00B817F3" w:rsidP="008733AB">
      <w:pPr>
        <w:spacing w:after="0" w:line="276" w:lineRule="auto"/>
        <w:rPr>
          <w:sz w:val="20"/>
          <w:szCs w:val="20"/>
          <w:lang w:val="es-MX"/>
        </w:rPr>
      </w:pPr>
      <w:r w:rsidRPr="008733AB">
        <w:rPr>
          <w:bCs/>
          <w:sz w:val="20"/>
          <w:szCs w:val="20"/>
          <w:lang w:val="es-MX"/>
        </w:rPr>
        <w:t xml:space="preserve">Para ello </w:t>
      </w:r>
      <w:r w:rsidR="00B53B77">
        <w:rPr>
          <w:bCs/>
          <w:sz w:val="20"/>
          <w:szCs w:val="20"/>
          <w:lang w:val="es-MX"/>
        </w:rPr>
        <w:t>el Instituto</w:t>
      </w:r>
      <w:r w:rsidRPr="008733AB">
        <w:rPr>
          <w:bCs/>
          <w:sz w:val="20"/>
          <w:szCs w:val="20"/>
          <w:lang w:val="es-MX"/>
        </w:rPr>
        <w:t xml:space="preserve"> se considera relevante poner </w:t>
      </w:r>
      <w:r w:rsidR="00AF5BF0" w:rsidRPr="008733AB">
        <w:rPr>
          <w:bCs/>
          <w:sz w:val="20"/>
          <w:szCs w:val="20"/>
          <w:lang w:val="es-MX"/>
        </w:rPr>
        <w:t>en consulta pública</w:t>
      </w:r>
      <w:r w:rsidRPr="008733AB">
        <w:rPr>
          <w:bCs/>
          <w:sz w:val="20"/>
          <w:szCs w:val="20"/>
          <w:lang w:val="es-MX"/>
        </w:rPr>
        <w:t xml:space="preserve"> </w:t>
      </w:r>
      <w:r w:rsidR="009E547F" w:rsidRPr="008733AB">
        <w:rPr>
          <w:bCs/>
          <w:sz w:val="20"/>
          <w:szCs w:val="20"/>
          <w:lang w:val="es-MX"/>
        </w:rPr>
        <w:t xml:space="preserve">el </w:t>
      </w:r>
      <w:r w:rsidRPr="008733AB">
        <w:rPr>
          <w:bCs/>
          <w:sz w:val="20"/>
          <w:szCs w:val="20"/>
          <w:lang w:val="es-MX"/>
        </w:rPr>
        <w:t>Módulo de Cálculo del SAIB</w:t>
      </w:r>
      <w:r w:rsidR="009E547F" w:rsidRPr="008733AB">
        <w:rPr>
          <w:bCs/>
          <w:sz w:val="20"/>
          <w:szCs w:val="20"/>
          <w:lang w:val="es-MX"/>
        </w:rPr>
        <w:t xml:space="preserve"> para la estimación de las tarifas </w:t>
      </w:r>
      <w:r w:rsidR="009E547F" w:rsidRPr="004E1FC0">
        <w:rPr>
          <w:bCs/>
          <w:sz w:val="20"/>
          <w:szCs w:val="20"/>
          <w:lang w:val="es-MX"/>
        </w:rPr>
        <w:t xml:space="preserve">correspondientes, </w:t>
      </w:r>
      <w:r w:rsidR="009E547F" w:rsidRPr="008733AB">
        <w:rPr>
          <w:bCs/>
          <w:sz w:val="20"/>
          <w:szCs w:val="20"/>
          <w:lang w:val="es-MX"/>
        </w:rPr>
        <w:t xml:space="preserve">a partir de la información </w:t>
      </w:r>
      <w:r w:rsidR="009E547F" w:rsidRPr="004E1FC0">
        <w:rPr>
          <w:bCs/>
          <w:sz w:val="20"/>
          <w:szCs w:val="20"/>
          <w:lang w:val="es-MX"/>
        </w:rPr>
        <w:t xml:space="preserve">calculada en </w:t>
      </w:r>
      <w:r w:rsidR="00001794">
        <w:rPr>
          <w:bCs/>
          <w:sz w:val="20"/>
          <w:szCs w:val="20"/>
          <w:lang w:val="es-MX"/>
        </w:rPr>
        <w:t>los</w:t>
      </w:r>
      <w:r w:rsidR="009E547F" w:rsidRPr="004E1FC0">
        <w:rPr>
          <w:bCs/>
          <w:sz w:val="20"/>
          <w:szCs w:val="20"/>
          <w:lang w:val="es-MX"/>
        </w:rPr>
        <w:t xml:space="preserve"> </w:t>
      </w:r>
      <w:r w:rsidR="009E547F" w:rsidRPr="006B4017">
        <w:rPr>
          <w:bCs/>
          <w:sz w:val="20"/>
          <w:szCs w:val="20"/>
          <w:lang w:val="es-MX"/>
        </w:rPr>
        <w:t>modelos de costos</w:t>
      </w:r>
      <w:r w:rsidR="00001794">
        <w:rPr>
          <w:bCs/>
          <w:sz w:val="20"/>
          <w:szCs w:val="20"/>
          <w:lang w:val="es-MX"/>
        </w:rPr>
        <w:t xml:space="preserve"> antes </w:t>
      </w:r>
      <w:r w:rsidR="008733AB">
        <w:rPr>
          <w:bCs/>
          <w:sz w:val="20"/>
          <w:szCs w:val="20"/>
          <w:lang w:val="es-MX"/>
        </w:rPr>
        <w:t>mencionados</w:t>
      </w:r>
      <w:r w:rsidRPr="008733AB">
        <w:rPr>
          <w:bCs/>
          <w:sz w:val="20"/>
          <w:szCs w:val="20"/>
          <w:lang w:val="es-MX"/>
        </w:rPr>
        <w:t>.</w:t>
      </w:r>
    </w:p>
    <w:p w14:paraId="23B76102" w14:textId="1D9A932D" w:rsidR="00AF5BF0" w:rsidRPr="00C47E08" w:rsidRDefault="007E4F67" w:rsidP="00AF5BF0">
      <w:pPr>
        <w:pStyle w:val="Ttulo2"/>
        <w:rPr>
          <w:lang w:val="es-MX"/>
        </w:rPr>
      </w:pPr>
      <w:bookmarkStart w:id="4" w:name="_Toc83660735"/>
      <w:r>
        <w:rPr>
          <w:lang w:val="es-MX"/>
        </w:rPr>
        <w:t>Alcance teórico.</w:t>
      </w:r>
      <w:bookmarkEnd w:id="4"/>
      <w:r w:rsidR="00AF5BF0">
        <w:rPr>
          <w:lang w:val="es-MX"/>
        </w:rPr>
        <w:t xml:space="preserve"> </w:t>
      </w:r>
    </w:p>
    <w:p w14:paraId="2155C5EB" w14:textId="7455DDD4" w:rsidR="00DB3B0E" w:rsidRPr="00453486" w:rsidRDefault="00DB3B0E" w:rsidP="00DB3B0E">
      <w:pPr>
        <w:pStyle w:val="Textoindependiente"/>
        <w:rPr>
          <w:sz w:val="20"/>
          <w:szCs w:val="22"/>
          <w:lang w:val="es-MX" w:eastAsia="en-US"/>
        </w:rPr>
      </w:pPr>
      <w:r w:rsidRPr="00453486">
        <w:rPr>
          <w:sz w:val="20"/>
          <w:szCs w:val="22"/>
          <w:lang w:val="es-MX" w:eastAsia="en-US"/>
        </w:rPr>
        <w:t>El</w:t>
      </w:r>
      <w:r w:rsidR="007E4F67">
        <w:rPr>
          <w:sz w:val="20"/>
          <w:szCs w:val="22"/>
          <w:lang w:val="es-MX" w:eastAsia="en-US"/>
        </w:rPr>
        <w:t xml:space="preserve"> SAIB</w:t>
      </w:r>
      <w:r w:rsidRPr="00453486">
        <w:rPr>
          <w:sz w:val="20"/>
          <w:szCs w:val="22"/>
          <w:lang w:val="es-MX" w:eastAsia="en-US"/>
        </w:rPr>
        <w:t xml:space="preserve"> se define en </w:t>
      </w:r>
      <w:r w:rsidR="000C51DB" w:rsidRPr="00453486">
        <w:rPr>
          <w:sz w:val="20"/>
          <w:szCs w:val="22"/>
          <w:lang w:val="es-MX" w:eastAsia="en-US"/>
        </w:rPr>
        <w:t>la Medida T</w:t>
      </w:r>
      <w:r w:rsidR="00A30280">
        <w:rPr>
          <w:sz w:val="20"/>
          <w:szCs w:val="22"/>
          <w:lang w:val="es-MX" w:eastAsia="en-US"/>
        </w:rPr>
        <w:t>ERCERA</w:t>
      </w:r>
      <w:r w:rsidR="000C51DB" w:rsidRPr="00453486">
        <w:rPr>
          <w:sz w:val="20"/>
          <w:szCs w:val="22"/>
          <w:lang w:val="es-MX" w:eastAsia="en-US"/>
        </w:rPr>
        <w:t xml:space="preserve">, numeral 8) del </w:t>
      </w:r>
      <w:r w:rsidR="000C51DB" w:rsidRPr="007E4F67">
        <w:rPr>
          <w:sz w:val="20"/>
          <w:szCs w:val="22"/>
          <w:lang w:val="es-MX" w:eastAsia="en-US"/>
        </w:rPr>
        <w:t>Anexo 3 de la Segunda Resolución Bienal</w:t>
      </w:r>
      <w:r w:rsidR="000C51DB" w:rsidRPr="00453486">
        <w:rPr>
          <w:sz w:val="20"/>
          <w:szCs w:val="22"/>
          <w:lang w:val="es-MX" w:eastAsia="en-US"/>
        </w:rPr>
        <w:t xml:space="preserve"> </w:t>
      </w:r>
      <w:r w:rsidRPr="00453486">
        <w:rPr>
          <w:sz w:val="20"/>
          <w:szCs w:val="22"/>
          <w:lang w:val="es-MX" w:eastAsia="en-US"/>
        </w:rPr>
        <w:t>de la siguiente forma:</w:t>
      </w:r>
    </w:p>
    <w:p w14:paraId="72969026" w14:textId="1BC62CE2" w:rsidR="00DB3B0E" w:rsidRDefault="00DB3B0E" w:rsidP="000C51DB">
      <w:pPr>
        <w:pStyle w:val="Quotation"/>
        <w:jc w:val="both"/>
        <w:rPr>
          <w:sz w:val="20"/>
          <w:szCs w:val="22"/>
          <w:lang w:val="es-MX"/>
        </w:rPr>
      </w:pPr>
      <w:r w:rsidRPr="00453486">
        <w:rPr>
          <w:sz w:val="20"/>
          <w:szCs w:val="22"/>
          <w:lang w:val="es-MX"/>
        </w:rPr>
        <w:t xml:space="preserve">“Mediante este servicio el Agente Económico Preponderante pone a disposición del Concesionario Solicitante capacidad de transmisión entre el usuario final y un Punto de Interconexión del Concesionario Solicitante, de tal forma que se permita la provisión de servicios de telecomunicaciones a un usuario final que se conecta a la red pública de telecomunicaciones mediante una Acometida del Agente Económico Preponderante.” </w:t>
      </w:r>
    </w:p>
    <w:p w14:paraId="15250276" w14:textId="63336A7A" w:rsidR="00DB3B0E" w:rsidRDefault="00DB3B0E" w:rsidP="00DB3B0E">
      <w:pPr>
        <w:pStyle w:val="Textoindependiente"/>
        <w:rPr>
          <w:sz w:val="20"/>
          <w:szCs w:val="22"/>
          <w:lang w:val="es-MX"/>
        </w:rPr>
      </w:pPr>
      <w:r w:rsidRPr="00453486">
        <w:rPr>
          <w:sz w:val="20"/>
          <w:szCs w:val="22"/>
          <w:lang w:val="es-MX"/>
        </w:rPr>
        <w:lastRenderedPageBreak/>
        <w:t xml:space="preserve">A través del SAIB, </w:t>
      </w:r>
      <w:r w:rsidR="000C51DB" w:rsidRPr="00453486">
        <w:rPr>
          <w:sz w:val="20"/>
          <w:szCs w:val="22"/>
          <w:lang w:val="es-MX"/>
        </w:rPr>
        <w:t xml:space="preserve">las </w:t>
      </w:r>
      <w:r w:rsidR="000C51DB" w:rsidRPr="00B01E15">
        <w:rPr>
          <w:sz w:val="20"/>
          <w:szCs w:val="22"/>
          <w:lang w:val="es-MX"/>
        </w:rPr>
        <w:t>EM</w:t>
      </w:r>
      <w:r w:rsidR="00B241EB" w:rsidRPr="00453486">
        <w:rPr>
          <w:rStyle w:val="Refdenotaalpie"/>
          <w:sz w:val="20"/>
          <w:szCs w:val="22"/>
          <w:lang w:val="es-MX"/>
        </w:rPr>
        <w:footnoteReference w:id="8"/>
      </w:r>
      <w:r w:rsidR="000C51DB" w:rsidRPr="00453486">
        <w:rPr>
          <w:sz w:val="20"/>
          <w:szCs w:val="22"/>
          <w:lang w:val="es-MX"/>
        </w:rPr>
        <w:t xml:space="preserve"> </w:t>
      </w:r>
      <w:r w:rsidRPr="00453486">
        <w:rPr>
          <w:sz w:val="20"/>
          <w:szCs w:val="22"/>
          <w:lang w:val="es-MX"/>
        </w:rPr>
        <w:t>proporciona</w:t>
      </w:r>
      <w:r w:rsidR="00B53B77">
        <w:rPr>
          <w:sz w:val="20"/>
          <w:szCs w:val="22"/>
          <w:lang w:val="es-MX"/>
        </w:rPr>
        <w:t>n</w:t>
      </w:r>
      <w:r w:rsidRPr="00453486">
        <w:rPr>
          <w:sz w:val="20"/>
          <w:szCs w:val="22"/>
          <w:lang w:val="es-MX"/>
        </w:rPr>
        <w:t xml:space="preserve"> a los operadores alternativos una capacidad de transmisión entre el cliente final y un punto de interconexión con la red propia del </w:t>
      </w:r>
      <w:r w:rsidR="000C51DB" w:rsidRPr="00453486">
        <w:rPr>
          <w:sz w:val="20"/>
          <w:szCs w:val="22"/>
          <w:lang w:val="es-MX"/>
        </w:rPr>
        <w:t>Concesionario Solicitante (</w:t>
      </w:r>
      <w:r w:rsidRPr="00453486">
        <w:rPr>
          <w:i/>
          <w:iCs/>
          <w:sz w:val="20"/>
          <w:szCs w:val="22"/>
          <w:lang w:val="es-MX"/>
        </w:rPr>
        <w:t>CS</w:t>
      </w:r>
      <w:r w:rsidR="000C51DB" w:rsidRPr="00453486">
        <w:rPr>
          <w:sz w:val="20"/>
          <w:szCs w:val="22"/>
          <w:lang w:val="es-MX"/>
        </w:rPr>
        <w:t>)</w:t>
      </w:r>
      <w:r w:rsidRPr="00453486">
        <w:rPr>
          <w:sz w:val="20"/>
          <w:szCs w:val="22"/>
          <w:lang w:val="es-MX"/>
        </w:rPr>
        <w:t xml:space="preserve">, mediante un acceso de cobre </w:t>
      </w:r>
      <w:r w:rsidR="00001794">
        <w:rPr>
          <w:sz w:val="20"/>
          <w:szCs w:val="22"/>
          <w:lang w:val="es-MX"/>
        </w:rPr>
        <w:t>y/</w:t>
      </w:r>
      <w:r w:rsidRPr="00453486">
        <w:rPr>
          <w:sz w:val="20"/>
          <w:szCs w:val="22"/>
          <w:lang w:val="es-MX"/>
        </w:rPr>
        <w:t>o fibra óptica.</w:t>
      </w:r>
    </w:p>
    <w:p w14:paraId="576B2D2A" w14:textId="78438D59" w:rsidR="00CE7126" w:rsidRDefault="00CE7126" w:rsidP="00DB3B0E">
      <w:pPr>
        <w:pStyle w:val="Textoindependiente"/>
        <w:rPr>
          <w:sz w:val="20"/>
          <w:szCs w:val="22"/>
          <w:lang w:val="es-MX"/>
        </w:rPr>
      </w:pPr>
      <w:r>
        <w:rPr>
          <w:sz w:val="20"/>
          <w:szCs w:val="22"/>
          <w:lang w:val="es-MX"/>
        </w:rPr>
        <w:t xml:space="preserve">En términos del esquema tarifario aplicable al SAIB autorizado por el Instituto </w:t>
      </w:r>
      <w:r w:rsidR="00084ECC">
        <w:rPr>
          <w:sz w:val="20"/>
          <w:szCs w:val="22"/>
          <w:lang w:val="es-MX"/>
        </w:rPr>
        <w:t xml:space="preserve">a través de las ofertas de referencia </w:t>
      </w:r>
      <w:r>
        <w:rPr>
          <w:sz w:val="20"/>
          <w:szCs w:val="22"/>
          <w:lang w:val="es-MX"/>
        </w:rPr>
        <w:t>se</w:t>
      </w:r>
      <w:r w:rsidR="00E74152">
        <w:rPr>
          <w:sz w:val="20"/>
          <w:szCs w:val="22"/>
          <w:lang w:val="es-MX"/>
        </w:rPr>
        <w:t xml:space="preserve"> distinguen dos </w:t>
      </w:r>
      <w:r w:rsidR="00704027">
        <w:rPr>
          <w:sz w:val="20"/>
          <w:szCs w:val="22"/>
          <w:lang w:val="es-MX"/>
        </w:rPr>
        <w:t>escenarios</w:t>
      </w:r>
      <w:r w:rsidR="00E74152">
        <w:rPr>
          <w:sz w:val="20"/>
          <w:szCs w:val="22"/>
          <w:lang w:val="es-MX"/>
        </w:rPr>
        <w:t>:</w:t>
      </w:r>
    </w:p>
    <w:p w14:paraId="5298EC74" w14:textId="49F3D201" w:rsidR="00E74152" w:rsidRDefault="00E74152" w:rsidP="00E74152">
      <w:pPr>
        <w:pStyle w:val="Textoindependiente"/>
        <w:numPr>
          <w:ilvl w:val="1"/>
          <w:numId w:val="54"/>
        </w:numPr>
        <w:ind w:left="567"/>
        <w:rPr>
          <w:sz w:val="20"/>
          <w:szCs w:val="22"/>
          <w:lang w:val="es-MX"/>
        </w:rPr>
      </w:pPr>
      <w:r w:rsidRPr="00E74152">
        <w:rPr>
          <w:sz w:val="20"/>
          <w:szCs w:val="22"/>
          <w:lang w:val="es-MX"/>
        </w:rPr>
        <w:t xml:space="preserve">Caso I: Cuando </w:t>
      </w:r>
      <w:r w:rsidR="003838D0">
        <w:rPr>
          <w:sz w:val="20"/>
          <w:szCs w:val="22"/>
          <w:lang w:val="es-MX"/>
        </w:rPr>
        <w:t xml:space="preserve">1) </w:t>
      </w:r>
      <w:r w:rsidR="00A05E69" w:rsidRPr="00A05E69">
        <w:rPr>
          <w:sz w:val="20"/>
          <w:szCs w:val="22"/>
          <w:lang w:val="es-MX"/>
        </w:rPr>
        <w:t>los servicios se prestan a través de fibra óptica, o bien 2) se prestan a través de cobre, pero no se hace uso de las frecuencias bajas para prestar servicios de voz por el mismo medio.</w:t>
      </w:r>
    </w:p>
    <w:p w14:paraId="61EC9BAE" w14:textId="39CFFA66" w:rsidR="00E74152" w:rsidRDefault="00E74152" w:rsidP="00E74152">
      <w:pPr>
        <w:pStyle w:val="Textoindependiente"/>
        <w:numPr>
          <w:ilvl w:val="1"/>
          <w:numId w:val="54"/>
        </w:numPr>
        <w:ind w:left="567"/>
        <w:rPr>
          <w:sz w:val="20"/>
          <w:szCs w:val="22"/>
          <w:lang w:val="es-MX"/>
        </w:rPr>
      </w:pPr>
      <w:r w:rsidRPr="00E74152">
        <w:rPr>
          <w:sz w:val="20"/>
          <w:szCs w:val="22"/>
          <w:lang w:val="es-MX"/>
        </w:rPr>
        <w:t xml:space="preserve">Caso II: </w:t>
      </w:r>
      <w:r w:rsidR="00A05E69" w:rsidRPr="00A05E69">
        <w:rPr>
          <w:sz w:val="20"/>
          <w:szCs w:val="22"/>
          <w:lang w:val="es-MX"/>
        </w:rPr>
        <w:t>cuando los servicios se prestan a través cobre y se hace uso de las frecuencias bajas para prestar servicios de voz</w:t>
      </w:r>
      <w:r w:rsidRPr="00E74152">
        <w:rPr>
          <w:sz w:val="20"/>
          <w:szCs w:val="22"/>
          <w:lang w:val="es-MX"/>
        </w:rPr>
        <w:t xml:space="preserve"> (ya sea por el mismo CS, </w:t>
      </w:r>
      <w:r w:rsidR="003412A4">
        <w:rPr>
          <w:sz w:val="20"/>
          <w:szCs w:val="22"/>
          <w:lang w:val="es-MX"/>
        </w:rPr>
        <w:t xml:space="preserve">el propio AEP </w:t>
      </w:r>
      <w:r w:rsidR="003412A4" w:rsidRPr="00E74152">
        <w:rPr>
          <w:sz w:val="20"/>
          <w:szCs w:val="22"/>
          <w:lang w:val="es-MX"/>
        </w:rPr>
        <w:t>o bien otro CS)</w:t>
      </w:r>
      <w:r w:rsidRPr="00E74152">
        <w:rPr>
          <w:sz w:val="20"/>
          <w:szCs w:val="22"/>
          <w:lang w:val="es-MX"/>
        </w:rPr>
        <w:t>.</w:t>
      </w:r>
    </w:p>
    <w:p w14:paraId="59747A11" w14:textId="18441895" w:rsidR="00A05E69" w:rsidRDefault="00E74152" w:rsidP="00E74152">
      <w:pPr>
        <w:pStyle w:val="Textoindependiente"/>
        <w:rPr>
          <w:sz w:val="20"/>
          <w:szCs w:val="22"/>
          <w:lang w:val="es-MX"/>
        </w:rPr>
      </w:pPr>
      <w:r>
        <w:rPr>
          <w:sz w:val="20"/>
          <w:szCs w:val="22"/>
          <w:lang w:val="es-MX"/>
        </w:rPr>
        <w:t>Para el esquema</w:t>
      </w:r>
      <w:r w:rsidR="00AF4F48">
        <w:rPr>
          <w:sz w:val="20"/>
          <w:szCs w:val="22"/>
          <w:lang w:val="es-MX"/>
        </w:rPr>
        <w:t xml:space="preserve"> de las tarifas SAIB en el</w:t>
      </w:r>
      <w:r w:rsidR="003412A4">
        <w:rPr>
          <w:sz w:val="20"/>
          <w:szCs w:val="22"/>
          <w:lang w:val="es-MX"/>
        </w:rPr>
        <w:t xml:space="preserve"> </w:t>
      </w:r>
      <w:r>
        <w:rPr>
          <w:sz w:val="20"/>
          <w:szCs w:val="22"/>
          <w:lang w:val="es-MX"/>
        </w:rPr>
        <w:t xml:space="preserve">Caso I, </w:t>
      </w:r>
      <w:r w:rsidR="003412A4" w:rsidRPr="003412A4">
        <w:rPr>
          <w:sz w:val="20"/>
          <w:szCs w:val="22"/>
          <w:lang w:val="es-MX"/>
        </w:rPr>
        <w:t xml:space="preserve">se debe añadir </w:t>
      </w:r>
      <w:r w:rsidR="003412A4">
        <w:rPr>
          <w:sz w:val="20"/>
          <w:szCs w:val="22"/>
          <w:lang w:val="es-MX"/>
        </w:rPr>
        <w:t xml:space="preserve">al valor estimado del SCyD </w:t>
      </w:r>
      <w:r w:rsidR="003412A4" w:rsidRPr="003412A4">
        <w:rPr>
          <w:sz w:val="20"/>
          <w:szCs w:val="22"/>
          <w:lang w:val="es-MX"/>
        </w:rPr>
        <w:t>el valor del medio de transmisión</w:t>
      </w:r>
      <w:r w:rsidR="00483FA8">
        <w:rPr>
          <w:sz w:val="20"/>
          <w:szCs w:val="22"/>
          <w:lang w:val="es-MX"/>
        </w:rPr>
        <w:t xml:space="preserve"> (acceso)</w:t>
      </w:r>
      <w:r w:rsidR="003412A4" w:rsidRPr="003412A4">
        <w:rPr>
          <w:sz w:val="20"/>
          <w:szCs w:val="22"/>
          <w:lang w:val="es-MX"/>
        </w:rPr>
        <w:t xml:space="preserve"> por el cual se presta el servicio, de modo que se asegure que el AEP recupera efectivamente los costos asociados</w:t>
      </w:r>
      <w:r w:rsidR="00A05E69">
        <w:rPr>
          <w:sz w:val="20"/>
          <w:szCs w:val="22"/>
          <w:lang w:val="es-MX"/>
        </w:rPr>
        <w:t>.</w:t>
      </w:r>
    </w:p>
    <w:p w14:paraId="47DC17B2" w14:textId="3DA4FD68" w:rsidR="00DB3B0E" w:rsidRPr="00453486" w:rsidRDefault="00A05E69" w:rsidP="001E5CB1">
      <w:pPr>
        <w:pStyle w:val="Textoindependiente"/>
        <w:rPr>
          <w:sz w:val="20"/>
          <w:szCs w:val="22"/>
          <w:lang w:val="es-MX"/>
        </w:rPr>
      </w:pPr>
      <w:r>
        <w:rPr>
          <w:sz w:val="20"/>
          <w:szCs w:val="22"/>
          <w:lang w:val="es-MX"/>
        </w:rPr>
        <w:t xml:space="preserve">En este caso </w:t>
      </w:r>
      <w:r w:rsidR="009E547F">
        <w:rPr>
          <w:sz w:val="20"/>
          <w:szCs w:val="22"/>
          <w:lang w:val="es-MX"/>
        </w:rPr>
        <w:t>e</w:t>
      </w:r>
      <w:r w:rsidR="00DB3B0E" w:rsidRPr="00453486">
        <w:rPr>
          <w:sz w:val="20"/>
          <w:szCs w:val="22"/>
          <w:lang w:val="es-MX"/>
        </w:rPr>
        <w:t>l SAIB está compuesto por dos partes complementarias:</w:t>
      </w:r>
    </w:p>
    <w:p w14:paraId="6185F5A8" w14:textId="2CA0C0FE" w:rsidR="00DB3B0E" w:rsidRPr="00453486" w:rsidRDefault="00DB3B0E" w:rsidP="00DB3B0E">
      <w:pPr>
        <w:pStyle w:val="Numtext1"/>
        <w:ind w:left="567"/>
        <w:rPr>
          <w:sz w:val="20"/>
          <w:szCs w:val="20"/>
          <w:lang w:val="es-MX"/>
        </w:rPr>
      </w:pPr>
      <w:r w:rsidRPr="00B01E15">
        <w:rPr>
          <w:sz w:val="20"/>
          <w:szCs w:val="20"/>
          <w:lang w:val="es-MX"/>
        </w:rPr>
        <w:t>Parte de acceso:</w:t>
      </w:r>
      <w:r w:rsidRPr="00453486">
        <w:rPr>
          <w:sz w:val="20"/>
          <w:szCs w:val="20"/>
          <w:lang w:val="es-MX"/>
        </w:rPr>
        <w:t xml:space="preserve"> </w:t>
      </w:r>
      <w:r w:rsidR="00B53B77">
        <w:rPr>
          <w:sz w:val="20"/>
          <w:szCs w:val="20"/>
          <w:lang w:val="es-MX"/>
        </w:rPr>
        <w:t xml:space="preserve">que </w:t>
      </w:r>
      <w:r w:rsidRPr="00453486">
        <w:rPr>
          <w:sz w:val="20"/>
          <w:szCs w:val="20"/>
          <w:lang w:val="es-MX"/>
        </w:rPr>
        <w:t xml:space="preserve">cubre el segmento entre el usuario final y </w:t>
      </w:r>
      <w:r w:rsidR="00B241EB" w:rsidRPr="00453486">
        <w:rPr>
          <w:sz w:val="20"/>
          <w:szCs w:val="20"/>
          <w:lang w:val="es-MX"/>
        </w:rPr>
        <w:t xml:space="preserve">la ubicación de la central (COs, </w:t>
      </w:r>
      <w:r w:rsidR="00B241EB" w:rsidRPr="00453486">
        <w:rPr>
          <w:i/>
          <w:iCs/>
          <w:sz w:val="20"/>
          <w:szCs w:val="20"/>
          <w:lang w:val="es-MX"/>
        </w:rPr>
        <w:t>Central Offices</w:t>
      </w:r>
      <w:r w:rsidR="00B241EB" w:rsidRPr="00453486">
        <w:rPr>
          <w:sz w:val="20"/>
          <w:szCs w:val="20"/>
          <w:lang w:val="es-MX"/>
        </w:rPr>
        <w:t>)</w:t>
      </w:r>
      <w:r w:rsidRPr="00453486">
        <w:rPr>
          <w:sz w:val="20"/>
          <w:szCs w:val="20"/>
          <w:lang w:val="es-MX"/>
        </w:rPr>
        <w:t xml:space="preserve">. Consiste en conectar el equipo del usuario final (ONT en fibra, PTC en cobre) al CO, ya sea mediante tecnología de cobre </w:t>
      </w:r>
      <w:r w:rsidR="00504E0A">
        <w:rPr>
          <w:sz w:val="20"/>
          <w:szCs w:val="20"/>
          <w:lang w:val="es-MX"/>
        </w:rPr>
        <w:t>y/</w:t>
      </w:r>
      <w:r w:rsidRPr="00453486">
        <w:rPr>
          <w:sz w:val="20"/>
          <w:szCs w:val="20"/>
          <w:lang w:val="es-MX"/>
        </w:rPr>
        <w:t>o fibra.</w:t>
      </w:r>
    </w:p>
    <w:p w14:paraId="6B2E20BF" w14:textId="0F77A509" w:rsidR="00DB3B0E" w:rsidRPr="00453486" w:rsidRDefault="00DB3B0E" w:rsidP="00DB3B0E">
      <w:pPr>
        <w:pStyle w:val="Numtext1"/>
        <w:ind w:left="567"/>
        <w:rPr>
          <w:sz w:val="20"/>
          <w:szCs w:val="20"/>
          <w:lang w:val="es-MX"/>
        </w:rPr>
      </w:pPr>
      <w:r w:rsidRPr="00B01E15">
        <w:rPr>
          <w:sz w:val="20"/>
          <w:szCs w:val="20"/>
          <w:lang w:val="es-MX"/>
        </w:rPr>
        <w:t xml:space="preserve">Parte de transporte: </w:t>
      </w:r>
      <w:r w:rsidRPr="00453486">
        <w:rPr>
          <w:sz w:val="20"/>
          <w:szCs w:val="20"/>
          <w:lang w:val="es-MX"/>
        </w:rPr>
        <w:t>consiste en la función que asegura la agregación del tráfico generado por el usuario final y su transporte a través de la red de transporte (agregación, Edge y nodos Core / Nacional) para llegar al punto de interconexión del CS.</w:t>
      </w:r>
    </w:p>
    <w:p w14:paraId="680DC42C" w14:textId="0E7C7BA0" w:rsidR="00704027" w:rsidRDefault="00704027" w:rsidP="00DB3B0E">
      <w:pPr>
        <w:pStyle w:val="Textoindependiente"/>
        <w:rPr>
          <w:sz w:val="20"/>
          <w:szCs w:val="22"/>
          <w:lang w:val="es-MX"/>
        </w:rPr>
      </w:pPr>
      <w:r>
        <w:rPr>
          <w:sz w:val="20"/>
          <w:szCs w:val="20"/>
          <w:lang w:val="es-MX"/>
        </w:rPr>
        <w:t>Para el caso de las tarifas SAIB en el</w:t>
      </w:r>
      <w:r w:rsidRPr="00E74152">
        <w:rPr>
          <w:sz w:val="20"/>
          <w:szCs w:val="22"/>
          <w:lang w:val="es-MX"/>
        </w:rPr>
        <w:t xml:space="preserve"> Caso II se </w:t>
      </w:r>
      <w:r>
        <w:rPr>
          <w:sz w:val="20"/>
          <w:szCs w:val="22"/>
          <w:lang w:val="es-MX"/>
        </w:rPr>
        <w:t>considera únicamente el valor estimado del SCyD, en el entendido de que un CS, el propio AEP u otros CS,</w:t>
      </w:r>
      <w:r w:rsidRPr="00A05E69">
        <w:rPr>
          <w:sz w:val="20"/>
          <w:szCs w:val="22"/>
          <w:lang w:val="es-MX"/>
        </w:rPr>
        <w:t xml:space="preserve"> </w:t>
      </w:r>
      <w:r w:rsidR="009E6B40">
        <w:rPr>
          <w:sz w:val="20"/>
          <w:szCs w:val="22"/>
          <w:lang w:val="es-MX"/>
        </w:rPr>
        <w:t>utilizan las frecuencias bajas para prestar servicios de voz, dichos concesionarios recibirán</w:t>
      </w:r>
      <w:r w:rsidRPr="00A05E69">
        <w:rPr>
          <w:sz w:val="20"/>
          <w:szCs w:val="22"/>
          <w:lang w:val="es-MX"/>
        </w:rPr>
        <w:t xml:space="preserve"> una remuneración relativa al servicio de telefonía por parte del usuario fina</w:t>
      </w:r>
      <w:r w:rsidR="009E6B40">
        <w:rPr>
          <w:sz w:val="20"/>
          <w:szCs w:val="22"/>
          <w:lang w:val="es-MX"/>
        </w:rPr>
        <w:t xml:space="preserve">l, por lo que deberá descontarse </w:t>
      </w:r>
      <w:r w:rsidRPr="00A05E69">
        <w:rPr>
          <w:sz w:val="20"/>
          <w:szCs w:val="22"/>
          <w:lang w:val="es-MX"/>
        </w:rPr>
        <w:t>el componente de la recuperación del valor del medio de transmisión</w:t>
      </w:r>
      <w:r w:rsidR="00483FA8">
        <w:rPr>
          <w:sz w:val="20"/>
          <w:szCs w:val="22"/>
          <w:lang w:val="es-MX"/>
        </w:rPr>
        <w:t xml:space="preserve"> (acceso)</w:t>
      </w:r>
      <w:r w:rsidRPr="00A05E69">
        <w:rPr>
          <w:sz w:val="20"/>
          <w:szCs w:val="22"/>
          <w:lang w:val="es-MX"/>
        </w:rPr>
        <w:t>, con el fin de evitar una doble contabilización del mismo</w:t>
      </w:r>
      <w:r>
        <w:rPr>
          <w:sz w:val="20"/>
          <w:szCs w:val="22"/>
          <w:lang w:val="es-MX"/>
        </w:rPr>
        <w:t>.</w:t>
      </w:r>
    </w:p>
    <w:p w14:paraId="63AB1CBF" w14:textId="10820BDC" w:rsidR="00DB3B0E" w:rsidRPr="00453486" w:rsidRDefault="00B01E15" w:rsidP="00DB3B0E">
      <w:pPr>
        <w:pStyle w:val="Textoindependiente"/>
        <w:rPr>
          <w:sz w:val="20"/>
          <w:szCs w:val="22"/>
          <w:lang w:val="es-MX" w:eastAsia="en-US"/>
        </w:rPr>
      </w:pPr>
      <w:r>
        <w:rPr>
          <w:sz w:val="20"/>
          <w:szCs w:val="22"/>
          <w:lang w:val="es-MX" w:eastAsia="en-US"/>
        </w:rPr>
        <w:t>En términos de las modalidades del servicio autorizadas en la OREDA 2021</w:t>
      </w:r>
      <w:r>
        <w:rPr>
          <w:rStyle w:val="Refdenotaalpie"/>
          <w:sz w:val="20"/>
          <w:szCs w:val="22"/>
          <w:lang w:val="es-MX" w:eastAsia="en-US"/>
        </w:rPr>
        <w:footnoteReference w:id="9"/>
      </w:r>
      <w:r>
        <w:rPr>
          <w:sz w:val="20"/>
          <w:szCs w:val="22"/>
          <w:lang w:val="es-MX" w:eastAsia="en-US"/>
        </w:rPr>
        <w:t xml:space="preserve"> s</w:t>
      </w:r>
      <w:r w:rsidR="00DB3B0E" w:rsidRPr="00453486">
        <w:rPr>
          <w:sz w:val="20"/>
          <w:szCs w:val="22"/>
          <w:lang w:val="es-MX" w:eastAsia="en-US"/>
        </w:rPr>
        <w:t xml:space="preserve">e pueden distinguir tres </w:t>
      </w:r>
      <w:r w:rsidR="00B53B77">
        <w:rPr>
          <w:sz w:val="20"/>
          <w:szCs w:val="22"/>
          <w:lang w:val="es-MX" w:eastAsia="en-US"/>
        </w:rPr>
        <w:t xml:space="preserve">niveles de </w:t>
      </w:r>
      <w:r w:rsidR="00DB3B0E" w:rsidRPr="00453486">
        <w:rPr>
          <w:sz w:val="20"/>
          <w:szCs w:val="22"/>
          <w:lang w:val="es-MX" w:eastAsia="en-US"/>
        </w:rPr>
        <w:t>servicios de SAIB diferentes según el punto de interconexión del CS:</w:t>
      </w:r>
    </w:p>
    <w:p w14:paraId="367AB1D1" w14:textId="0CE4D13E" w:rsidR="00DB3B0E" w:rsidRPr="00066D80" w:rsidRDefault="00DB3B0E" w:rsidP="00DB3B0E">
      <w:pPr>
        <w:pStyle w:val="Numtext1"/>
        <w:ind w:left="567"/>
        <w:rPr>
          <w:sz w:val="20"/>
          <w:szCs w:val="20"/>
          <w:lang w:val="es-MX"/>
        </w:rPr>
      </w:pPr>
      <w:r w:rsidRPr="00066D80">
        <w:rPr>
          <w:sz w:val="20"/>
          <w:szCs w:val="20"/>
          <w:lang w:val="es-MX"/>
        </w:rPr>
        <w:t xml:space="preserve">SAIB </w:t>
      </w:r>
      <w:r w:rsidR="00B53B77">
        <w:rPr>
          <w:sz w:val="20"/>
          <w:szCs w:val="20"/>
          <w:lang w:val="es-MX"/>
        </w:rPr>
        <w:t>L</w:t>
      </w:r>
      <w:r w:rsidRPr="00066D80">
        <w:rPr>
          <w:sz w:val="20"/>
          <w:szCs w:val="20"/>
          <w:lang w:val="es-MX"/>
        </w:rPr>
        <w:t xml:space="preserve">ocal, </w:t>
      </w:r>
    </w:p>
    <w:p w14:paraId="1C045E05" w14:textId="7F154CB7" w:rsidR="00DB3B0E" w:rsidRPr="00066D80" w:rsidRDefault="00DB3B0E" w:rsidP="00DB3B0E">
      <w:pPr>
        <w:pStyle w:val="Numtext1"/>
        <w:ind w:left="567"/>
        <w:rPr>
          <w:sz w:val="20"/>
          <w:szCs w:val="20"/>
          <w:lang w:val="es-MX"/>
        </w:rPr>
      </w:pPr>
      <w:r w:rsidRPr="00066D80">
        <w:rPr>
          <w:sz w:val="20"/>
          <w:szCs w:val="20"/>
          <w:lang w:val="es-MX"/>
        </w:rPr>
        <w:t xml:space="preserve">SAIB Regional, </w:t>
      </w:r>
      <w:r w:rsidR="00B53B77">
        <w:rPr>
          <w:sz w:val="20"/>
          <w:szCs w:val="20"/>
          <w:lang w:val="es-MX"/>
        </w:rPr>
        <w:t>y</w:t>
      </w:r>
    </w:p>
    <w:p w14:paraId="6E97970B" w14:textId="413BE0BC" w:rsidR="00DB3B0E" w:rsidRPr="00066D80" w:rsidRDefault="00DB3B0E" w:rsidP="00DB3B0E">
      <w:pPr>
        <w:pStyle w:val="Numtext1"/>
        <w:ind w:left="567"/>
        <w:rPr>
          <w:sz w:val="20"/>
          <w:szCs w:val="20"/>
          <w:lang w:val="es-MX"/>
        </w:rPr>
      </w:pPr>
      <w:r w:rsidRPr="00066D80">
        <w:rPr>
          <w:sz w:val="20"/>
          <w:szCs w:val="20"/>
          <w:lang w:val="es-MX"/>
        </w:rPr>
        <w:t xml:space="preserve">SAIB </w:t>
      </w:r>
      <w:r w:rsidR="00B53B77">
        <w:rPr>
          <w:sz w:val="20"/>
          <w:szCs w:val="20"/>
          <w:lang w:val="es-MX"/>
        </w:rPr>
        <w:t>N</w:t>
      </w:r>
      <w:r w:rsidRPr="00066D80">
        <w:rPr>
          <w:sz w:val="20"/>
          <w:szCs w:val="20"/>
          <w:lang w:val="es-MX"/>
        </w:rPr>
        <w:t xml:space="preserve">acional, </w:t>
      </w:r>
    </w:p>
    <w:p w14:paraId="14879670" w14:textId="51B8E825" w:rsidR="00DB189E" w:rsidRDefault="00DB189E" w:rsidP="00DB189E">
      <w:pPr>
        <w:pStyle w:val="Numtext1"/>
        <w:numPr>
          <w:ilvl w:val="0"/>
          <w:numId w:val="0"/>
        </w:numPr>
        <w:rPr>
          <w:sz w:val="20"/>
          <w:szCs w:val="20"/>
          <w:lang w:val="es-MX"/>
        </w:rPr>
      </w:pPr>
      <w:r>
        <w:rPr>
          <w:sz w:val="20"/>
          <w:szCs w:val="20"/>
          <w:lang w:val="es-MX"/>
        </w:rPr>
        <w:lastRenderedPageBreak/>
        <w:t xml:space="preserve">Asimismo, </w:t>
      </w:r>
      <w:r w:rsidR="00666465">
        <w:rPr>
          <w:sz w:val="20"/>
          <w:szCs w:val="20"/>
          <w:lang w:val="es-MX"/>
        </w:rPr>
        <w:t>de acuerdo con el alcance de dicho servicio definido en la</w:t>
      </w:r>
      <w:r w:rsidR="00B01E15">
        <w:rPr>
          <w:sz w:val="20"/>
          <w:szCs w:val="20"/>
          <w:lang w:val="es-MX"/>
        </w:rPr>
        <w:t xml:space="preserve"> </w:t>
      </w:r>
      <w:r w:rsidR="0075677D">
        <w:rPr>
          <w:sz w:val="20"/>
          <w:szCs w:val="20"/>
          <w:lang w:val="es-MX"/>
        </w:rPr>
        <w:t xml:space="preserve">Propuesta de </w:t>
      </w:r>
      <w:r w:rsidR="00B01E15">
        <w:rPr>
          <w:sz w:val="20"/>
          <w:szCs w:val="20"/>
          <w:lang w:val="es-MX"/>
        </w:rPr>
        <w:t>OREDA</w:t>
      </w:r>
      <w:r w:rsidR="00666465" w:rsidRPr="00666465">
        <w:rPr>
          <w:sz w:val="20"/>
          <w:szCs w:val="20"/>
          <w:lang w:val="es-MX"/>
        </w:rPr>
        <w:t xml:space="preserve"> </w:t>
      </w:r>
      <w:r w:rsidR="0075677D" w:rsidRPr="00666465">
        <w:rPr>
          <w:sz w:val="20"/>
          <w:szCs w:val="20"/>
          <w:lang w:val="es-MX"/>
        </w:rPr>
        <w:t>202</w:t>
      </w:r>
      <w:r w:rsidR="0075677D">
        <w:rPr>
          <w:sz w:val="20"/>
          <w:szCs w:val="20"/>
          <w:lang w:val="es-MX"/>
        </w:rPr>
        <w:t>2 presentadas por las EM</w:t>
      </w:r>
      <w:r w:rsidR="00666465">
        <w:rPr>
          <w:sz w:val="20"/>
          <w:szCs w:val="20"/>
          <w:lang w:val="es-MX"/>
        </w:rPr>
        <w:t>”</w:t>
      </w:r>
      <w:r w:rsidR="00666465">
        <w:rPr>
          <w:rStyle w:val="Refdenotaalpie"/>
          <w:sz w:val="20"/>
          <w:szCs w:val="20"/>
          <w:lang w:val="es-MX"/>
        </w:rPr>
        <w:footnoteReference w:id="10"/>
      </w:r>
      <w:r w:rsidR="00666465">
        <w:rPr>
          <w:sz w:val="20"/>
          <w:szCs w:val="20"/>
          <w:lang w:val="es-MX"/>
        </w:rPr>
        <w:t xml:space="preserve"> </w:t>
      </w:r>
      <w:r>
        <w:rPr>
          <w:sz w:val="20"/>
          <w:szCs w:val="20"/>
          <w:lang w:val="es-MX"/>
        </w:rPr>
        <w:t xml:space="preserve">se consideran elementos adicionales que permiten diferenciar diversas modalidades </w:t>
      </w:r>
      <w:r w:rsidR="00666465">
        <w:rPr>
          <w:sz w:val="20"/>
          <w:szCs w:val="20"/>
          <w:lang w:val="es-MX"/>
        </w:rPr>
        <w:t xml:space="preserve">del </w:t>
      </w:r>
      <w:r>
        <w:rPr>
          <w:sz w:val="20"/>
          <w:szCs w:val="20"/>
          <w:lang w:val="es-MX"/>
        </w:rPr>
        <w:t>servicio</w:t>
      </w:r>
      <w:r w:rsidR="00B53B77">
        <w:rPr>
          <w:sz w:val="20"/>
          <w:szCs w:val="20"/>
          <w:lang w:val="es-MX"/>
        </w:rPr>
        <w:t xml:space="preserve">, </w:t>
      </w:r>
      <w:r>
        <w:rPr>
          <w:sz w:val="20"/>
          <w:szCs w:val="20"/>
          <w:lang w:val="es-MX"/>
        </w:rPr>
        <w:t>como:</w:t>
      </w:r>
    </w:p>
    <w:p w14:paraId="6C914BB3" w14:textId="66597F55" w:rsidR="00CC6187" w:rsidRPr="008C1510" w:rsidRDefault="00CC6187" w:rsidP="008C1510">
      <w:pPr>
        <w:pStyle w:val="Prrafodelista"/>
        <w:rPr>
          <w:sz w:val="20"/>
          <w:szCs w:val="20"/>
          <w:lang w:val="es-ES"/>
        </w:rPr>
      </w:pPr>
      <w:r w:rsidRPr="008C1510">
        <w:rPr>
          <w:sz w:val="20"/>
          <w:szCs w:val="20"/>
          <w:lang w:val="es-ES"/>
        </w:rPr>
        <w:t>Velocidad de bajada (en Mbps)</w:t>
      </w:r>
      <w:r w:rsidR="00B53B77">
        <w:rPr>
          <w:sz w:val="20"/>
          <w:szCs w:val="20"/>
          <w:lang w:val="es-ES"/>
        </w:rPr>
        <w:t xml:space="preserve">, de acuerdo con los perfiles desarrollados, implementados y ofrecidos por las EM: </w:t>
      </w:r>
      <w:r w:rsidRPr="008C1510">
        <w:rPr>
          <w:sz w:val="20"/>
          <w:szCs w:val="20"/>
          <w:lang w:val="es-ES"/>
        </w:rPr>
        <w:t>3, 5, 10, 20, 30, 40, 50, 60, 100, 150, 200, 300, 400</w:t>
      </w:r>
      <w:r w:rsidR="0075677D">
        <w:rPr>
          <w:sz w:val="20"/>
          <w:szCs w:val="20"/>
          <w:lang w:val="es-ES"/>
        </w:rPr>
        <w:t>, 500, 750 y 1,000 Mbps</w:t>
      </w:r>
      <w:r w:rsidRPr="008C1510">
        <w:rPr>
          <w:sz w:val="20"/>
          <w:szCs w:val="20"/>
          <w:lang w:val="es-ES"/>
        </w:rPr>
        <w:t>.</w:t>
      </w:r>
    </w:p>
    <w:p w14:paraId="1D11F2E9" w14:textId="28196BD0" w:rsidR="00CC6187" w:rsidRPr="008C1510" w:rsidRDefault="00B53B77" w:rsidP="00CC6187">
      <w:pPr>
        <w:pStyle w:val="Prrafodelista"/>
        <w:rPr>
          <w:sz w:val="20"/>
          <w:szCs w:val="20"/>
          <w:lang w:val="es-ES"/>
        </w:rPr>
      </w:pPr>
      <w:r>
        <w:rPr>
          <w:sz w:val="20"/>
          <w:szCs w:val="20"/>
          <w:lang w:val="es-ES"/>
        </w:rPr>
        <w:t>C</w:t>
      </w:r>
      <w:r w:rsidR="00CC6187" w:rsidRPr="008C1510">
        <w:rPr>
          <w:sz w:val="20"/>
          <w:szCs w:val="20"/>
          <w:lang w:val="es-ES"/>
        </w:rPr>
        <w:t xml:space="preserve">alidad del servicio: (i) </w:t>
      </w:r>
      <w:r w:rsidR="00DA511F">
        <w:rPr>
          <w:sz w:val="20"/>
          <w:szCs w:val="20"/>
          <w:lang w:val="es-ES"/>
        </w:rPr>
        <w:t>C</w:t>
      </w:r>
      <w:r w:rsidR="00CC6187" w:rsidRPr="008C1510">
        <w:rPr>
          <w:sz w:val="20"/>
          <w:szCs w:val="20"/>
          <w:lang w:val="es-ES"/>
        </w:rPr>
        <w:t>alidad Best Effort, (ii) Calidad Datos Generales, (iii) Calidad Doble y (iv) Calidad Triple</w:t>
      </w:r>
    </w:p>
    <w:p w14:paraId="54A0A93D" w14:textId="4CE0F063" w:rsidR="00CC6187" w:rsidRPr="00CC6187" w:rsidRDefault="00DA511F" w:rsidP="00CC6187">
      <w:pPr>
        <w:pStyle w:val="Prrafodelista"/>
        <w:rPr>
          <w:sz w:val="20"/>
          <w:szCs w:val="20"/>
          <w:lang w:val="es-ES"/>
        </w:rPr>
      </w:pPr>
      <w:r>
        <w:rPr>
          <w:sz w:val="20"/>
          <w:szCs w:val="20"/>
          <w:lang w:val="es-MX"/>
        </w:rPr>
        <w:t>S</w:t>
      </w:r>
      <w:r w:rsidR="00CC6187" w:rsidRPr="00CC6187">
        <w:rPr>
          <w:sz w:val="20"/>
          <w:szCs w:val="20"/>
          <w:lang w:val="es-MX"/>
        </w:rPr>
        <w:t>imetría del servicio, con dos variantes: (i) Asimétrico y (ii) Simétrico.</w:t>
      </w:r>
    </w:p>
    <w:p w14:paraId="766F2DF7" w14:textId="3C61D0CC" w:rsidR="00CC6187" w:rsidRDefault="00FC4C9D" w:rsidP="00CC6187">
      <w:pPr>
        <w:pStyle w:val="Textoindependiente"/>
        <w:rPr>
          <w:sz w:val="20"/>
          <w:szCs w:val="20"/>
          <w:lang w:val="es-MX" w:eastAsia="en-US"/>
        </w:rPr>
      </w:pPr>
      <w:r w:rsidRPr="004E1FC0">
        <w:rPr>
          <w:sz w:val="20"/>
          <w:szCs w:val="20"/>
          <w:lang w:val="es-MX" w:eastAsia="en-US"/>
        </w:rPr>
        <w:t xml:space="preserve">Bajo este enfoque, </w:t>
      </w:r>
      <w:r w:rsidR="004E1FC0">
        <w:rPr>
          <w:sz w:val="20"/>
          <w:szCs w:val="20"/>
          <w:lang w:val="es-MX" w:eastAsia="en-US"/>
        </w:rPr>
        <w:t xml:space="preserve">se considera que </w:t>
      </w:r>
      <w:r w:rsidRPr="008733AB">
        <w:rPr>
          <w:sz w:val="20"/>
          <w:szCs w:val="20"/>
          <w:lang w:val="es-MX" w:eastAsia="en-US"/>
        </w:rPr>
        <w:t>l</w:t>
      </w:r>
      <w:r w:rsidR="00DB3B0E" w:rsidRPr="008733AB">
        <w:rPr>
          <w:sz w:val="20"/>
          <w:szCs w:val="20"/>
          <w:lang w:val="es-MX" w:eastAsia="en-US"/>
        </w:rPr>
        <w:t>a parte de acceso del SAIB es la misma</w:t>
      </w:r>
      <w:r w:rsidR="004E1FC0">
        <w:rPr>
          <w:sz w:val="20"/>
          <w:szCs w:val="20"/>
          <w:lang w:val="es-MX" w:eastAsia="en-US"/>
        </w:rPr>
        <w:t>, únicamente distinguiendo los medios de acceso (cobre y/o fibra)</w:t>
      </w:r>
      <w:r w:rsidR="00131A45" w:rsidRPr="006B4017">
        <w:rPr>
          <w:sz w:val="20"/>
          <w:szCs w:val="20"/>
          <w:lang w:val="es-MX" w:eastAsia="en-US"/>
        </w:rPr>
        <w:t xml:space="preserve">, independientemente </w:t>
      </w:r>
      <w:r w:rsidR="00070C5C" w:rsidRPr="006B4017">
        <w:rPr>
          <w:sz w:val="20"/>
          <w:szCs w:val="20"/>
          <w:lang w:val="es-MX" w:eastAsia="en-US"/>
        </w:rPr>
        <w:t xml:space="preserve">del punto de </w:t>
      </w:r>
      <w:r w:rsidR="003A61E6" w:rsidRPr="008733AB">
        <w:rPr>
          <w:sz w:val="20"/>
          <w:szCs w:val="20"/>
          <w:lang w:val="es-MX" w:eastAsia="en-US"/>
        </w:rPr>
        <w:t>interconexión</w:t>
      </w:r>
      <w:r w:rsidR="00DB3B0E" w:rsidRPr="008733AB">
        <w:rPr>
          <w:sz w:val="20"/>
          <w:szCs w:val="20"/>
          <w:lang w:val="es-MX" w:eastAsia="en-US"/>
        </w:rPr>
        <w:t xml:space="preserve">. Sin embargo, la parte SCyD es diferente de un tipo a otro, dado que moviliza activos de red diferentes dependiendo de la posición del punto de interconexión del CS. </w:t>
      </w:r>
      <w:bookmarkStart w:id="6" w:name="_Toc52233135"/>
      <w:r w:rsidRPr="008733AB">
        <w:rPr>
          <w:sz w:val="20"/>
          <w:szCs w:val="20"/>
          <w:lang w:val="es-MX" w:eastAsia="en-US"/>
        </w:rPr>
        <w:t xml:space="preserve">Por ello, el Módulo de Cálculo del SAIB asigna dichos costos </w:t>
      </w:r>
      <w:r>
        <w:rPr>
          <w:sz w:val="20"/>
          <w:szCs w:val="20"/>
          <w:lang w:val="es-MX" w:eastAsia="en-US"/>
        </w:rPr>
        <w:t>de</w:t>
      </w:r>
      <w:r w:rsidRPr="00FC4C9D">
        <w:rPr>
          <w:sz w:val="20"/>
          <w:szCs w:val="20"/>
          <w:lang w:val="es-MX" w:eastAsia="en-US"/>
        </w:rPr>
        <w:t xml:space="preserve"> acuerdo con el</w:t>
      </w:r>
      <w:r w:rsidRPr="008733AB">
        <w:rPr>
          <w:sz w:val="20"/>
          <w:szCs w:val="20"/>
          <w:lang w:val="es-MX" w:eastAsia="en-US"/>
        </w:rPr>
        <w:t xml:space="preserve"> siguiente enfoque de modelación.</w:t>
      </w:r>
    </w:p>
    <w:p w14:paraId="0F93F4AF" w14:textId="3C0663A4" w:rsidR="00717702" w:rsidRPr="00717702" w:rsidRDefault="00717702" w:rsidP="00CC6187">
      <w:pPr>
        <w:pStyle w:val="Textoindependiente"/>
        <w:rPr>
          <w:sz w:val="20"/>
          <w:szCs w:val="20"/>
          <w:lang w:val="es-MX" w:eastAsia="en-US"/>
        </w:rPr>
      </w:pPr>
      <w:r>
        <w:rPr>
          <w:sz w:val="20"/>
          <w:szCs w:val="20"/>
          <w:lang w:val="es-MX" w:eastAsia="en-US"/>
        </w:rPr>
        <w:t>Por otra parte, se precisa</w:t>
      </w:r>
      <w:r w:rsidRPr="00717702">
        <w:rPr>
          <w:sz w:val="20"/>
          <w:szCs w:val="20"/>
          <w:lang w:val="es-MX" w:eastAsia="en-US"/>
        </w:rPr>
        <w:t xml:space="preserve"> que las estimaciones incorporan información proporcionada por las propias EM asociada a aspectos comerciales, por lo que el Instituto considera conveniente aplicar un factor de anonimización de +/- 30% al número de usuarios por perfil utilizado en el Módulo de Cálculo del SAIB, con el fin de salvaguardar aspectos que pudieran resultar estratégicos para las empresas. No </w:t>
      </w:r>
      <w:r w:rsidR="00F92BD7" w:rsidRPr="00717702">
        <w:rPr>
          <w:sz w:val="20"/>
          <w:szCs w:val="20"/>
          <w:lang w:val="es-MX" w:eastAsia="en-US"/>
        </w:rPr>
        <w:t>obstante,</w:t>
      </w:r>
      <w:r w:rsidRPr="00717702">
        <w:rPr>
          <w:sz w:val="20"/>
          <w:szCs w:val="20"/>
          <w:lang w:val="es-MX" w:eastAsia="en-US"/>
        </w:rPr>
        <w:t xml:space="preserve"> lo anterior, también se muestran los resultados obtenidos con la información real.</w:t>
      </w:r>
    </w:p>
    <w:p w14:paraId="2CB1B12C" w14:textId="7DC06CE1" w:rsidR="00DB3B0E" w:rsidRPr="00C47E08" w:rsidRDefault="00DB3B0E" w:rsidP="00CC6187">
      <w:pPr>
        <w:pStyle w:val="Ttulo1"/>
        <w:rPr>
          <w:color w:val="auto"/>
          <w:lang w:val="es-MX"/>
        </w:rPr>
      </w:pPr>
      <w:bookmarkStart w:id="7" w:name="_Toc83660736"/>
      <w:r w:rsidRPr="00C47E08">
        <w:rPr>
          <w:color w:val="auto"/>
          <w:lang w:val="es-MX"/>
        </w:rPr>
        <w:t>Enfoque de mode</w:t>
      </w:r>
      <w:bookmarkEnd w:id="6"/>
      <w:r w:rsidR="00453486">
        <w:rPr>
          <w:color w:val="auto"/>
          <w:lang w:val="es-MX"/>
        </w:rPr>
        <w:t>lación</w:t>
      </w:r>
      <w:bookmarkEnd w:id="7"/>
    </w:p>
    <w:p w14:paraId="1B2687DA" w14:textId="7586684C" w:rsidR="00DB3B0E" w:rsidRPr="00DB189E" w:rsidRDefault="00395A36" w:rsidP="00DB3B0E">
      <w:pPr>
        <w:pStyle w:val="Textoindependiente"/>
        <w:rPr>
          <w:sz w:val="20"/>
          <w:szCs w:val="20"/>
          <w:lang w:val="es-MX"/>
        </w:rPr>
      </w:pPr>
      <w:r w:rsidRPr="00DB189E">
        <w:rPr>
          <w:sz w:val="20"/>
          <w:szCs w:val="20"/>
          <w:lang w:val="es-MX"/>
        </w:rPr>
        <w:t xml:space="preserve">El </w:t>
      </w:r>
      <w:r w:rsidRPr="00DB189E">
        <w:rPr>
          <w:rFonts w:cs="Arial"/>
          <w:bCs/>
          <w:sz w:val="20"/>
          <w:szCs w:val="20"/>
          <w:lang w:val="es-MX"/>
        </w:rPr>
        <w:t>Módulo de Cálculo del SAIB</w:t>
      </w:r>
      <w:r w:rsidRPr="00DB189E">
        <w:rPr>
          <w:sz w:val="20"/>
          <w:szCs w:val="20"/>
          <w:lang w:val="es-MX"/>
        </w:rPr>
        <w:t xml:space="preserve"> </w:t>
      </w:r>
      <w:r w:rsidR="00DB189E">
        <w:rPr>
          <w:sz w:val="20"/>
          <w:szCs w:val="20"/>
          <w:lang w:val="es-MX"/>
        </w:rPr>
        <w:t>considera para</w:t>
      </w:r>
      <w:r w:rsidRPr="00DB189E">
        <w:rPr>
          <w:sz w:val="20"/>
          <w:szCs w:val="20"/>
          <w:lang w:val="es-MX"/>
        </w:rPr>
        <w:t xml:space="preserve"> el</w:t>
      </w:r>
      <w:r w:rsidR="00DB3B0E" w:rsidRPr="00DB189E">
        <w:rPr>
          <w:sz w:val="20"/>
          <w:szCs w:val="20"/>
          <w:lang w:val="es-MX"/>
        </w:rPr>
        <w:t xml:space="preserve"> costo del SAIB</w:t>
      </w:r>
      <w:r w:rsidR="00C669E6">
        <w:rPr>
          <w:sz w:val="20"/>
          <w:szCs w:val="20"/>
          <w:lang w:val="es-MX"/>
        </w:rPr>
        <w:t xml:space="preserve"> integrado (Caso I)</w:t>
      </w:r>
      <w:r w:rsidR="00DB3B0E" w:rsidRPr="00DB189E">
        <w:rPr>
          <w:sz w:val="20"/>
          <w:szCs w:val="20"/>
          <w:lang w:val="es-MX"/>
        </w:rPr>
        <w:t xml:space="preserve"> </w:t>
      </w:r>
      <w:r w:rsidR="00DB189E">
        <w:rPr>
          <w:sz w:val="20"/>
          <w:szCs w:val="20"/>
          <w:lang w:val="es-MX"/>
        </w:rPr>
        <w:t>los siguientes insumos</w:t>
      </w:r>
      <w:r w:rsidR="00DB3B0E" w:rsidRPr="00DB189E">
        <w:rPr>
          <w:sz w:val="20"/>
          <w:szCs w:val="20"/>
          <w:lang w:val="es-MX"/>
        </w:rPr>
        <w:t>:</w:t>
      </w:r>
    </w:p>
    <w:p w14:paraId="2F136FFC" w14:textId="0D515B66" w:rsidR="00DB189E" w:rsidRPr="00DB189E" w:rsidRDefault="00DB3B0E" w:rsidP="007D1DD8">
      <w:pPr>
        <w:pStyle w:val="Numtext1"/>
        <w:numPr>
          <w:ilvl w:val="0"/>
          <w:numId w:val="28"/>
        </w:numPr>
        <w:ind w:left="426"/>
        <w:rPr>
          <w:sz w:val="20"/>
          <w:szCs w:val="20"/>
          <w:lang w:val="es-MX"/>
        </w:rPr>
      </w:pPr>
      <w:r w:rsidRPr="00DB189E">
        <w:rPr>
          <w:sz w:val="20"/>
          <w:szCs w:val="20"/>
          <w:lang w:val="es-MX"/>
        </w:rPr>
        <w:t xml:space="preserve">La parte de acceso del SAIB corresponde al alcance técnico </w:t>
      </w:r>
      <w:r w:rsidR="00395A36" w:rsidRPr="00DB189E">
        <w:rPr>
          <w:sz w:val="20"/>
          <w:szCs w:val="20"/>
          <w:lang w:val="es-MX"/>
        </w:rPr>
        <w:t xml:space="preserve">de la </w:t>
      </w:r>
      <w:r w:rsidR="00CC6187">
        <w:rPr>
          <w:bCs/>
          <w:sz w:val="20"/>
          <w:szCs w:val="20"/>
          <w:lang w:val="es-MX"/>
        </w:rPr>
        <w:t>a</w:t>
      </w:r>
      <w:r w:rsidR="00395A36" w:rsidRPr="00DB189E">
        <w:rPr>
          <w:bCs/>
          <w:sz w:val="20"/>
          <w:szCs w:val="20"/>
          <w:lang w:val="es-MX"/>
        </w:rPr>
        <w:t>ctualización del Modelo Integral de Red de Acceso Fijo</w:t>
      </w:r>
      <w:r w:rsidR="00395A36" w:rsidRPr="00DB189E">
        <w:rPr>
          <w:sz w:val="20"/>
          <w:szCs w:val="20"/>
          <w:lang w:val="es-MX"/>
        </w:rPr>
        <w:t xml:space="preserve"> </w:t>
      </w:r>
      <w:r w:rsidR="00DB189E" w:rsidRPr="00DB189E">
        <w:rPr>
          <w:sz w:val="20"/>
          <w:szCs w:val="20"/>
          <w:lang w:val="es-MX"/>
        </w:rPr>
        <w:t>en el cual se modela dicho elemento</w:t>
      </w:r>
      <w:r w:rsidR="003A61E6">
        <w:rPr>
          <w:sz w:val="20"/>
          <w:szCs w:val="20"/>
          <w:lang w:val="es-MX"/>
        </w:rPr>
        <w:t>, incluyendo e</w:t>
      </w:r>
      <w:r w:rsidR="003A61E6" w:rsidRPr="00DB189E">
        <w:rPr>
          <w:sz w:val="20"/>
          <w:szCs w:val="20"/>
          <w:lang w:val="es-MX"/>
        </w:rPr>
        <w:t>l dimensionamiento y la estimación de los costos de los MSAN/OLT u</w:t>
      </w:r>
      <w:r w:rsidR="003A61E6">
        <w:rPr>
          <w:sz w:val="20"/>
          <w:szCs w:val="20"/>
          <w:lang w:val="es-MX"/>
        </w:rPr>
        <w:t xml:space="preserve">bicados en </w:t>
      </w:r>
      <w:r w:rsidR="0075677D">
        <w:rPr>
          <w:sz w:val="20"/>
          <w:szCs w:val="20"/>
          <w:lang w:val="es-MX"/>
        </w:rPr>
        <w:t xml:space="preserve">la Central (Central Offices o </w:t>
      </w:r>
      <w:r w:rsidR="003A61E6">
        <w:rPr>
          <w:sz w:val="20"/>
          <w:szCs w:val="20"/>
          <w:lang w:val="es-MX"/>
        </w:rPr>
        <w:t>CO</w:t>
      </w:r>
      <w:r w:rsidR="0075677D">
        <w:rPr>
          <w:sz w:val="20"/>
          <w:szCs w:val="20"/>
          <w:lang w:val="es-MX"/>
        </w:rPr>
        <w:t>)</w:t>
      </w:r>
      <w:r w:rsidR="003A61E6">
        <w:rPr>
          <w:sz w:val="20"/>
          <w:szCs w:val="20"/>
          <w:lang w:val="es-MX"/>
        </w:rPr>
        <w:t>, a partir del número total de líneas instaladas conectadas a cada CO</w:t>
      </w:r>
      <w:r w:rsidR="00DB189E" w:rsidRPr="00DB189E">
        <w:rPr>
          <w:sz w:val="20"/>
          <w:szCs w:val="20"/>
          <w:lang w:val="es-MX"/>
        </w:rPr>
        <w:t>.</w:t>
      </w:r>
    </w:p>
    <w:p w14:paraId="19E469AC" w14:textId="08C44DB3" w:rsidR="00DB3B0E" w:rsidRPr="00DB189E" w:rsidRDefault="00DB3B0E" w:rsidP="007D1DD8">
      <w:pPr>
        <w:pStyle w:val="Numtext1"/>
        <w:numPr>
          <w:ilvl w:val="0"/>
          <w:numId w:val="28"/>
        </w:numPr>
        <w:ind w:left="426"/>
        <w:rPr>
          <w:sz w:val="20"/>
          <w:szCs w:val="20"/>
          <w:lang w:val="es-MX"/>
        </w:rPr>
      </w:pPr>
      <w:r w:rsidRPr="00DB189E">
        <w:rPr>
          <w:sz w:val="20"/>
          <w:szCs w:val="20"/>
          <w:lang w:val="es-MX"/>
        </w:rPr>
        <w:t xml:space="preserve">En cuanto al servicio SCyD, se </w:t>
      </w:r>
      <w:r w:rsidR="008A6419">
        <w:rPr>
          <w:sz w:val="20"/>
          <w:szCs w:val="20"/>
          <w:lang w:val="es-MX"/>
        </w:rPr>
        <w:t>obtiene como insumo d</w:t>
      </w:r>
      <w:r w:rsidRPr="00DB189E">
        <w:rPr>
          <w:sz w:val="20"/>
          <w:szCs w:val="20"/>
          <w:lang w:val="es-MX"/>
        </w:rPr>
        <w:t xml:space="preserve">el </w:t>
      </w:r>
      <w:r w:rsidR="003A61E6">
        <w:rPr>
          <w:sz w:val="20"/>
          <w:szCs w:val="20"/>
          <w:lang w:val="es-MX"/>
        </w:rPr>
        <w:t>M</w:t>
      </w:r>
      <w:r w:rsidR="003A61E6" w:rsidRPr="00DB189E">
        <w:rPr>
          <w:sz w:val="20"/>
          <w:szCs w:val="20"/>
          <w:lang w:val="es-MX"/>
        </w:rPr>
        <w:t xml:space="preserve">odelo </w:t>
      </w:r>
      <w:r w:rsidRPr="00DB189E">
        <w:rPr>
          <w:sz w:val="20"/>
          <w:szCs w:val="20"/>
          <w:lang w:val="es-MX"/>
        </w:rPr>
        <w:t xml:space="preserve">de </w:t>
      </w:r>
      <w:r w:rsidR="003A61E6">
        <w:rPr>
          <w:sz w:val="20"/>
          <w:szCs w:val="20"/>
          <w:lang w:val="es-MX"/>
        </w:rPr>
        <w:t>I</w:t>
      </w:r>
      <w:r w:rsidR="003A61E6" w:rsidRPr="00DB189E">
        <w:rPr>
          <w:sz w:val="20"/>
          <w:szCs w:val="20"/>
          <w:lang w:val="es-MX"/>
        </w:rPr>
        <w:t xml:space="preserve">nterconexión </w:t>
      </w:r>
      <w:r w:rsidR="00FC4C9D">
        <w:rPr>
          <w:sz w:val="20"/>
          <w:szCs w:val="20"/>
          <w:lang w:val="es-MX"/>
        </w:rPr>
        <w:t xml:space="preserve">Fijo </w:t>
      </w:r>
      <w:r w:rsidR="00504E0A">
        <w:rPr>
          <w:sz w:val="20"/>
          <w:szCs w:val="20"/>
          <w:lang w:val="es-MX"/>
        </w:rPr>
        <w:t xml:space="preserve">el valor unitario de transporte por Megabyte (Bitstream Local, Bitstream Regional y Bitstream Nacional) </w:t>
      </w:r>
      <w:r w:rsidR="00621FD6">
        <w:rPr>
          <w:sz w:val="20"/>
          <w:szCs w:val="20"/>
          <w:lang w:val="es-MX"/>
        </w:rPr>
        <w:t>autorizado</w:t>
      </w:r>
      <w:r w:rsidRPr="00DB189E">
        <w:rPr>
          <w:sz w:val="20"/>
          <w:szCs w:val="20"/>
          <w:lang w:val="es-MX"/>
        </w:rPr>
        <w:t xml:space="preserve"> por el I</w:t>
      </w:r>
      <w:r w:rsidR="00DB189E" w:rsidRPr="00DB189E">
        <w:rPr>
          <w:sz w:val="20"/>
          <w:szCs w:val="20"/>
          <w:lang w:val="es-MX"/>
        </w:rPr>
        <w:t>nstituto</w:t>
      </w:r>
      <w:r w:rsidR="00666465">
        <w:rPr>
          <w:rStyle w:val="Refdenotaalpie"/>
          <w:sz w:val="20"/>
          <w:szCs w:val="20"/>
          <w:lang w:val="es-MX"/>
        </w:rPr>
        <w:footnoteReference w:id="11"/>
      </w:r>
      <w:r w:rsidRPr="00DB189E">
        <w:rPr>
          <w:sz w:val="20"/>
          <w:szCs w:val="20"/>
          <w:lang w:val="es-MX"/>
        </w:rPr>
        <w:t xml:space="preserve">, </w:t>
      </w:r>
      <w:r w:rsidR="00504E0A">
        <w:rPr>
          <w:sz w:val="20"/>
          <w:szCs w:val="20"/>
          <w:lang w:val="es-MX"/>
        </w:rPr>
        <w:t>capacidad ocupada por el servicio a la hora pico de los servicios SCyD y demanda (tráfico</w:t>
      </w:r>
      <w:r w:rsidR="000B785D">
        <w:rPr>
          <w:sz w:val="20"/>
          <w:szCs w:val="20"/>
          <w:lang w:val="es-MX"/>
        </w:rPr>
        <w:t xml:space="preserve"> y líneas</w:t>
      </w:r>
      <w:r w:rsidR="00504E0A">
        <w:rPr>
          <w:sz w:val="20"/>
          <w:szCs w:val="20"/>
          <w:lang w:val="es-MX"/>
        </w:rPr>
        <w:t xml:space="preserve">) </w:t>
      </w:r>
      <w:r w:rsidR="008A6419">
        <w:rPr>
          <w:sz w:val="20"/>
          <w:szCs w:val="20"/>
          <w:lang w:val="es-MX"/>
        </w:rPr>
        <w:t>anual de SCyD, considerado en la metodología del</w:t>
      </w:r>
      <w:r w:rsidR="00B01E15">
        <w:rPr>
          <w:sz w:val="20"/>
          <w:szCs w:val="20"/>
          <w:lang w:val="es-MX"/>
        </w:rPr>
        <w:t xml:space="preserve"> Acuerdo de Interconexión 2021</w:t>
      </w:r>
      <w:r w:rsidR="00FC4C9D">
        <w:rPr>
          <w:sz w:val="20"/>
          <w:szCs w:val="20"/>
          <w:lang w:val="es-MX"/>
        </w:rPr>
        <w:t>.</w:t>
      </w:r>
    </w:p>
    <w:p w14:paraId="6AB69BBC" w14:textId="54288A67" w:rsidR="00DB3B0E" w:rsidRPr="00DB189E" w:rsidRDefault="00DB3B0E" w:rsidP="00DB3B0E">
      <w:pPr>
        <w:pStyle w:val="Textoindependiente"/>
        <w:rPr>
          <w:sz w:val="20"/>
          <w:szCs w:val="20"/>
          <w:lang w:val="es-MX"/>
        </w:rPr>
      </w:pPr>
      <w:r w:rsidRPr="00DB189E">
        <w:rPr>
          <w:sz w:val="20"/>
          <w:szCs w:val="20"/>
          <w:lang w:val="es-MX"/>
        </w:rPr>
        <w:lastRenderedPageBreak/>
        <w:t>La figura a continuación presenta el enfoque que se considera para la model</w:t>
      </w:r>
      <w:r w:rsidR="00621FD6">
        <w:rPr>
          <w:sz w:val="20"/>
          <w:szCs w:val="20"/>
          <w:lang w:val="es-MX"/>
        </w:rPr>
        <w:t>a</w:t>
      </w:r>
      <w:r w:rsidRPr="00DB189E">
        <w:rPr>
          <w:sz w:val="20"/>
          <w:szCs w:val="20"/>
          <w:lang w:val="es-MX"/>
        </w:rPr>
        <w:t xml:space="preserve">ción de los diferentes componentes del SAIB, </w:t>
      </w:r>
      <w:r w:rsidRPr="00DB189E">
        <w:rPr>
          <w:sz w:val="20"/>
          <w:szCs w:val="20"/>
          <w:lang w:val="es-MX" w:eastAsia="en-US"/>
        </w:rPr>
        <w:t>de manera que se recuperen todos los costos necesarios para la prestación del servicio.</w:t>
      </w:r>
    </w:p>
    <w:p w14:paraId="7A817A99" w14:textId="7D1CE9A4" w:rsidR="00DB3B0E" w:rsidRPr="00DB3B0E" w:rsidRDefault="00DB3B0E" w:rsidP="00DB3B0E">
      <w:pPr>
        <w:pStyle w:val="Descripcin"/>
        <w:keepNext/>
        <w:rPr>
          <w:lang w:val="es-MX" w:eastAsia="en-US"/>
        </w:rPr>
      </w:pPr>
      <w:r w:rsidRPr="00DB3B0E">
        <w:rPr>
          <w:lang w:val="es-MX" w:eastAsia="en-US"/>
        </w:rPr>
        <w:t xml:space="preserve">Figura </w:t>
      </w:r>
      <w:r w:rsidRPr="00DB3B0E">
        <w:rPr>
          <w:lang w:val="es-MX"/>
        </w:rPr>
        <w:fldChar w:fldCharType="begin"/>
      </w:r>
      <w:r w:rsidRPr="00DB3B0E">
        <w:rPr>
          <w:lang w:val="es-MX"/>
        </w:rPr>
        <w:instrText xml:space="preserve"> SEQ Figure \* ARABIC </w:instrText>
      </w:r>
      <w:r w:rsidRPr="00DB3B0E">
        <w:rPr>
          <w:lang w:val="es-MX"/>
        </w:rPr>
        <w:fldChar w:fldCharType="separate"/>
      </w:r>
      <w:r w:rsidR="005A625A">
        <w:rPr>
          <w:noProof/>
          <w:lang w:val="es-MX"/>
        </w:rPr>
        <w:t>1</w:t>
      </w:r>
      <w:r w:rsidRPr="00DB3B0E">
        <w:rPr>
          <w:lang w:val="es-MX"/>
        </w:rPr>
        <w:fldChar w:fldCharType="end"/>
      </w:r>
      <w:r w:rsidRPr="00DB3B0E">
        <w:rPr>
          <w:lang w:val="es-MX" w:eastAsia="en-US"/>
        </w:rPr>
        <w:t xml:space="preserve"> - Enfoque de modelación del SAIB</w:t>
      </w:r>
    </w:p>
    <w:p w14:paraId="544930B9" w14:textId="77777777" w:rsidR="00DB3B0E" w:rsidRPr="00DB3B0E" w:rsidRDefault="00DB3B0E" w:rsidP="00DB3B0E">
      <w:pPr>
        <w:pStyle w:val="Textoindependiente"/>
        <w:rPr>
          <w:highlight w:val="yellow"/>
          <w:lang w:val="es-MX" w:eastAsia="en-US"/>
        </w:rPr>
      </w:pPr>
      <w:r w:rsidRPr="00DB3B0E">
        <w:rPr>
          <w:noProof/>
          <w:lang w:val="es-MX" w:eastAsia="en-US"/>
        </w:rPr>
        <w:drawing>
          <wp:inline distT="0" distB="0" distL="0" distR="0" wp14:anchorId="4FE72442" wp14:editId="58EB0482">
            <wp:extent cx="5398502" cy="232853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2285" cy="2330162"/>
                    </a:xfrm>
                    <a:prstGeom prst="rect">
                      <a:avLst/>
                    </a:prstGeom>
                    <a:noFill/>
                  </pic:spPr>
                </pic:pic>
              </a:graphicData>
            </a:graphic>
          </wp:inline>
        </w:drawing>
      </w:r>
    </w:p>
    <w:p w14:paraId="16DF0DD7" w14:textId="538F1CEE" w:rsidR="00DB3B0E" w:rsidRPr="00DB3B0E" w:rsidRDefault="00DB3B0E" w:rsidP="00DB3B0E">
      <w:pPr>
        <w:pStyle w:val="Source"/>
        <w:spacing w:after="0"/>
        <w:jc w:val="right"/>
        <w:rPr>
          <w:lang w:val="es-MX"/>
        </w:rPr>
      </w:pPr>
      <w:r w:rsidRPr="00DB3B0E">
        <w:rPr>
          <w:lang w:val="es-MX"/>
        </w:rPr>
        <w:t xml:space="preserve">Fuente: </w:t>
      </w:r>
      <w:r w:rsidR="00621FD6">
        <w:rPr>
          <w:lang w:val="es-MX"/>
        </w:rPr>
        <w:t>IFT</w:t>
      </w:r>
    </w:p>
    <w:p w14:paraId="7A31C1FD" w14:textId="69F89A88" w:rsidR="00172C97" w:rsidRDefault="004E1FC0" w:rsidP="008733AB">
      <w:pPr>
        <w:pStyle w:val="Ttulo2"/>
        <w:rPr>
          <w:lang w:val="es-MX"/>
        </w:rPr>
      </w:pPr>
      <w:bookmarkStart w:id="8" w:name="_Toc83660737"/>
      <w:r>
        <w:rPr>
          <w:lang w:val="es-MX"/>
        </w:rPr>
        <w:t>Parte de a</w:t>
      </w:r>
      <w:r w:rsidR="00C02954">
        <w:rPr>
          <w:lang w:val="es-MX"/>
        </w:rPr>
        <w:t xml:space="preserve">cceso </w:t>
      </w:r>
      <w:r>
        <w:rPr>
          <w:lang w:val="es-MX"/>
        </w:rPr>
        <w:t xml:space="preserve">del </w:t>
      </w:r>
      <w:r w:rsidR="00C02954">
        <w:rPr>
          <w:lang w:val="es-MX"/>
        </w:rPr>
        <w:t>SAIB</w:t>
      </w:r>
      <w:bookmarkEnd w:id="8"/>
    </w:p>
    <w:p w14:paraId="16043566" w14:textId="74C470B5" w:rsidR="003A61E6" w:rsidRDefault="00C4530F" w:rsidP="001C2530">
      <w:pPr>
        <w:pStyle w:val="Textoindependiente"/>
        <w:rPr>
          <w:sz w:val="20"/>
          <w:szCs w:val="20"/>
          <w:lang w:val="es-MX"/>
        </w:rPr>
      </w:pPr>
      <w:r>
        <w:rPr>
          <w:sz w:val="20"/>
          <w:szCs w:val="20"/>
          <w:lang w:val="es-MX"/>
        </w:rPr>
        <w:t>L</w:t>
      </w:r>
      <w:r w:rsidR="00260882">
        <w:rPr>
          <w:sz w:val="20"/>
          <w:szCs w:val="20"/>
          <w:lang w:val="es-MX"/>
        </w:rPr>
        <w:t xml:space="preserve">a </w:t>
      </w:r>
      <w:r w:rsidR="001C2530">
        <w:rPr>
          <w:sz w:val="20"/>
          <w:szCs w:val="20"/>
          <w:lang w:val="es-MX"/>
        </w:rPr>
        <w:t>parte del acceso del SAIB</w:t>
      </w:r>
      <w:r w:rsidR="003A61E6">
        <w:rPr>
          <w:sz w:val="20"/>
          <w:szCs w:val="20"/>
          <w:lang w:val="es-MX"/>
        </w:rPr>
        <w:t xml:space="preserve"> corresponde al </w:t>
      </w:r>
      <w:r w:rsidR="003A61E6" w:rsidRPr="003A61E6">
        <w:rPr>
          <w:sz w:val="20"/>
          <w:szCs w:val="20"/>
          <w:lang w:val="es-MX"/>
        </w:rPr>
        <w:t>punto de conexión terminal localizado en</w:t>
      </w:r>
      <w:r>
        <w:rPr>
          <w:sz w:val="20"/>
          <w:szCs w:val="20"/>
          <w:lang w:val="es-MX"/>
        </w:rPr>
        <w:t>tre</w:t>
      </w:r>
      <w:r w:rsidR="003A61E6" w:rsidRPr="003A61E6">
        <w:rPr>
          <w:sz w:val="20"/>
          <w:szCs w:val="20"/>
          <w:lang w:val="es-MX"/>
        </w:rPr>
        <w:t xml:space="preserve"> el sitio del cliente</w:t>
      </w:r>
      <w:r w:rsidR="003A61E6">
        <w:rPr>
          <w:sz w:val="20"/>
          <w:szCs w:val="20"/>
          <w:lang w:val="es-MX"/>
        </w:rPr>
        <w:t xml:space="preserve"> y e</w:t>
      </w:r>
      <w:r w:rsidR="003A61E6" w:rsidRPr="003A61E6">
        <w:rPr>
          <w:sz w:val="20"/>
          <w:szCs w:val="20"/>
          <w:lang w:val="es-MX"/>
        </w:rPr>
        <w:t xml:space="preserve">l medio de transmisión (líneas de cobre </w:t>
      </w:r>
      <w:r w:rsidR="00001794">
        <w:rPr>
          <w:sz w:val="20"/>
          <w:szCs w:val="20"/>
          <w:lang w:val="es-MX"/>
        </w:rPr>
        <w:t>y/</w:t>
      </w:r>
      <w:r w:rsidR="003A61E6" w:rsidRPr="003A61E6">
        <w:rPr>
          <w:sz w:val="20"/>
          <w:szCs w:val="20"/>
          <w:lang w:val="es-MX"/>
        </w:rPr>
        <w:t>o de fibra óptica en función de la tecnología utilizada) localizado en las instalaciones de</w:t>
      </w:r>
      <w:r w:rsidR="003A61E6">
        <w:rPr>
          <w:sz w:val="20"/>
          <w:szCs w:val="20"/>
          <w:lang w:val="es-MX"/>
        </w:rPr>
        <w:t xml:space="preserve">l AEP. </w:t>
      </w:r>
    </w:p>
    <w:p w14:paraId="2533254F" w14:textId="593C273F" w:rsidR="001C2530" w:rsidRDefault="003A61E6" w:rsidP="001C2530">
      <w:pPr>
        <w:pStyle w:val="Textoindependiente"/>
        <w:rPr>
          <w:sz w:val="20"/>
          <w:szCs w:val="20"/>
          <w:lang w:val="es-MX"/>
        </w:rPr>
      </w:pPr>
      <w:r>
        <w:rPr>
          <w:sz w:val="20"/>
          <w:szCs w:val="20"/>
          <w:lang w:val="es-MX"/>
        </w:rPr>
        <w:t>En dicho caso</w:t>
      </w:r>
      <w:r w:rsidR="001C2530">
        <w:rPr>
          <w:sz w:val="20"/>
          <w:szCs w:val="20"/>
          <w:lang w:val="es-MX"/>
        </w:rPr>
        <w:t xml:space="preserve">, </w:t>
      </w:r>
      <w:r w:rsidR="00A54A85">
        <w:rPr>
          <w:sz w:val="20"/>
          <w:szCs w:val="20"/>
          <w:lang w:val="es-MX"/>
        </w:rPr>
        <w:t xml:space="preserve">para </w:t>
      </w:r>
      <w:r>
        <w:rPr>
          <w:sz w:val="20"/>
          <w:szCs w:val="20"/>
          <w:lang w:val="es-MX"/>
        </w:rPr>
        <w:t>el valor correspondiente al medio de transmisión se contempla el valor del</w:t>
      </w:r>
      <w:r w:rsidR="001C2530">
        <w:rPr>
          <w:sz w:val="20"/>
          <w:szCs w:val="20"/>
          <w:lang w:val="es-MX"/>
        </w:rPr>
        <w:t xml:space="preserve"> bucle de cobre </w:t>
      </w:r>
      <w:r w:rsidR="00A54A85">
        <w:rPr>
          <w:sz w:val="20"/>
          <w:szCs w:val="20"/>
          <w:lang w:val="es-MX"/>
        </w:rPr>
        <w:t>o del</w:t>
      </w:r>
      <w:r w:rsidR="001C2530">
        <w:rPr>
          <w:sz w:val="20"/>
          <w:szCs w:val="20"/>
          <w:lang w:val="es-MX"/>
        </w:rPr>
        <w:t xml:space="preserve"> bucle de fibra</w:t>
      </w:r>
      <w:r w:rsidR="00A54A85">
        <w:rPr>
          <w:sz w:val="20"/>
          <w:szCs w:val="20"/>
          <w:lang w:val="es-MX"/>
        </w:rPr>
        <w:t>,</w:t>
      </w:r>
      <w:r w:rsidR="0098337F">
        <w:rPr>
          <w:sz w:val="20"/>
          <w:szCs w:val="20"/>
          <w:lang w:val="es-MX"/>
        </w:rPr>
        <w:t xml:space="preserve"> calculado</w:t>
      </w:r>
      <w:r w:rsidR="00A54A85">
        <w:rPr>
          <w:sz w:val="20"/>
          <w:szCs w:val="20"/>
          <w:lang w:val="es-MX"/>
        </w:rPr>
        <w:t>s</w:t>
      </w:r>
      <w:r w:rsidR="0098337F">
        <w:rPr>
          <w:sz w:val="20"/>
          <w:szCs w:val="20"/>
          <w:lang w:val="es-MX"/>
        </w:rPr>
        <w:t xml:space="preserve"> en el </w:t>
      </w:r>
      <w:r w:rsidR="0098337F" w:rsidRPr="00DB189E">
        <w:rPr>
          <w:bCs/>
          <w:sz w:val="20"/>
          <w:szCs w:val="20"/>
          <w:lang w:val="es-MX"/>
        </w:rPr>
        <w:t>Modelo Integral de Red de Acceso Fijo</w:t>
      </w:r>
      <w:r w:rsidR="001C2530">
        <w:rPr>
          <w:sz w:val="20"/>
          <w:szCs w:val="20"/>
          <w:lang w:val="es-MX"/>
        </w:rPr>
        <w:t xml:space="preserve">. </w:t>
      </w:r>
      <w:bookmarkStart w:id="9" w:name="_Hlk83230504"/>
      <w:r w:rsidR="001C2530">
        <w:rPr>
          <w:sz w:val="20"/>
          <w:szCs w:val="20"/>
          <w:lang w:val="es-MX"/>
        </w:rPr>
        <w:t>En el caso del bucle de cobre, a través del precio por “</w:t>
      </w:r>
      <w:r w:rsidR="001C2530" w:rsidRPr="001C2530">
        <w:rPr>
          <w:sz w:val="20"/>
          <w:szCs w:val="20"/>
          <w:lang w:val="es-MX"/>
        </w:rPr>
        <w:t>Desagregación Total del Bucle</w:t>
      </w:r>
      <w:r w:rsidR="001C2530">
        <w:rPr>
          <w:sz w:val="20"/>
          <w:szCs w:val="20"/>
          <w:lang w:val="es-MX"/>
        </w:rPr>
        <w:t xml:space="preserve">” </w:t>
      </w:r>
      <w:r w:rsidR="006A42FE">
        <w:rPr>
          <w:sz w:val="20"/>
          <w:szCs w:val="20"/>
          <w:lang w:val="es-MX"/>
        </w:rPr>
        <w:t>sin considerar</w:t>
      </w:r>
      <w:r w:rsidR="001C2530">
        <w:rPr>
          <w:sz w:val="20"/>
          <w:szCs w:val="20"/>
          <w:lang w:val="es-MX"/>
        </w:rPr>
        <w:t xml:space="preserve"> los costos asociados a </w:t>
      </w:r>
      <w:r w:rsidR="006A42FE">
        <w:rPr>
          <w:sz w:val="20"/>
          <w:szCs w:val="20"/>
          <w:lang w:val="es-MX"/>
        </w:rPr>
        <w:t xml:space="preserve">la “Central” y a </w:t>
      </w:r>
      <w:r w:rsidR="001C2530">
        <w:rPr>
          <w:sz w:val="20"/>
          <w:szCs w:val="20"/>
          <w:lang w:val="es-MX"/>
        </w:rPr>
        <w:t xml:space="preserve">los “Costos de Alojamiento”. Por su parte, para </w:t>
      </w:r>
      <w:r>
        <w:rPr>
          <w:sz w:val="20"/>
          <w:szCs w:val="20"/>
          <w:lang w:val="es-MX"/>
        </w:rPr>
        <w:t>estimar el costo d</w:t>
      </w:r>
      <w:r w:rsidR="001C2530">
        <w:rPr>
          <w:sz w:val="20"/>
          <w:szCs w:val="20"/>
          <w:lang w:val="es-MX"/>
        </w:rPr>
        <w:t>el bucle de fibra se toma como referencia el precio por “</w:t>
      </w:r>
      <w:r w:rsidR="001C2530" w:rsidRPr="001C2530">
        <w:rPr>
          <w:sz w:val="20"/>
          <w:szCs w:val="20"/>
          <w:lang w:val="es-MX"/>
        </w:rPr>
        <w:t>Desagregación virtual del Bucle Local - sin ONT</w:t>
      </w:r>
      <w:r w:rsidR="001C2530">
        <w:rPr>
          <w:sz w:val="20"/>
          <w:szCs w:val="20"/>
          <w:lang w:val="es-MX"/>
        </w:rPr>
        <w:t>”</w:t>
      </w:r>
      <w:bookmarkEnd w:id="9"/>
      <w:r w:rsidR="001C2530">
        <w:rPr>
          <w:sz w:val="20"/>
          <w:szCs w:val="20"/>
          <w:lang w:val="es-MX"/>
        </w:rPr>
        <w:t>.</w:t>
      </w:r>
      <w:r w:rsidR="006A42FE">
        <w:rPr>
          <w:sz w:val="20"/>
          <w:szCs w:val="20"/>
          <w:lang w:val="es-MX"/>
        </w:rPr>
        <w:t xml:space="preserve"> </w:t>
      </w:r>
    </w:p>
    <w:p w14:paraId="0FD45FB9" w14:textId="2AD8206A" w:rsidR="00981CA6" w:rsidRDefault="002C4002" w:rsidP="001E5CB1">
      <w:pPr>
        <w:pStyle w:val="Textoindependiente"/>
        <w:rPr>
          <w:sz w:val="20"/>
          <w:szCs w:val="20"/>
          <w:lang w:val="es-MX"/>
        </w:rPr>
      </w:pPr>
      <w:r>
        <w:rPr>
          <w:sz w:val="20"/>
          <w:szCs w:val="20"/>
          <w:lang w:val="es-MX"/>
        </w:rPr>
        <w:t>P</w:t>
      </w:r>
      <w:r w:rsidR="001E5CB1" w:rsidRPr="00E74152">
        <w:rPr>
          <w:sz w:val="20"/>
          <w:szCs w:val="22"/>
          <w:lang w:val="es-MX"/>
        </w:rPr>
        <w:t xml:space="preserve">ara </w:t>
      </w:r>
      <w:r w:rsidR="00C4530F">
        <w:rPr>
          <w:sz w:val="20"/>
          <w:szCs w:val="22"/>
          <w:lang w:val="es-MX"/>
        </w:rPr>
        <w:t>estimar</w:t>
      </w:r>
      <w:r w:rsidR="001E5CB1" w:rsidRPr="00E74152">
        <w:rPr>
          <w:sz w:val="20"/>
          <w:szCs w:val="22"/>
          <w:lang w:val="es-MX"/>
        </w:rPr>
        <w:t xml:space="preserve"> la tarifa del SAIB de cada perfil de velocidad en el Caso I se </w:t>
      </w:r>
      <w:r w:rsidR="001E5CB1">
        <w:rPr>
          <w:sz w:val="20"/>
          <w:szCs w:val="22"/>
          <w:lang w:val="es-MX"/>
        </w:rPr>
        <w:t>añade</w:t>
      </w:r>
      <w:r w:rsidR="009E6B40">
        <w:rPr>
          <w:sz w:val="20"/>
          <w:szCs w:val="22"/>
          <w:lang w:val="es-MX"/>
        </w:rPr>
        <w:t xml:space="preserve"> el valor de la</w:t>
      </w:r>
      <w:r w:rsidR="001E5CB1">
        <w:rPr>
          <w:sz w:val="20"/>
          <w:szCs w:val="22"/>
          <w:lang w:val="es-MX"/>
        </w:rPr>
        <w:t xml:space="preserve"> parte </w:t>
      </w:r>
      <w:r w:rsidR="009E6B40">
        <w:rPr>
          <w:sz w:val="20"/>
          <w:szCs w:val="22"/>
          <w:lang w:val="es-MX"/>
        </w:rPr>
        <w:t xml:space="preserve">del </w:t>
      </w:r>
      <w:r w:rsidR="000B785D">
        <w:rPr>
          <w:sz w:val="20"/>
          <w:szCs w:val="22"/>
          <w:lang w:val="es-MX"/>
        </w:rPr>
        <w:t>SCyD</w:t>
      </w:r>
      <w:r w:rsidR="001E5CB1" w:rsidRPr="00E74152">
        <w:rPr>
          <w:sz w:val="20"/>
          <w:szCs w:val="22"/>
          <w:lang w:val="es-MX"/>
        </w:rPr>
        <w:t xml:space="preserve"> por perfil de velocidad el valor del medio de transmisión </w:t>
      </w:r>
      <w:r w:rsidR="009E6B40">
        <w:rPr>
          <w:sz w:val="20"/>
          <w:szCs w:val="22"/>
          <w:lang w:val="es-MX"/>
        </w:rPr>
        <w:t xml:space="preserve">(acceso) </w:t>
      </w:r>
      <w:r w:rsidR="001E5CB1" w:rsidRPr="00E74152">
        <w:rPr>
          <w:sz w:val="20"/>
          <w:szCs w:val="22"/>
          <w:lang w:val="es-MX"/>
        </w:rPr>
        <w:t xml:space="preserve">por el cual se presta </w:t>
      </w:r>
      <w:r w:rsidR="001E5CB1" w:rsidRPr="00AF4F48">
        <w:rPr>
          <w:sz w:val="20"/>
          <w:szCs w:val="20"/>
          <w:lang w:val="es-MX"/>
        </w:rPr>
        <w:t>el servicio</w:t>
      </w:r>
      <w:r w:rsidR="001E5CB1" w:rsidRPr="00AF4F48">
        <w:rPr>
          <w:rStyle w:val="Refdenotaalpie"/>
          <w:sz w:val="20"/>
          <w:szCs w:val="20"/>
        </w:rPr>
        <w:footnoteReference w:id="12"/>
      </w:r>
      <w:r w:rsidR="001E5CB1" w:rsidRPr="00AF4F48">
        <w:rPr>
          <w:sz w:val="20"/>
          <w:szCs w:val="20"/>
          <w:lang w:val="es-MX"/>
        </w:rPr>
        <w:t>,</w:t>
      </w:r>
      <w:r w:rsidR="001E5CB1" w:rsidRPr="00E74152">
        <w:rPr>
          <w:sz w:val="20"/>
          <w:szCs w:val="22"/>
          <w:lang w:val="es-MX"/>
        </w:rPr>
        <w:t xml:space="preserve"> de modo que se asegure que el AEP recupera efectivamente los costos </w:t>
      </w:r>
      <w:r w:rsidR="00F92BD7" w:rsidRPr="00E74152">
        <w:rPr>
          <w:sz w:val="20"/>
          <w:szCs w:val="22"/>
          <w:lang w:val="es-MX"/>
        </w:rPr>
        <w:t>asociados</w:t>
      </w:r>
      <w:r w:rsidR="00F92BD7">
        <w:rPr>
          <w:sz w:val="20"/>
          <w:szCs w:val="22"/>
          <w:lang w:val="es-MX"/>
        </w:rPr>
        <w:t>.</w:t>
      </w:r>
    </w:p>
    <w:p w14:paraId="0BFED577" w14:textId="58EEE8F8" w:rsidR="00C02954" w:rsidRDefault="00C02954" w:rsidP="001C2530">
      <w:pPr>
        <w:pStyle w:val="Textoindependiente"/>
        <w:rPr>
          <w:sz w:val="20"/>
          <w:szCs w:val="20"/>
          <w:lang w:val="es-MX"/>
        </w:rPr>
      </w:pPr>
      <w:r>
        <w:rPr>
          <w:sz w:val="20"/>
          <w:szCs w:val="20"/>
          <w:lang w:val="es-MX"/>
        </w:rPr>
        <w:t>Para calcular la tarifa correspondiente a dicho elemento se considera relevante seleccionar en el Modelo Integral de Red de Acceso Fijo lo siguiente:</w:t>
      </w:r>
    </w:p>
    <w:p w14:paraId="7D510118" w14:textId="5EF6E510" w:rsidR="00C02954" w:rsidRDefault="00C02954" w:rsidP="00C02954">
      <w:pPr>
        <w:pStyle w:val="Ttulo3"/>
        <w:rPr>
          <w:lang w:val="es-MX"/>
        </w:rPr>
      </w:pPr>
      <w:bookmarkStart w:id="10" w:name="_Toc83660738"/>
      <w:r>
        <w:rPr>
          <w:lang w:val="es-MX"/>
        </w:rPr>
        <w:lastRenderedPageBreak/>
        <w:t>Estándar de costo</w:t>
      </w:r>
      <w:bookmarkEnd w:id="10"/>
    </w:p>
    <w:p w14:paraId="4931C6D8" w14:textId="48717CA3" w:rsidR="00C02954" w:rsidRPr="00CC6187" w:rsidRDefault="00C02954" w:rsidP="00C02954">
      <w:pPr>
        <w:rPr>
          <w:rFonts w:ascii="Calibri" w:hAnsi="Calibri"/>
          <w:sz w:val="20"/>
          <w:szCs w:val="20"/>
          <w:lang w:val="es-MX"/>
        </w:rPr>
      </w:pPr>
      <w:r w:rsidRPr="00CC6187">
        <w:rPr>
          <w:sz w:val="20"/>
          <w:szCs w:val="20"/>
          <w:lang w:val="es-MX"/>
        </w:rPr>
        <w:t xml:space="preserve">La parte de acceso </w:t>
      </w:r>
      <w:r>
        <w:rPr>
          <w:sz w:val="20"/>
          <w:szCs w:val="20"/>
          <w:lang w:val="es-MX"/>
        </w:rPr>
        <w:t>modelada en el Modelo Integral de Red de Acceso Fijo de acuerdo con los principios metodológicos sigue una metodología de</w:t>
      </w:r>
      <w:r w:rsidRPr="00CC6187">
        <w:rPr>
          <w:sz w:val="20"/>
          <w:szCs w:val="20"/>
          <w:lang w:val="es-MX"/>
        </w:rPr>
        <w:t xml:space="preserve"> costo</w:t>
      </w:r>
      <w:r>
        <w:rPr>
          <w:sz w:val="20"/>
          <w:szCs w:val="20"/>
          <w:lang w:val="es-MX"/>
        </w:rPr>
        <w:t>s</w:t>
      </w:r>
      <w:r w:rsidRPr="00CC6187">
        <w:rPr>
          <w:sz w:val="20"/>
          <w:szCs w:val="20"/>
          <w:lang w:val="es-MX"/>
        </w:rPr>
        <w:t xml:space="preserve"> incremental</w:t>
      </w:r>
      <w:r>
        <w:rPr>
          <w:sz w:val="20"/>
          <w:szCs w:val="20"/>
          <w:lang w:val="es-MX"/>
        </w:rPr>
        <w:t>es</w:t>
      </w:r>
      <w:r w:rsidRPr="00CC6187">
        <w:rPr>
          <w:sz w:val="20"/>
          <w:szCs w:val="20"/>
          <w:lang w:val="es-MX"/>
        </w:rPr>
        <w:t xml:space="preserve"> promedio de largo plazo</w:t>
      </w:r>
      <w:r w:rsidR="00001794">
        <w:rPr>
          <w:sz w:val="20"/>
          <w:szCs w:val="20"/>
          <w:lang w:val="es-MX"/>
        </w:rPr>
        <w:t xml:space="preserve"> (LRAIC+)</w:t>
      </w:r>
      <w:r>
        <w:rPr>
          <w:rStyle w:val="Refdenotaalpie"/>
          <w:sz w:val="20"/>
          <w:szCs w:val="20"/>
          <w:lang w:val="es-MX"/>
        </w:rPr>
        <w:footnoteReference w:id="13"/>
      </w:r>
      <w:r>
        <w:rPr>
          <w:sz w:val="20"/>
          <w:szCs w:val="20"/>
          <w:lang w:val="es-MX"/>
        </w:rPr>
        <w:t xml:space="preserve">. </w:t>
      </w:r>
      <w:r w:rsidR="00077306">
        <w:rPr>
          <w:sz w:val="20"/>
          <w:szCs w:val="20"/>
          <w:lang w:val="es-MX"/>
        </w:rPr>
        <w:t>De esta forma, se considera que dicho elemento considera la metodología dispuesta en la Medida TRIGÉSIMA NOVENA del Anexo 3 de la Segunda Resolución Bienal.</w:t>
      </w:r>
    </w:p>
    <w:p w14:paraId="75AE6636" w14:textId="77777777" w:rsidR="00C02954" w:rsidRPr="00DB3B0E" w:rsidRDefault="00C02954" w:rsidP="008733AB">
      <w:pPr>
        <w:pStyle w:val="Ttulo3"/>
        <w:rPr>
          <w:lang w:val="es-MX"/>
        </w:rPr>
      </w:pPr>
      <w:bookmarkStart w:id="12" w:name="_Toc83660739"/>
      <w:r>
        <w:rPr>
          <w:lang w:val="es-MX"/>
        </w:rPr>
        <w:t>CCPP</w:t>
      </w:r>
      <w:bookmarkEnd w:id="12"/>
    </w:p>
    <w:p w14:paraId="008961B3" w14:textId="641CB067" w:rsidR="00C02954" w:rsidRPr="00066D80" w:rsidRDefault="00C02954" w:rsidP="00C02954">
      <w:pPr>
        <w:pStyle w:val="Textoindependiente"/>
        <w:rPr>
          <w:sz w:val="20"/>
          <w:szCs w:val="22"/>
          <w:lang w:val="es-MX" w:eastAsia="en-US"/>
        </w:rPr>
      </w:pPr>
      <w:r w:rsidRPr="00066D80">
        <w:rPr>
          <w:sz w:val="20"/>
          <w:szCs w:val="22"/>
          <w:lang w:val="es-MX" w:eastAsia="en-US"/>
        </w:rPr>
        <w:t>El Costo de Capital Promedio Ponderado (</w:t>
      </w:r>
      <w:r w:rsidRPr="00066D80">
        <w:rPr>
          <w:i/>
          <w:iCs/>
          <w:sz w:val="20"/>
          <w:szCs w:val="22"/>
          <w:lang w:val="es-MX" w:eastAsia="en-US"/>
        </w:rPr>
        <w:t>CCPP</w:t>
      </w:r>
      <w:r w:rsidRPr="00066D80">
        <w:rPr>
          <w:sz w:val="20"/>
          <w:szCs w:val="22"/>
          <w:lang w:val="es-MX" w:eastAsia="en-US"/>
        </w:rPr>
        <w:t xml:space="preserve">) utilizado en el Modelo Integral de Red de Acceso Fijo </w:t>
      </w:r>
      <w:r>
        <w:rPr>
          <w:sz w:val="20"/>
          <w:szCs w:val="22"/>
          <w:lang w:val="es-MX" w:eastAsia="en-US"/>
        </w:rPr>
        <w:t>es</w:t>
      </w:r>
      <w:r w:rsidRPr="00066D80">
        <w:rPr>
          <w:sz w:val="20"/>
          <w:szCs w:val="22"/>
          <w:lang w:val="es-MX" w:eastAsia="en-US"/>
        </w:rPr>
        <w:t xml:space="preserve"> de 8.98% para 2022</w:t>
      </w:r>
      <w:r w:rsidRPr="00066D80">
        <w:rPr>
          <w:rStyle w:val="Refdenotaalpie"/>
          <w:sz w:val="20"/>
          <w:szCs w:val="22"/>
          <w:lang w:val="es-MX"/>
        </w:rPr>
        <w:footnoteReference w:id="14"/>
      </w:r>
      <w:r w:rsidRPr="00066D80">
        <w:rPr>
          <w:sz w:val="20"/>
          <w:szCs w:val="22"/>
          <w:lang w:val="es-MX" w:eastAsia="en-US"/>
        </w:rPr>
        <w:t>.</w:t>
      </w:r>
    </w:p>
    <w:p w14:paraId="74444614" w14:textId="099D208F" w:rsidR="00C02954" w:rsidRDefault="00C02954" w:rsidP="008733AB">
      <w:pPr>
        <w:pStyle w:val="Ttulo3"/>
        <w:rPr>
          <w:lang w:val="es-MX"/>
        </w:rPr>
      </w:pPr>
      <w:bookmarkStart w:id="13" w:name="_Toc83660740"/>
      <w:r>
        <w:rPr>
          <w:lang w:val="es-MX"/>
        </w:rPr>
        <w:t>Actualización del periodo</w:t>
      </w:r>
      <w:r w:rsidR="005A74B8">
        <w:rPr>
          <w:lang w:val="es-MX"/>
        </w:rPr>
        <w:t xml:space="preserve"> y costo laboral</w:t>
      </w:r>
      <w:bookmarkEnd w:id="13"/>
    </w:p>
    <w:p w14:paraId="7A95411E" w14:textId="0C3F026C" w:rsidR="00C02954" w:rsidRDefault="005A74B8" w:rsidP="001C2530">
      <w:pPr>
        <w:pStyle w:val="Textoindependiente"/>
        <w:rPr>
          <w:sz w:val="20"/>
          <w:szCs w:val="20"/>
          <w:lang w:val="es-MX"/>
        </w:rPr>
      </w:pPr>
      <w:r>
        <w:rPr>
          <w:sz w:val="20"/>
          <w:szCs w:val="20"/>
          <w:lang w:val="es-MX"/>
        </w:rPr>
        <w:t>Se consideran l</w:t>
      </w:r>
      <w:r w:rsidR="00C02954" w:rsidRPr="007834F2">
        <w:rPr>
          <w:sz w:val="20"/>
          <w:szCs w:val="20"/>
          <w:lang w:val="es-MX"/>
        </w:rPr>
        <w:t>os niveles tarifarios aplicables para 2022</w:t>
      </w:r>
      <w:r>
        <w:rPr>
          <w:sz w:val="20"/>
          <w:szCs w:val="20"/>
          <w:lang w:val="es-MX"/>
        </w:rPr>
        <w:t xml:space="preserve"> actualizando el periodo de cálculo de costos</w:t>
      </w:r>
      <w:r w:rsidR="00C02954" w:rsidRPr="007834F2">
        <w:rPr>
          <w:sz w:val="20"/>
          <w:szCs w:val="20"/>
          <w:lang w:val="es-MX"/>
        </w:rPr>
        <w:t>.</w:t>
      </w:r>
      <w:r>
        <w:rPr>
          <w:sz w:val="20"/>
          <w:szCs w:val="20"/>
          <w:lang w:val="es-MX"/>
        </w:rPr>
        <w:t xml:space="preserve"> </w:t>
      </w:r>
      <w:r w:rsidR="00001794">
        <w:rPr>
          <w:sz w:val="20"/>
          <w:szCs w:val="20"/>
          <w:lang w:val="es-MX"/>
        </w:rPr>
        <w:t>Únicamente</w:t>
      </w:r>
      <w:r>
        <w:rPr>
          <w:sz w:val="20"/>
          <w:szCs w:val="20"/>
          <w:lang w:val="es-MX"/>
        </w:rPr>
        <w:t xml:space="preserve"> se </w:t>
      </w:r>
      <w:r w:rsidR="00001794">
        <w:rPr>
          <w:sz w:val="20"/>
          <w:szCs w:val="20"/>
          <w:lang w:val="es-MX"/>
        </w:rPr>
        <w:t>actualiza</w:t>
      </w:r>
      <w:r w:rsidRPr="007834F2">
        <w:rPr>
          <w:sz w:val="20"/>
          <w:szCs w:val="20"/>
          <w:lang w:val="es-MX"/>
        </w:rPr>
        <w:t xml:space="preserve"> la tasa de crecimiento de costo de mano de obra, a partir de la revisión salarial 2021-2022, del orden del 4.2%</w:t>
      </w:r>
      <w:r w:rsidRPr="007834F2">
        <w:rPr>
          <w:rStyle w:val="Refdenotaalpie"/>
          <w:sz w:val="20"/>
          <w:szCs w:val="20"/>
          <w:lang w:val="es-MX"/>
        </w:rPr>
        <w:footnoteReference w:id="15"/>
      </w:r>
      <w:r w:rsidRPr="007834F2">
        <w:rPr>
          <w:sz w:val="20"/>
          <w:szCs w:val="20"/>
          <w:lang w:val="es-MX"/>
        </w:rPr>
        <w:t>.</w:t>
      </w:r>
    </w:p>
    <w:p w14:paraId="5062CD9F" w14:textId="57C8F1BA" w:rsidR="006A0CA7" w:rsidRDefault="005A74B8" w:rsidP="008733AB">
      <w:pPr>
        <w:pStyle w:val="Ttulo3"/>
        <w:rPr>
          <w:sz w:val="20"/>
          <w:szCs w:val="20"/>
          <w:lang w:val="es-MX"/>
        </w:rPr>
      </w:pPr>
      <w:bookmarkStart w:id="14" w:name="_Toc83660741"/>
      <w:r>
        <w:rPr>
          <w:sz w:val="20"/>
          <w:szCs w:val="20"/>
          <w:lang w:val="es-MX"/>
        </w:rPr>
        <w:t>Resultados Acceso SAIB</w:t>
      </w:r>
      <w:bookmarkEnd w:id="14"/>
    </w:p>
    <w:p w14:paraId="3CA50165" w14:textId="5C7E36CC" w:rsidR="006A0CA7" w:rsidRDefault="00001794" w:rsidP="001C2530">
      <w:pPr>
        <w:pStyle w:val="Textoindependiente"/>
        <w:rPr>
          <w:sz w:val="20"/>
          <w:szCs w:val="20"/>
          <w:lang w:val="es-MX"/>
        </w:rPr>
      </w:pPr>
      <w:r>
        <w:rPr>
          <w:sz w:val="20"/>
          <w:szCs w:val="20"/>
          <w:lang w:val="es-MX"/>
        </w:rPr>
        <w:t>L</w:t>
      </w:r>
      <w:r w:rsidR="005A74B8">
        <w:rPr>
          <w:sz w:val="20"/>
          <w:szCs w:val="20"/>
          <w:lang w:val="es-MX"/>
        </w:rPr>
        <w:t>os valores de acceso del SAIB calculados son los siguientes:</w:t>
      </w:r>
    </w:p>
    <w:tbl>
      <w:tblPr>
        <w:tblStyle w:val="Tablaconcuadrcula5oscura"/>
        <w:tblW w:w="4684" w:type="dxa"/>
        <w:jc w:val="center"/>
        <w:tblLook w:val="04A0" w:firstRow="1" w:lastRow="0" w:firstColumn="1" w:lastColumn="0" w:noHBand="0" w:noVBand="1"/>
      </w:tblPr>
      <w:tblGrid>
        <w:gridCol w:w="3506"/>
        <w:gridCol w:w="1178"/>
      </w:tblGrid>
      <w:tr w:rsidR="006A0CA7" w:rsidRPr="005B2309" w14:paraId="57E0E389" w14:textId="77777777" w:rsidTr="005B2309">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506" w:type="dxa"/>
            <w:noWrap/>
          </w:tcPr>
          <w:p w14:paraId="4E623FDB" w14:textId="46054C21" w:rsidR="006A0CA7" w:rsidRPr="005B2309" w:rsidRDefault="006A0CA7" w:rsidP="004E5EBE">
            <w:pPr>
              <w:spacing w:line="240" w:lineRule="auto"/>
              <w:jc w:val="left"/>
              <w:rPr>
                <w:rFonts w:eastAsia="Times New Roman"/>
                <w:sz w:val="18"/>
                <w:szCs w:val="18"/>
                <w:lang w:val="es-MX" w:eastAsia="es-MX"/>
              </w:rPr>
            </w:pPr>
            <w:r w:rsidRPr="005B2309">
              <w:rPr>
                <w:rFonts w:eastAsia="Times New Roman"/>
                <w:sz w:val="18"/>
                <w:szCs w:val="18"/>
                <w:lang w:val="es-MX" w:eastAsia="es-MX"/>
              </w:rPr>
              <w:t>Acceso SAIB</w:t>
            </w:r>
          </w:p>
        </w:tc>
        <w:tc>
          <w:tcPr>
            <w:tcW w:w="1178" w:type="dxa"/>
            <w:noWrap/>
          </w:tcPr>
          <w:p w14:paraId="2A38960B" w14:textId="77777777" w:rsidR="006A0CA7" w:rsidRPr="005B2309" w:rsidRDefault="006A0CA7" w:rsidP="004E5EB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lang w:val="es-MX" w:eastAsia="es-MX"/>
              </w:rPr>
            </w:pPr>
            <w:r w:rsidRPr="005B2309">
              <w:rPr>
                <w:rFonts w:eastAsia="Times New Roman"/>
                <w:sz w:val="18"/>
                <w:szCs w:val="18"/>
                <w:lang w:val="es-MX" w:eastAsia="es-MX"/>
              </w:rPr>
              <w:t>2022</w:t>
            </w:r>
          </w:p>
        </w:tc>
      </w:tr>
      <w:tr w:rsidR="00CE7126" w:rsidRPr="005B2309" w14:paraId="7A0376D9" w14:textId="77777777" w:rsidTr="005B230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506" w:type="dxa"/>
            <w:noWrap/>
          </w:tcPr>
          <w:p w14:paraId="567B5000" w14:textId="00E639E4" w:rsidR="00CE7126" w:rsidRPr="005B2309" w:rsidRDefault="00CE7126" w:rsidP="004E5EBE">
            <w:pPr>
              <w:spacing w:line="240" w:lineRule="auto"/>
              <w:jc w:val="left"/>
              <w:rPr>
                <w:rFonts w:eastAsia="Times New Roman"/>
                <w:sz w:val="18"/>
                <w:szCs w:val="18"/>
                <w:lang w:val="es-MX" w:eastAsia="es-MX"/>
              </w:rPr>
            </w:pPr>
            <w:r w:rsidRPr="005B2309">
              <w:rPr>
                <w:rFonts w:eastAsia="Times New Roman"/>
                <w:sz w:val="18"/>
                <w:szCs w:val="18"/>
                <w:lang w:val="es-MX" w:eastAsia="es-MX"/>
              </w:rPr>
              <w:t>Costo de bucle de cobre</w:t>
            </w:r>
          </w:p>
        </w:tc>
        <w:tc>
          <w:tcPr>
            <w:tcW w:w="1178" w:type="dxa"/>
            <w:noWrap/>
          </w:tcPr>
          <w:p w14:paraId="53B8F7B3" w14:textId="54D49E10" w:rsidR="00CE7126" w:rsidRPr="005B2309" w:rsidRDefault="00CE7126" w:rsidP="004E5E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FFFFFF" w:themeColor="background1"/>
                <w:sz w:val="18"/>
                <w:szCs w:val="18"/>
                <w:lang w:val="es-MX" w:eastAsia="es-MX"/>
              </w:rPr>
            </w:pPr>
            <w:r w:rsidRPr="005B2309">
              <w:rPr>
                <w:rFonts w:eastAsia="Times New Roman"/>
                <w:color w:val="FFFFFF" w:themeColor="background1"/>
                <w:sz w:val="18"/>
                <w:szCs w:val="18"/>
                <w:lang w:val="es-MX" w:eastAsia="es-MX"/>
              </w:rPr>
              <w:t>$101.02 MXN/Mes</w:t>
            </w:r>
          </w:p>
        </w:tc>
      </w:tr>
      <w:tr w:rsidR="006A0CA7" w:rsidRPr="005B2309" w14:paraId="35C43BEE" w14:textId="77777777" w:rsidTr="005B2309">
        <w:trPr>
          <w:trHeight w:val="290"/>
          <w:jc w:val="center"/>
        </w:trPr>
        <w:tc>
          <w:tcPr>
            <w:cnfStyle w:val="001000000000" w:firstRow="0" w:lastRow="0" w:firstColumn="1" w:lastColumn="0" w:oddVBand="0" w:evenVBand="0" w:oddHBand="0" w:evenHBand="0" w:firstRowFirstColumn="0" w:firstRowLastColumn="0" w:lastRowFirstColumn="0" w:lastRowLastColumn="0"/>
            <w:tcW w:w="3506" w:type="dxa"/>
            <w:noWrap/>
            <w:hideMark/>
          </w:tcPr>
          <w:p w14:paraId="045D59E5" w14:textId="691F9A54" w:rsidR="006A0CA7" w:rsidRPr="005B2309" w:rsidRDefault="006A0CA7" w:rsidP="004E5EBE">
            <w:pPr>
              <w:spacing w:line="240" w:lineRule="auto"/>
              <w:jc w:val="left"/>
              <w:rPr>
                <w:rFonts w:eastAsia="Times New Roman"/>
                <w:sz w:val="18"/>
                <w:szCs w:val="18"/>
                <w:lang w:val="es-MX" w:eastAsia="es-MX"/>
              </w:rPr>
            </w:pPr>
            <w:r w:rsidRPr="005B2309">
              <w:rPr>
                <w:rFonts w:eastAsia="Times New Roman"/>
                <w:sz w:val="18"/>
                <w:szCs w:val="18"/>
                <w:lang w:val="es-MX" w:eastAsia="es-MX"/>
              </w:rPr>
              <w:t>Costo de bucle de fibra</w:t>
            </w:r>
          </w:p>
        </w:tc>
        <w:tc>
          <w:tcPr>
            <w:tcW w:w="1178" w:type="dxa"/>
            <w:noWrap/>
            <w:hideMark/>
          </w:tcPr>
          <w:p w14:paraId="0C4E5FF7" w14:textId="26869996" w:rsidR="006A0CA7" w:rsidRPr="005B2309" w:rsidRDefault="006A0CA7" w:rsidP="004E5E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FFFFFF" w:themeColor="background1"/>
                <w:sz w:val="18"/>
                <w:szCs w:val="18"/>
                <w:lang w:val="es-MX" w:eastAsia="es-MX"/>
              </w:rPr>
            </w:pPr>
            <w:r w:rsidRPr="005B2309">
              <w:rPr>
                <w:rFonts w:eastAsia="Times New Roman"/>
                <w:color w:val="FFFFFF" w:themeColor="background1"/>
                <w:sz w:val="18"/>
                <w:szCs w:val="18"/>
                <w:lang w:val="es-MX" w:eastAsia="es-MX"/>
              </w:rPr>
              <w:t>$91.66 MXN/Mes</w:t>
            </w:r>
          </w:p>
        </w:tc>
      </w:tr>
    </w:tbl>
    <w:p w14:paraId="5FA18F38" w14:textId="77777777" w:rsidR="006A0CA7" w:rsidRDefault="006A0CA7" w:rsidP="00DB3B0E">
      <w:pPr>
        <w:pStyle w:val="Textoindependiente"/>
        <w:rPr>
          <w:sz w:val="20"/>
          <w:szCs w:val="22"/>
          <w:lang w:val="es-MX" w:eastAsia="en-US"/>
        </w:rPr>
      </w:pPr>
    </w:p>
    <w:p w14:paraId="2500D796" w14:textId="260D0B97" w:rsidR="00C02954" w:rsidRPr="008733AB" w:rsidRDefault="004E1FC0" w:rsidP="008733AB">
      <w:pPr>
        <w:pStyle w:val="Ttulo2"/>
        <w:rPr>
          <w:sz w:val="22"/>
          <w:lang w:val="es-MX"/>
        </w:rPr>
      </w:pPr>
      <w:bookmarkStart w:id="15" w:name="_Toc83660742"/>
      <w:r>
        <w:rPr>
          <w:sz w:val="22"/>
          <w:lang w:val="es-MX"/>
        </w:rPr>
        <w:lastRenderedPageBreak/>
        <w:t>Parte de t</w:t>
      </w:r>
      <w:r w:rsidR="00C02954" w:rsidRPr="008733AB">
        <w:rPr>
          <w:sz w:val="22"/>
          <w:lang w:val="es-MX"/>
        </w:rPr>
        <w:t xml:space="preserve">ransporte </w:t>
      </w:r>
      <w:r>
        <w:rPr>
          <w:sz w:val="22"/>
          <w:lang w:val="es-MX"/>
        </w:rPr>
        <w:t xml:space="preserve">del </w:t>
      </w:r>
      <w:r w:rsidR="00C02954" w:rsidRPr="008733AB">
        <w:rPr>
          <w:sz w:val="22"/>
          <w:lang w:val="es-MX"/>
        </w:rPr>
        <w:t>SAIB</w:t>
      </w:r>
      <w:bookmarkEnd w:id="15"/>
    </w:p>
    <w:p w14:paraId="64EACB54" w14:textId="308B9699" w:rsidR="00070C5C" w:rsidRDefault="0098337F" w:rsidP="00DB3B0E">
      <w:pPr>
        <w:pStyle w:val="Textoindependiente"/>
        <w:rPr>
          <w:sz w:val="20"/>
          <w:szCs w:val="22"/>
          <w:lang w:val="es-MX" w:eastAsia="en-US"/>
        </w:rPr>
      </w:pPr>
      <w:r>
        <w:rPr>
          <w:sz w:val="20"/>
          <w:szCs w:val="22"/>
          <w:lang w:val="es-MX" w:eastAsia="en-US"/>
        </w:rPr>
        <w:t xml:space="preserve">Para la parte de transporte se considera el </w:t>
      </w:r>
      <w:r w:rsidR="00321033" w:rsidRPr="00621FD6">
        <w:rPr>
          <w:sz w:val="20"/>
          <w:szCs w:val="22"/>
          <w:lang w:val="es-MX" w:eastAsia="en-US"/>
        </w:rPr>
        <w:t xml:space="preserve">costo del SCyD basado en el </w:t>
      </w:r>
      <w:r w:rsidR="00621FD6" w:rsidRPr="00621FD6">
        <w:rPr>
          <w:sz w:val="20"/>
          <w:szCs w:val="22"/>
          <w:lang w:val="es-MX" w:eastAsia="en-US"/>
        </w:rPr>
        <w:t>M</w:t>
      </w:r>
      <w:r w:rsidR="00321033" w:rsidRPr="00621FD6">
        <w:rPr>
          <w:sz w:val="20"/>
          <w:szCs w:val="22"/>
          <w:lang w:val="es-MX" w:eastAsia="en-US"/>
        </w:rPr>
        <w:t xml:space="preserve">odelo de </w:t>
      </w:r>
      <w:r w:rsidR="00C02954">
        <w:rPr>
          <w:sz w:val="20"/>
          <w:szCs w:val="22"/>
          <w:lang w:val="es-MX" w:eastAsia="en-US"/>
        </w:rPr>
        <w:t>I</w:t>
      </w:r>
      <w:r w:rsidR="00321033" w:rsidRPr="00621FD6">
        <w:rPr>
          <w:sz w:val="20"/>
          <w:szCs w:val="22"/>
          <w:lang w:val="es-MX" w:eastAsia="en-US"/>
        </w:rPr>
        <w:t>nterconexión</w:t>
      </w:r>
      <w:r>
        <w:rPr>
          <w:sz w:val="20"/>
          <w:szCs w:val="22"/>
          <w:lang w:val="es-MX" w:eastAsia="en-US"/>
        </w:rPr>
        <w:t xml:space="preserve"> </w:t>
      </w:r>
      <w:r w:rsidR="00C02954">
        <w:rPr>
          <w:sz w:val="20"/>
          <w:szCs w:val="22"/>
          <w:lang w:val="es-MX" w:eastAsia="en-US"/>
        </w:rPr>
        <w:t xml:space="preserve">Fijo </w:t>
      </w:r>
      <w:r>
        <w:rPr>
          <w:sz w:val="20"/>
          <w:szCs w:val="22"/>
          <w:lang w:val="es-MX" w:eastAsia="en-US"/>
        </w:rPr>
        <w:t>autorizado por el Instituto</w:t>
      </w:r>
      <w:r w:rsidR="00981CA6">
        <w:rPr>
          <w:sz w:val="20"/>
          <w:szCs w:val="22"/>
          <w:lang w:val="es-MX" w:eastAsia="en-US"/>
        </w:rPr>
        <w:t xml:space="preserve">, el cual </w:t>
      </w:r>
      <w:r w:rsidR="00321033" w:rsidRPr="00621FD6">
        <w:rPr>
          <w:sz w:val="20"/>
          <w:szCs w:val="22"/>
          <w:lang w:val="es-MX" w:eastAsia="en-US"/>
        </w:rPr>
        <w:t>considera</w:t>
      </w:r>
      <w:r w:rsidR="00DB3B0E" w:rsidRPr="00621FD6">
        <w:rPr>
          <w:sz w:val="20"/>
          <w:szCs w:val="22"/>
          <w:lang w:val="es-MX" w:eastAsia="en-US"/>
        </w:rPr>
        <w:t xml:space="preserve"> los servicios SCyD (denominados </w:t>
      </w:r>
      <w:r>
        <w:rPr>
          <w:sz w:val="20"/>
          <w:szCs w:val="22"/>
          <w:lang w:val="es-MX" w:eastAsia="en-US"/>
        </w:rPr>
        <w:t>como Bitstream</w:t>
      </w:r>
      <w:r w:rsidR="00DB3B0E" w:rsidRPr="00621FD6">
        <w:rPr>
          <w:sz w:val="20"/>
          <w:szCs w:val="22"/>
          <w:lang w:val="es-MX" w:eastAsia="en-US"/>
        </w:rPr>
        <w:t xml:space="preserve"> </w:t>
      </w:r>
      <w:r w:rsidR="008A6419">
        <w:rPr>
          <w:sz w:val="20"/>
          <w:szCs w:val="22"/>
          <w:lang w:val="es-MX" w:eastAsia="en-US"/>
        </w:rPr>
        <w:t>L</w:t>
      </w:r>
      <w:r w:rsidR="00DB3B0E" w:rsidRPr="00621FD6">
        <w:rPr>
          <w:sz w:val="20"/>
          <w:szCs w:val="22"/>
          <w:lang w:val="es-MX" w:eastAsia="en-US"/>
        </w:rPr>
        <w:t xml:space="preserve">ocal, </w:t>
      </w:r>
      <w:r>
        <w:rPr>
          <w:sz w:val="20"/>
          <w:szCs w:val="22"/>
          <w:lang w:val="es-MX" w:eastAsia="en-US"/>
        </w:rPr>
        <w:t xml:space="preserve">Bitstream </w:t>
      </w:r>
      <w:r w:rsidR="008A6419">
        <w:rPr>
          <w:sz w:val="20"/>
          <w:szCs w:val="22"/>
          <w:lang w:val="es-MX" w:eastAsia="en-US"/>
        </w:rPr>
        <w:t>R</w:t>
      </w:r>
      <w:r w:rsidR="00DB3B0E" w:rsidRPr="00621FD6">
        <w:rPr>
          <w:sz w:val="20"/>
          <w:szCs w:val="22"/>
          <w:lang w:val="es-MX" w:eastAsia="en-US"/>
        </w:rPr>
        <w:t xml:space="preserve">egional y </w:t>
      </w:r>
      <w:r>
        <w:rPr>
          <w:sz w:val="20"/>
          <w:szCs w:val="22"/>
          <w:lang w:val="es-MX" w:eastAsia="en-US"/>
        </w:rPr>
        <w:t>Bitstream</w:t>
      </w:r>
      <w:r w:rsidRPr="00621FD6">
        <w:rPr>
          <w:sz w:val="20"/>
          <w:szCs w:val="22"/>
          <w:lang w:val="es-MX" w:eastAsia="en-US"/>
        </w:rPr>
        <w:t xml:space="preserve"> </w:t>
      </w:r>
      <w:r w:rsidR="008A6419">
        <w:rPr>
          <w:sz w:val="20"/>
          <w:szCs w:val="22"/>
          <w:lang w:val="es-MX" w:eastAsia="en-US"/>
        </w:rPr>
        <w:t>N</w:t>
      </w:r>
      <w:r w:rsidR="00DB3B0E" w:rsidRPr="00621FD6">
        <w:rPr>
          <w:sz w:val="20"/>
          <w:szCs w:val="22"/>
          <w:lang w:val="es-MX" w:eastAsia="en-US"/>
        </w:rPr>
        <w:t xml:space="preserve">acional) en el dimensionamiento de la red y en el </w:t>
      </w:r>
      <w:r w:rsidR="00172C97" w:rsidRPr="00621FD6">
        <w:rPr>
          <w:sz w:val="20"/>
          <w:szCs w:val="22"/>
          <w:lang w:val="es-MX" w:eastAsia="en-US"/>
        </w:rPr>
        <w:t>cálculo</w:t>
      </w:r>
      <w:r w:rsidR="00DB3B0E" w:rsidRPr="00621FD6">
        <w:rPr>
          <w:sz w:val="20"/>
          <w:szCs w:val="22"/>
          <w:lang w:val="es-MX" w:eastAsia="en-US"/>
        </w:rPr>
        <w:t xml:space="preserve"> de</w:t>
      </w:r>
      <w:r w:rsidR="00321033" w:rsidRPr="00621FD6">
        <w:rPr>
          <w:sz w:val="20"/>
          <w:szCs w:val="22"/>
          <w:lang w:val="es-MX" w:eastAsia="en-US"/>
        </w:rPr>
        <w:t>l costo</w:t>
      </w:r>
      <w:r w:rsidR="00DB3B0E" w:rsidRPr="00621FD6">
        <w:rPr>
          <w:sz w:val="20"/>
          <w:szCs w:val="22"/>
          <w:lang w:val="es-MX" w:eastAsia="en-US"/>
        </w:rPr>
        <w:t xml:space="preserve"> </w:t>
      </w:r>
      <w:r w:rsidR="00321033" w:rsidRPr="00621FD6">
        <w:rPr>
          <w:sz w:val="20"/>
          <w:szCs w:val="22"/>
          <w:lang w:val="es-MX" w:eastAsia="en-US"/>
        </w:rPr>
        <w:t xml:space="preserve">de </w:t>
      </w:r>
      <w:r w:rsidR="00DB3B0E" w:rsidRPr="00621FD6">
        <w:rPr>
          <w:sz w:val="20"/>
          <w:szCs w:val="22"/>
          <w:lang w:val="es-MX" w:eastAsia="en-US"/>
        </w:rPr>
        <w:t>los servicios proporcionados por la red de transporte.</w:t>
      </w:r>
      <w:r w:rsidR="00321033" w:rsidRPr="00621FD6">
        <w:rPr>
          <w:sz w:val="20"/>
          <w:szCs w:val="22"/>
          <w:lang w:val="es-MX" w:eastAsia="en-US"/>
        </w:rPr>
        <w:t xml:space="preserve"> </w:t>
      </w:r>
    </w:p>
    <w:p w14:paraId="70009098" w14:textId="5E19576D" w:rsidR="00B94A86" w:rsidRPr="00621FD6" w:rsidRDefault="00070C5C" w:rsidP="008733AB">
      <w:pPr>
        <w:pStyle w:val="Textoindependiente"/>
        <w:rPr>
          <w:sz w:val="20"/>
          <w:szCs w:val="20"/>
          <w:lang w:val="es-MX"/>
        </w:rPr>
      </w:pPr>
      <w:r>
        <w:rPr>
          <w:sz w:val="20"/>
          <w:szCs w:val="22"/>
          <w:lang w:val="es-MX" w:eastAsia="en-US"/>
        </w:rPr>
        <w:t xml:space="preserve">Con el objeto de </w:t>
      </w:r>
      <w:r w:rsidR="008A6419">
        <w:rPr>
          <w:sz w:val="20"/>
          <w:szCs w:val="22"/>
          <w:lang w:val="es-MX" w:eastAsia="en-US"/>
        </w:rPr>
        <w:t xml:space="preserve">mencionar </w:t>
      </w:r>
      <w:r>
        <w:rPr>
          <w:sz w:val="20"/>
          <w:szCs w:val="22"/>
          <w:lang w:val="es-MX" w:eastAsia="en-US"/>
        </w:rPr>
        <w:t xml:space="preserve">el tratamiento que se hizo </w:t>
      </w:r>
      <w:r w:rsidR="0014423A">
        <w:rPr>
          <w:sz w:val="20"/>
          <w:szCs w:val="22"/>
          <w:lang w:val="es-MX" w:eastAsia="en-US"/>
        </w:rPr>
        <w:t>a dicho insumo se resalta lo siguiente:</w:t>
      </w:r>
    </w:p>
    <w:p w14:paraId="35976223" w14:textId="77777777" w:rsidR="00DB3B0E" w:rsidRPr="00DB3B0E" w:rsidRDefault="00DB3B0E" w:rsidP="008733AB">
      <w:pPr>
        <w:pStyle w:val="Ttulo3"/>
        <w:rPr>
          <w:lang w:val="es-MX"/>
        </w:rPr>
      </w:pPr>
      <w:bookmarkStart w:id="16" w:name="_Toc83660743"/>
      <w:r w:rsidRPr="00DB3B0E">
        <w:rPr>
          <w:lang w:val="es-MX"/>
        </w:rPr>
        <w:t>Estándar de costo</w:t>
      </w:r>
      <w:bookmarkEnd w:id="16"/>
    </w:p>
    <w:p w14:paraId="0ABF62AB" w14:textId="4B3E333A" w:rsidR="00077306" w:rsidRPr="00077306" w:rsidRDefault="00077306" w:rsidP="00077306">
      <w:pPr>
        <w:rPr>
          <w:sz w:val="20"/>
          <w:szCs w:val="20"/>
          <w:lang w:val="es-MX"/>
        </w:rPr>
      </w:pPr>
      <w:r>
        <w:rPr>
          <w:sz w:val="20"/>
          <w:szCs w:val="20"/>
          <w:lang w:val="es-MX"/>
        </w:rPr>
        <w:t>A</w:t>
      </w:r>
      <w:r w:rsidRPr="00077306">
        <w:rPr>
          <w:sz w:val="20"/>
          <w:szCs w:val="20"/>
          <w:lang w:val="es-MX"/>
        </w:rPr>
        <w:t xml:space="preserve"> partir del costo total de la red que se realiza en el </w:t>
      </w:r>
      <w:r>
        <w:rPr>
          <w:sz w:val="20"/>
          <w:szCs w:val="20"/>
          <w:lang w:val="es-MX"/>
        </w:rPr>
        <w:t>M</w:t>
      </w:r>
      <w:r w:rsidRPr="00077306">
        <w:rPr>
          <w:sz w:val="20"/>
          <w:szCs w:val="20"/>
          <w:lang w:val="es-MX"/>
        </w:rPr>
        <w:t xml:space="preserve">odelo de </w:t>
      </w:r>
      <w:r>
        <w:rPr>
          <w:sz w:val="20"/>
          <w:szCs w:val="20"/>
          <w:lang w:val="es-MX"/>
        </w:rPr>
        <w:t>I</w:t>
      </w:r>
      <w:r w:rsidRPr="00077306">
        <w:rPr>
          <w:sz w:val="20"/>
          <w:szCs w:val="20"/>
          <w:lang w:val="es-MX"/>
        </w:rPr>
        <w:t xml:space="preserve">nterconexión </w:t>
      </w:r>
      <w:r>
        <w:rPr>
          <w:sz w:val="20"/>
          <w:szCs w:val="20"/>
          <w:lang w:val="es-MX"/>
        </w:rPr>
        <w:t>Fijo</w:t>
      </w:r>
      <w:r w:rsidRPr="00077306">
        <w:rPr>
          <w:sz w:val="20"/>
          <w:szCs w:val="20"/>
          <w:lang w:val="es-MX"/>
        </w:rPr>
        <w:t>, en el cual se toman en cuenta todos los elementos de red necesarios para brindar el servicio de transporte</w:t>
      </w:r>
      <w:r>
        <w:rPr>
          <w:sz w:val="20"/>
          <w:szCs w:val="20"/>
          <w:lang w:val="es-MX"/>
        </w:rPr>
        <w:t xml:space="preserve"> para el SCyD</w:t>
      </w:r>
      <w:r w:rsidRPr="00077306">
        <w:rPr>
          <w:sz w:val="20"/>
          <w:szCs w:val="20"/>
          <w:lang w:val="es-MX"/>
        </w:rPr>
        <w:t xml:space="preserve">, es posible construir el costo incremental promedio de largo plazo al adicionar los costos comunes, lo cual se realiza en </w:t>
      </w:r>
      <w:r>
        <w:rPr>
          <w:sz w:val="20"/>
          <w:szCs w:val="20"/>
          <w:lang w:val="es-MX"/>
        </w:rPr>
        <w:t xml:space="preserve">dicho modelo de costos </w:t>
      </w:r>
      <w:r w:rsidRPr="00077306">
        <w:rPr>
          <w:sz w:val="20"/>
          <w:szCs w:val="20"/>
          <w:lang w:val="es-MX"/>
        </w:rPr>
        <w:t>y se utiliza</w:t>
      </w:r>
      <w:r>
        <w:rPr>
          <w:sz w:val="20"/>
          <w:szCs w:val="20"/>
          <w:lang w:val="es-MX"/>
        </w:rPr>
        <w:t xml:space="preserve"> como insumo en el Módulo de Cálculo del SAIB</w:t>
      </w:r>
      <w:r w:rsidRPr="00077306">
        <w:rPr>
          <w:sz w:val="20"/>
          <w:szCs w:val="20"/>
          <w:lang w:val="es-MX"/>
        </w:rPr>
        <w:t xml:space="preserve">. </w:t>
      </w:r>
    </w:p>
    <w:p w14:paraId="511E103F" w14:textId="6E9FD8A3" w:rsidR="00077306" w:rsidRPr="00077306" w:rsidRDefault="00077306" w:rsidP="00077306">
      <w:pPr>
        <w:rPr>
          <w:sz w:val="20"/>
          <w:szCs w:val="20"/>
          <w:lang w:val="es-MX"/>
        </w:rPr>
      </w:pPr>
      <w:r w:rsidRPr="00077306">
        <w:rPr>
          <w:sz w:val="20"/>
          <w:szCs w:val="20"/>
          <w:lang w:val="es-MX"/>
        </w:rPr>
        <w:t xml:space="preserve">Así, el costo del transporte necesario para brindar el </w:t>
      </w:r>
      <w:r>
        <w:rPr>
          <w:sz w:val="20"/>
          <w:szCs w:val="20"/>
          <w:lang w:val="es-MX"/>
        </w:rPr>
        <w:t>SCyD</w:t>
      </w:r>
      <w:r w:rsidRPr="00077306">
        <w:rPr>
          <w:sz w:val="20"/>
          <w:szCs w:val="20"/>
          <w:lang w:val="es-MX"/>
        </w:rPr>
        <w:t xml:space="preserve"> y el de todos los demás elementos de red necesarios para prestar el servicio, siguen la metodología </w:t>
      </w:r>
      <w:r>
        <w:rPr>
          <w:sz w:val="20"/>
          <w:szCs w:val="20"/>
          <w:lang w:val="es-MX"/>
        </w:rPr>
        <w:t>de costos incrementales totales de largo plazo,</w:t>
      </w:r>
      <w:r w:rsidRPr="00077306">
        <w:rPr>
          <w:sz w:val="20"/>
          <w:szCs w:val="20"/>
          <w:lang w:val="es-MX"/>
        </w:rPr>
        <w:t xml:space="preserve"> es decir se calculan como costos incrementales promedio de largo plazo al considerar los costos comunes </w:t>
      </w:r>
      <w:r w:rsidR="00001794">
        <w:rPr>
          <w:sz w:val="20"/>
          <w:szCs w:val="20"/>
          <w:lang w:val="es-MX"/>
        </w:rPr>
        <w:t xml:space="preserve">(LRAIC+) </w:t>
      </w:r>
      <w:r w:rsidRPr="00077306">
        <w:rPr>
          <w:sz w:val="20"/>
          <w:szCs w:val="20"/>
          <w:lang w:val="es-MX"/>
        </w:rPr>
        <w:t>correspondientes.</w:t>
      </w:r>
    </w:p>
    <w:p w14:paraId="75D92415" w14:textId="12525ACC" w:rsidR="00DB3B0E" w:rsidRPr="00DB3B0E" w:rsidRDefault="00CC6187" w:rsidP="008733AB">
      <w:pPr>
        <w:pStyle w:val="Ttulo3"/>
        <w:rPr>
          <w:lang w:val="es-MX"/>
        </w:rPr>
      </w:pPr>
      <w:bookmarkStart w:id="17" w:name="_Toc83660744"/>
      <w:r>
        <w:rPr>
          <w:lang w:val="es-MX"/>
        </w:rPr>
        <w:t>CCPP</w:t>
      </w:r>
      <w:bookmarkEnd w:id="17"/>
    </w:p>
    <w:p w14:paraId="0837E434" w14:textId="460413DB" w:rsidR="00131A45" w:rsidRPr="00066D80" w:rsidRDefault="00077306" w:rsidP="00DB3B0E">
      <w:pPr>
        <w:pStyle w:val="Textoindependiente"/>
        <w:rPr>
          <w:sz w:val="20"/>
          <w:szCs w:val="22"/>
          <w:lang w:val="es-MX" w:eastAsia="en-US"/>
        </w:rPr>
      </w:pPr>
      <w:r>
        <w:rPr>
          <w:sz w:val="20"/>
          <w:szCs w:val="22"/>
          <w:lang w:val="es-MX" w:eastAsia="en-US"/>
        </w:rPr>
        <w:t>Al igual que en el</w:t>
      </w:r>
      <w:r w:rsidR="00CC6187" w:rsidRPr="00066D80">
        <w:rPr>
          <w:sz w:val="20"/>
          <w:szCs w:val="22"/>
          <w:lang w:val="es-MX" w:eastAsia="en-US"/>
        </w:rPr>
        <w:t xml:space="preserve"> Modelo Integral de </w:t>
      </w:r>
      <w:r w:rsidR="00070C5C" w:rsidRPr="00066D80">
        <w:rPr>
          <w:sz w:val="20"/>
          <w:szCs w:val="22"/>
          <w:lang w:val="es-MX" w:eastAsia="en-US"/>
        </w:rPr>
        <w:t xml:space="preserve">Red de </w:t>
      </w:r>
      <w:r w:rsidR="00CC6187" w:rsidRPr="00066D80">
        <w:rPr>
          <w:sz w:val="20"/>
          <w:szCs w:val="22"/>
          <w:lang w:val="es-MX" w:eastAsia="en-US"/>
        </w:rPr>
        <w:t>Acceso Fijo</w:t>
      </w:r>
      <w:r>
        <w:rPr>
          <w:sz w:val="20"/>
          <w:szCs w:val="22"/>
          <w:lang w:val="es-MX" w:eastAsia="en-US"/>
        </w:rPr>
        <w:t xml:space="preserve">, el </w:t>
      </w:r>
      <w:r w:rsidR="00CC6187" w:rsidRPr="00066D80">
        <w:rPr>
          <w:sz w:val="20"/>
          <w:szCs w:val="22"/>
          <w:lang w:val="es-MX" w:eastAsia="en-US"/>
        </w:rPr>
        <w:t xml:space="preserve">Modelo de </w:t>
      </w:r>
      <w:r>
        <w:rPr>
          <w:sz w:val="20"/>
          <w:szCs w:val="22"/>
          <w:lang w:val="es-MX" w:eastAsia="en-US"/>
        </w:rPr>
        <w:t>I</w:t>
      </w:r>
      <w:r w:rsidR="00CC6187" w:rsidRPr="00066D80">
        <w:rPr>
          <w:sz w:val="20"/>
          <w:szCs w:val="22"/>
          <w:lang w:val="es-MX" w:eastAsia="en-US"/>
        </w:rPr>
        <w:t xml:space="preserve">nterconexión </w:t>
      </w:r>
      <w:r>
        <w:rPr>
          <w:sz w:val="20"/>
          <w:szCs w:val="22"/>
          <w:lang w:val="es-MX" w:eastAsia="en-US"/>
        </w:rPr>
        <w:t xml:space="preserve">Fijo considera </w:t>
      </w:r>
      <w:r w:rsidR="00CC6187" w:rsidRPr="00066D80">
        <w:rPr>
          <w:sz w:val="20"/>
          <w:szCs w:val="22"/>
          <w:lang w:val="es-MX" w:eastAsia="en-US"/>
        </w:rPr>
        <w:t>e</w:t>
      </w:r>
      <w:r w:rsidR="00DB3B0E" w:rsidRPr="00066D80">
        <w:rPr>
          <w:sz w:val="20"/>
          <w:szCs w:val="22"/>
          <w:lang w:val="es-MX" w:eastAsia="en-US"/>
        </w:rPr>
        <w:t>l valor de 8</w:t>
      </w:r>
      <w:r w:rsidR="00070C5C" w:rsidRPr="00066D80">
        <w:rPr>
          <w:sz w:val="20"/>
          <w:szCs w:val="22"/>
          <w:lang w:val="es-MX" w:eastAsia="en-US"/>
        </w:rPr>
        <w:t>.</w:t>
      </w:r>
      <w:r w:rsidR="00DB3B0E" w:rsidRPr="00066D80">
        <w:rPr>
          <w:sz w:val="20"/>
          <w:szCs w:val="22"/>
          <w:lang w:val="es-MX" w:eastAsia="en-US"/>
        </w:rPr>
        <w:t>98%</w:t>
      </w:r>
      <w:r w:rsidR="00CC6187" w:rsidRPr="00066D80">
        <w:rPr>
          <w:sz w:val="20"/>
          <w:szCs w:val="22"/>
          <w:lang w:val="es-MX" w:eastAsia="en-US"/>
        </w:rPr>
        <w:t xml:space="preserve"> para 2022</w:t>
      </w:r>
      <w:r w:rsidR="00066D80" w:rsidRPr="00066D80">
        <w:rPr>
          <w:sz w:val="20"/>
          <w:szCs w:val="22"/>
          <w:lang w:val="es-MX" w:eastAsia="en-US"/>
        </w:rPr>
        <w:t>.</w:t>
      </w:r>
    </w:p>
    <w:p w14:paraId="3D303485" w14:textId="3FCDCF91" w:rsidR="00131A45" w:rsidRDefault="00131A45" w:rsidP="008733AB">
      <w:pPr>
        <w:pStyle w:val="Ttulo3"/>
        <w:rPr>
          <w:lang w:val="es-MX"/>
        </w:rPr>
      </w:pPr>
      <w:bookmarkStart w:id="18" w:name="_Toc83660745"/>
      <w:r>
        <w:rPr>
          <w:lang w:val="es-MX"/>
        </w:rPr>
        <w:t>Actualización del periodo</w:t>
      </w:r>
      <w:bookmarkEnd w:id="18"/>
    </w:p>
    <w:p w14:paraId="55A0BADA" w14:textId="2EA404A3" w:rsidR="00131A45" w:rsidRPr="007834F2" w:rsidRDefault="00077306" w:rsidP="00131A45">
      <w:pPr>
        <w:rPr>
          <w:sz w:val="20"/>
          <w:szCs w:val="20"/>
          <w:lang w:val="es-MX"/>
        </w:rPr>
      </w:pPr>
      <w:r>
        <w:rPr>
          <w:sz w:val="20"/>
          <w:szCs w:val="20"/>
          <w:lang w:val="es-MX"/>
        </w:rPr>
        <w:t>En este caso, los niveles de precios obtenidos del Modelo de Interconexión Fijo son aquellos aplicabl</w:t>
      </w:r>
      <w:r w:rsidR="00131A45" w:rsidRPr="007834F2">
        <w:rPr>
          <w:sz w:val="20"/>
          <w:szCs w:val="20"/>
          <w:lang w:val="es-MX"/>
        </w:rPr>
        <w:t>es para 2022</w:t>
      </w:r>
      <w:r w:rsidR="00070C5C" w:rsidRPr="007834F2">
        <w:rPr>
          <w:sz w:val="20"/>
          <w:szCs w:val="20"/>
          <w:lang w:val="es-MX"/>
        </w:rPr>
        <w:t>.</w:t>
      </w:r>
      <w:r w:rsidR="00131A45" w:rsidRPr="007834F2">
        <w:rPr>
          <w:sz w:val="20"/>
          <w:szCs w:val="20"/>
          <w:lang w:val="es-MX"/>
        </w:rPr>
        <w:t xml:space="preserve"> </w:t>
      </w:r>
    </w:p>
    <w:p w14:paraId="5E343712" w14:textId="670305C5" w:rsidR="00070C5C" w:rsidRDefault="00070C5C" w:rsidP="008733AB">
      <w:pPr>
        <w:pStyle w:val="Ttulo3"/>
        <w:rPr>
          <w:lang w:val="es-MX"/>
        </w:rPr>
      </w:pPr>
      <w:bookmarkStart w:id="19" w:name="_Toc83625505"/>
      <w:bookmarkStart w:id="20" w:name="_Toc83625587"/>
      <w:bookmarkStart w:id="21" w:name="_Toc83625506"/>
      <w:bookmarkStart w:id="22" w:name="_Toc83625588"/>
      <w:bookmarkStart w:id="23" w:name="_Hlk82303996"/>
      <w:bookmarkStart w:id="24" w:name="_Toc83660746"/>
      <w:bookmarkEnd w:id="19"/>
      <w:bookmarkEnd w:id="20"/>
      <w:bookmarkEnd w:id="21"/>
      <w:bookmarkEnd w:id="22"/>
      <w:r>
        <w:rPr>
          <w:lang w:val="es-MX"/>
        </w:rPr>
        <w:t>Actualización de la inflación en el costo por Megabyte</w:t>
      </w:r>
      <w:bookmarkEnd w:id="23"/>
      <w:bookmarkEnd w:id="24"/>
    </w:p>
    <w:p w14:paraId="4DEE3848" w14:textId="5D8B2342" w:rsidR="00131A45" w:rsidRPr="007834F2" w:rsidRDefault="006B4017" w:rsidP="00131A45">
      <w:pPr>
        <w:rPr>
          <w:sz w:val="20"/>
          <w:szCs w:val="20"/>
          <w:lang w:val="es-MX"/>
        </w:rPr>
      </w:pPr>
      <w:r>
        <w:rPr>
          <w:sz w:val="20"/>
          <w:szCs w:val="20"/>
          <w:lang w:val="es-MX"/>
        </w:rPr>
        <w:t>S</w:t>
      </w:r>
      <w:r w:rsidR="00070C5C" w:rsidRPr="007834F2">
        <w:rPr>
          <w:sz w:val="20"/>
          <w:szCs w:val="20"/>
          <w:lang w:val="es-MX"/>
        </w:rPr>
        <w:t xml:space="preserve">e consideró el costo incremental </w:t>
      </w:r>
      <w:r w:rsidR="007834F2" w:rsidRPr="007834F2">
        <w:rPr>
          <w:sz w:val="20"/>
          <w:szCs w:val="20"/>
          <w:lang w:val="es-MX"/>
        </w:rPr>
        <w:t xml:space="preserve">con </w:t>
      </w:r>
      <w:r w:rsidR="00070C5C" w:rsidRPr="007834F2">
        <w:rPr>
          <w:sz w:val="20"/>
          <w:szCs w:val="20"/>
          <w:lang w:val="es-MX"/>
        </w:rPr>
        <w:t xml:space="preserve">costos comunes en pesos corrientes por la provisión del servicio Bitstream </w:t>
      </w:r>
      <w:r w:rsidR="00981CA6">
        <w:rPr>
          <w:sz w:val="20"/>
          <w:szCs w:val="20"/>
          <w:lang w:val="es-MX"/>
        </w:rPr>
        <w:t>L</w:t>
      </w:r>
      <w:r w:rsidR="00070C5C" w:rsidRPr="007834F2">
        <w:rPr>
          <w:sz w:val="20"/>
          <w:szCs w:val="20"/>
          <w:lang w:val="es-MX"/>
        </w:rPr>
        <w:t xml:space="preserve">ocal, Bitstream </w:t>
      </w:r>
      <w:r w:rsidR="00981CA6">
        <w:rPr>
          <w:sz w:val="20"/>
          <w:szCs w:val="20"/>
          <w:lang w:val="es-MX"/>
        </w:rPr>
        <w:t>R</w:t>
      </w:r>
      <w:r w:rsidR="00070C5C" w:rsidRPr="007834F2">
        <w:rPr>
          <w:sz w:val="20"/>
          <w:szCs w:val="20"/>
          <w:lang w:val="es-MX"/>
        </w:rPr>
        <w:t xml:space="preserve">egional y Bitstream </w:t>
      </w:r>
      <w:r w:rsidR="00981CA6">
        <w:rPr>
          <w:sz w:val="20"/>
          <w:szCs w:val="20"/>
          <w:lang w:val="es-MX"/>
        </w:rPr>
        <w:t>N</w:t>
      </w:r>
      <w:r w:rsidR="00070C5C" w:rsidRPr="007834F2">
        <w:rPr>
          <w:sz w:val="20"/>
          <w:szCs w:val="20"/>
          <w:lang w:val="es-MX"/>
        </w:rPr>
        <w:t>acional</w:t>
      </w:r>
      <w:r w:rsidR="009E4333">
        <w:rPr>
          <w:rStyle w:val="Refdenotaalpie"/>
          <w:sz w:val="20"/>
          <w:szCs w:val="20"/>
          <w:lang w:val="es-MX"/>
        </w:rPr>
        <w:footnoteReference w:id="16"/>
      </w:r>
      <w:r w:rsidR="00070C5C" w:rsidRPr="007834F2">
        <w:rPr>
          <w:sz w:val="20"/>
          <w:szCs w:val="20"/>
          <w:lang w:val="es-MX"/>
        </w:rPr>
        <w:t>.</w:t>
      </w:r>
      <w:r w:rsidR="009E4333">
        <w:rPr>
          <w:sz w:val="20"/>
          <w:szCs w:val="20"/>
          <w:lang w:val="es-MX"/>
        </w:rPr>
        <w:t xml:space="preserve"> </w:t>
      </w:r>
    </w:p>
    <w:p w14:paraId="426749F4" w14:textId="743CC394" w:rsidR="00131A45" w:rsidRPr="008733AB" w:rsidRDefault="00131A45" w:rsidP="00131A45">
      <w:pPr>
        <w:pStyle w:val="Ttulo1"/>
        <w:rPr>
          <w:color w:val="auto"/>
          <w:lang w:val="es-MX"/>
        </w:rPr>
      </w:pPr>
      <w:bookmarkStart w:id="25" w:name="_Toc83660747"/>
      <w:r w:rsidRPr="008733AB">
        <w:rPr>
          <w:color w:val="auto"/>
          <w:lang w:val="es-MX"/>
        </w:rPr>
        <w:lastRenderedPageBreak/>
        <w:t>Metodología del Módulo de Cálculo del SAIB</w:t>
      </w:r>
      <w:bookmarkEnd w:id="25"/>
    </w:p>
    <w:p w14:paraId="0477A1B9" w14:textId="3F81208B" w:rsidR="00DB3B0E" w:rsidRDefault="00DB3B0E" w:rsidP="00172C97">
      <w:pPr>
        <w:pStyle w:val="Ttulo2"/>
        <w:rPr>
          <w:lang w:val="es-MX"/>
        </w:rPr>
      </w:pPr>
      <w:bookmarkStart w:id="26" w:name="_Toc83660748"/>
      <w:r w:rsidRPr="00DB3B0E">
        <w:rPr>
          <w:lang w:val="es-MX"/>
        </w:rPr>
        <w:t>Discriminación de los cost</w:t>
      </w:r>
      <w:r w:rsidR="00172C97">
        <w:rPr>
          <w:lang w:val="es-MX"/>
        </w:rPr>
        <w:t>o</w:t>
      </w:r>
      <w:r w:rsidRPr="00DB3B0E">
        <w:rPr>
          <w:lang w:val="es-MX"/>
        </w:rPr>
        <w:t>s del SCyD según la velocidad y calidades</w:t>
      </w:r>
      <w:bookmarkEnd w:id="26"/>
    </w:p>
    <w:p w14:paraId="59E87D30" w14:textId="11B87521" w:rsidR="0026019D" w:rsidRPr="00131A45" w:rsidRDefault="0026019D" w:rsidP="0026019D">
      <w:pPr>
        <w:rPr>
          <w:sz w:val="20"/>
          <w:szCs w:val="20"/>
          <w:lang w:val="es-ES"/>
        </w:rPr>
      </w:pPr>
      <w:r w:rsidRPr="00131A45">
        <w:rPr>
          <w:sz w:val="20"/>
          <w:szCs w:val="20"/>
          <w:lang w:val="es-ES"/>
        </w:rPr>
        <w:t xml:space="preserve">El objetivo de esta sección </w:t>
      </w:r>
      <w:r w:rsidR="006B4017">
        <w:rPr>
          <w:sz w:val="20"/>
          <w:szCs w:val="20"/>
          <w:lang w:val="es-ES"/>
        </w:rPr>
        <w:t>es describir el enfoque</w:t>
      </w:r>
      <w:r w:rsidRPr="00131A45">
        <w:rPr>
          <w:sz w:val="20"/>
          <w:szCs w:val="20"/>
          <w:lang w:val="es-ES"/>
        </w:rPr>
        <w:t xml:space="preserve"> metodol</w:t>
      </w:r>
      <w:r w:rsidR="00806D3C">
        <w:rPr>
          <w:sz w:val="20"/>
          <w:szCs w:val="20"/>
          <w:lang w:val="es-ES"/>
        </w:rPr>
        <w:t>ó</w:t>
      </w:r>
      <w:r w:rsidRPr="00131A45">
        <w:rPr>
          <w:sz w:val="20"/>
          <w:szCs w:val="20"/>
          <w:lang w:val="es-ES"/>
        </w:rPr>
        <w:t>g</w:t>
      </w:r>
      <w:r w:rsidR="00806D3C">
        <w:rPr>
          <w:sz w:val="20"/>
          <w:szCs w:val="20"/>
          <w:lang w:val="es-ES"/>
        </w:rPr>
        <w:t>i</w:t>
      </w:r>
      <w:r w:rsidR="006B4017">
        <w:rPr>
          <w:sz w:val="20"/>
          <w:szCs w:val="20"/>
          <w:lang w:val="es-ES"/>
        </w:rPr>
        <w:t>co</w:t>
      </w:r>
      <w:r w:rsidRPr="00131A45">
        <w:rPr>
          <w:sz w:val="20"/>
          <w:szCs w:val="20"/>
          <w:lang w:val="es-ES"/>
        </w:rPr>
        <w:t xml:space="preserve"> que permite evaluar la evolución de los costos del servicio SAIB con l</w:t>
      </w:r>
      <w:r w:rsidR="00806D3C">
        <w:rPr>
          <w:sz w:val="20"/>
          <w:szCs w:val="20"/>
          <w:lang w:val="es-ES"/>
        </w:rPr>
        <w:t>o</w:t>
      </w:r>
      <w:r w:rsidRPr="00131A45">
        <w:rPr>
          <w:sz w:val="20"/>
          <w:szCs w:val="20"/>
          <w:lang w:val="es-ES"/>
        </w:rPr>
        <w:t xml:space="preserve">s diferentes </w:t>
      </w:r>
      <w:r w:rsidR="00806D3C">
        <w:rPr>
          <w:sz w:val="20"/>
          <w:szCs w:val="20"/>
          <w:lang w:val="es-ES"/>
        </w:rPr>
        <w:t xml:space="preserve">atributos </w:t>
      </w:r>
      <w:r w:rsidR="006B4017">
        <w:rPr>
          <w:sz w:val="20"/>
          <w:szCs w:val="20"/>
          <w:lang w:val="es-ES"/>
        </w:rPr>
        <w:t>que se ofrecen a partir del servicio autorizado en la OREDA 2021</w:t>
      </w:r>
      <w:r w:rsidR="000B785D">
        <w:rPr>
          <w:sz w:val="20"/>
          <w:szCs w:val="20"/>
          <w:lang w:val="es-ES"/>
        </w:rPr>
        <w:t xml:space="preserve">, tomando también en consideración los perfiles señalados en la </w:t>
      </w:r>
      <w:r w:rsidR="000B785D">
        <w:rPr>
          <w:sz w:val="20"/>
          <w:szCs w:val="20"/>
          <w:lang w:val="es-MX"/>
        </w:rPr>
        <w:t>Propuesta de OREDA</w:t>
      </w:r>
      <w:r w:rsidR="000B785D" w:rsidRPr="00666465">
        <w:rPr>
          <w:sz w:val="20"/>
          <w:szCs w:val="20"/>
          <w:lang w:val="es-MX"/>
        </w:rPr>
        <w:t xml:space="preserve"> 202</w:t>
      </w:r>
      <w:r w:rsidR="000B785D">
        <w:rPr>
          <w:sz w:val="20"/>
          <w:szCs w:val="20"/>
          <w:lang w:val="es-MX"/>
        </w:rPr>
        <w:t>2 presentadas por las EM</w:t>
      </w:r>
      <w:r w:rsidRPr="00131A45">
        <w:rPr>
          <w:sz w:val="20"/>
          <w:szCs w:val="20"/>
          <w:lang w:val="es-ES"/>
        </w:rPr>
        <w:t>.</w:t>
      </w:r>
    </w:p>
    <w:p w14:paraId="4C8C20F1" w14:textId="6C7226E9" w:rsidR="009F2FA7" w:rsidRDefault="00806D3C" w:rsidP="006C0004">
      <w:pPr>
        <w:pStyle w:val="Textoindependiente"/>
        <w:rPr>
          <w:sz w:val="20"/>
          <w:szCs w:val="22"/>
          <w:lang w:val="es-MX" w:eastAsia="en-US"/>
        </w:rPr>
      </w:pPr>
      <w:r>
        <w:rPr>
          <w:sz w:val="20"/>
          <w:szCs w:val="22"/>
          <w:lang w:val="es-MX" w:eastAsia="en-US"/>
        </w:rPr>
        <w:t>Al respecto</w:t>
      </w:r>
      <w:r w:rsidR="009279CF" w:rsidRPr="00131A45">
        <w:rPr>
          <w:sz w:val="20"/>
          <w:szCs w:val="22"/>
          <w:lang w:val="es-MX" w:eastAsia="en-US"/>
        </w:rPr>
        <w:t>,</w:t>
      </w:r>
      <w:r w:rsidR="0026019D" w:rsidRPr="00131A45">
        <w:rPr>
          <w:sz w:val="20"/>
          <w:szCs w:val="22"/>
          <w:lang w:val="es-MX" w:eastAsia="en-US"/>
        </w:rPr>
        <w:t xml:space="preserve"> de</w:t>
      </w:r>
      <w:r w:rsidR="009279CF" w:rsidRPr="00131A45">
        <w:rPr>
          <w:sz w:val="20"/>
          <w:szCs w:val="22"/>
          <w:lang w:val="es-MX" w:eastAsia="en-US"/>
        </w:rPr>
        <w:t>sde</w:t>
      </w:r>
      <w:r w:rsidR="0026019D" w:rsidRPr="00131A45">
        <w:rPr>
          <w:sz w:val="20"/>
          <w:szCs w:val="22"/>
          <w:lang w:val="es-MX" w:eastAsia="en-US"/>
        </w:rPr>
        <w:t xml:space="preserve"> un punto de vista </w:t>
      </w:r>
      <w:r w:rsidR="009279CF" w:rsidRPr="00131A45">
        <w:rPr>
          <w:sz w:val="20"/>
          <w:szCs w:val="22"/>
          <w:lang w:val="es-MX" w:eastAsia="en-US"/>
        </w:rPr>
        <w:t xml:space="preserve">técnico, </w:t>
      </w:r>
      <w:r w:rsidR="006B4017">
        <w:rPr>
          <w:sz w:val="20"/>
          <w:szCs w:val="22"/>
          <w:lang w:val="es-MX" w:eastAsia="en-US"/>
        </w:rPr>
        <w:t>las</w:t>
      </w:r>
      <w:r w:rsidR="009279CF" w:rsidRPr="00131A45">
        <w:rPr>
          <w:sz w:val="20"/>
          <w:szCs w:val="22"/>
          <w:lang w:val="es-MX" w:eastAsia="en-US"/>
        </w:rPr>
        <w:t xml:space="preserve"> características </w:t>
      </w:r>
      <w:r w:rsidR="006B4017">
        <w:rPr>
          <w:sz w:val="20"/>
          <w:szCs w:val="22"/>
          <w:lang w:val="es-MX" w:eastAsia="en-US"/>
        </w:rPr>
        <w:t xml:space="preserve">del SAIB </w:t>
      </w:r>
      <w:r w:rsidR="009279CF" w:rsidRPr="00131A45">
        <w:rPr>
          <w:sz w:val="20"/>
          <w:szCs w:val="22"/>
          <w:lang w:val="es-MX" w:eastAsia="en-US"/>
        </w:rPr>
        <w:t xml:space="preserve">(velocidad, calidad, simetría) solo impactan el dimensionamiento de la parte </w:t>
      </w:r>
      <w:r>
        <w:rPr>
          <w:sz w:val="20"/>
          <w:szCs w:val="22"/>
          <w:lang w:val="es-MX" w:eastAsia="en-US"/>
        </w:rPr>
        <w:t xml:space="preserve">del </w:t>
      </w:r>
      <w:r w:rsidR="009279CF" w:rsidRPr="00131A45">
        <w:rPr>
          <w:sz w:val="20"/>
          <w:szCs w:val="22"/>
          <w:lang w:val="es-MX" w:eastAsia="en-US"/>
        </w:rPr>
        <w:t>SCyD</w:t>
      </w:r>
      <w:r w:rsidR="00E42D70" w:rsidRPr="00131A45">
        <w:rPr>
          <w:sz w:val="20"/>
          <w:szCs w:val="22"/>
          <w:lang w:val="es-MX" w:eastAsia="en-US"/>
        </w:rPr>
        <w:t>.</w:t>
      </w:r>
      <w:r w:rsidR="009279CF" w:rsidRPr="00131A45">
        <w:rPr>
          <w:sz w:val="20"/>
          <w:szCs w:val="22"/>
          <w:lang w:val="es-MX" w:eastAsia="en-US"/>
        </w:rPr>
        <w:t xml:space="preserve"> </w:t>
      </w:r>
      <w:r>
        <w:rPr>
          <w:sz w:val="20"/>
          <w:szCs w:val="22"/>
          <w:lang w:val="es-MX" w:eastAsia="en-US"/>
        </w:rPr>
        <w:t xml:space="preserve">Como se señaló previamente, </w:t>
      </w:r>
      <w:r w:rsidR="006B4017">
        <w:rPr>
          <w:sz w:val="20"/>
          <w:szCs w:val="22"/>
          <w:lang w:val="es-MX" w:eastAsia="en-US"/>
        </w:rPr>
        <w:t>se considerará que e</w:t>
      </w:r>
      <w:r w:rsidR="009279CF" w:rsidRPr="00131A45">
        <w:rPr>
          <w:sz w:val="20"/>
          <w:szCs w:val="22"/>
          <w:lang w:val="es-MX" w:eastAsia="en-US"/>
        </w:rPr>
        <w:t>l costo de la parte de acceso</w:t>
      </w:r>
      <w:r>
        <w:rPr>
          <w:sz w:val="20"/>
          <w:szCs w:val="22"/>
          <w:lang w:val="es-MX" w:eastAsia="en-US"/>
        </w:rPr>
        <w:t xml:space="preserve"> se determina </w:t>
      </w:r>
      <w:r w:rsidR="006B4017">
        <w:rPr>
          <w:sz w:val="20"/>
          <w:szCs w:val="22"/>
          <w:lang w:val="es-MX" w:eastAsia="en-US"/>
        </w:rPr>
        <w:t>en términos del valor del medio de acceso al</w:t>
      </w:r>
      <w:r w:rsidR="009279CF" w:rsidRPr="00131A45">
        <w:rPr>
          <w:sz w:val="20"/>
          <w:szCs w:val="22"/>
          <w:lang w:val="es-MX" w:eastAsia="en-US"/>
        </w:rPr>
        <w:t xml:space="preserve"> SAIB</w:t>
      </w:r>
      <w:r>
        <w:rPr>
          <w:sz w:val="20"/>
          <w:szCs w:val="22"/>
          <w:lang w:val="es-MX" w:eastAsia="en-US"/>
        </w:rPr>
        <w:t xml:space="preserve"> con el Modelo Integral</w:t>
      </w:r>
      <w:r w:rsidR="00001794">
        <w:rPr>
          <w:sz w:val="20"/>
          <w:szCs w:val="22"/>
          <w:lang w:val="es-MX" w:eastAsia="en-US"/>
        </w:rPr>
        <w:t xml:space="preserve">. </w:t>
      </w:r>
      <w:r w:rsidR="009F2FA7">
        <w:rPr>
          <w:sz w:val="20"/>
          <w:szCs w:val="22"/>
          <w:lang w:val="es-MX" w:eastAsia="en-US"/>
        </w:rPr>
        <w:t>E</w:t>
      </w:r>
      <w:r w:rsidR="00E42D70" w:rsidRPr="00131A45">
        <w:rPr>
          <w:sz w:val="20"/>
          <w:szCs w:val="22"/>
          <w:lang w:val="es-MX" w:eastAsia="en-US"/>
        </w:rPr>
        <w:t>s un costo fijo por línea, independiente del tráfico generado por un cliente que suscribe a cualquier tipo de SAIB.</w:t>
      </w:r>
      <w:r w:rsidR="006B4017">
        <w:rPr>
          <w:sz w:val="20"/>
          <w:szCs w:val="22"/>
          <w:lang w:val="es-MX" w:eastAsia="en-US"/>
        </w:rPr>
        <w:t xml:space="preserve"> </w:t>
      </w:r>
    </w:p>
    <w:p w14:paraId="02B06567" w14:textId="493B3892" w:rsidR="009279CF" w:rsidRPr="00131A45" w:rsidRDefault="009F2FA7" w:rsidP="006C0004">
      <w:pPr>
        <w:pStyle w:val="Textoindependiente"/>
        <w:rPr>
          <w:sz w:val="20"/>
          <w:szCs w:val="22"/>
          <w:lang w:val="es-MX" w:eastAsia="en-US"/>
        </w:rPr>
      </w:pPr>
      <w:r>
        <w:rPr>
          <w:sz w:val="20"/>
          <w:szCs w:val="22"/>
          <w:lang w:val="es-MX" w:eastAsia="en-US"/>
        </w:rPr>
        <w:t>Por su parte,</w:t>
      </w:r>
      <w:r w:rsidR="006B4017">
        <w:rPr>
          <w:sz w:val="20"/>
          <w:szCs w:val="22"/>
          <w:lang w:val="es-MX" w:eastAsia="en-US"/>
        </w:rPr>
        <w:t xml:space="preserve"> el costo del SCyD se dimensionará </w:t>
      </w:r>
      <w:r w:rsidR="005F7205">
        <w:rPr>
          <w:sz w:val="20"/>
          <w:szCs w:val="22"/>
          <w:lang w:val="es-MX" w:eastAsia="en-US"/>
        </w:rPr>
        <w:t>de acuerdo con</w:t>
      </w:r>
      <w:r w:rsidR="006B4017">
        <w:rPr>
          <w:sz w:val="20"/>
          <w:szCs w:val="22"/>
          <w:lang w:val="es-MX" w:eastAsia="en-US"/>
        </w:rPr>
        <w:t xml:space="preserve"> </w:t>
      </w:r>
      <w:r w:rsidR="005F7205">
        <w:rPr>
          <w:sz w:val="20"/>
          <w:szCs w:val="22"/>
          <w:lang w:val="es-MX" w:eastAsia="en-US"/>
        </w:rPr>
        <w:t>la metodología</w:t>
      </w:r>
      <w:r w:rsidR="006B4017">
        <w:rPr>
          <w:sz w:val="20"/>
          <w:szCs w:val="22"/>
          <w:lang w:val="es-MX" w:eastAsia="en-US"/>
        </w:rPr>
        <w:t xml:space="preserve"> que a continuación se describe</w:t>
      </w:r>
      <w:r>
        <w:rPr>
          <w:sz w:val="20"/>
          <w:szCs w:val="22"/>
          <w:lang w:val="es-MX" w:eastAsia="en-US"/>
        </w:rPr>
        <w:t>:</w:t>
      </w:r>
    </w:p>
    <w:p w14:paraId="0FAA0D49" w14:textId="6FEE00C4" w:rsidR="009E4333" w:rsidRDefault="006B4017" w:rsidP="00DB3B0E">
      <w:pPr>
        <w:pStyle w:val="Textoindependiente"/>
        <w:rPr>
          <w:sz w:val="20"/>
          <w:szCs w:val="22"/>
          <w:lang w:val="es-MX" w:eastAsia="en-US"/>
        </w:rPr>
      </w:pPr>
      <w:r>
        <w:rPr>
          <w:sz w:val="20"/>
          <w:szCs w:val="22"/>
          <w:lang w:val="es-MX" w:eastAsia="en-US"/>
        </w:rPr>
        <w:t xml:space="preserve">Para iniciar con esta descripción se </w:t>
      </w:r>
      <w:r w:rsidR="00E42D70" w:rsidRPr="00131A45">
        <w:rPr>
          <w:sz w:val="20"/>
          <w:szCs w:val="22"/>
          <w:lang w:val="es-MX" w:eastAsia="en-US"/>
        </w:rPr>
        <w:t>identifica la evolución del costo del SCyD con las tres características del servicio SAIB.</w:t>
      </w:r>
      <w:r w:rsidR="005F7205">
        <w:rPr>
          <w:sz w:val="20"/>
          <w:szCs w:val="22"/>
          <w:lang w:val="es-MX" w:eastAsia="en-US"/>
        </w:rPr>
        <w:t xml:space="preserve"> </w:t>
      </w:r>
      <w:r w:rsidR="00F45B85">
        <w:rPr>
          <w:sz w:val="20"/>
          <w:szCs w:val="22"/>
          <w:lang w:val="es-MX" w:eastAsia="en-US"/>
        </w:rPr>
        <w:t>El uso</w:t>
      </w:r>
      <w:r w:rsidR="00DB3B0E" w:rsidRPr="00131A45">
        <w:rPr>
          <w:sz w:val="20"/>
          <w:szCs w:val="22"/>
          <w:lang w:val="es-MX" w:eastAsia="en-US"/>
        </w:rPr>
        <w:t xml:space="preserve"> del </w:t>
      </w:r>
      <w:r w:rsidR="00F45B85">
        <w:rPr>
          <w:sz w:val="20"/>
          <w:szCs w:val="22"/>
          <w:lang w:val="es-MX" w:eastAsia="en-US"/>
        </w:rPr>
        <w:t>M</w:t>
      </w:r>
      <w:r w:rsidR="00F45B85" w:rsidRPr="00131A45">
        <w:rPr>
          <w:sz w:val="20"/>
          <w:szCs w:val="22"/>
          <w:lang w:val="es-MX" w:eastAsia="en-US"/>
        </w:rPr>
        <w:t xml:space="preserve">odelo </w:t>
      </w:r>
      <w:r w:rsidR="00DB3B0E" w:rsidRPr="00131A45">
        <w:rPr>
          <w:sz w:val="20"/>
          <w:szCs w:val="22"/>
          <w:lang w:val="es-MX" w:eastAsia="en-US"/>
        </w:rPr>
        <w:t xml:space="preserve">de </w:t>
      </w:r>
      <w:r w:rsidR="00F45B85">
        <w:rPr>
          <w:sz w:val="20"/>
          <w:szCs w:val="22"/>
          <w:lang w:val="es-MX" w:eastAsia="en-US"/>
        </w:rPr>
        <w:t>I</w:t>
      </w:r>
      <w:r w:rsidR="00DB3B0E" w:rsidRPr="00131A45">
        <w:rPr>
          <w:sz w:val="20"/>
          <w:szCs w:val="22"/>
          <w:lang w:val="es-MX" w:eastAsia="en-US"/>
        </w:rPr>
        <w:t xml:space="preserve">nterconexión </w:t>
      </w:r>
      <w:r w:rsidR="005F7205">
        <w:rPr>
          <w:sz w:val="20"/>
          <w:szCs w:val="22"/>
          <w:lang w:val="es-MX" w:eastAsia="en-US"/>
        </w:rPr>
        <w:t>Fijo</w:t>
      </w:r>
      <w:r w:rsidR="00DB3B0E" w:rsidRPr="00131A45">
        <w:rPr>
          <w:sz w:val="20"/>
          <w:szCs w:val="22"/>
          <w:lang w:val="es-MX" w:eastAsia="en-US"/>
        </w:rPr>
        <w:t xml:space="preserve"> permite calcular un cost</w:t>
      </w:r>
      <w:r w:rsidR="00172C97" w:rsidRPr="00131A45">
        <w:rPr>
          <w:sz w:val="20"/>
          <w:szCs w:val="22"/>
          <w:lang w:val="es-MX" w:eastAsia="en-US"/>
        </w:rPr>
        <w:t>o</w:t>
      </w:r>
      <w:r w:rsidR="00DB3B0E" w:rsidRPr="00131A45">
        <w:rPr>
          <w:sz w:val="20"/>
          <w:szCs w:val="22"/>
          <w:lang w:val="es-MX" w:eastAsia="en-US"/>
        </w:rPr>
        <w:t xml:space="preserve"> de SCyD </w:t>
      </w:r>
      <w:r w:rsidR="00D75F34">
        <w:rPr>
          <w:sz w:val="20"/>
          <w:szCs w:val="22"/>
          <w:lang w:val="es-MX" w:eastAsia="en-US"/>
        </w:rPr>
        <w:t>a partir de</w:t>
      </w:r>
      <w:r w:rsidR="00D75F34" w:rsidRPr="00131A45">
        <w:rPr>
          <w:sz w:val="20"/>
          <w:szCs w:val="22"/>
          <w:lang w:val="es-MX" w:eastAsia="en-US"/>
        </w:rPr>
        <w:t xml:space="preserve"> </w:t>
      </w:r>
      <w:r w:rsidR="009E4333">
        <w:rPr>
          <w:sz w:val="20"/>
          <w:szCs w:val="22"/>
          <w:lang w:val="es-MX" w:eastAsia="en-US"/>
        </w:rPr>
        <w:t>costos incrementales promedio de largo plazo</w:t>
      </w:r>
      <w:r w:rsidR="00DB3B0E" w:rsidRPr="00131A45">
        <w:rPr>
          <w:sz w:val="20"/>
          <w:szCs w:val="22"/>
          <w:lang w:val="es-MX" w:eastAsia="en-US"/>
        </w:rPr>
        <w:t xml:space="preserve"> </w:t>
      </w:r>
      <w:r w:rsidR="00DB3B0E" w:rsidRPr="001B618F">
        <w:rPr>
          <w:sz w:val="20"/>
          <w:szCs w:val="22"/>
          <w:lang w:val="es-MX" w:eastAsia="en-US"/>
        </w:rPr>
        <w:t>por mes y por cliente</w:t>
      </w:r>
      <w:r w:rsidR="00DB3B0E" w:rsidRPr="00131A45">
        <w:rPr>
          <w:sz w:val="20"/>
          <w:szCs w:val="22"/>
          <w:lang w:val="es-MX" w:eastAsia="en-US"/>
        </w:rPr>
        <w:t>. Por tanto, el cost</w:t>
      </w:r>
      <w:r w:rsidR="00172C97" w:rsidRPr="00131A45">
        <w:rPr>
          <w:sz w:val="20"/>
          <w:szCs w:val="22"/>
          <w:lang w:val="es-MX" w:eastAsia="en-US"/>
        </w:rPr>
        <w:t>o</w:t>
      </w:r>
      <w:r w:rsidR="00DB3B0E" w:rsidRPr="00131A45">
        <w:rPr>
          <w:sz w:val="20"/>
          <w:szCs w:val="22"/>
          <w:lang w:val="es-MX" w:eastAsia="en-US"/>
        </w:rPr>
        <w:t xml:space="preserve"> calculado corresponde a un consumo medio en Mbps al mes.</w:t>
      </w:r>
      <w:r w:rsidR="00410222">
        <w:rPr>
          <w:sz w:val="20"/>
          <w:szCs w:val="22"/>
          <w:lang w:val="es-MX" w:eastAsia="en-US"/>
        </w:rPr>
        <w:t xml:space="preserve"> </w:t>
      </w:r>
    </w:p>
    <w:p w14:paraId="7C83DE37" w14:textId="2FFBCABA" w:rsidR="00DB3B0E" w:rsidRDefault="009E4333" w:rsidP="00DB3B0E">
      <w:pPr>
        <w:pStyle w:val="Textoindependiente"/>
        <w:rPr>
          <w:sz w:val="20"/>
          <w:szCs w:val="22"/>
          <w:lang w:val="es-MX" w:eastAsia="en-US"/>
        </w:rPr>
      </w:pPr>
      <w:r>
        <w:rPr>
          <w:sz w:val="20"/>
          <w:szCs w:val="22"/>
          <w:lang w:val="es-MX" w:eastAsia="en-US"/>
        </w:rPr>
        <w:t xml:space="preserve">En </w:t>
      </w:r>
      <w:r w:rsidR="00410222">
        <w:rPr>
          <w:sz w:val="20"/>
          <w:szCs w:val="22"/>
          <w:lang w:val="es-MX" w:eastAsia="en-US"/>
        </w:rPr>
        <w:t xml:space="preserve">el Módulo de Cálculo del SAIB </w:t>
      </w:r>
      <w:r>
        <w:rPr>
          <w:sz w:val="20"/>
          <w:szCs w:val="22"/>
          <w:lang w:val="es-MX" w:eastAsia="en-US"/>
        </w:rPr>
        <w:t>se distribuye</w:t>
      </w:r>
      <w:r w:rsidR="00410222">
        <w:rPr>
          <w:sz w:val="20"/>
          <w:szCs w:val="22"/>
          <w:lang w:val="es-MX" w:eastAsia="en-US"/>
        </w:rPr>
        <w:t xml:space="preserve"> el costo del SCyD </w:t>
      </w:r>
      <w:r>
        <w:rPr>
          <w:sz w:val="20"/>
          <w:szCs w:val="22"/>
          <w:lang w:val="es-MX" w:eastAsia="en-US"/>
        </w:rPr>
        <w:t>con base en lo siguiente:</w:t>
      </w:r>
    </w:p>
    <w:p w14:paraId="56468656" w14:textId="6BE20AFA" w:rsidR="00DB3B0E" w:rsidRPr="008B3D14" w:rsidRDefault="00F704F5" w:rsidP="00F704F5">
      <w:pPr>
        <w:pStyle w:val="Ttulo3"/>
        <w:rPr>
          <w:lang w:val="es-MX"/>
        </w:rPr>
      </w:pPr>
      <w:bookmarkStart w:id="27" w:name="_Toc83625510"/>
      <w:bookmarkStart w:id="28" w:name="_Toc83625592"/>
      <w:bookmarkStart w:id="29" w:name="_Toc83625511"/>
      <w:bookmarkStart w:id="30" w:name="_Toc83625593"/>
      <w:bookmarkStart w:id="31" w:name="_Toc83625512"/>
      <w:bookmarkStart w:id="32" w:name="_Toc83625594"/>
      <w:bookmarkStart w:id="33" w:name="_Toc83625513"/>
      <w:bookmarkStart w:id="34" w:name="_Toc83625595"/>
      <w:bookmarkStart w:id="35" w:name="_Toc83625514"/>
      <w:bookmarkStart w:id="36" w:name="_Toc83625596"/>
      <w:bookmarkStart w:id="37" w:name="_Toc83625515"/>
      <w:bookmarkStart w:id="38" w:name="_Toc83625597"/>
      <w:bookmarkStart w:id="39" w:name="_Toc83625516"/>
      <w:bookmarkStart w:id="40" w:name="_Toc83625598"/>
      <w:bookmarkStart w:id="41" w:name="_Toc83625517"/>
      <w:bookmarkStart w:id="42" w:name="_Toc83625599"/>
      <w:bookmarkStart w:id="43" w:name="_Toc83625518"/>
      <w:bookmarkStart w:id="44" w:name="_Toc83625600"/>
      <w:bookmarkStart w:id="45" w:name="_Toc83625519"/>
      <w:bookmarkStart w:id="46" w:name="_Toc83625601"/>
      <w:bookmarkStart w:id="47" w:name="_Toc83625520"/>
      <w:bookmarkStart w:id="48" w:name="_Toc83625602"/>
      <w:bookmarkStart w:id="49" w:name="_Toc83625521"/>
      <w:bookmarkStart w:id="50" w:name="_Toc83625603"/>
      <w:bookmarkStart w:id="51" w:name="_Toc83625522"/>
      <w:bookmarkStart w:id="52" w:name="_Toc83625604"/>
      <w:bookmarkStart w:id="53" w:name="_Toc83625523"/>
      <w:bookmarkStart w:id="54" w:name="_Toc83625605"/>
      <w:bookmarkStart w:id="55" w:name="_Toc83625524"/>
      <w:bookmarkStart w:id="56" w:name="_Toc83625606"/>
      <w:bookmarkStart w:id="57" w:name="_Toc83625525"/>
      <w:bookmarkStart w:id="58" w:name="_Toc83625607"/>
      <w:bookmarkStart w:id="59" w:name="_Toc83625526"/>
      <w:bookmarkStart w:id="60" w:name="_Toc83625608"/>
      <w:bookmarkStart w:id="61" w:name="_Toc83625527"/>
      <w:bookmarkStart w:id="62" w:name="_Toc83625609"/>
      <w:bookmarkStart w:id="63" w:name="_Toc83625528"/>
      <w:bookmarkStart w:id="64" w:name="_Toc83625610"/>
      <w:bookmarkStart w:id="65" w:name="_Toc83625529"/>
      <w:bookmarkStart w:id="66" w:name="_Toc83625611"/>
      <w:bookmarkStart w:id="67" w:name="_Toc83625530"/>
      <w:bookmarkStart w:id="68" w:name="_Toc83625612"/>
      <w:bookmarkStart w:id="69" w:name="_Toc83625531"/>
      <w:bookmarkStart w:id="70" w:name="_Toc83625613"/>
      <w:bookmarkStart w:id="71" w:name="_Toc83625532"/>
      <w:bookmarkStart w:id="72" w:name="_Toc83625614"/>
      <w:bookmarkStart w:id="73" w:name="_Toc83625533"/>
      <w:bookmarkStart w:id="74" w:name="_Toc83625615"/>
      <w:bookmarkStart w:id="75" w:name="_Toc83625534"/>
      <w:bookmarkStart w:id="76" w:name="_Toc83625616"/>
      <w:bookmarkStart w:id="77" w:name="_Toc83625535"/>
      <w:bookmarkStart w:id="78" w:name="_Toc83625617"/>
      <w:bookmarkStart w:id="79" w:name="_Toc83625536"/>
      <w:bookmarkStart w:id="80" w:name="_Toc83625618"/>
      <w:bookmarkStart w:id="81" w:name="_Toc83625537"/>
      <w:bookmarkStart w:id="82" w:name="_Toc83625619"/>
      <w:bookmarkStart w:id="83" w:name="_Toc83625538"/>
      <w:bookmarkStart w:id="84" w:name="_Toc83625620"/>
      <w:bookmarkStart w:id="85" w:name="_Toc83625539"/>
      <w:bookmarkStart w:id="86" w:name="_Toc83625621"/>
      <w:bookmarkStart w:id="87" w:name="_Toc83625540"/>
      <w:bookmarkStart w:id="88" w:name="_Toc83625622"/>
      <w:bookmarkStart w:id="89" w:name="_Toc83625541"/>
      <w:bookmarkStart w:id="90" w:name="_Toc83625623"/>
      <w:bookmarkStart w:id="91" w:name="_Toc83625542"/>
      <w:bookmarkStart w:id="92" w:name="_Toc83625624"/>
      <w:bookmarkStart w:id="93" w:name="_Toc83625543"/>
      <w:bookmarkStart w:id="94" w:name="_Toc83625625"/>
      <w:bookmarkStart w:id="95" w:name="_Toc83625544"/>
      <w:bookmarkStart w:id="96" w:name="_Toc83625626"/>
      <w:bookmarkStart w:id="97" w:name="_Toc83625545"/>
      <w:bookmarkStart w:id="98" w:name="_Toc83625627"/>
      <w:bookmarkStart w:id="99" w:name="_Toc83625546"/>
      <w:bookmarkStart w:id="100" w:name="_Toc83625628"/>
      <w:bookmarkStart w:id="101" w:name="_Toc83625547"/>
      <w:bookmarkStart w:id="102" w:name="_Toc83625629"/>
      <w:bookmarkStart w:id="103" w:name="_Toc83625561"/>
      <w:bookmarkStart w:id="104" w:name="_Toc83625643"/>
      <w:bookmarkStart w:id="105" w:name="_Toc83625562"/>
      <w:bookmarkStart w:id="106" w:name="_Toc83625644"/>
      <w:bookmarkStart w:id="107" w:name="_Toc83625563"/>
      <w:bookmarkStart w:id="108" w:name="_Toc83625645"/>
      <w:bookmarkStart w:id="109" w:name="_Toc83625564"/>
      <w:bookmarkStart w:id="110" w:name="_Toc83625646"/>
      <w:bookmarkStart w:id="111" w:name="_Toc83625565"/>
      <w:bookmarkStart w:id="112" w:name="_Toc83625647"/>
      <w:bookmarkStart w:id="113" w:name="_Toc83625566"/>
      <w:bookmarkStart w:id="114" w:name="_Toc83625648"/>
      <w:bookmarkStart w:id="115" w:name="_Toc83625567"/>
      <w:bookmarkStart w:id="116" w:name="_Toc83625649"/>
      <w:bookmarkStart w:id="117" w:name="_Toc83625568"/>
      <w:bookmarkStart w:id="118" w:name="_Toc83625650"/>
      <w:bookmarkStart w:id="119" w:name="_Toc83625569"/>
      <w:bookmarkStart w:id="120" w:name="_Toc83625651"/>
      <w:bookmarkStart w:id="121" w:name="_Toc83625570"/>
      <w:bookmarkStart w:id="122" w:name="_Toc83625652"/>
      <w:bookmarkStart w:id="123" w:name="_Toc8366074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8B3D14">
        <w:rPr>
          <w:lang w:val="es-MX"/>
        </w:rPr>
        <w:t>Discriminación basada en la capacidad</w:t>
      </w:r>
      <w:bookmarkEnd w:id="123"/>
    </w:p>
    <w:p w14:paraId="6A9C6A7B" w14:textId="414A0FF8" w:rsidR="00DB3B0E" w:rsidRPr="008B3D14" w:rsidRDefault="00C820F3" w:rsidP="00C820F3">
      <w:pPr>
        <w:pStyle w:val="Textoindependiente"/>
        <w:numPr>
          <w:ilvl w:val="0"/>
          <w:numId w:val="33"/>
        </w:numPr>
        <w:rPr>
          <w:b/>
          <w:bCs/>
          <w:lang w:val="es-419" w:eastAsia="en-US"/>
        </w:rPr>
      </w:pPr>
      <w:r w:rsidRPr="008B3D14">
        <w:rPr>
          <w:b/>
          <w:bCs/>
          <w:lang w:val="es-419" w:eastAsia="en-US"/>
        </w:rPr>
        <w:t>Descripción general del enfoque</w:t>
      </w:r>
    </w:p>
    <w:p w14:paraId="351AF786" w14:textId="18A05EA9" w:rsidR="009E4333" w:rsidRDefault="00F45B85" w:rsidP="00C820F3">
      <w:pPr>
        <w:pStyle w:val="Textoindependiente"/>
        <w:rPr>
          <w:sz w:val="20"/>
          <w:szCs w:val="22"/>
          <w:lang w:val="es-MX" w:eastAsia="en-US"/>
        </w:rPr>
      </w:pPr>
      <w:r>
        <w:rPr>
          <w:sz w:val="20"/>
          <w:szCs w:val="22"/>
          <w:lang w:val="es-MX" w:eastAsia="en-US"/>
        </w:rPr>
        <w:t xml:space="preserve">En este caso se </w:t>
      </w:r>
      <w:r w:rsidR="00C820F3" w:rsidRPr="00131A45">
        <w:rPr>
          <w:sz w:val="20"/>
          <w:szCs w:val="22"/>
          <w:lang w:val="es-MX" w:eastAsia="en-US"/>
        </w:rPr>
        <w:t xml:space="preserve">calcula el costo del SCyD en el </w:t>
      </w:r>
      <w:r>
        <w:rPr>
          <w:sz w:val="20"/>
          <w:szCs w:val="22"/>
          <w:lang w:val="es-MX" w:eastAsia="en-US"/>
        </w:rPr>
        <w:t>M</w:t>
      </w:r>
      <w:r w:rsidR="00C820F3" w:rsidRPr="00131A45">
        <w:rPr>
          <w:sz w:val="20"/>
          <w:szCs w:val="22"/>
          <w:lang w:val="es-MX" w:eastAsia="en-US"/>
        </w:rPr>
        <w:t xml:space="preserve">odelo de </w:t>
      </w:r>
      <w:r>
        <w:rPr>
          <w:sz w:val="20"/>
          <w:szCs w:val="22"/>
          <w:lang w:val="es-MX" w:eastAsia="en-US"/>
        </w:rPr>
        <w:t>I</w:t>
      </w:r>
      <w:r w:rsidR="00C820F3" w:rsidRPr="00131A45">
        <w:rPr>
          <w:sz w:val="20"/>
          <w:szCs w:val="22"/>
          <w:lang w:val="es-MX" w:eastAsia="en-US"/>
        </w:rPr>
        <w:t xml:space="preserve">nterconexión </w:t>
      </w:r>
      <w:r w:rsidR="009E4333">
        <w:rPr>
          <w:sz w:val="20"/>
          <w:szCs w:val="22"/>
          <w:lang w:val="es-MX" w:eastAsia="en-US"/>
        </w:rPr>
        <w:t xml:space="preserve">Fijo </w:t>
      </w:r>
      <w:r w:rsidR="00C820F3" w:rsidRPr="00131A45">
        <w:rPr>
          <w:sz w:val="20"/>
          <w:szCs w:val="22"/>
          <w:lang w:val="es-MX" w:eastAsia="en-US"/>
        </w:rPr>
        <w:t>diferenciando el costo de cada variante</w:t>
      </w:r>
      <w:r w:rsidR="00C820F3" w:rsidRPr="00131A45">
        <w:rPr>
          <w:rStyle w:val="Refdenotaalpie"/>
          <w:sz w:val="20"/>
          <w:szCs w:val="22"/>
          <w:lang w:val="es-MX" w:eastAsia="en-US"/>
        </w:rPr>
        <w:footnoteReference w:id="17"/>
      </w:r>
      <w:r w:rsidR="00C820F3" w:rsidRPr="00131A45">
        <w:rPr>
          <w:sz w:val="20"/>
          <w:szCs w:val="22"/>
          <w:lang w:val="es-ES" w:eastAsia="en-US"/>
        </w:rPr>
        <w:t xml:space="preserve"> </w:t>
      </w:r>
      <w:r w:rsidR="00C820F3" w:rsidRPr="00131A45">
        <w:rPr>
          <w:sz w:val="20"/>
          <w:szCs w:val="22"/>
          <w:lang w:val="es-MX" w:eastAsia="en-US"/>
        </w:rPr>
        <w:t xml:space="preserve">de servicio en función de la capacidad movilizada por el servicio dentro de la red </w:t>
      </w:r>
      <w:r w:rsidR="008B3D14" w:rsidRPr="00131A45">
        <w:rPr>
          <w:sz w:val="20"/>
          <w:szCs w:val="22"/>
          <w:lang w:val="es-MX" w:eastAsia="en-US"/>
        </w:rPr>
        <w:t>de transporte</w:t>
      </w:r>
      <w:r w:rsidR="00C820F3" w:rsidRPr="00131A45">
        <w:rPr>
          <w:sz w:val="20"/>
          <w:szCs w:val="22"/>
          <w:lang w:val="es-MX" w:eastAsia="en-US"/>
        </w:rPr>
        <w:t>.</w:t>
      </w:r>
      <w:r w:rsidR="00BE5D6A">
        <w:rPr>
          <w:sz w:val="20"/>
          <w:szCs w:val="22"/>
          <w:lang w:val="es-MX" w:eastAsia="en-US"/>
        </w:rPr>
        <w:t xml:space="preserve"> </w:t>
      </w:r>
    </w:p>
    <w:p w14:paraId="58D2D14E" w14:textId="6D0F8BCD" w:rsidR="00244D55" w:rsidRDefault="009F2FA7" w:rsidP="00C820F3">
      <w:pPr>
        <w:pStyle w:val="Textoindependiente"/>
        <w:rPr>
          <w:sz w:val="20"/>
          <w:szCs w:val="22"/>
          <w:lang w:val="es-MX" w:eastAsia="en-US"/>
        </w:rPr>
      </w:pPr>
      <w:r>
        <w:rPr>
          <w:sz w:val="20"/>
          <w:szCs w:val="22"/>
          <w:lang w:val="es-MX" w:eastAsia="en-US"/>
        </w:rPr>
        <w:t>El LRAIC+ calculado</w:t>
      </w:r>
      <w:r w:rsidR="00244D55">
        <w:rPr>
          <w:sz w:val="20"/>
          <w:szCs w:val="22"/>
          <w:lang w:val="es-MX" w:eastAsia="en-US"/>
        </w:rPr>
        <w:t xml:space="preserve"> por Megabyte </w:t>
      </w:r>
      <w:r w:rsidR="00BE5D6A">
        <w:rPr>
          <w:sz w:val="20"/>
          <w:szCs w:val="22"/>
          <w:lang w:val="es-MX" w:eastAsia="en-US"/>
        </w:rPr>
        <w:t xml:space="preserve">a partir del Modelo de Interconexión </w:t>
      </w:r>
      <w:r w:rsidR="009E4333">
        <w:rPr>
          <w:sz w:val="20"/>
          <w:szCs w:val="22"/>
          <w:lang w:val="es-MX" w:eastAsia="en-US"/>
        </w:rPr>
        <w:t xml:space="preserve">Fijo </w:t>
      </w:r>
      <w:r w:rsidR="00BE5D6A">
        <w:rPr>
          <w:sz w:val="20"/>
          <w:szCs w:val="22"/>
          <w:lang w:val="es-MX" w:eastAsia="en-US"/>
        </w:rPr>
        <w:t>con costos comunes</w:t>
      </w:r>
      <w:r w:rsidR="00127BC0">
        <w:rPr>
          <w:sz w:val="20"/>
          <w:szCs w:val="22"/>
          <w:lang w:val="es-MX" w:eastAsia="en-US"/>
        </w:rPr>
        <w:t xml:space="preserve"> y compartidos</w:t>
      </w:r>
      <w:r>
        <w:rPr>
          <w:sz w:val="20"/>
          <w:szCs w:val="22"/>
          <w:lang w:val="es-MX" w:eastAsia="en-US"/>
        </w:rPr>
        <w:t xml:space="preserve"> en términos nominales</w:t>
      </w:r>
      <w:r w:rsidR="00BE5D6A">
        <w:rPr>
          <w:sz w:val="20"/>
          <w:szCs w:val="22"/>
          <w:lang w:val="es-MX" w:eastAsia="en-US"/>
        </w:rPr>
        <w:t xml:space="preserve"> </w:t>
      </w:r>
      <w:r w:rsidR="009E4333">
        <w:rPr>
          <w:sz w:val="20"/>
          <w:szCs w:val="22"/>
          <w:lang w:val="es-MX" w:eastAsia="en-US"/>
        </w:rPr>
        <w:t>es el siguiente</w:t>
      </w:r>
      <w:r w:rsidR="00244D55">
        <w:rPr>
          <w:sz w:val="20"/>
          <w:szCs w:val="22"/>
          <w:lang w:val="es-MX" w:eastAsia="en-US"/>
        </w:rPr>
        <w:t>:</w:t>
      </w:r>
    </w:p>
    <w:tbl>
      <w:tblPr>
        <w:tblStyle w:val="Tablaconcuadrcula5oscura"/>
        <w:tblW w:w="3563" w:type="dxa"/>
        <w:jc w:val="center"/>
        <w:tblLook w:val="04A0" w:firstRow="1" w:lastRow="0" w:firstColumn="1" w:lastColumn="0" w:noHBand="0" w:noVBand="1"/>
      </w:tblPr>
      <w:tblGrid>
        <w:gridCol w:w="2400"/>
        <w:gridCol w:w="1163"/>
      </w:tblGrid>
      <w:tr w:rsidR="00BE5D6A" w:rsidRPr="00BE5D6A" w14:paraId="0AF3E9F0" w14:textId="77777777" w:rsidTr="00303F29">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400" w:type="dxa"/>
            <w:noWrap/>
          </w:tcPr>
          <w:p w14:paraId="77B12C5D" w14:textId="77777777" w:rsidR="00BE5D6A" w:rsidRPr="00244D55" w:rsidRDefault="00BE5D6A" w:rsidP="00BE5D6A">
            <w:pPr>
              <w:spacing w:line="240" w:lineRule="auto"/>
              <w:jc w:val="left"/>
              <w:rPr>
                <w:rFonts w:eastAsia="Times New Roman"/>
                <w:sz w:val="20"/>
                <w:szCs w:val="20"/>
                <w:lang w:val="es-MX" w:eastAsia="es-MX"/>
              </w:rPr>
            </w:pPr>
          </w:p>
        </w:tc>
        <w:tc>
          <w:tcPr>
            <w:tcW w:w="1163" w:type="dxa"/>
            <w:noWrap/>
          </w:tcPr>
          <w:p w14:paraId="62FFD0A3" w14:textId="7055B945" w:rsidR="00BE5D6A" w:rsidRPr="00244D55" w:rsidRDefault="00244D55" w:rsidP="008733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s-MX" w:eastAsia="es-MX"/>
              </w:rPr>
            </w:pPr>
            <w:r>
              <w:rPr>
                <w:rFonts w:eastAsia="Times New Roman"/>
                <w:sz w:val="20"/>
                <w:szCs w:val="20"/>
                <w:lang w:val="es-MX" w:eastAsia="es-MX"/>
              </w:rPr>
              <w:t>2022</w:t>
            </w:r>
          </w:p>
        </w:tc>
      </w:tr>
      <w:tr w:rsidR="00BE5D6A" w:rsidRPr="00BE5D6A" w14:paraId="11ABEE1E" w14:textId="77777777" w:rsidTr="00303F2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14:paraId="41149C2E" w14:textId="08445DA0" w:rsidR="00BE5D6A" w:rsidRPr="008733AB" w:rsidRDefault="00244D55" w:rsidP="00BE5D6A">
            <w:pPr>
              <w:spacing w:line="240" w:lineRule="auto"/>
              <w:jc w:val="left"/>
              <w:rPr>
                <w:rFonts w:eastAsia="Times New Roman"/>
                <w:sz w:val="20"/>
                <w:szCs w:val="20"/>
                <w:lang w:val="es-MX" w:eastAsia="es-MX"/>
              </w:rPr>
            </w:pPr>
            <w:r>
              <w:rPr>
                <w:rFonts w:eastAsia="Times New Roman"/>
                <w:sz w:val="20"/>
                <w:szCs w:val="20"/>
                <w:lang w:val="es-MX" w:eastAsia="es-MX"/>
              </w:rPr>
              <w:t>Bitstream local</w:t>
            </w:r>
          </w:p>
        </w:tc>
        <w:tc>
          <w:tcPr>
            <w:tcW w:w="1163" w:type="dxa"/>
            <w:noWrap/>
            <w:hideMark/>
          </w:tcPr>
          <w:p w14:paraId="4EB85BF0" w14:textId="77777777" w:rsidR="00BE5D6A" w:rsidRPr="008733AB" w:rsidRDefault="00BE5D6A"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FFFFFF" w:themeColor="background1"/>
                <w:sz w:val="20"/>
                <w:szCs w:val="20"/>
                <w:lang w:val="es-MX" w:eastAsia="es-MX"/>
              </w:rPr>
            </w:pPr>
            <w:r w:rsidRPr="008733AB">
              <w:rPr>
                <w:rFonts w:eastAsia="Times New Roman"/>
                <w:color w:val="FFFFFF" w:themeColor="background1"/>
                <w:sz w:val="20"/>
                <w:szCs w:val="20"/>
                <w:lang w:val="es-MX" w:eastAsia="es-MX"/>
              </w:rPr>
              <w:t>0.000596</w:t>
            </w:r>
          </w:p>
        </w:tc>
      </w:tr>
      <w:tr w:rsidR="00BE5D6A" w:rsidRPr="00BE5D6A" w14:paraId="5B5DF9DB" w14:textId="77777777" w:rsidTr="00303F29">
        <w:trPr>
          <w:trHeight w:val="29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14:paraId="0BDAA5E8" w14:textId="27E6F98E" w:rsidR="00BE5D6A" w:rsidRPr="008733AB" w:rsidRDefault="00244D55" w:rsidP="00BE5D6A">
            <w:pPr>
              <w:spacing w:line="240" w:lineRule="auto"/>
              <w:jc w:val="left"/>
              <w:rPr>
                <w:rFonts w:eastAsia="Times New Roman"/>
                <w:sz w:val="20"/>
                <w:szCs w:val="20"/>
                <w:lang w:val="es-MX" w:eastAsia="es-MX"/>
              </w:rPr>
            </w:pPr>
            <w:r>
              <w:rPr>
                <w:rFonts w:eastAsia="Times New Roman"/>
                <w:sz w:val="20"/>
                <w:szCs w:val="20"/>
                <w:lang w:val="es-MX" w:eastAsia="es-MX"/>
              </w:rPr>
              <w:t>Bitstream</w:t>
            </w:r>
            <w:r w:rsidRPr="00244D55">
              <w:rPr>
                <w:rFonts w:eastAsia="Times New Roman"/>
                <w:sz w:val="20"/>
                <w:szCs w:val="20"/>
                <w:lang w:val="es-MX" w:eastAsia="es-MX"/>
              </w:rPr>
              <w:t xml:space="preserve"> </w:t>
            </w:r>
            <w:r w:rsidR="00BE5D6A" w:rsidRPr="008733AB">
              <w:rPr>
                <w:rFonts w:eastAsia="Times New Roman"/>
                <w:color w:val="auto"/>
                <w:sz w:val="20"/>
                <w:szCs w:val="20"/>
                <w:lang w:val="es-MX" w:eastAsia="es-MX"/>
              </w:rPr>
              <w:t>R</w:t>
            </w:r>
            <w:r>
              <w:rPr>
                <w:rFonts w:eastAsia="Times New Roman"/>
                <w:sz w:val="20"/>
                <w:szCs w:val="20"/>
                <w:lang w:val="es-MX" w:eastAsia="es-MX"/>
              </w:rPr>
              <w:t>egional</w:t>
            </w:r>
          </w:p>
        </w:tc>
        <w:tc>
          <w:tcPr>
            <w:tcW w:w="1163" w:type="dxa"/>
            <w:noWrap/>
            <w:hideMark/>
          </w:tcPr>
          <w:p w14:paraId="5E1B60D0" w14:textId="77777777" w:rsidR="00BE5D6A" w:rsidRPr="008733AB" w:rsidRDefault="00BE5D6A"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MX" w:eastAsia="es-MX"/>
              </w:rPr>
            </w:pPr>
            <w:r w:rsidRPr="008733AB">
              <w:rPr>
                <w:rFonts w:eastAsia="Times New Roman"/>
                <w:color w:val="FFFFFF" w:themeColor="background1"/>
                <w:sz w:val="20"/>
                <w:szCs w:val="20"/>
                <w:lang w:val="es-MX" w:eastAsia="es-MX"/>
              </w:rPr>
              <w:t>0.000896</w:t>
            </w:r>
          </w:p>
        </w:tc>
      </w:tr>
      <w:tr w:rsidR="00BE5D6A" w:rsidRPr="00BE5D6A" w14:paraId="6681B5F7" w14:textId="77777777" w:rsidTr="00303F2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400" w:type="dxa"/>
            <w:noWrap/>
            <w:hideMark/>
          </w:tcPr>
          <w:p w14:paraId="3F472EC9" w14:textId="4CC92E8C" w:rsidR="00BE5D6A" w:rsidRPr="008733AB" w:rsidRDefault="00244D55" w:rsidP="00BE5D6A">
            <w:pPr>
              <w:spacing w:line="240" w:lineRule="auto"/>
              <w:jc w:val="left"/>
              <w:rPr>
                <w:rFonts w:eastAsia="Times New Roman"/>
                <w:sz w:val="20"/>
                <w:szCs w:val="20"/>
                <w:lang w:val="es-MX" w:eastAsia="es-MX"/>
              </w:rPr>
            </w:pPr>
            <w:r>
              <w:rPr>
                <w:rFonts w:eastAsia="Times New Roman"/>
                <w:sz w:val="20"/>
                <w:szCs w:val="20"/>
                <w:lang w:val="es-MX" w:eastAsia="es-MX"/>
              </w:rPr>
              <w:t>Bitstream</w:t>
            </w:r>
            <w:r w:rsidRPr="00244D55">
              <w:rPr>
                <w:rFonts w:eastAsia="Times New Roman"/>
                <w:sz w:val="20"/>
                <w:szCs w:val="20"/>
                <w:lang w:val="es-MX" w:eastAsia="es-MX"/>
              </w:rPr>
              <w:t xml:space="preserve"> </w:t>
            </w:r>
            <w:r w:rsidR="00BE5D6A" w:rsidRPr="008733AB">
              <w:rPr>
                <w:rFonts w:eastAsia="Times New Roman"/>
                <w:color w:val="auto"/>
                <w:sz w:val="20"/>
                <w:szCs w:val="20"/>
                <w:lang w:val="es-MX" w:eastAsia="es-MX"/>
              </w:rPr>
              <w:t>N</w:t>
            </w:r>
            <w:r>
              <w:rPr>
                <w:rFonts w:eastAsia="Times New Roman"/>
                <w:sz w:val="20"/>
                <w:szCs w:val="20"/>
                <w:lang w:val="es-MX" w:eastAsia="es-MX"/>
              </w:rPr>
              <w:t>acional</w:t>
            </w:r>
          </w:p>
        </w:tc>
        <w:tc>
          <w:tcPr>
            <w:tcW w:w="1163" w:type="dxa"/>
            <w:noWrap/>
            <w:hideMark/>
          </w:tcPr>
          <w:p w14:paraId="28DAA1E6" w14:textId="77777777" w:rsidR="00BE5D6A" w:rsidRPr="008733AB" w:rsidRDefault="00BE5D6A"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FFFFFF" w:themeColor="background1"/>
                <w:sz w:val="20"/>
                <w:szCs w:val="20"/>
                <w:lang w:val="es-MX" w:eastAsia="es-MX"/>
              </w:rPr>
            </w:pPr>
            <w:r w:rsidRPr="008733AB">
              <w:rPr>
                <w:rFonts w:eastAsia="Times New Roman"/>
                <w:color w:val="FFFFFF" w:themeColor="background1"/>
                <w:sz w:val="20"/>
                <w:szCs w:val="20"/>
                <w:lang w:val="es-MX" w:eastAsia="es-MX"/>
              </w:rPr>
              <w:t>0.001288</w:t>
            </w:r>
          </w:p>
        </w:tc>
      </w:tr>
    </w:tbl>
    <w:p w14:paraId="08CE33BD" w14:textId="77777777" w:rsidR="002E5CEE" w:rsidRPr="00131A45" w:rsidRDefault="002E5CEE" w:rsidP="00C820F3">
      <w:pPr>
        <w:pStyle w:val="Textoindependiente"/>
        <w:rPr>
          <w:sz w:val="20"/>
          <w:szCs w:val="22"/>
          <w:lang w:val="es-MX" w:eastAsia="en-US"/>
        </w:rPr>
      </w:pPr>
    </w:p>
    <w:p w14:paraId="73DD0D04" w14:textId="48270E08" w:rsidR="00C820F3" w:rsidRPr="00131A45" w:rsidRDefault="00C820F3" w:rsidP="00C820F3">
      <w:pPr>
        <w:pStyle w:val="Textoindependiente"/>
        <w:rPr>
          <w:sz w:val="20"/>
          <w:szCs w:val="22"/>
          <w:lang w:val="es-MX" w:eastAsia="en-US"/>
        </w:rPr>
      </w:pPr>
      <w:r w:rsidRPr="00131A45">
        <w:rPr>
          <w:sz w:val="20"/>
          <w:szCs w:val="22"/>
          <w:lang w:val="es-MX" w:eastAsia="en-US"/>
        </w:rPr>
        <w:lastRenderedPageBreak/>
        <w:t>En este sentido, la discriminación por capacidad permit</w:t>
      </w:r>
      <w:r w:rsidR="008B3D14" w:rsidRPr="00131A45">
        <w:rPr>
          <w:sz w:val="20"/>
          <w:szCs w:val="22"/>
          <w:lang w:val="es-MX" w:eastAsia="en-US"/>
        </w:rPr>
        <w:t>e</w:t>
      </w:r>
      <w:r w:rsidRPr="00131A45">
        <w:rPr>
          <w:sz w:val="20"/>
          <w:szCs w:val="22"/>
          <w:lang w:val="es-MX" w:eastAsia="en-US"/>
        </w:rPr>
        <w:t xml:space="preserve"> calcular los costos del servicio SCyD considerando con mayor precisión el vínculo causal entre la tarifa de cada variante y el generador de costos relevante, que es </w:t>
      </w:r>
      <w:r w:rsidR="008B3D14" w:rsidRPr="00131A45">
        <w:rPr>
          <w:sz w:val="20"/>
          <w:szCs w:val="22"/>
          <w:lang w:val="es-MX" w:eastAsia="en-US"/>
        </w:rPr>
        <w:t>la capacidad ocupada por el servicio a la hora pico</w:t>
      </w:r>
      <w:r w:rsidRPr="00131A45">
        <w:rPr>
          <w:sz w:val="20"/>
          <w:szCs w:val="22"/>
          <w:lang w:val="es-MX" w:eastAsia="en-US"/>
        </w:rPr>
        <w:t xml:space="preserve"> en el caso de los servicios SCyD.</w:t>
      </w:r>
    </w:p>
    <w:p w14:paraId="4DE9F756" w14:textId="6BDBA07E" w:rsidR="00C820F3" w:rsidRDefault="00410222" w:rsidP="00C820F3">
      <w:pPr>
        <w:pStyle w:val="Textoindependiente"/>
        <w:rPr>
          <w:sz w:val="20"/>
          <w:szCs w:val="22"/>
          <w:lang w:val="es-MX" w:eastAsia="en-US"/>
        </w:rPr>
      </w:pPr>
      <w:r>
        <w:rPr>
          <w:sz w:val="20"/>
          <w:szCs w:val="22"/>
          <w:lang w:val="es-MX" w:eastAsia="en-US"/>
        </w:rPr>
        <w:t>Para fines ilustrativos, como ejemplo</w:t>
      </w:r>
      <w:r w:rsidR="00C820F3" w:rsidRPr="00131A45">
        <w:rPr>
          <w:sz w:val="20"/>
          <w:szCs w:val="22"/>
          <w:lang w:val="es-MX" w:eastAsia="en-US"/>
        </w:rPr>
        <w:t>, si para un mismo servicio (ej. SCyD Local / Asimétrico / 3 Mbps)</w:t>
      </w:r>
      <w:r w:rsidR="008B3D14" w:rsidRPr="00131A45">
        <w:rPr>
          <w:sz w:val="20"/>
          <w:szCs w:val="22"/>
          <w:lang w:val="es-MX" w:eastAsia="en-US"/>
        </w:rPr>
        <w:t>,</w:t>
      </w:r>
      <w:r w:rsidR="00C820F3" w:rsidRPr="00131A45">
        <w:rPr>
          <w:sz w:val="20"/>
          <w:szCs w:val="22"/>
          <w:lang w:val="es-MX" w:eastAsia="en-US"/>
        </w:rPr>
        <w:t xml:space="preserve"> la calidad "doble" consume 2 veces más recursos en la red</w:t>
      </w:r>
      <w:r w:rsidR="008B3D14" w:rsidRPr="00131A45">
        <w:rPr>
          <w:sz w:val="20"/>
          <w:szCs w:val="22"/>
          <w:lang w:val="es-MX" w:eastAsia="en-US"/>
        </w:rPr>
        <w:t xml:space="preserve"> de transporte</w:t>
      </w:r>
      <w:r w:rsidR="00C820F3" w:rsidRPr="00131A45">
        <w:rPr>
          <w:sz w:val="20"/>
          <w:szCs w:val="22"/>
          <w:lang w:val="es-MX" w:eastAsia="en-US"/>
        </w:rPr>
        <w:t xml:space="preserve"> que la calidad "Best Effort", el </w:t>
      </w:r>
      <w:r w:rsidR="008B3D14" w:rsidRPr="00131A45">
        <w:rPr>
          <w:sz w:val="20"/>
          <w:szCs w:val="22"/>
          <w:lang w:val="es-MX" w:eastAsia="en-US"/>
        </w:rPr>
        <w:t xml:space="preserve">costo del servicio </w:t>
      </w:r>
      <w:r w:rsidR="00C820F3" w:rsidRPr="00131A45">
        <w:rPr>
          <w:sz w:val="20"/>
          <w:szCs w:val="22"/>
          <w:lang w:val="es-MX" w:eastAsia="en-US"/>
        </w:rPr>
        <w:t xml:space="preserve">de calidad "doble" </w:t>
      </w:r>
      <w:r w:rsidR="008B3D14" w:rsidRPr="00131A45">
        <w:rPr>
          <w:sz w:val="20"/>
          <w:szCs w:val="22"/>
          <w:lang w:val="es-MX" w:eastAsia="en-US"/>
        </w:rPr>
        <w:t>s</w:t>
      </w:r>
      <w:r w:rsidR="00C820F3" w:rsidRPr="00131A45">
        <w:rPr>
          <w:sz w:val="20"/>
          <w:szCs w:val="22"/>
          <w:lang w:val="es-MX" w:eastAsia="en-US"/>
        </w:rPr>
        <w:t xml:space="preserve">erá dos veces más </w:t>
      </w:r>
      <w:r w:rsidR="008B3D14" w:rsidRPr="00131A45">
        <w:rPr>
          <w:sz w:val="20"/>
          <w:szCs w:val="22"/>
          <w:lang w:val="es-MX" w:eastAsia="en-US"/>
        </w:rPr>
        <w:t>alto</w:t>
      </w:r>
      <w:r w:rsidR="00C820F3" w:rsidRPr="00131A45">
        <w:rPr>
          <w:sz w:val="20"/>
          <w:szCs w:val="22"/>
          <w:lang w:val="es-MX" w:eastAsia="en-US"/>
        </w:rPr>
        <w:t xml:space="preserve"> que el mismo servicio </w:t>
      </w:r>
      <w:r w:rsidR="008B3D14" w:rsidRPr="00131A45">
        <w:rPr>
          <w:sz w:val="20"/>
          <w:szCs w:val="22"/>
          <w:lang w:val="es-MX" w:eastAsia="en-US"/>
        </w:rPr>
        <w:t>en calidad “Best Effort”</w:t>
      </w:r>
      <w:r w:rsidR="00C820F3" w:rsidRPr="00131A45">
        <w:rPr>
          <w:sz w:val="20"/>
          <w:szCs w:val="22"/>
          <w:lang w:val="es-MX" w:eastAsia="en-US"/>
        </w:rPr>
        <w:t>.</w:t>
      </w:r>
      <w:r w:rsidR="00D75F34">
        <w:rPr>
          <w:sz w:val="20"/>
          <w:szCs w:val="22"/>
          <w:lang w:val="es-MX" w:eastAsia="en-US"/>
        </w:rPr>
        <w:t xml:space="preserve"> </w:t>
      </w:r>
      <w:r w:rsidR="00C820F3" w:rsidRPr="00131A45">
        <w:rPr>
          <w:sz w:val="20"/>
          <w:szCs w:val="22"/>
          <w:lang w:val="es-MX" w:eastAsia="en-US"/>
        </w:rPr>
        <w:t xml:space="preserve">Por lo tanto, </w:t>
      </w:r>
      <w:r w:rsidR="00F45B85">
        <w:rPr>
          <w:sz w:val="20"/>
          <w:szCs w:val="22"/>
          <w:lang w:val="es-MX" w:eastAsia="en-US"/>
        </w:rPr>
        <w:t>este enfoque permite</w:t>
      </w:r>
      <w:r w:rsidR="00C820F3" w:rsidRPr="00131A45">
        <w:rPr>
          <w:sz w:val="20"/>
          <w:szCs w:val="22"/>
          <w:lang w:val="es-MX" w:eastAsia="en-US"/>
        </w:rPr>
        <w:t xml:space="preserve"> calcular el costo promedio de SCyD (local, regional, nacional)</w:t>
      </w:r>
      <w:r w:rsidR="00F45B85">
        <w:rPr>
          <w:sz w:val="20"/>
          <w:szCs w:val="22"/>
          <w:lang w:val="es-MX" w:eastAsia="en-US"/>
        </w:rPr>
        <w:t xml:space="preserve"> basado </w:t>
      </w:r>
      <w:r w:rsidR="008B3D14" w:rsidRPr="00131A45">
        <w:rPr>
          <w:sz w:val="20"/>
          <w:szCs w:val="22"/>
          <w:lang w:val="es-MX" w:eastAsia="en-US"/>
        </w:rPr>
        <w:t>en</w:t>
      </w:r>
      <w:r w:rsidR="00C820F3" w:rsidRPr="00131A45">
        <w:rPr>
          <w:sz w:val="20"/>
          <w:szCs w:val="22"/>
          <w:lang w:val="es-MX" w:eastAsia="en-US"/>
        </w:rPr>
        <w:t xml:space="preserve"> claves de asignación de factores de costo relevantes.</w:t>
      </w:r>
    </w:p>
    <w:p w14:paraId="6D02B61F" w14:textId="2F49D878" w:rsidR="007A5B1C" w:rsidRDefault="007A5B1C" w:rsidP="007A5B1C">
      <w:pPr>
        <w:pStyle w:val="Textoindependiente"/>
        <w:rPr>
          <w:sz w:val="20"/>
          <w:szCs w:val="22"/>
          <w:lang w:val="es-MX" w:eastAsia="en-US"/>
        </w:rPr>
      </w:pPr>
      <w:r>
        <w:rPr>
          <w:sz w:val="20"/>
          <w:szCs w:val="22"/>
          <w:lang w:val="es-MX" w:eastAsia="en-US"/>
        </w:rPr>
        <w:t xml:space="preserve">Para ello se consideran algunos distribuidores </w:t>
      </w:r>
      <w:r w:rsidR="000B785D">
        <w:rPr>
          <w:sz w:val="20"/>
          <w:szCs w:val="22"/>
          <w:lang w:val="es-MX" w:eastAsia="en-US"/>
        </w:rPr>
        <w:t>de costos</w:t>
      </w:r>
      <w:r>
        <w:rPr>
          <w:sz w:val="20"/>
          <w:szCs w:val="22"/>
          <w:lang w:val="es-MX" w:eastAsia="en-US"/>
        </w:rPr>
        <w:t xml:space="preserve"> servicio, en particular aquellos relacionados con:</w:t>
      </w:r>
    </w:p>
    <w:p w14:paraId="1E2D75F5" w14:textId="3D50E503" w:rsidR="007A5B1C" w:rsidRDefault="007A5B1C" w:rsidP="007A5B1C">
      <w:pPr>
        <w:pStyle w:val="Textoindependiente"/>
        <w:numPr>
          <w:ilvl w:val="0"/>
          <w:numId w:val="48"/>
        </w:numPr>
        <w:rPr>
          <w:sz w:val="20"/>
          <w:szCs w:val="22"/>
          <w:lang w:val="es-MX" w:eastAsia="en-US"/>
        </w:rPr>
      </w:pPr>
      <w:r w:rsidRPr="007A5B1C">
        <w:rPr>
          <w:sz w:val="20"/>
          <w:szCs w:val="22"/>
          <w:lang w:val="es-MX" w:eastAsia="en-US"/>
        </w:rPr>
        <w:t>Factores de calidad “Best Effor</w:t>
      </w:r>
      <w:r w:rsidRPr="008733AB">
        <w:rPr>
          <w:sz w:val="20"/>
          <w:szCs w:val="22"/>
          <w:lang w:val="es-MX" w:eastAsia="en-US"/>
        </w:rPr>
        <w:t>t”, “Datos Generales”</w:t>
      </w:r>
      <w:r>
        <w:rPr>
          <w:sz w:val="20"/>
          <w:szCs w:val="22"/>
          <w:lang w:val="es-MX" w:eastAsia="en-US"/>
        </w:rPr>
        <w:t>,</w:t>
      </w:r>
      <w:r w:rsidRPr="008733AB">
        <w:rPr>
          <w:sz w:val="20"/>
          <w:szCs w:val="22"/>
          <w:lang w:val="es-MX" w:eastAsia="en-US"/>
        </w:rPr>
        <w:t xml:space="preserve"> “</w:t>
      </w:r>
      <w:r>
        <w:rPr>
          <w:sz w:val="20"/>
          <w:szCs w:val="22"/>
          <w:lang w:val="es-MX" w:eastAsia="en-US"/>
        </w:rPr>
        <w:t>Doble” y “Triple” determinados por el Instituto a través de la OREDA 2021</w:t>
      </w:r>
      <w:r>
        <w:rPr>
          <w:rStyle w:val="Refdenotaalpie"/>
          <w:sz w:val="20"/>
          <w:szCs w:val="22"/>
          <w:lang w:val="es-MX" w:eastAsia="en-US"/>
        </w:rPr>
        <w:footnoteReference w:id="18"/>
      </w:r>
      <w:r>
        <w:rPr>
          <w:sz w:val="20"/>
          <w:szCs w:val="22"/>
          <w:lang w:val="es-MX" w:eastAsia="en-US"/>
        </w:rPr>
        <w:t>.</w:t>
      </w:r>
    </w:p>
    <w:tbl>
      <w:tblPr>
        <w:tblStyle w:val="Tablaconcuadrcula5oscura"/>
        <w:tblW w:w="5040" w:type="dxa"/>
        <w:jc w:val="center"/>
        <w:tblLook w:val="04A0" w:firstRow="1" w:lastRow="0" w:firstColumn="1" w:lastColumn="0" w:noHBand="0" w:noVBand="1"/>
      </w:tblPr>
      <w:tblGrid>
        <w:gridCol w:w="2474"/>
        <w:gridCol w:w="2566"/>
      </w:tblGrid>
      <w:tr w:rsidR="00480680" w:rsidRPr="00480680" w14:paraId="2057F55A" w14:textId="77777777" w:rsidTr="008733AB">
        <w:trPr>
          <w:cnfStyle w:val="100000000000" w:firstRow="1" w:lastRow="0" w:firstColumn="0" w:lastColumn="0" w:oddVBand="0" w:evenVBand="0" w:oddHBand="0"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0BB46DF9" w14:textId="77777777" w:rsidR="00AC7AA4" w:rsidRPr="008733AB" w:rsidRDefault="00AC7AA4" w:rsidP="00AC7AA4">
            <w:pPr>
              <w:spacing w:line="240" w:lineRule="auto"/>
              <w:jc w:val="center"/>
              <w:rPr>
                <w:rFonts w:eastAsia="Times New Roman"/>
                <w:color w:val="auto"/>
                <w:sz w:val="20"/>
                <w:szCs w:val="20"/>
                <w:lang w:val="es-MX" w:eastAsia="es-MX"/>
              </w:rPr>
            </w:pPr>
            <w:r w:rsidRPr="008733AB">
              <w:rPr>
                <w:rFonts w:eastAsia="Times New Roman"/>
                <w:color w:val="auto"/>
                <w:sz w:val="20"/>
                <w:szCs w:val="20"/>
                <w:lang w:val="es-MX" w:eastAsia="es-MX"/>
              </w:rPr>
              <w:t>Calidad</w:t>
            </w:r>
          </w:p>
        </w:tc>
        <w:tc>
          <w:tcPr>
            <w:tcW w:w="0" w:type="dxa"/>
            <w:hideMark/>
          </w:tcPr>
          <w:p w14:paraId="23EB98F7" w14:textId="0DF1E918" w:rsidR="00AC7AA4" w:rsidRPr="008733AB" w:rsidRDefault="00480680" w:rsidP="00AC7AA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val="es-MX" w:eastAsia="es-MX"/>
              </w:rPr>
            </w:pPr>
            <w:r>
              <w:rPr>
                <w:rFonts w:eastAsia="Times New Roman"/>
                <w:color w:val="auto"/>
                <w:sz w:val="20"/>
                <w:szCs w:val="20"/>
                <w:lang w:val="es-MX" w:eastAsia="es-MX"/>
              </w:rPr>
              <w:t>Capacidad requerida</w:t>
            </w:r>
          </w:p>
        </w:tc>
      </w:tr>
      <w:tr w:rsidR="00480680" w:rsidRPr="00480680" w14:paraId="5DE70043" w14:textId="77777777" w:rsidTr="008733A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96C4B52" w14:textId="77777777" w:rsidR="00AC7AA4" w:rsidRPr="008733AB" w:rsidRDefault="00AC7AA4" w:rsidP="00AC7AA4">
            <w:pPr>
              <w:spacing w:line="240" w:lineRule="auto"/>
              <w:jc w:val="left"/>
              <w:rPr>
                <w:rFonts w:eastAsia="Times New Roman"/>
                <w:color w:val="auto"/>
                <w:sz w:val="20"/>
                <w:szCs w:val="20"/>
                <w:lang w:val="es-MX" w:eastAsia="es-MX"/>
              </w:rPr>
            </w:pPr>
            <w:r w:rsidRPr="008733AB">
              <w:rPr>
                <w:rFonts w:eastAsia="Times New Roman"/>
                <w:color w:val="auto"/>
                <w:sz w:val="20"/>
                <w:szCs w:val="20"/>
                <w:lang w:val="es-MX" w:eastAsia="es-MX"/>
              </w:rPr>
              <w:t>Calidad Best Effort</w:t>
            </w:r>
          </w:p>
        </w:tc>
        <w:tc>
          <w:tcPr>
            <w:tcW w:w="0" w:type="dxa"/>
            <w:noWrap/>
            <w:vAlign w:val="center"/>
            <w:hideMark/>
          </w:tcPr>
          <w:p w14:paraId="7A926985" w14:textId="614E118D" w:rsidR="00AC7AA4" w:rsidRPr="008733AB" w:rsidRDefault="00AC7AA4"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eastAsia="es-MX"/>
              </w:rPr>
            </w:pPr>
            <w:r w:rsidRPr="008733AB">
              <w:rPr>
                <w:rFonts w:eastAsia="Times New Roman"/>
                <w:sz w:val="20"/>
                <w:szCs w:val="20"/>
                <w:lang w:val="es-MX" w:eastAsia="es-MX"/>
              </w:rPr>
              <w:t>1</w:t>
            </w:r>
            <w:r w:rsidR="002E5CEE">
              <w:rPr>
                <w:rFonts w:eastAsia="Times New Roman"/>
                <w:sz w:val="20"/>
                <w:szCs w:val="20"/>
                <w:lang w:val="es-MX" w:eastAsia="es-MX"/>
              </w:rPr>
              <w:t>.00</w:t>
            </w:r>
          </w:p>
        </w:tc>
      </w:tr>
      <w:tr w:rsidR="00480680" w:rsidRPr="00480680" w14:paraId="127FD4E0" w14:textId="77777777" w:rsidTr="008733AB">
        <w:trPr>
          <w:trHeight w:val="28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0201E861" w14:textId="77777777" w:rsidR="00AC7AA4" w:rsidRPr="008733AB" w:rsidRDefault="00AC7AA4" w:rsidP="00AC7AA4">
            <w:pPr>
              <w:spacing w:line="240" w:lineRule="auto"/>
              <w:jc w:val="left"/>
              <w:rPr>
                <w:rFonts w:eastAsia="Times New Roman"/>
                <w:color w:val="auto"/>
                <w:sz w:val="20"/>
                <w:szCs w:val="20"/>
                <w:lang w:val="es-MX" w:eastAsia="es-MX"/>
              </w:rPr>
            </w:pPr>
            <w:r w:rsidRPr="008733AB">
              <w:rPr>
                <w:rFonts w:eastAsia="Times New Roman"/>
                <w:color w:val="auto"/>
                <w:sz w:val="20"/>
                <w:szCs w:val="20"/>
                <w:lang w:val="es-MX" w:eastAsia="es-MX"/>
              </w:rPr>
              <w:t>Calidad Datos Generales</w:t>
            </w:r>
          </w:p>
        </w:tc>
        <w:tc>
          <w:tcPr>
            <w:tcW w:w="0" w:type="dxa"/>
            <w:noWrap/>
            <w:vAlign w:val="center"/>
            <w:hideMark/>
          </w:tcPr>
          <w:p w14:paraId="1E3C8325" w14:textId="42DA6458" w:rsidR="00AC7AA4" w:rsidRPr="00D1785C" w:rsidRDefault="00AC7AA4" w:rsidP="00244D5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eastAsia="es-MX"/>
              </w:rPr>
            </w:pPr>
            <w:r w:rsidRPr="00244D55">
              <w:rPr>
                <w:rFonts w:eastAsia="Times New Roman"/>
                <w:sz w:val="20"/>
                <w:szCs w:val="20"/>
                <w:lang w:val="es-MX" w:eastAsia="es-MX"/>
              </w:rPr>
              <w:t>1.11</w:t>
            </w:r>
          </w:p>
        </w:tc>
      </w:tr>
      <w:tr w:rsidR="00480680" w:rsidRPr="00480680" w14:paraId="76C19AC8"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D1642DB" w14:textId="77777777" w:rsidR="00AC7AA4" w:rsidRPr="008733AB" w:rsidRDefault="00AC7AA4" w:rsidP="00AC7AA4">
            <w:pPr>
              <w:spacing w:line="240" w:lineRule="auto"/>
              <w:jc w:val="left"/>
              <w:rPr>
                <w:rFonts w:eastAsia="Times New Roman"/>
                <w:color w:val="auto"/>
                <w:sz w:val="20"/>
                <w:szCs w:val="20"/>
                <w:lang w:val="es-MX" w:eastAsia="es-MX"/>
              </w:rPr>
            </w:pPr>
            <w:r w:rsidRPr="008733AB">
              <w:rPr>
                <w:rFonts w:eastAsia="Times New Roman"/>
                <w:color w:val="auto"/>
                <w:sz w:val="20"/>
                <w:szCs w:val="20"/>
                <w:lang w:val="es-MX" w:eastAsia="es-MX"/>
              </w:rPr>
              <w:t>Calidad Doble</w:t>
            </w:r>
          </w:p>
        </w:tc>
        <w:tc>
          <w:tcPr>
            <w:tcW w:w="0" w:type="dxa"/>
            <w:noWrap/>
            <w:vAlign w:val="center"/>
            <w:hideMark/>
          </w:tcPr>
          <w:p w14:paraId="6A0FAF36" w14:textId="251B8D32" w:rsidR="00AC7AA4" w:rsidRPr="00D1785C" w:rsidRDefault="00AC7AA4" w:rsidP="00244D5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eastAsia="es-MX"/>
              </w:rPr>
            </w:pPr>
            <w:r w:rsidRPr="00244D55">
              <w:rPr>
                <w:rFonts w:eastAsia="Times New Roman"/>
                <w:sz w:val="20"/>
                <w:szCs w:val="20"/>
                <w:lang w:val="es-MX" w:eastAsia="es-MX"/>
              </w:rPr>
              <w:t>1.27</w:t>
            </w:r>
          </w:p>
        </w:tc>
      </w:tr>
      <w:tr w:rsidR="00480680" w:rsidRPr="00480680" w14:paraId="56B49662" w14:textId="77777777" w:rsidTr="008733AB">
        <w:trPr>
          <w:trHeight w:val="28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C5BE7A2" w14:textId="77777777" w:rsidR="00AC7AA4" w:rsidRPr="008733AB" w:rsidRDefault="00AC7AA4" w:rsidP="00AC7AA4">
            <w:pPr>
              <w:spacing w:line="240" w:lineRule="auto"/>
              <w:jc w:val="left"/>
              <w:rPr>
                <w:rFonts w:eastAsia="Times New Roman"/>
                <w:color w:val="auto"/>
                <w:sz w:val="20"/>
                <w:szCs w:val="20"/>
                <w:lang w:val="es-MX" w:eastAsia="es-MX"/>
              </w:rPr>
            </w:pPr>
            <w:r w:rsidRPr="008733AB">
              <w:rPr>
                <w:rFonts w:eastAsia="Times New Roman"/>
                <w:color w:val="auto"/>
                <w:sz w:val="20"/>
                <w:szCs w:val="20"/>
                <w:lang w:val="es-MX" w:eastAsia="es-MX"/>
              </w:rPr>
              <w:t>Calidad Triple</w:t>
            </w:r>
          </w:p>
        </w:tc>
        <w:tc>
          <w:tcPr>
            <w:tcW w:w="0" w:type="dxa"/>
            <w:noWrap/>
            <w:vAlign w:val="center"/>
            <w:hideMark/>
          </w:tcPr>
          <w:p w14:paraId="6CD23127" w14:textId="1DC983C3" w:rsidR="00AC7AA4" w:rsidRPr="00D1785C" w:rsidRDefault="00AC7AA4" w:rsidP="00244D5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eastAsia="es-MX"/>
              </w:rPr>
            </w:pPr>
            <w:r w:rsidRPr="00244D55">
              <w:rPr>
                <w:rFonts w:eastAsia="Times New Roman"/>
                <w:sz w:val="20"/>
                <w:szCs w:val="20"/>
                <w:lang w:val="es-MX" w:eastAsia="es-MX"/>
              </w:rPr>
              <w:t>1.42</w:t>
            </w:r>
          </w:p>
        </w:tc>
      </w:tr>
    </w:tbl>
    <w:p w14:paraId="636E6906" w14:textId="77777777" w:rsidR="00AC7AA4" w:rsidRDefault="00AC7AA4" w:rsidP="008733AB">
      <w:pPr>
        <w:pStyle w:val="Textoindependiente"/>
        <w:ind w:left="720"/>
        <w:rPr>
          <w:sz w:val="20"/>
          <w:szCs w:val="22"/>
          <w:lang w:val="es-MX" w:eastAsia="en-US"/>
        </w:rPr>
      </w:pPr>
    </w:p>
    <w:p w14:paraId="4B36B009" w14:textId="37507A4C" w:rsidR="00AC7AA4" w:rsidRDefault="007A5B1C" w:rsidP="007A5B1C">
      <w:pPr>
        <w:pStyle w:val="Textoindependiente"/>
        <w:numPr>
          <w:ilvl w:val="0"/>
          <w:numId w:val="48"/>
        </w:numPr>
        <w:rPr>
          <w:sz w:val="20"/>
          <w:szCs w:val="22"/>
          <w:lang w:val="es-MX" w:eastAsia="en-US"/>
        </w:rPr>
      </w:pPr>
      <w:r>
        <w:rPr>
          <w:sz w:val="20"/>
          <w:szCs w:val="22"/>
          <w:lang w:val="es-MX" w:eastAsia="en-US"/>
        </w:rPr>
        <w:t xml:space="preserve">Factor promedio de simetría calculado a partir de </w:t>
      </w:r>
      <w:r w:rsidR="00AC7AA4">
        <w:rPr>
          <w:sz w:val="20"/>
          <w:szCs w:val="22"/>
          <w:lang w:val="es-MX" w:eastAsia="en-US"/>
        </w:rPr>
        <w:t xml:space="preserve">estimaciones del Instituto </w:t>
      </w:r>
      <w:r w:rsidR="002E5CEE">
        <w:rPr>
          <w:sz w:val="20"/>
          <w:szCs w:val="22"/>
          <w:lang w:val="es-MX" w:eastAsia="en-US"/>
        </w:rPr>
        <w:t>en la OREDA 2021</w:t>
      </w:r>
      <w:r>
        <w:rPr>
          <w:sz w:val="20"/>
          <w:szCs w:val="22"/>
          <w:lang w:val="es-MX" w:eastAsia="en-US"/>
        </w:rPr>
        <w:t xml:space="preserve"> </w:t>
      </w:r>
      <w:r w:rsidR="00AC7AA4">
        <w:rPr>
          <w:sz w:val="20"/>
          <w:szCs w:val="22"/>
          <w:lang w:val="es-MX" w:eastAsia="en-US"/>
        </w:rPr>
        <w:t>para determinar el sobrecosto en porcentaje que representa ascender a la opción de simetría respecto al precio implícito de internet</w:t>
      </w:r>
      <w:r>
        <w:rPr>
          <w:sz w:val="20"/>
          <w:szCs w:val="22"/>
          <w:lang w:val="es-MX" w:eastAsia="en-US"/>
        </w:rPr>
        <w:t>.</w:t>
      </w:r>
      <w:r w:rsidR="00AC7AA4">
        <w:rPr>
          <w:sz w:val="20"/>
          <w:szCs w:val="22"/>
          <w:lang w:val="es-MX" w:eastAsia="en-US"/>
        </w:rPr>
        <w:t xml:space="preserve"> </w:t>
      </w:r>
    </w:p>
    <w:tbl>
      <w:tblPr>
        <w:tblStyle w:val="Tablaconcuadrcula5oscura"/>
        <w:tblW w:w="5040" w:type="dxa"/>
        <w:jc w:val="center"/>
        <w:tblLook w:val="04A0" w:firstRow="1" w:lastRow="0" w:firstColumn="1" w:lastColumn="0" w:noHBand="0" w:noVBand="1"/>
      </w:tblPr>
      <w:tblGrid>
        <w:gridCol w:w="3353"/>
        <w:gridCol w:w="1687"/>
      </w:tblGrid>
      <w:tr w:rsidR="00480680" w:rsidRPr="00480680" w14:paraId="4244A2E9" w14:textId="77777777" w:rsidTr="008733AB">
        <w:trPr>
          <w:cnfStyle w:val="100000000000" w:firstRow="1" w:lastRow="0" w:firstColumn="0" w:lastColumn="0" w:oddVBand="0" w:evenVBand="0" w:oddHBand="0"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E263521" w14:textId="77777777" w:rsidR="00480680" w:rsidRPr="008733AB" w:rsidRDefault="00480680" w:rsidP="00244D55">
            <w:pPr>
              <w:spacing w:line="240" w:lineRule="auto"/>
              <w:jc w:val="center"/>
              <w:rPr>
                <w:rFonts w:eastAsia="Times New Roman"/>
                <w:color w:val="FFFFFF"/>
                <w:sz w:val="20"/>
                <w:szCs w:val="20"/>
                <w:lang w:val="es-MX" w:eastAsia="es-MX"/>
              </w:rPr>
            </w:pPr>
            <w:r w:rsidRPr="008733AB">
              <w:rPr>
                <w:rFonts w:eastAsia="Times New Roman"/>
                <w:color w:val="FFFFFF"/>
                <w:sz w:val="20"/>
                <w:szCs w:val="20"/>
                <w:lang w:val="es-MX" w:eastAsia="es-MX"/>
              </w:rPr>
              <w:t>Simétricos/Asimétricos</w:t>
            </w:r>
          </w:p>
        </w:tc>
        <w:tc>
          <w:tcPr>
            <w:tcW w:w="0" w:type="dxa"/>
            <w:vAlign w:val="center"/>
            <w:hideMark/>
          </w:tcPr>
          <w:p w14:paraId="7AD115F7" w14:textId="78F4A089" w:rsidR="00480680" w:rsidRPr="008733AB" w:rsidRDefault="00480680" w:rsidP="00D1785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s-MX" w:eastAsia="es-MX"/>
              </w:rPr>
            </w:pPr>
            <w:r>
              <w:rPr>
                <w:rFonts w:eastAsia="Times New Roman"/>
                <w:color w:val="FFFFFF"/>
                <w:sz w:val="20"/>
                <w:szCs w:val="20"/>
                <w:lang w:val="es-MX" w:eastAsia="es-MX"/>
              </w:rPr>
              <w:t>Capacidad requerida</w:t>
            </w:r>
          </w:p>
        </w:tc>
      </w:tr>
      <w:tr w:rsidR="00480680" w:rsidRPr="00480680" w14:paraId="0E4FB6CC" w14:textId="77777777" w:rsidTr="008733A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E2A99FD" w14:textId="77777777" w:rsidR="00480680" w:rsidRPr="008733AB" w:rsidRDefault="00480680" w:rsidP="008733AB">
            <w:pPr>
              <w:spacing w:line="240" w:lineRule="auto"/>
              <w:jc w:val="center"/>
              <w:rPr>
                <w:rFonts w:eastAsia="Times New Roman"/>
                <w:sz w:val="20"/>
                <w:szCs w:val="20"/>
                <w:lang w:val="es-MX" w:eastAsia="es-MX"/>
              </w:rPr>
            </w:pPr>
            <w:r w:rsidRPr="008733AB">
              <w:rPr>
                <w:rFonts w:eastAsia="Times New Roman"/>
                <w:color w:val="auto"/>
                <w:sz w:val="20"/>
                <w:szCs w:val="20"/>
                <w:lang w:val="es-MX" w:eastAsia="es-MX"/>
              </w:rPr>
              <w:t>Asimétricos</w:t>
            </w:r>
          </w:p>
        </w:tc>
        <w:tc>
          <w:tcPr>
            <w:tcW w:w="0" w:type="dxa"/>
            <w:noWrap/>
            <w:vAlign w:val="center"/>
            <w:hideMark/>
          </w:tcPr>
          <w:p w14:paraId="2362547B" w14:textId="7328BE51" w:rsidR="00480680" w:rsidRPr="00D1785C" w:rsidRDefault="00480680" w:rsidP="00244D5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eastAsia="es-MX"/>
              </w:rPr>
            </w:pPr>
            <w:r w:rsidRPr="00244D55">
              <w:rPr>
                <w:rFonts w:eastAsia="Times New Roman"/>
                <w:sz w:val="20"/>
                <w:szCs w:val="20"/>
                <w:lang w:val="es-MX" w:eastAsia="es-MX"/>
              </w:rPr>
              <w:t>1.00</w:t>
            </w:r>
          </w:p>
        </w:tc>
      </w:tr>
      <w:tr w:rsidR="00480680" w:rsidRPr="00480680" w14:paraId="13840F6B" w14:textId="77777777" w:rsidTr="008733AB">
        <w:trPr>
          <w:trHeight w:val="28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2467DC" w14:textId="77777777" w:rsidR="00480680" w:rsidRPr="008733AB" w:rsidRDefault="00480680" w:rsidP="008733AB">
            <w:pPr>
              <w:spacing w:line="240" w:lineRule="auto"/>
              <w:jc w:val="center"/>
              <w:rPr>
                <w:rFonts w:eastAsia="Times New Roman"/>
                <w:sz w:val="20"/>
                <w:szCs w:val="20"/>
                <w:lang w:val="es-MX" w:eastAsia="es-MX"/>
              </w:rPr>
            </w:pPr>
            <w:r w:rsidRPr="008733AB">
              <w:rPr>
                <w:rFonts w:eastAsia="Times New Roman"/>
                <w:color w:val="auto"/>
                <w:sz w:val="20"/>
                <w:szCs w:val="20"/>
                <w:lang w:val="es-MX" w:eastAsia="es-MX"/>
              </w:rPr>
              <w:t>Simétricos</w:t>
            </w:r>
          </w:p>
        </w:tc>
        <w:tc>
          <w:tcPr>
            <w:tcW w:w="0" w:type="dxa"/>
            <w:noWrap/>
            <w:vAlign w:val="center"/>
            <w:hideMark/>
          </w:tcPr>
          <w:p w14:paraId="46B11BCB" w14:textId="77777777" w:rsidR="00480680" w:rsidRPr="00D1785C" w:rsidRDefault="00480680" w:rsidP="00244D5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eastAsia="es-MX"/>
              </w:rPr>
            </w:pPr>
            <w:r w:rsidRPr="00244D55">
              <w:rPr>
                <w:rFonts w:eastAsia="Times New Roman"/>
                <w:sz w:val="20"/>
                <w:szCs w:val="20"/>
                <w:lang w:val="es-MX" w:eastAsia="es-MX"/>
              </w:rPr>
              <w:t>1.79</w:t>
            </w:r>
          </w:p>
        </w:tc>
      </w:tr>
    </w:tbl>
    <w:p w14:paraId="40CF1F38" w14:textId="77777777" w:rsidR="00480680" w:rsidRDefault="00480680" w:rsidP="008733AB">
      <w:pPr>
        <w:pStyle w:val="Textoindependiente"/>
        <w:ind w:left="720"/>
        <w:rPr>
          <w:sz w:val="20"/>
          <w:szCs w:val="22"/>
          <w:lang w:val="es-MX" w:eastAsia="en-US"/>
        </w:rPr>
      </w:pPr>
    </w:p>
    <w:p w14:paraId="628D5207" w14:textId="257077A0" w:rsidR="007A5B1C" w:rsidRDefault="00AC7AA4" w:rsidP="007A5B1C">
      <w:pPr>
        <w:pStyle w:val="Textoindependiente"/>
        <w:numPr>
          <w:ilvl w:val="0"/>
          <w:numId w:val="48"/>
        </w:numPr>
        <w:rPr>
          <w:sz w:val="20"/>
          <w:szCs w:val="22"/>
          <w:lang w:val="es-MX" w:eastAsia="en-US"/>
        </w:rPr>
      </w:pPr>
      <w:r>
        <w:rPr>
          <w:sz w:val="20"/>
          <w:szCs w:val="22"/>
          <w:lang w:val="es-MX" w:eastAsia="en-US"/>
        </w:rPr>
        <w:t>Proporción de tráfico en términos de la capacidad de SCyD estimado por el Instituto a partir de información proporcionada por el AEP.</w:t>
      </w:r>
    </w:p>
    <w:tbl>
      <w:tblPr>
        <w:tblStyle w:val="Tablaconcuadrcula5oscura"/>
        <w:tblW w:w="5040" w:type="dxa"/>
        <w:jc w:val="center"/>
        <w:tblLook w:val="04A0" w:firstRow="1" w:lastRow="0" w:firstColumn="1" w:lastColumn="0" w:noHBand="0" w:noVBand="1"/>
      </w:tblPr>
      <w:tblGrid>
        <w:gridCol w:w="2553"/>
        <w:gridCol w:w="2487"/>
      </w:tblGrid>
      <w:tr w:rsidR="002E5CEE" w:rsidRPr="002E5CEE" w14:paraId="78B133D9" w14:textId="77777777" w:rsidTr="008733AB">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6C7F12C" w14:textId="77777777" w:rsidR="002E5CEE" w:rsidRPr="008733AB" w:rsidRDefault="002E5CEE" w:rsidP="00244D55">
            <w:pPr>
              <w:spacing w:line="240" w:lineRule="auto"/>
              <w:jc w:val="center"/>
              <w:rPr>
                <w:rFonts w:eastAsia="Times New Roman"/>
                <w:color w:val="FFFFFF"/>
                <w:sz w:val="20"/>
                <w:szCs w:val="20"/>
                <w:lang w:val="es-MX" w:eastAsia="es-MX"/>
              </w:rPr>
            </w:pPr>
            <w:r w:rsidRPr="008733AB">
              <w:rPr>
                <w:rFonts w:eastAsia="Times New Roman"/>
                <w:color w:val="FFFFFF"/>
                <w:sz w:val="20"/>
                <w:szCs w:val="20"/>
                <w:lang w:val="es-MX" w:eastAsia="es-MX"/>
              </w:rPr>
              <w:t>Nivel de Agregación</w:t>
            </w:r>
          </w:p>
        </w:tc>
        <w:tc>
          <w:tcPr>
            <w:tcW w:w="0" w:type="dxa"/>
            <w:vAlign w:val="center"/>
            <w:hideMark/>
          </w:tcPr>
          <w:p w14:paraId="1F7C2557" w14:textId="77777777" w:rsidR="002E5CEE" w:rsidRPr="008733AB" w:rsidRDefault="002E5CEE" w:rsidP="00D1785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s-MX" w:eastAsia="es-MX"/>
              </w:rPr>
            </w:pPr>
            <w:r w:rsidRPr="008733AB">
              <w:rPr>
                <w:rFonts w:eastAsia="Times New Roman"/>
                <w:color w:val="FFFFFF"/>
                <w:sz w:val="20"/>
                <w:szCs w:val="20"/>
                <w:lang w:val="es-MX" w:eastAsia="es-MX"/>
              </w:rPr>
              <w:t>Proporción de tráfico</w:t>
            </w:r>
          </w:p>
        </w:tc>
      </w:tr>
      <w:tr w:rsidR="002E5CEE" w:rsidRPr="002E5CEE" w14:paraId="12E9897F" w14:textId="77777777" w:rsidTr="008733A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11F0358" w14:textId="77777777" w:rsidR="002E5CEE" w:rsidRPr="008733AB" w:rsidRDefault="002E5CEE" w:rsidP="008733AB">
            <w:pPr>
              <w:spacing w:line="240" w:lineRule="auto"/>
              <w:jc w:val="center"/>
              <w:rPr>
                <w:rFonts w:eastAsia="Times New Roman"/>
                <w:sz w:val="20"/>
                <w:szCs w:val="20"/>
                <w:lang w:val="es-MX" w:eastAsia="es-MX"/>
              </w:rPr>
            </w:pPr>
            <w:r w:rsidRPr="008733AB">
              <w:rPr>
                <w:rFonts w:eastAsia="Times New Roman"/>
                <w:sz w:val="20"/>
                <w:szCs w:val="20"/>
                <w:lang w:val="es-MX" w:eastAsia="es-MX"/>
              </w:rPr>
              <w:t>Local</w:t>
            </w:r>
          </w:p>
        </w:tc>
        <w:tc>
          <w:tcPr>
            <w:tcW w:w="0" w:type="dxa"/>
            <w:noWrap/>
            <w:vAlign w:val="center"/>
            <w:hideMark/>
          </w:tcPr>
          <w:p w14:paraId="5DD01604" w14:textId="77777777" w:rsidR="002E5CEE" w:rsidRPr="008733AB" w:rsidRDefault="002E5CEE" w:rsidP="00244D5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eastAsia="es-MX"/>
              </w:rPr>
            </w:pPr>
            <w:r w:rsidRPr="008733AB">
              <w:rPr>
                <w:rFonts w:eastAsia="Times New Roman"/>
                <w:sz w:val="20"/>
                <w:szCs w:val="20"/>
                <w:lang w:val="es-MX" w:eastAsia="es-MX"/>
              </w:rPr>
              <w:t>0.0010%</w:t>
            </w:r>
          </w:p>
        </w:tc>
      </w:tr>
      <w:tr w:rsidR="002E5CEE" w:rsidRPr="002E5CEE" w14:paraId="23593B90"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4C9226" w14:textId="77777777" w:rsidR="002E5CEE" w:rsidRPr="008733AB" w:rsidRDefault="002E5CEE" w:rsidP="008733AB">
            <w:pPr>
              <w:spacing w:line="240" w:lineRule="auto"/>
              <w:jc w:val="center"/>
              <w:rPr>
                <w:rFonts w:eastAsia="Times New Roman"/>
                <w:sz w:val="20"/>
                <w:szCs w:val="20"/>
                <w:lang w:val="es-MX" w:eastAsia="es-MX"/>
              </w:rPr>
            </w:pPr>
            <w:r w:rsidRPr="008733AB">
              <w:rPr>
                <w:rFonts w:eastAsia="Times New Roman"/>
                <w:sz w:val="20"/>
                <w:szCs w:val="20"/>
                <w:lang w:val="es-MX" w:eastAsia="es-MX"/>
              </w:rPr>
              <w:t>Regional</w:t>
            </w:r>
          </w:p>
        </w:tc>
        <w:tc>
          <w:tcPr>
            <w:tcW w:w="0" w:type="dxa"/>
            <w:noWrap/>
            <w:vAlign w:val="center"/>
            <w:hideMark/>
          </w:tcPr>
          <w:p w14:paraId="288F7A72" w14:textId="77777777" w:rsidR="002E5CEE" w:rsidRPr="008733AB" w:rsidRDefault="002E5CEE" w:rsidP="00244D5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MX" w:eastAsia="es-MX"/>
              </w:rPr>
            </w:pPr>
            <w:r w:rsidRPr="008733AB">
              <w:rPr>
                <w:rFonts w:eastAsia="Times New Roman"/>
                <w:sz w:val="20"/>
                <w:szCs w:val="20"/>
                <w:lang w:val="es-MX" w:eastAsia="es-MX"/>
              </w:rPr>
              <w:t>99.9933%</w:t>
            </w:r>
          </w:p>
        </w:tc>
      </w:tr>
      <w:tr w:rsidR="002E5CEE" w:rsidRPr="002E5CEE" w14:paraId="1BD17A76" w14:textId="77777777" w:rsidTr="008733A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4EB61D" w14:textId="77777777" w:rsidR="002E5CEE" w:rsidRPr="008733AB" w:rsidRDefault="002E5CEE" w:rsidP="008733AB">
            <w:pPr>
              <w:spacing w:line="240" w:lineRule="auto"/>
              <w:jc w:val="center"/>
              <w:rPr>
                <w:rFonts w:eastAsia="Times New Roman"/>
                <w:sz w:val="20"/>
                <w:szCs w:val="20"/>
                <w:lang w:val="es-MX" w:eastAsia="es-MX"/>
              </w:rPr>
            </w:pPr>
            <w:r w:rsidRPr="008733AB">
              <w:rPr>
                <w:rFonts w:eastAsia="Times New Roman"/>
                <w:sz w:val="20"/>
                <w:szCs w:val="20"/>
                <w:lang w:val="es-MX" w:eastAsia="es-MX"/>
              </w:rPr>
              <w:t>Nacional</w:t>
            </w:r>
          </w:p>
        </w:tc>
        <w:tc>
          <w:tcPr>
            <w:tcW w:w="0" w:type="dxa"/>
            <w:noWrap/>
            <w:vAlign w:val="center"/>
            <w:hideMark/>
          </w:tcPr>
          <w:p w14:paraId="33AD5638" w14:textId="77777777" w:rsidR="002E5CEE" w:rsidRPr="008733AB" w:rsidRDefault="002E5CEE" w:rsidP="00244D5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MX" w:eastAsia="es-MX"/>
              </w:rPr>
            </w:pPr>
            <w:r w:rsidRPr="008733AB">
              <w:rPr>
                <w:rFonts w:eastAsia="Times New Roman"/>
                <w:sz w:val="20"/>
                <w:szCs w:val="20"/>
                <w:lang w:val="es-MX" w:eastAsia="es-MX"/>
              </w:rPr>
              <w:t>0.0057%</w:t>
            </w:r>
          </w:p>
        </w:tc>
      </w:tr>
    </w:tbl>
    <w:p w14:paraId="5705D5AB" w14:textId="5EAD8F2F" w:rsidR="002E5CEE" w:rsidRDefault="002E5CEE" w:rsidP="002E5CEE">
      <w:pPr>
        <w:pStyle w:val="Textoindependiente"/>
        <w:numPr>
          <w:ilvl w:val="0"/>
          <w:numId w:val="48"/>
        </w:numPr>
        <w:rPr>
          <w:sz w:val="20"/>
          <w:szCs w:val="22"/>
          <w:lang w:val="es-MX" w:eastAsia="en-US"/>
        </w:rPr>
      </w:pPr>
      <w:r>
        <w:rPr>
          <w:sz w:val="20"/>
          <w:szCs w:val="22"/>
          <w:lang w:val="es-MX" w:eastAsia="en-US"/>
        </w:rPr>
        <w:t>G</w:t>
      </w:r>
      <w:r w:rsidRPr="002E5CEE">
        <w:rPr>
          <w:sz w:val="20"/>
          <w:szCs w:val="22"/>
          <w:lang w:val="es-MX" w:eastAsia="en-US"/>
        </w:rPr>
        <w:t xml:space="preserve">radiente de precios por megabyte de acuerdo con la provisión de servicios en la red de transporte </w:t>
      </w:r>
      <w:r w:rsidR="00BE5D6A" w:rsidRPr="002E5CEE">
        <w:rPr>
          <w:sz w:val="20"/>
          <w:szCs w:val="22"/>
          <w:lang w:val="es-MX" w:eastAsia="en-US"/>
        </w:rPr>
        <w:t>de acuerdo con</w:t>
      </w:r>
      <w:r w:rsidRPr="002E5CEE">
        <w:rPr>
          <w:sz w:val="20"/>
          <w:szCs w:val="22"/>
          <w:lang w:val="es-MX" w:eastAsia="en-US"/>
        </w:rPr>
        <w:t xml:space="preserve"> la velocidad contratada</w:t>
      </w:r>
      <w:r>
        <w:rPr>
          <w:sz w:val="20"/>
          <w:szCs w:val="22"/>
          <w:lang w:val="es-MX" w:eastAsia="en-US"/>
        </w:rPr>
        <w:t xml:space="preserve">. Estimado por el Instituto a partir del costo por megabyte </w:t>
      </w:r>
      <w:r>
        <w:rPr>
          <w:sz w:val="20"/>
          <w:szCs w:val="22"/>
          <w:lang w:val="es-MX" w:eastAsia="en-US"/>
        </w:rPr>
        <w:lastRenderedPageBreak/>
        <w:t xml:space="preserve">obtenido del Modelo de Interconexión </w:t>
      </w:r>
      <w:r w:rsidR="009F2FA7">
        <w:rPr>
          <w:sz w:val="20"/>
          <w:szCs w:val="22"/>
          <w:lang w:val="es-MX" w:eastAsia="en-US"/>
        </w:rPr>
        <w:t xml:space="preserve">Fijo </w:t>
      </w:r>
      <w:r w:rsidR="00BE5D6A">
        <w:rPr>
          <w:sz w:val="20"/>
          <w:szCs w:val="22"/>
          <w:lang w:val="es-MX" w:eastAsia="en-US"/>
        </w:rPr>
        <w:t xml:space="preserve">e información de </w:t>
      </w:r>
      <w:r w:rsidR="00C04863">
        <w:rPr>
          <w:sz w:val="20"/>
          <w:szCs w:val="22"/>
          <w:lang w:val="es-MX" w:eastAsia="en-US"/>
        </w:rPr>
        <w:t xml:space="preserve">uso de </w:t>
      </w:r>
      <w:r w:rsidR="00BE5D6A">
        <w:rPr>
          <w:sz w:val="20"/>
          <w:szCs w:val="22"/>
          <w:lang w:val="es-MX" w:eastAsia="en-US"/>
        </w:rPr>
        <w:t>banda ancha proporcionado para el</w:t>
      </w:r>
      <w:r>
        <w:rPr>
          <w:sz w:val="20"/>
          <w:szCs w:val="22"/>
          <w:lang w:val="es-MX" w:eastAsia="en-US"/>
        </w:rPr>
        <w:t xml:space="preserve"> AEP.</w:t>
      </w:r>
    </w:p>
    <w:tbl>
      <w:tblPr>
        <w:tblStyle w:val="Tablaconcuadrcula5oscura"/>
        <w:tblW w:w="5040" w:type="dxa"/>
        <w:jc w:val="center"/>
        <w:tblLook w:val="04A0" w:firstRow="1" w:lastRow="0" w:firstColumn="1" w:lastColumn="0" w:noHBand="0" w:noVBand="1"/>
      </w:tblPr>
      <w:tblGrid>
        <w:gridCol w:w="2640"/>
        <w:gridCol w:w="2400"/>
      </w:tblGrid>
      <w:tr w:rsidR="002E5CEE" w:rsidRPr="002E5CEE" w14:paraId="0C0DA4C0" w14:textId="77777777" w:rsidTr="008733AB">
        <w:trPr>
          <w:cnfStyle w:val="100000000000" w:firstRow="1" w:lastRow="0" w:firstColumn="0" w:lastColumn="0" w:oddVBand="0" w:evenVBand="0" w:oddHBand="0"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C401831" w14:textId="77777777" w:rsidR="002E5CEE" w:rsidRPr="008733AB" w:rsidRDefault="002E5CEE" w:rsidP="00244D55">
            <w:pPr>
              <w:spacing w:line="240" w:lineRule="auto"/>
              <w:jc w:val="center"/>
              <w:rPr>
                <w:rFonts w:eastAsia="Times New Roman"/>
                <w:color w:val="FFFFFF"/>
                <w:sz w:val="20"/>
                <w:szCs w:val="20"/>
                <w:lang w:val="es-MX" w:eastAsia="es-MX"/>
              </w:rPr>
            </w:pPr>
            <w:r w:rsidRPr="008733AB">
              <w:rPr>
                <w:rFonts w:eastAsia="Times New Roman"/>
                <w:color w:val="FFFFFF"/>
                <w:sz w:val="20"/>
                <w:szCs w:val="20"/>
                <w:lang w:val="es-MX" w:eastAsia="es-MX"/>
              </w:rPr>
              <w:t>Velocidad de bajada (Mbps)</w:t>
            </w:r>
          </w:p>
        </w:tc>
        <w:tc>
          <w:tcPr>
            <w:tcW w:w="0" w:type="dxa"/>
            <w:vAlign w:val="center"/>
            <w:hideMark/>
          </w:tcPr>
          <w:p w14:paraId="51ECFF5E" w14:textId="7333F779" w:rsidR="002E5CEE" w:rsidRPr="008733AB" w:rsidRDefault="002E5CEE" w:rsidP="00D1785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val="es-MX" w:eastAsia="es-MX"/>
              </w:rPr>
            </w:pPr>
            <w:r>
              <w:rPr>
                <w:rFonts w:eastAsia="Times New Roman"/>
                <w:color w:val="FFFFFF"/>
                <w:sz w:val="20"/>
                <w:szCs w:val="20"/>
                <w:lang w:val="es-MX" w:eastAsia="es-MX"/>
              </w:rPr>
              <w:t>Gradiente de precios</w:t>
            </w:r>
          </w:p>
        </w:tc>
      </w:tr>
      <w:tr w:rsidR="00244D55" w:rsidRPr="002E5CEE" w14:paraId="3D74029A" w14:textId="77777777" w:rsidTr="00244D5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640" w:type="dxa"/>
            <w:noWrap/>
            <w:vAlign w:val="center"/>
            <w:hideMark/>
          </w:tcPr>
          <w:p w14:paraId="027606F0" w14:textId="58C5AE2E"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3</w:t>
            </w:r>
          </w:p>
        </w:tc>
        <w:tc>
          <w:tcPr>
            <w:tcW w:w="2400" w:type="dxa"/>
            <w:noWrap/>
            <w:vAlign w:val="center"/>
            <w:hideMark/>
          </w:tcPr>
          <w:p w14:paraId="04F4C69C"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1.00</w:t>
            </w:r>
          </w:p>
        </w:tc>
      </w:tr>
      <w:tr w:rsidR="002E5CEE" w:rsidRPr="002E5CEE" w14:paraId="7CE1F2CD"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9493B2" w14:textId="32B80E8D"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5</w:t>
            </w:r>
          </w:p>
        </w:tc>
        <w:tc>
          <w:tcPr>
            <w:tcW w:w="0" w:type="dxa"/>
            <w:noWrap/>
            <w:vAlign w:val="center"/>
            <w:hideMark/>
          </w:tcPr>
          <w:p w14:paraId="2CF2E257"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1.29</w:t>
            </w:r>
          </w:p>
        </w:tc>
      </w:tr>
      <w:tr w:rsidR="002E5CEE" w:rsidRPr="002E5CEE" w14:paraId="3D39C209"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32CA274" w14:textId="5A130A04"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10</w:t>
            </w:r>
          </w:p>
        </w:tc>
        <w:tc>
          <w:tcPr>
            <w:tcW w:w="0" w:type="dxa"/>
            <w:noWrap/>
            <w:vAlign w:val="center"/>
            <w:hideMark/>
          </w:tcPr>
          <w:p w14:paraId="6260F8E8"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1.84</w:t>
            </w:r>
          </w:p>
        </w:tc>
      </w:tr>
      <w:tr w:rsidR="002E5CEE" w:rsidRPr="002E5CEE" w14:paraId="78F9CEF3"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BD5B75F" w14:textId="277430A5"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20</w:t>
            </w:r>
          </w:p>
        </w:tc>
        <w:tc>
          <w:tcPr>
            <w:tcW w:w="0" w:type="dxa"/>
            <w:noWrap/>
            <w:vAlign w:val="center"/>
            <w:hideMark/>
          </w:tcPr>
          <w:p w14:paraId="00E8AB21"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2.61</w:t>
            </w:r>
          </w:p>
        </w:tc>
      </w:tr>
      <w:tr w:rsidR="002E5CEE" w:rsidRPr="002E5CEE" w14:paraId="26169266"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8548CD" w14:textId="2F7AE0B7"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30</w:t>
            </w:r>
          </w:p>
        </w:tc>
        <w:tc>
          <w:tcPr>
            <w:tcW w:w="0" w:type="dxa"/>
            <w:noWrap/>
            <w:vAlign w:val="center"/>
            <w:hideMark/>
          </w:tcPr>
          <w:p w14:paraId="6E469D89"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3.20</w:t>
            </w:r>
          </w:p>
        </w:tc>
      </w:tr>
      <w:tr w:rsidR="002E5CEE" w:rsidRPr="002E5CEE" w14:paraId="7A526018"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AFB0FD2" w14:textId="180B9DDB"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40</w:t>
            </w:r>
          </w:p>
        </w:tc>
        <w:tc>
          <w:tcPr>
            <w:tcW w:w="0" w:type="dxa"/>
            <w:noWrap/>
            <w:vAlign w:val="center"/>
            <w:hideMark/>
          </w:tcPr>
          <w:p w14:paraId="1C9AD10B"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3.70</w:t>
            </w:r>
          </w:p>
        </w:tc>
      </w:tr>
      <w:tr w:rsidR="002E5CEE" w:rsidRPr="002E5CEE" w14:paraId="2A854950"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3D7566" w14:textId="10B39814"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50</w:t>
            </w:r>
          </w:p>
        </w:tc>
        <w:tc>
          <w:tcPr>
            <w:tcW w:w="0" w:type="dxa"/>
            <w:noWrap/>
            <w:vAlign w:val="center"/>
            <w:hideMark/>
          </w:tcPr>
          <w:p w14:paraId="61CDAD7C"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4.15</w:t>
            </w:r>
          </w:p>
        </w:tc>
      </w:tr>
      <w:tr w:rsidR="002E5CEE" w:rsidRPr="002E5CEE" w14:paraId="6DB3EEE2"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5A3EAE" w14:textId="54DDEF9C"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60</w:t>
            </w:r>
          </w:p>
        </w:tc>
        <w:tc>
          <w:tcPr>
            <w:tcW w:w="0" w:type="dxa"/>
            <w:noWrap/>
            <w:vAlign w:val="center"/>
            <w:hideMark/>
          </w:tcPr>
          <w:p w14:paraId="5F237106"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4.55</w:t>
            </w:r>
          </w:p>
        </w:tc>
      </w:tr>
      <w:tr w:rsidR="002E5CEE" w:rsidRPr="002E5CEE" w14:paraId="7CBE8016"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AE05009" w14:textId="613E244A"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80</w:t>
            </w:r>
          </w:p>
        </w:tc>
        <w:tc>
          <w:tcPr>
            <w:tcW w:w="0" w:type="dxa"/>
            <w:noWrap/>
            <w:vAlign w:val="center"/>
            <w:hideMark/>
          </w:tcPr>
          <w:p w14:paraId="7A6B2D87"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5.26</w:t>
            </w:r>
          </w:p>
        </w:tc>
      </w:tr>
      <w:tr w:rsidR="002E5CEE" w:rsidRPr="002E5CEE" w14:paraId="3303C5F1"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44C980" w14:textId="280304F3"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100</w:t>
            </w:r>
          </w:p>
        </w:tc>
        <w:tc>
          <w:tcPr>
            <w:tcW w:w="0" w:type="dxa"/>
            <w:noWrap/>
            <w:vAlign w:val="center"/>
            <w:hideMark/>
          </w:tcPr>
          <w:p w14:paraId="70F2F090"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5.88</w:t>
            </w:r>
          </w:p>
        </w:tc>
      </w:tr>
      <w:tr w:rsidR="002E5CEE" w:rsidRPr="002E5CEE" w14:paraId="0AC9F9D1"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CD6B52" w14:textId="16E19E7E"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150</w:t>
            </w:r>
          </w:p>
        </w:tc>
        <w:tc>
          <w:tcPr>
            <w:tcW w:w="0" w:type="dxa"/>
            <w:noWrap/>
            <w:vAlign w:val="center"/>
            <w:hideMark/>
          </w:tcPr>
          <w:p w14:paraId="0D9AE82F"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7.22</w:t>
            </w:r>
          </w:p>
        </w:tc>
      </w:tr>
      <w:tr w:rsidR="002E5CEE" w:rsidRPr="002E5CEE" w14:paraId="32C741E3"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8176E2" w14:textId="688A14CC"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200</w:t>
            </w:r>
          </w:p>
        </w:tc>
        <w:tc>
          <w:tcPr>
            <w:tcW w:w="0" w:type="dxa"/>
            <w:noWrap/>
            <w:vAlign w:val="center"/>
            <w:hideMark/>
          </w:tcPr>
          <w:p w14:paraId="5EBA792B"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8.35</w:t>
            </w:r>
          </w:p>
        </w:tc>
      </w:tr>
      <w:tr w:rsidR="002E5CEE" w:rsidRPr="002E5CEE" w14:paraId="4E6EEB07"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137698C" w14:textId="144CCBD3"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250</w:t>
            </w:r>
          </w:p>
        </w:tc>
        <w:tc>
          <w:tcPr>
            <w:tcW w:w="0" w:type="dxa"/>
            <w:noWrap/>
            <w:vAlign w:val="center"/>
            <w:hideMark/>
          </w:tcPr>
          <w:p w14:paraId="65D8EFA8"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9.35</w:t>
            </w:r>
          </w:p>
        </w:tc>
      </w:tr>
      <w:tr w:rsidR="002E5CEE" w:rsidRPr="002E5CEE" w14:paraId="729E7363"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03B5412" w14:textId="61341ED7"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300</w:t>
            </w:r>
          </w:p>
        </w:tc>
        <w:tc>
          <w:tcPr>
            <w:tcW w:w="0" w:type="dxa"/>
            <w:noWrap/>
            <w:vAlign w:val="center"/>
            <w:hideMark/>
          </w:tcPr>
          <w:p w14:paraId="4F14F8ED"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10.25</w:t>
            </w:r>
          </w:p>
        </w:tc>
      </w:tr>
      <w:tr w:rsidR="002E5CEE" w:rsidRPr="002E5CEE" w14:paraId="64166264"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3BD8E42" w14:textId="278FF8FF"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350</w:t>
            </w:r>
          </w:p>
        </w:tc>
        <w:tc>
          <w:tcPr>
            <w:tcW w:w="0" w:type="dxa"/>
            <w:noWrap/>
            <w:vAlign w:val="center"/>
            <w:hideMark/>
          </w:tcPr>
          <w:p w14:paraId="5A074607"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11.08</w:t>
            </w:r>
          </w:p>
        </w:tc>
      </w:tr>
      <w:tr w:rsidR="002E5CEE" w:rsidRPr="002E5CEE" w14:paraId="4A0E076E"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9C98D17" w14:textId="59500EC6"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400</w:t>
            </w:r>
          </w:p>
        </w:tc>
        <w:tc>
          <w:tcPr>
            <w:tcW w:w="0" w:type="dxa"/>
            <w:noWrap/>
            <w:vAlign w:val="center"/>
            <w:hideMark/>
          </w:tcPr>
          <w:p w14:paraId="5436815F"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11.86</w:t>
            </w:r>
          </w:p>
        </w:tc>
      </w:tr>
      <w:tr w:rsidR="002E5CEE" w:rsidRPr="002E5CEE" w14:paraId="6DA342B2"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73FF2B6" w14:textId="6F53AE59"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500</w:t>
            </w:r>
          </w:p>
        </w:tc>
        <w:tc>
          <w:tcPr>
            <w:tcW w:w="0" w:type="dxa"/>
            <w:noWrap/>
            <w:vAlign w:val="center"/>
            <w:hideMark/>
          </w:tcPr>
          <w:p w14:paraId="0B4EEB3D"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13.27</w:t>
            </w:r>
          </w:p>
        </w:tc>
      </w:tr>
      <w:tr w:rsidR="002E5CEE" w:rsidRPr="002E5CEE" w14:paraId="3C66F54D" w14:textId="77777777" w:rsidTr="008733A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42A811" w14:textId="7854862A"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750</w:t>
            </w:r>
          </w:p>
        </w:tc>
        <w:tc>
          <w:tcPr>
            <w:tcW w:w="0" w:type="dxa"/>
            <w:noWrap/>
            <w:vAlign w:val="center"/>
            <w:hideMark/>
          </w:tcPr>
          <w:p w14:paraId="37366254" w14:textId="77777777" w:rsidR="002E5CEE" w:rsidRPr="00D1785C" w:rsidRDefault="002E5CEE" w:rsidP="008733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16.29</w:t>
            </w:r>
          </w:p>
        </w:tc>
      </w:tr>
      <w:tr w:rsidR="002E5CEE" w:rsidRPr="002E5CEE" w14:paraId="32847E67" w14:textId="77777777" w:rsidTr="008733A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DD5B12" w14:textId="5DABE095" w:rsidR="002E5CEE" w:rsidRPr="008733AB" w:rsidRDefault="002E5CEE" w:rsidP="00244D55">
            <w:pPr>
              <w:spacing w:line="240" w:lineRule="auto"/>
              <w:jc w:val="center"/>
              <w:rPr>
                <w:rFonts w:eastAsia="Times New Roman"/>
                <w:sz w:val="20"/>
                <w:szCs w:val="20"/>
                <w:lang w:val="es-MX" w:eastAsia="es-MX"/>
              </w:rPr>
            </w:pPr>
            <w:r w:rsidRPr="008733AB">
              <w:rPr>
                <w:rFonts w:eastAsia="Times New Roman"/>
                <w:sz w:val="20"/>
                <w:szCs w:val="20"/>
                <w:lang w:val="es-MX" w:eastAsia="es-MX"/>
              </w:rPr>
              <w:t>1,000</w:t>
            </w:r>
          </w:p>
        </w:tc>
        <w:tc>
          <w:tcPr>
            <w:tcW w:w="0" w:type="dxa"/>
            <w:noWrap/>
            <w:vAlign w:val="center"/>
            <w:hideMark/>
          </w:tcPr>
          <w:p w14:paraId="4AFBA20C" w14:textId="77777777" w:rsidR="002E5CEE" w:rsidRPr="00D1785C" w:rsidRDefault="002E5CEE" w:rsidP="008733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MX" w:eastAsia="es-MX"/>
              </w:rPr>
            </w:pPr>
            <w:r w:rsidRPr="00244D55">
              <w:rPr>
                <w:rFonts w:eastAsia="Times New Roman"/>
                <w:color w:val="000000"/>
                <w:sz w:val="20"/>
                <w:szCs w:val="20"/>
                <w:lang w:val="es-MX" w:eastAsia="es-MX"/>
              </w:rPr>
              <w:t>18.84</w:t>
            </w:r>
          </w:p>
        </w:tc>
      </w:tr>
    </w:tbl>
    <w:p w14:paraId="66A9E993" w14:textId="77777777" w:rsidR="002E5CEE" w:rsidRPr="007A5B1C" w:rsidRDefault="002E5CEE" w:rsidP="008733AB">
      <w:pPr>
        <w:pStyle w:val="Textoindependiente"/>
        <w:ind w:left="720"/>
        <w:rPr>
          <w:sz w:val="20"/>
          <w:szCs w:val="22"/>
          <w:lang w:val="es-MX" w:eastAsia="en-US"/>
        </w:rPr>
      </w:pPr>
    </w:p>
    <w:p w14:paraId="7CDC977B" w14:textId="04E9E8A3" w:rsidR="00C820F3" w:rsidRPr="00131A45" w:rsidRDefault="00C820F3" w:rsidP="00C820F3">
      <w:pPr>
        <w:pStyle w:val="Textoindependiente"/>
        <w:rPr>
          <w:sz w:val="20"/>
          <w:szCs w:val="22"/>
          <w:lang w:val="es-MX" w:eastAsia="en-US"/>
        </w:rPr>
      </w:pPr>
      <w:r w:rsidRPr="00131A45">
        <w:rPr>
          <w:sz w:val="20"/>
          <w:szCs w:val="22"/>
          <w:lang w:val="es-MX" w:eastAsia="en-US"/>
        </w:rPr>
        <w:t xml:space="preserve">El siguiente diagrama presenta esquemáticamente </w:t>
      </w:r>
      <w:r w:rsidR="009F2FA7">
        <w:rPr>
          <w:sz w:val="20"/>
          <w:szCs w:val="22"/>
          <w:lang w:val="es-MX" w:eastAsia="en-US"/>
        </w:rPr>
        <w:t>este</w:t>
      </w:r>
      <w:r w:rsidR="00C04863">
        <w:rPr>
          <w:sz w:val="20"/>
          <w:szCs w:val="22"/>
          <w:lang w:val="es-MX" w:eastAsia="en-US"/>
        </w:rPr>
        <w:t xml:space="preserve"> enfoque</w:t>
      </w:r>
      <w:r w:rsidRPr="00131A45">
        <w:rPr>
          <w:sz w:val="20"/>
          <w:szCs w:val="22"/>
          <w:lang w:val="es-MX" w:eastAsia="en-US"/>
        </w:rPr>
        <w:t>:</w:t>
      </w:r>
    </w:p>
    <w:p w14:paraId="7729A63F" w14:textId="4378450F" w:rsidR="00DB3B0E" w:rsidRPr="008B3D14" w:rsidRDefault="00DB3B0E" w:rsidP="00DB3B0E">
      <w:pPr>
        <w:pStyle w:val="Textoindependiente"/>
        <w:keepNext/>
        <w:jc w:val="center"/>
        <w:rPr>
          <w:b/>
          <w:sz w:val="16"/>
          <w:szCs w:val="16"/>
          <w:lang w:val="es-MX"/>
        </w:rPr>
      </w:pPr>
      <w:r w:rsidRPr="008B3D14">
        <w:rPr>
          <w:b/>
          <w:sz w:val="16"/>
          <w:szCs w:val="16"/>
          <w:lang w:val="es-MX"/>
        </w:rPr>
        <w:t>Figur</w:t>
      </w:r>
      <w:r w:rsidR="00382D10">
        <w:rPr>
          <w:b/>
          <w:sz w:val="16"/>
          <w:szCs w:val="16"/>
          <w:lang w:val="es-MX"/>
        </w:rPr>
        <w:t>a</w:t>
      </w:r>
      <w:r w:rsidRPr="008B3D14">
        <w:rPr>
          <w:b/>
          <w:sz w:val="16"/>
          <w:szCs w:val="16"/>
          <w:lang w:val="es-MX"/>
        </w:rPr>
        <w:t xml:space="preserve"> </w:t>
      </w:r>
      <w:r w:rsidR="009F2FA7">
        <w:rPr>
          <w:b/>
          <w:sz w:val="16"/>
          <w:szCs w:val="16"/>
          <w:lang w:val="es-MX"/>
        </w:rPr>
        <w:t>1</w:t>
      </w:r>
      <w:r w:rsidRPr="008B3D14">
        <w:rPr>
          <w:b/>
          <w:sz w:val="16"/>
          <w:szCs w:val="16"/>
          <w:lang w:val="es-MX"/>
        </w:rPr>
        <w:t xml:space="preserve"> – Resumen esquemático del enfoque</w:t>
      </w:r>
    </w:p>
    <w:p w14:paraId="13DBB234" w14:textId="1C8E5A9B" w:rsidR="00DB3B0E" w:rsidRPr="008B3D14" w:rsidRDefault="009F2FA7" w:rsidP="008733AB">
      <w:pPr>
        <w:pStyle w:val="Textoindependiente"/>
        <w:keepNext/>
        <w:jc w:val="center"/>
        <w:rPr>
          <w:lang w:val="es-MX" w:eastAsia="en-US"/>
        </w:rPr>
      </w:pPr>
      <w:r>
        <w:rPr>
          <w:noProof/>
        </w:rPr>
        <w:drawing>
          <wp:inline distT="0" distB="0" distL="0" distR="0" wp14:anchorId="430BBF23" wp14:editId="2FD804CF">
            <wp:extent cx="4921297" cy="16639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2333" cy="1674473"/>
                    </a:xfrm>
                    <a:prstGeom prst="rect">
                      <a:avLst/>
                    </a:prstGeom>
                  </pic:spPr>
                </pic:pic>
              </a:graphicData>
            </a:graphic>
          </wp:inline>
        </w:drawing>
      </w:r>
    </w:p>
    <w:p w14:paraId="6E503D58" w14:textId="362653DF" w:rsidR="00DB3B0E" w:rsidRPr="008B3D14" w:rsidRDefault="00DB3B0E" w:rsidP="00DB3B0E">
      <w:pPr>
        <w:pStyle w:val="Source"/>
        <w:spacing w:after="0"/>
        <w:jc w:val="right"/>
      </w:pPr>
      <w:r w:rsidRPr="008B3D14">
        <w:t xml:space="preserve">Fuente: </w:t>
      </w:r>
      <w:r w:rsidR="00C04863">
        <w:t>IFT (2021)</w:t>
      </w:r>
    </w:p>
    <w:p w14:paraId="174E4B9D" w14:textId="7CA11512" w:rsidR="00DB3B0E" w:rsidRDefault="00DB3B0E" w:rsidP="00DB3B0E">
      <w:pPr>
        <w:pStyle w:val="Textoindependiente"/>
        <w:rPr>
          <w:b/>
          <w:bCs/>
          <w:i/>
          <w:iCs/>
          <w:lang w:eastAsia="en-US"/>
        </w:rPr>
      </w:pPr>
    </w:p>
    <w:p w14:paraId="4AB25E02" w14:textId="37CD3FFA" w:rsidR="005B69B7" w:rsidRDefault="005B69B7" w:rsidP="00DB3B0E">
      <w:pPr>
        <w:pStyle w:val="Textoindependiente"/>
        <w:rPr>
          <w:b/>
          <w:bCs/>
          <w:i/>
          <w:iCs/>
          <w:lang w:eastAsia="en-US"/>
        </w:rPr>
      </w:pPr>
    </w:p>
    <w:p w14:paraId="581C3E13" w14:textId="77777777" w:rsidR="005B69B7" w:rsidRPr="008B3D14" w:rsidRDefault="005B69B7" w:rsidP="00DB3B0E">
      <w:pPr>
        <w:pStyle w:val="Textoindependiente"/>
        <w:rPr>
          <w:b/>
          <w:bCs/>
          <w:i/>
          <w:iCs/>
          <w:lang w:eastAsia="en-US"/>
        </w:rPr>
      </w:pPr>
    </w:p>
    <w:p w14:paraId="6C5C0C52" w14:textId="128CA24D" w:rsidR="00C820F3" w:rsidRPr="00E65F82" w:rsidRDefault="00E65F82" w:rsidP="008B3D14">
      <w:pPr>
        <w:pStyle w:val="Textoindependiente"/>
        <w:numPr>
          <w:ilvl w:val="0"/>
          <w:numId w:val="33"/>
        </w:numPr>
        <w:rPr>
          <w:b/>
          <w:bCs/>
          <w:lang w:val="es-419" w:eastAsia="en-US"/>
        </w:rPr>
      </w:pPr>
      <w:r w:rsidRPr="00E65F82">
        <w:rPr>
          <w:b/>
          <w:bCs/>
          <w:lang w:val="es-419" w:eastAsia="en-US"/>
        </w:rPr>
        <w:lastRenderedPageBreak/>
        <w:t xml:space="preserve">Implementación </w:t>
      </w:r>
    </w:p>
    <w:p w14:paraId="36BB866D" w14:textId="7ACC3874" w:rsidR="00223D08" w:rsidRPr="00131A45" w:rsidRDefault="00223D08" w:rsidP="00223D08">
      <w:pPr>
        <w:pStyle w:val="Textoindependiente"/>
        <w:rPr>
          <w:sz w:val="20"/>
          <w:szCs w:val="22"/>
          <w:lang w:val="es-ES" w:eastAsia="en-US"/>
        </w:rPr>
      </w:pPr>
      <w:r w:rsidRPr="00131A45">
        <w:rPr>
          <w:sz w:val="20"/>
          <w:szCs w:val="22"/>
          <w:lang w:val="es-ES" w:eastAsia="en-US"/>
        </w:rPr>
        <w:t xml:space="preserve">El </w:t>
      </w:r>
      <w:r w:rsidR="00F45B85">
        <w:rPr>
          <w:sz w:val="20"/>
          <w:szCs w:val="22"/>
          <w:lang w:val="es-ES" w:eastAsia="en-US"/>
        </w:rPr>
        <w:t>M</w:t>
      </w:r>
      <w:r w:rsidR="00F45B85" w:rsidRPr="00131A45">
        <w:rPr>
          <w:sz w:val="20"/>
          <w:szCs w:val="22"/>
          <w:lang w:val="es-ES" w:eastAsia="en-US"/>
        </w:rPr>
        <w:t xml:space="preserve">odelo </w:t>
      </w:r>
      <w:r w:rsidRPr="00131A45">
        <w:rPr>
          <w:sz w:val="20"/>
          <w:szCs w:val="22"/>
          <w:lang w:val="es-ES" w:eastAsia="en-US"/>
        </w:rPr>
        <w:t xml:space="preserve">de </w:t>
      </w:r>
      <w:r w:rsidR="00F45B85">
        <w:rPr>
          <w:sz w:val="20"/>
          <w:szCs w:val="22"/>
          <w:lang w:val="es-ES" w:eastAsia="en-US"/>
        </w:rPr>
        <w:t>I</w:t>
      </w:r>
      <w:r w:rsidRPr="00131A45">
        <w:rPr>
          <w:sz w:val="20"/>
          <w:szCs w:val="22"/>
          <w:lang w:val="es-ES" w:eastAsia="en-US"/>
        </w:rPr>
        <w:t xml:space="preserve">nterconexión </w:t>
      </w:r>
      <w:r w:rsidR="005B69B7">
        <w:rPr>
          <w:sz w:val="20"/>
          <w:szCs w:val="22"/>
          <w:lang w:val="es-ES" w:eastAsia="en-US"/>
        </w:rPr>
        <w:t xml:space="preserve">Fijo </w:t>
      </w:r>
      <w:r w:rsidRPr="00131A45">
        <w:rPr>
          <w:sz w:val="20"/>
          <w:szCs w:val="22"/>
          <w:lang w:val="es-ES" w:eastAsia="en-US"/>
        </w:rPr>
        <w:t>calcula de forma nativa los costos unitarios promediados de SCyD diferenciados según el nivel de agregación (Local, Regional y Nacional).</w:t>
      </w:r>
    </w:p>
    <w:p w14:paraId="5320D2F2" w14:textId="53005DBC" w:rsidR="00223D08" w:rsidRPr="00131A45" w:rsidRDefault="00223D08" w:rsidP="00223D08">
      <w:pPr>
        <w:pStyle w:val="Textoindependiente"/>
        <w:rPr>
          <w:sz w:val="20"/>
          <w:szCs w:val="22"/>
          <w:lang w:val="es-ES" w:eastAsia="en-US"/>
        </w:rPr>
      </w:pPr>
      <w:r w:rsidRPr="00131A45">
        <w:rPr>
          <w:sz w:val="20"/>
          <w:szCs w:val="22"/>
          <w:lang w:val="es-ES" w:eastAsia="en-US"/>
        </w:rPr>
        <w:t xml:space="preserve">Para </w:t>
      </w:r>
      <w:r w:rsidR="000F59A7" w:rsidRPr="00131A45">
        <w:rPr>
          <w:sz w:val="20"/>
          <w:szCs w:val="22"/>
          <w:lang w:val="es-ES" w:eastAsia="en-US"/>
        </w:rPr>
        <w:t>diferenciar el costo de cada variante del servicio a partir del costo promedio</w:t>
      </w:r>
      <w:r w:rsidRPr="00131A45">
        <w:rPr>
          <w:sz w:val="20"/>
          <w:szCs w:val="22"/>
          <w:lang w:val="es-ES" w:eastAsia="en-US"/>
        </w:rPr>
        <w:t xml:space="preserve">, es necesario desagregar las demandas de SCyD implementadas en el modelo para identificar (i) el tráfico de cada variante en la red </w:t>
      </w:r>
      <w:r w:rsidR="000F59A7" w:rsidRPr="00131A45">
        <w:rPr>
          <w:sz w:val="20"/>
          <w:szCs w:val="22"/>
          <w:lang w:val="es-ES" w:eastAsia="en-US"/>
        </w:rPr>
        <w:t>de transporte a la hora pico</w:t>
      </w:r>
      <w:r w:rsidRPr="00131A45">
        <w:rPr>
          <w:sz w:val="20"/>
          <w:szCs w:val="22"/>
          <w:lang w:val="es-ES" w:eastAsia="en-US"/>
        </w:rPr>
        <w:t xml:space="preserve"> (expresado en Mbps en el </w:t>
      </w:r>
      <w:r w:rsidR="00F45B85">
        <w:rPr>
          <w:sz w:val="20"/>
          <w:szCs w:val="22"/>
          <w:lang w:val="es-ES" w:eastAsia="en-US"/>
        </w:rPr>
        <w:t>M</w:t>
      </w:r>
      <w:r w:rsidR="00F45B85" w:rsidRPr="00131A45">
        <w:rPr>
          <w:sz w:val="20"/>
          <w:szCs w:val="22"/>
          <w:lang w:val="es-ES" w:eastAsia="en-US"/>
        </w:rPr>
        <w:t xml:space="preserve">odelo </w:t>
      </w:r>
      <w:r w:rsidRPr="00131A45">
        <w:rPr>
          <w:sz w:val="20"/>
          <w:szCs w:val="22"/>
          <w:lang w:val="es-ES" w:eastAsia="en-US"/>
        </w:rPr>
        <w:t xml:space="preserve">de </w:t>
      </w:r>
      <w:r w:rsidR="00F45B85">
        <w:rPr>
          <w:sz w:val="20"/>
          <w:szCs w:val="22"/>
          <w:lang w:val="es-ES" w:eastAsia="en-US"/>
        </w:rPr>
        <w:t>I</w:t>
      </w:r>
      <w:r w:rsidR="00F45B85" w:rsidRPr="00131A45">
        <w:rPr>
          <w:sz w:val="20"/>
          <w:szCs w:val="22"/>
          <w:lang w:val="es-ES" w:eastAsia="en-US"/>
        </w:rPr>
        <w:t>nterconexión</w:t>
      </w:r>
      <w:r w:rsidR="00C04863">
        <w:rPr>
          <w:sz w:val="20"/>
          <w:szCs w:val="22"/>
          <w:lang w:val="es-ES" w:eastAsia="en-US"/>
        </w:rPr>
        <w:t xml:space="preserve"> Fijo</w:t>
      </w:r>
      <w:r w:rsidRPr="00131A45">
        <w:rPr>
          <w:sz w:val="20"/>
          <w:szCs w:val="22"/>
          <w:lang w:val="es-ES" w:eastAsia="en-US"/>
        </w:rPr>
        <w:t>) y (ii) el número de suscriptores de cada variante de</w:t>
      </w:r>
      <w:r w:rsidR="000F59A7" w:rsidRPr="00131A45">
        <w:rPr>
          <w:sz w:val="20"/>
          <w:szCs w:val="22"/>
          <w:lang w:val="es-ES" w:eastAsia="en-US"/>
        </w:rPr>
        <w:t>l</w:t>
      </w:r>
      <w:r w:rsidRPr="00131A45">
        <w:rPr>
          <w:sz w:val="20"/>
          <w:szCs w:val="22"/>
          <w:lang w:val="es-ES" w:eastAsia="en-US"/>
        </w:rPr>
        <w:t xml:space="preserve"> servicio.</w:t>
      </w:r>
    </w:p>
    <w:p w14:paraId="4B4CA25B" w14:textId="512277A4" w:rsidR="00223D08" w:rsidRPr="00131A45" w:rsidRDefault="00F45B85" w:rsidP="00223D08">
      <w:pPr>
        <w:pStyle w:val="Textoindependiente"/>
        <w:rPr>
          <w:sz w:val="20"/>
          <w:szCs w:val="22"/>
          <w:lang w:val="es-ES" w:eastAsia="en-US"/>
        </w:rPr>
      </w:pPr>
      <w:r>
        <w:rPr>
          <w:sz w:val="20"/>
          <w:szCs w:val="22"/>
          <w:lang w:val="es-ES" w:eastAsia="en-US"/>
        </w:rPr>
        <w:t>A partir de información proporcionada por las EM</w:t>
      </w:r>
      <w:r w:rsidR="00223D08" w:rsidRPr="00131A45">
        <w:rPr>
          <w:sz w:val="20"/>
          <w:szCs w:val="22"/>
          <w:lang w:val="es-ES" w:eastAsia="en-US"/>
        </w:rPr>
        <w:t xml:space="preserve"> para todos los servicios SCyD / Bitstream</w:t>
      </w:r>
      <w:r>
        <w:rPr>
          <w:sz w:val="20"/>
          <w:szCs w:val="22"/>
          <w:lang w:val="es-ES" w:eastAsia="en-US"/>
        </w:rPr>
        <w:t>,</w:t>
      </w:r>
      <w:r w:rsidR="00223D08" w:rsidRPr="00131A45">
        <w:rPr>
          <w:sz w:val="20"/>
          <w:szCs w:val="22"/>
          <w:lang w:val="es-ES" w:eastAsia="en-US"/>
        </w:rPr>
        <w:t xml:space="preserve"> el tráfico se divide por nivel de agregación considerando una clave de asignación (</w:t>
      </w:r>
      <w:r w:rsidR="000F59A7" w:rsidRPr="00131A45">
        <w:rPr>
          <w:sz w:val="20"/>
          <w:szCs w:val="22"/>
          <w:lang w:val="es-ES" w:eastAsia="en-US"/>
        </w:rPr>
        <w:t>ver</w:t>
      </w:r>
      <w:r w:rsidR="00223D08" w:rsidRPr="00131A45">
        <w:rPr>
          <w:sz w:val="20"/>
          <w:szCs w:val="22"/>
          <w:lang w:val="es-ES" w:eastAsia="en-US"/>
        </w:rPr>
        <w:t xml:space="preserve"> la siguiente tabla).</w:t>
      </w:r>
    </w:p>
    <w:p w14:paraId="1F3D336A" w14:textId="0F378840" w:rsidR="00DB3B0E" w:rsidRPr="000F59A7" w:rsidRDefault="005B69B7" w:rsidP="00223D08">
      <w:pPr>
        <w:pStyle w:val="Descripcin"/>
        <w:keepNext/>
        <w:rPr>
          <w:lang w:val="es-ES"/>
        </w:rPr>
      </w:pPr>
      <w:r>
        <w:rPr>
          <w:lang w:val="es-ES"/>
        </w:rPr>
        <w:t>Tabla</w:t>
      </w:r>
      <w:r w:rsidR="00382D10">
        <w:rPr>
          <w:lang w:val="es-ES"/>
        </w:rPr>
        <w:t xml:space="preserve"> </w:t>
      </w:r>
      <w:r>
        <w:rPr>
          <w:lang w:val="es-ES"/>
        </w:rPr>
        <w:t>1</w:t>
      </w:r>
      <w:r w:rsidR="00DB3B0E" w:rsidRPr="000F59A7">
        <w:rPr>
          <w:lang w:val="es-ES"/>
        </w:rPr>
        <w:t xml:space="preserve"> –</w:t>
      </w:r>
      <w:r w:rsidR="00223D08" w:rsidRPr="000F59A7">
        <w:rPr>
          <w:lang w:val="es-ES"/>
        </w:rPr>
        <w:t xml:space="preserve"> Demanda SCyD implementada en </w:t>
      </w:r>
      <w:r w:rsidR="00410222">
        <w:rPr>
          <w:lang w:val="es-ES"/>
        </w:rPr>
        <w:t>Módulo de Cálculo del SAIB</w:t>
      </w:r>
    </w:p>
    <w:tbl>
      <w:tblPr>
        <w:tblW w:w="3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098"/>
        <w:gridCol w:w="1319"/>
        <w:gridCol w:w="1133"/>
        <w:gridCol w:w="1850"/>
      </w:tblGrid>
      <w:tr w:rsidR="007B4460" w:rsidRPr="000F59A7" w14:paraId="40F44CB9" w14:textId="77777777" w:rsidTr="008733AB">
        <w:trPr>
          <w:trHeight w:val="20"/>
          <w:jc w:val="center"/>
        </w:trPr>
        <w:tc>
          <w:tcPr>
            <w:tcW w:w="1192" w:type="pct"/>
            <w:vMerge w:val="restart"/>
            <w:shd w:val="clear" w:color="auto" w:fill="767171"/>
            <w:vAlign w:val="center"/>
          </w:tcPr>
          <w:p w14:paraId="09EA2767" w14:textId="1583E2B7" w:rsidR="007B4460" w:rsidRPr="000F59A7" w:rsidRDefault="007B4460" w:rsidP="00E42D70">
            <w:pPr>
              <w:keepNext/>
              <w:spacing w:before="40" w:after="40"/>
              <w:jc w:val="left"/>
              <w:rPr>
                <w:rFonts w:eastAsia="PMingLiU"/>
                <w:b/>
                <w:bCs/>
                <w:color w:val="FFFFFF"/>
                <w:sz w:val="16"/>
                <w:szCs w:val="16"/>
                <w:lang w:val="es-MX" w:eastAsia="zh-TW"/>
              </w:rPr>
            </w:pPr>
            <w:r w:rsidRPr="000F59A7">
              <w:rPr>
                <w:rFonts w:eastAsia="PMingLiU"/>
                <w:b/>
                <w:bCs/>
                <w:color w:val="FFFFFF"/>
                <w:sz w:val="16"/>
                <w:szCs w:val="16"/>
                <w:lang w:val="es-MX" w:eastAsia="zh-TW"/>
              </w:rPr>
              <w:t>Servicio</w:t>
            </w:r>
          </w:p>
        </w:tc>
        <w:tc>
          <w:tcPr>
            <w:tcW w:w="774" w:type="pct"/>
            <w:vMerge w:val="restart"/>
            <w:shd w:val="clear" w:color="auto" w:fill="767171"/>
            <w:vAlign w:val="center"/>
          </w:tcPr>
          <w:p w14:paraId="76F64F3D" w14:textId="77777777" w:rsidR="007B4460" w:rsidRPr="000F59A7" w:rsidRDefault="007B4460" w:rsidP="00E42D70">
            <w:pPr>
              <w:keepNext/>
              <w:spacing w:before="40" w:after="40"/>
              <w:jc w:val="left"/>
              <w:rPr>
                <w:rFonts w:eastAsia="PMingLiU"/>
                <w:b/>
                <w:bCs/>
                <w:color w:val="FFFFFF"/>
                <w:sz w:val="16"/>
                <w:szCs w:val="16"/>
                <w:lang w:val="es-MX" w:eastAsia="zh-TW"/>
              </w:rPr>
            </w:pPr>
            <w:r w:rsidRPr="000F59A7">
              <w:rPr>
                <w:rFonts w:eastAsia="PMingLiU"/>
                <w:b/>
                <w:bCs/>
                <w:color w:val="FFFFFF"/>
                <w:sz w:val="16"/>
                <w:szCs w:val="16"/>
                <w:lang w:val="es-MX" w:eastAsia="zh-TW"/>
              </w:rPr>
              <w:t xml:space="preserve">Nivel de Agregación </w:t>
            </w:r>
          </w:p>
        </w:tc>
        <w:tc>
          <w:tcPr>
            <w:tcW w:w="3034" w:type="pct"/>
            <w:gridSpan w:val="3"/>
            <w:shd w:val="clear" w:color="auto" w:fill="767171"/>
            <w:vAlign w:val="center"/>
          </w:tcPr>
          <w:p w14:paraId="624AD989" w14:textId="75B0F853" w:rsidR="007B4460" w:rsidRPr="000F59A7" w:rsidRDefault="007B4460" w:rsidP="00E42D70">
            <w:pPr>
              <w:keepNext/>
              <w:spacing w:before="40" w:after="40"/>
              <w:jc w:val="center"/>
              <w:rPr>
                <w:rFonts w:eastAsia="PMingLiU"/>
                <w:b/>
                <w:bCs/>
                <w:color w:val="FFFFFF"/>
                <w:sz w:val="16"/>
                <w:szCs w:val="16"/>
                <w:lang w:val="es-MX" w:eastAsia="zh-TW"/>
              </w:rPr>
            </w:pPr>
            <w:r w:rsidRPr="000F59A7">
              <w:rPr>
                <w:rFonts w:eastAsia="PMingLiU"/>
                <w:b/>
                <w:bCs/>
                <w:color w:val="FFFFFF"/>
                <w:sz w:val="16"/>
                <w:szCs w:val="16"/>
                <w:lang w:val="es-MX" w:eastAsia="zh-TW"/>
              </w:rPr>
              <w:t>Entradas en el modelo (202</w:t>
            </w:r>
            <w:r>
              <w:rPr>
                <w:rFonts w:eastAsia="PMingLiU"/>
                <w:b/>
                <w:bCs/>
                <w:color w:val="FFFFFF"/>
                <w:sz w:val="16"/>
                <w:szCs w:val="16"/>
                <w:lang w:val="es-MX" w:eastAsia="zh-TW"/>
              </w:rPr>
              <w:t>2</w:t>
            </w:r>
            <w:r w:rsidRPr="000F59A7">
              <w:rPr>
                <w:rFonts w:eastAsia="PMingLiU"/>
                <w:b/>
                <w:bCs/>
                <w:color w:val="FFFFFF"/>
                <w:sz w:val="16"/>
                <w:szCs w:val="16"/>
                <w:lang w:val="es-MX" w:eastAsia="zh-TW"/>
              </w:rPr>
              <w:t>)</w:t>
            </w:r>
          </w:p>
        </w:tc>
      </w:tr>
      <w:tr w:rsidR="007B4460" w:rsidRPr="000F59A7" w14:paraId="2B990DEC" w14:textId="77777777" w:rsidTr="008733AB">
        <w:trPr>
          <w:trHeight w:val="20"/>
          <w:jc w:val="center"/>
        </w:trPr>
        <w:tc>
          <w:tcPr>
            <w:tcW w:w="1192" w:type="pct"/>
            <w:vMerge/>
            <w:shd w:val="clear" w:color="auto" w:fill="767171"/>
          </w:tcPr>
          <w:p w14:paraId="77302E72" w14:textId="77777777" w:rsidR="007B4460" w:rsidRPr="000F59A7" w:rsidRDefault="007B4460" w:rsidP="00E42D70">
            <w:pPr>
              <w:keepNext/>
              <w:spacing w:before="40" w:after="40"/>
              <w:jc w:val="center"/>
              <w:rPr>
                <w:rFonts w:eastAsia="PMingLiU"/>
                <w:b/>
                <w:bCs/>
                <w:color w:val="FFFFFF"/>
                <w:sz w:val="16"/>
                <w:szCs w:val="16"/>
                <w:lang w:val="es-MX" w:eastAsia="zh-TW"/>
              </w:rPr>
            </w:pPr>
          </w:p>
        </w:tc>
        <w:tc>
          <w:tcPr>
            <w:tcW w:w="774" w:type="pct"/>
            <w:vMerge/>
            <w:shd w:val="clear" w:color="auto" w:fill="767171"/>
          </w:tcPr>
          <w:p w14:paraId="0E72B212" w14:textId="77777777" w:rsidR="007B4460" w:rsidRPr="000F59A7" w:rsidRDefault="007B4460" w:rsidP="00E42D70">
            <w:pPr>
              <w:keepNext/>
              <w:spacing w:before="40" w:after="40"/>
              <w:jc w:val="center"/>
              <w:rPr>
                <w:rFonts w:eastAsia="PMingLiU"/>
                <w:b/>
                <w:bCs/>
                <w:color w:val="FFFFFF"/>
                <w:sz w:val="16"/>
                <w:szCs w:val="16"/>
                <w:lang w:val="es-MX" w:eastAsia="zh-TW"/>
              </w:rPr>
            </w:pPr>
          </w:p>
        </w:tc>
        <w:tc>
          <w:tcPr>
            <w:tcW w:w="930" w:type="pct"/>
            <w:shd w:val="clear" w:color="auto" w:fill="767171"/>
            <w:vAlign w:val="center"/>
          </w:tcPr>
          <w:p w14:paraId="61260A52" w14:textId="77777777" w:rsidR="007B4460" w:rsidRPr="000F59A7" w:rsidRDefault="007B4460" w:rsidP="00E42D70">
            <w:pPr>
              <w:keepNext/>
              <w:spacing w:before="40" w:after="40"/>
              <w:jc w:val="center"/>
              <w:rPr>
                <w:rFonts w:eastAsia="PMingLiU"/>
                <w:b/>
                <w:bCs/>
                <w:color w:val="FFFFFF"/>
                <w:sz w:val="16"/>
                <w:szCs w:val="16"/>
                <w:lang w:val="es-MX" w:eastAsia="zh-TW"/>
              </w:rPr>
            </w:pPr>
            <w:r w:rsidRPr="000F59A7">
              <w:rPr>
                <w:rFonts w:eastAsia="PMingLiU"/>
                <w:b/>
                <w:bCs/>
                <w:color w:val="FFFFFF"/>
                <w:sz w:val="16"/>
                <w:szCs w:val="16"/>
                <w:lang w:val="es-MX" w:eastAsia="zh-TW"/>
              </w:rPr>
              <w:t>Tráfico</w:t>
            </w:r>
          </w:p>
        </w:tc>
        <w:tc>
          <w:tcPr>
            <w:tcW w:w="799" w:type="pct"/>
            <w:shd w:val="clear" w:color="auto" w:fill="767171"/>
            <w:vAlign w:val="center"/>
          </w:tcPr>
          <w:p w14:paraId="0B66C4F5" w14:textId="77777777" w:rsidR="007B4460" w:rsidRPr="000F59A7" w:rsidRDefault="007B4460" w:rsidP="00E42D70">
            <w:pPr>
              <w:keepNext/>
              <w:spacing w:before="40" w:after="40"/>
              <w:jc w:val="left"/>
              <w:rPr>
                <w:rFonts w:eastAsia="PMingLiU"/>
                <w:b/>
                <w:bCs/>
                <w:color w:val="FFFFFF"/>
                <w:sz w:val="16"/>
                <w:szCs w:val="16"/>
                <w:lang w:val="es-MX" w:eastAsia="zh-TW"/>
              </w:rPr>
            </w:pPr>
            <w:r w:rsidRPr="000F59A7">
              <w:rPr>
                <w:rFonts w:eastAsia="PMingLiU"/>
                <w:b/>
                <w:bCs/>
                <w:color w:val="FFFFFF"/>
                <w:sz w:val="16"/>
                <w:szCs w:val="16"/>
                <w:lang w:val="es-MX" w:eastAsia="zh-TW"/>
              </w:rPr>
              <w:t>líneas</w:t>
            </w:r>
          </w:p>
        </w:tc>
        <w:tc>
          <w:tcPr>
            <w:tcW w:w="1305" w:type="pct"/>
            <w:shd w:val="clear" w:color="auto" w:fill="767171"/>
            <w:vAlign w:val="center"/>
          </w:tcPr>
          <w:p w14:paraId="009EA454" w14:textId="77777777" w:rsidR="007B4460" w:rsidRPr="000F59A7" w:rsidRDefault="007B4460" w:rsidP="00E42D70">
            <w:pPr>
              <w:keepNext/>
              <w:spacing w:before="40" w:after="40"/>
              <w:jc w:val="left"/>
              <w:rPr>
                <w:rFonts w:eastAsia="PMingLiU"/>
                <w:b/>
                <w:bCs/>
                <w:color w:val="FFFFFF"/>
                <w:sz w:val="16"/>
                <w:szCs w:val="16"/>
                <w:lang w:val="es-MX" w:eastAsia="zh-TW"/>
              </w:rPr>
            </w:pPr>
            <w:r w:rsidRPr="000F59A7">
              <w:rPr>
                <w:rFonts w:eastAsia="PMingLiU"/>
                <w:b/>
                <w:bCs/>
                <w:color w:val="FFFFFF"/>
                <w:sz w:val="16"/>
                <w:szCs w:val="16"/>
                <w:lang w:val="es-MX" w:eastAsia="zh-TW"/>
              </w:rPr>
              <w:t>Proporción de tráfico</w:t>
            </w:r>
          </w:p>
        </w:tc>
      </w:tr>
      <w:tr w:rsidR="007B4460" w:rsidRPr="000F59A7" w14:paraId="3495C352" w14:textId="77777777" w:rsidTr="008733AB">
        <w:trPr>
          <w:trHeight w:val="20"/>
          <w:jc w:val="center"/>
        </w:trPr>
        <w:tc>
          <w:tcPr>
            <w:tcW w:w="1192" w:type="pct"/>
            <w:vMerge w:val="restart"/>
            <w:shd w:val="clear" w:color="auto" w:fill="D6CFC7"/>
            <w:vAlign w:val="center"/>
          </w:tcPr>
          <w:p w14:paraId="29B7E749" w14:textId="77777777" w:rsidR="007B4460" w:rsidRPr="000F59A7" w:rsidRDefault="007B4460" w:rsidP="00E42D70">
            <w:pPr>
              <w:keepNext/>
              <w:spacing w:before="40" w:after="40"/>
              <w:jc w:val="left"/>
              <w:rPr>
                <w:rFonts w:eastAsia="PMingLiU"/>
                <w:b/>
                <w:bCs/>
                <w:color w:val="000000"/>
                <w:sz w:val="16"/>
                <w:szCs w:val="16"/>
                <w:lang w:val="es-MX" w:eastAsia="zh-TW"/>
              </w:rPr>
            </w:pPr>
            <w:r w:rsidRPr="000F59A7">
              <w:rPr>
                <w:rFonts w:eastAsia="PMingLiU"/>
                <w:b/>
                <w:bCs/>
                <w:color w:val="000000"/>
                <w:sz w:val="16"/>
                <w:szCs w:val="16"/>
                <w:lang w:val="es-MX" w:eastAsia="zh-TW"/>
              </w:rPr>
              <w:t>SCyD (xDSL ajeno (bitstream))</w:t>
            </w:r>
          </w:p>
        </w:tc>
        <w:tc>
          <w:tcPr>
            <w:tcW w:w="774" w:type="pct"/>
            <w:shd w:val="clear" w:color="auto" w:fill="D6CFC7"/>
          </w:tcPr>
          <w:p w14:paraId="0F30991D" w14:textId="77777777" w:rsidR="007B4460" w:rsidRPr="000F59A7" w:rsidRDefault="007B4460" w:rsidP="00E42D70">
            <w:pPr>
              <w:keepNext/>
              <w:spacing w:before="40" w:after="40"/>
              <w:jc w:val="left"/>
              <w:rPr>
                <w:rFonts w:eastAsia="PMingLiU"/>
                <w:b/>
                <w:bCs/>
                <w:color w:val="000000"/>
                <w:sz w:val="16"/>
                <w:szCs w:val="16"/>
                <w:lang w:val="es-MX" w:eastAsia="zh-TW"/>
              </w:rPr>
            </w:pPr>
            <w:r w:rsidRPr="000F59A7">
              <w:rPr>
                <w:rFonts w:eastAsia="PMingLiU"/>
                <w:b/>
                <w:bCs/>
                <w:color w:val="000000"/>
                <w:sz w:val="16"/>
                <w:szCs w:val="16"/>
                <w:lang w:val="es-MX" w:eastAsia="zh-TW"/>
              </w:rPr>
              <w:t>Local</w:t>
            </w:r>
          </w:p>
        </w:tc>
        <w:tc>
          <w:tcPr>
            <w:tcW w:w="930" w:type="pct"/>
            <w:vMerge w:val="restart"/>
            <w:vAlign w:val="center"/>
          </w:tcPr>
          <w:p w14:paraId="566EACD9" w14:textId="21337540" w:rsidR="007B4460" w:rsidRPr="000F59A7" w:rsidRDefault="007B4460" w:rsidP="00E42D70">
            <w:pPr>
              <w:keepNext/>
              <w:spacing w:before="40" w:after="40"/>
              <w:jc w:val="center"/>
              <w:rPr>
                <w:rFonts w:eastAsia="PMingLiU"/>
                <w:sz w:val="16"/>
                <w:szCs w:val="16"/>
                <w:lang w:val="es-MX" w:eastAsia="zh-TW"/>
              </w:rPr>
            </w:pPr>
            <w:r>
              <w:rPr>
                <w:rFonts w:eastAsia="PMingLiU"/>
                <w:sz w:val="16"/>
                <w:szCs w:val="16"/>
                <w:lang w:val="es-MX" w:eastAsia="zh-TW"/>
              </w:rPr>
              <w:t>198,219</w:t>
            </w:r>
          </w:p>
        </w:tc>
        <w:tc>
          <w:tcPr>
            <w:tcW w:w="799" w:type="pct"/>
            <w:vMerge w:val="restart"/>
            <w:vAlign w:val="center"/>
          </w:tcPr>
          <w:p w14:paraId="6EE9ED53" w14:textId="4E25DDB5" w:rsidR="007B4460" w:rsidRPr="000F59A7" w:rsidRDefault="007B4460" w:rsidP="00E42D70">
            <w:pPr>
              <w:keepNext/>
              <w:spacing w:before="40" w:after="40"/>
              <w:jc w:val="center"/>
              <w:rPr>
                <w:rFonts w:eastAsia="PMingLiU"/>
                <w:sz w:val="16"/>
                <w:szCs w:val="16"/>
                <w:lang w:val="es-MX" w:eastAsia="zh-TW"/>
              </w:rPr>
            </w:pPr>
            <w:r>
              <w:rPr>
                <w:rFonts w:eastAsia="PMingLiU"/>
                <w:sz w:val="16"/>
                <w:szCs w:val="16"/>
                <w:lang w:val="es-MX" w:eastAsia="zh-TW"/>
              </w:rPr>
              <w:t>378,080</w:t>
            </w:r>
          </w:p>
        </w:tc>
        <w:tc>
          <w:tcPr>
            <w:tcW w:w="1305" w:type="pct"/>
          </w:tcPr>
          <w:p w14:paraId="1F4289F5" w14:textId="1DB75135" w:rsidR="007B4460" w:rsidRPr="000F59A7" w:rsidRDefault="007B4460" w:rsidP="00E42D70">
            <w:pPr>
              <w:keepNext/>
              <w:spacing w:before="40" w:after="40"/>
              <w:jc w:val="center"/>
              <w:rPr>
                <w:rFonts w:eastAsia="PMingLiU"/>
                <w:sz w:val="16"/>
                <w:szCs w:val="16"/>
                <w:lang w:val="es-MX" w:eastAsia="zh-TW"/>
              </w:rPr>
            </w:pPr>
            <w:r w:rsidRPr="00410222">
              <w:rPr>
                <w:rFonts w:eastAsia="PMingLiU"/>
                <w:sz w:val="16"/>
                <w:szCs w:val="16"/>
                <w:lang w:val="es-MX" w:eastAsia="zh-TW"/>
              </w:rPr>
              <w:t>0.0010%</w:t>
            </w:r>
          </w:p>
        </w:tc>
      </w:tr>
      <w:tr w:rsidR="007B4460" w:rsidRPr="000F59A7" w14:paraId="351A8B7E" w14:textId="77777777" w:rsidTr="008733AB">
        <w:trPr>
          <w:trHeight w:val="20"/>
          <w:jc w:val="center"/>
        </w:trPr>
        <w:tc>
          <w:tcPr>
            <w:tcW w:w="1192" w:type="pct"/>
            <w:vMerge/>
            <w:shd w:val="clear" w:color="auto" w:fill="D6CFC7"/>
          </w:tcPr>
          <w:p w14:paraId="7072EDE3" w14:textId="77777777" w:rsidR="007B4460" w:rsidRPr="000F59A7" w:rsidRDefault="007B4460" w:rsidP="00E42D70">
            <w:pPr>
              <w:keepNext/>
              <w:spacing w:before="40" w:after="40"/>
              <w:jc w:val="left"/>
              <w:rPr>
                <w:rFonts w:eastAsia="PMingLiU"/>
                <w:b/>
                <w:bCs/>
                <w:color w:val="000000"/>
                <w:sz w:val="16"/>
                <w:szCs w:val="16"/>
                <w:lang w:val="es-MX" w:eastAsia="zh-TW"/>
              </w:rPr>
            </w:pPr>
          </w:p>
        </w:tc>
        <w:tc>
          <w:tcPr>
            <w:tcW w:w="774" w:type="pct"/>
            <w:tcBorders>
              <w:bottom w:val="single" w:sz="4" w:space="0" w:color="auto"/>
            </w:tcBorders>
            <w:shd w:val="clear" w:color="auto" w:fill="D6CFC7"/>
          </w:tcPr>
          <w:p w14:paraId="041D1A26" w14:textId="77777777" w:rsidR="007B4460" w:rsidRPr="000F59A7" w:rsidRDefault="007B4460" w:rsidP="00E42D70">
            <w:pPr>
              <w:keepNext/>
              <w:spacing w:before="40" w:after="40"/>
              <w:jc w:val="left"/>
              <w:rPr>
                <w:rFonts w:eastAsia="PMingLiU"/>
                <w:b/>
                <w:bCs/>
                <w:color w:val="000000"/>
                <w:sz w:val="16"/>
                <w:szCs w:val="16"/>
                <w:lang w:val="es-MX" w:eastAsia="zh-TW"/>
              </w:rPr>
            </w:pPr>
            <w:r w:rsidRPr="000F59A7">
              <w:rPr>
                <w:rFonts w:eastAsia="PMingLiU"/>
                <w:b/>
                <w:bCs/>
                <w:color w:val="000000"/>
                <w:sz w:val="16"/>
                <w:szCs w:val="16"/>
                <w:lang w:val="es-MX" w:eastAsia="zh-TW"/>
              </w:rPr>
              <w:t>Regional</w:t>
            </w:r>
          </w:p>
        </w:tc>
        <w:tc>
          <w:tcPr>
            <w:tcW w:w="930" w:type="pct"/>
            <w:vMerge/>
            <w:vAlign w:val="center"/>
          </w:tcPr>
          <w:p w14:paraId="6B80E0DE" w14:textId="77777777" w:rsidR="007B4460" w:rsidRPr="000F59A7" w:rsidRDefault="007B4460" w:rsidP="00E42D70">
            <w:pPr>
              <w:keepNext/>
              <w:spacing w:before="40" w:after="40"/>
              <w:jc w:val="left"/>
              <w:rPr>
                <w:rFonts w:eastAsia="PMingLiU"/>
                <w:sz w:val="16"/>
                <w:szCs w:val="16"/>
                <w:lang w:val="es-MX" w:eastAsia="zh-TW"/>
              </w:rPr>
            </w:pPr>
          </w:p>
        </w:tc>
        <w:tc>
          <w:tcPr>
            <w:tcW w:w="799" w:type="pct"/>
            <w:vMerge/>
          </w:tcPr>
          <w:p w14:paraId="4A3FA646" w14:textId="77777777" w:rsidR="007B4460" w:rsidRPr="000F59A7" w:rsidRDefault="007B4460" w:rsidP="00E42D70">
            <w:pPr>
              <w:keepNext/>
              <w:spacing w:before="40" w:after="40"/>
              <w:jc w:val="left"/>
              <w:rPr>
                <w:rFonts w:eastAsia="PMingLiU"/>
                <w:sz w:val="16"/>
                <w:szCs w:val="16"/>
                <w:lang w:val="es-MX" w:eastAsia="zh-TW"/>
              </w:rPr>
            </w:pPr>
          </w:p>
        </w:tc>
        <w:tc>
          <w:tcPr>
            <w:tcW w:w="1305" w:type="pct"/>
            <w:tcBorders>
              <w:bottom w:val="single" w:sz="4" w:space="0" w:color="auto"/>
            </w:tcBorders>
          </w:tcPr>
          <w:p w14:paraId="06DAAE90" w14:textId="1CB319AD" w:rsidR="007B4460" w:rsidRPr="000F59A7" w:rsidRDefault="007B4460" w:rsidP="00E42D70">
            <w:pPr>
              <w:keepNext/>
              <w:spacing w:before="40" w:after="40"/>
              <w:jc w:val="center"/>
              <w:rPr>
                <w:rFonts w:eastAsia="PMingLiU"/>
                <w:sz w:val="16"/>
                <w:szCs w:val="16"/>
                <w:lang w:val="es-MX" w:eastAsia="zh-TW"/>
              </w:rPr>
            </w:pPr>
            <w:r w:rsidRPr="00410222">
              <w:rPr>
                <w:rFonts w:eastAsia="PMingLiU"/>
                <w:sz w:val="16"/>
                <w:szCs w:val="16"/>
                <w:lang w:val="es-MX" w:eastAsia="zh-TW"/>
              </w:rPr>
              <w:t>99.9933%</w:t>
            </w:r>
          </w:p>
        </w:tc>
      </w:tr>
      <w:tr w:rsidR="007B4460" w:rsidRPr="000F59A7" w14:paraId="22300A65" w14:textId="77777777" w:rsidTr="008733AB">
        <w:trPr>
          <w:trHeight w:val="20"/>
          <w:jc w:val="center"/>
        </w:trPr>
        <w:tc>
          <w:tcPr>
            <w:tcW w:w="1192" w:type="pct"/>
            <w:vMerge/>
            <w:shd w:val="clear" w:color="auto" w:fill="D6CFC7"/>
          </w:tcPr>
          <w:p w14:paraId="56663717" w14:textId="77777777" w:rsidR="007B4460" w:rsidRPr="000F59A7" w:rsidRDefault="007B4460" w:rsidP="00E42D70">
            <w:pPr>
              <w:keepNext/>
              <w:spacing w:before="40" w:after="40"/>
              <w:jc w:val="left"/>
              <w:rPr>
                <w:rFonts w:eastAsia="PMingLiU"/>
                <w:b/>
                <w:bCs/>
                <w:color w:val="000000"/>
                <w:sz w:val="16"/>
                <w:szCs w:val="16"/>
                <w:lang w:val="es-MX" w:eastAsia="zh-TW"/>
              </w:rPr>
            </w:pPr>
          </w:p>
        </w:tc>
        <w:tc>
          <w:tcPr>
            <w:tcW w:w="774" w:type="pct"/>
            <w:shd w:val="clear" w:color="auto" w:fill="D6CFC7"/>
          </w:tcPr>
          <w:p w14:paraId="2A5C50C9" w14:textId="77777777" w:rsidR="007B4460" w:rsidRPr="000F59A7" w:rsidRDefault="007B4460" w:rsidP="00E42D70">
            <w:pPr>
              <w:keepNext/>
              <w:spacing w:before="40" w:after="40"/>
              <w:jc w:val="left"/>
              <w:rPr>
                <w:rFonts w:eastAsia="PMingLiU"/>
                <w:b/>
                <w:bCs/>
                <w:color w:val="000000"/>
                <w:sz w:val="16"/>
                <w:szCs w:val="16"/>
                <w:lang w:val="es-MX" w:eastAsia="zh-TW"/>
              </w:rPr>
            </w:pPr>
            <w:r w:rsidRPr="000F59A7">
              <w:rPr>
                <w:rFonts w:eastAsia="PMingLiU"/>
                <w:b/>
                <w:bCs/>
                <w:color w:val="000000"/>
                <w:sz w:val="16"/>
                <w:szCs w:val="16"/>
                <w:lang w:val="es-MX" w:eastAsia="zh-TW"/>
              </w:rPr>
              <w:t>Nacional</w:t>
            </w:r>
          </w:p>
        </w:tc>
        <w:tc>
          <w:tcPr>
            <w:tcW w:w="930" w:type="pct"/>
            <w:vMerge/>
            <w:vAlign w:val="center"/>
          </w:tcPr>
          <w:p w14:paraId="32940A49" w14:textId="77777777" w:rsidR="007B4460" w:rsidRPr="000F59A7" w:rsidRDefault="007B4460" w:rsidP="00E42D70">
            <w:pPr>
              <w:keepNext/>
              <w:spacing w:before="40" w:after="40"/>
              <w:jc w:val="left"/>
              <w:rPr>
                <w:rFonts w:eastAsia="PMingLiU"/>
                <w:sz w:val="16"/>
                <w:szCs w:val="16"/>
                <w:lang w:val="es-MX" w:eastAsia="zh-TW"/>
              </w:rPr>
            </w:pPr>
          </w:p>
        </w:tc>
        <w:tc>
          <w:tcPr>
            <w:tcW w:w="799" w:type="pct"/>
            <w:vMerge/>
          </w:tcPr>
          <w:p w14:paraId="745B4F22" w14:textId="77777777" w:rsidR="007B4460" w:rsidRPr="000F59A7" w:rsidRDefault="007B4460" w:rsidP="00E42D70">
            <w:pPr>
              <w:keepNext/>
              <w:spacing w:before="40" w:after="40"/>
              <w:jc w:val="left"/>
              <w:rPr>
                <w:rFonts w:eastAsia="PMingLiU"/>
                <w:sz w:val="16"/>
                <w:szCs w:val="16"/>
                <w:lang w:val="es-MX" w:eastAsia="zh-TW"/>
              </w:rPr>
            </w:pPr>
          </w:p>
        </w:tc>
        <w:tc>
          <w:tcPr>
            <w:tcW w:w="1305" w:type="pct"/>
          </w:tcPr>
          <w:p w14:paraId="6DF7C987" w14:textId="1DECB6E6" w:rsidR="007B4460" w:rsidRPr="000F59A7" w:rsidRDefault="007B4460" w:rsidP="00E42D70">
            <w:pPr>
              <w:keepNext/>
              <w:spacing w:before="40" w:after="40"/>
              <w:jc w:val="center"/>
              <w:rPr>
                <w:rFonts w:eastAsia="PMingLiU"/>
                <w:sz w:val="16"/>
                <w:szCs w:val="16"/>
                <w:lang w:val="es-MX" w:eastAsia="zh-TW"/>
              </w:rPr>
            </w:pPr>
            <w:r w:rsidRPr="00410222">
              <w:rPr>
                <w:rFonts w:eastAsia="PMingLiU"/>
                <w:sz w:val="16"/>
                <w:szCs w:val="16"/>
                <w:lang w:val="es-MX" w:eastAsia="zh-TW"/>
              </w:rPr>
              <w:t>0.0057%</w:t>
            </w:r>
            <w:r w:rsidRPr="000F59A7">
              <w:rPr>
                <w:rFonts w:eastAsia="PMingLiU"/>
                <w:sz w:val="16"/>
                <w:szCs w:val="16"/>
                <w:lang w:val="es-MX" w:eastAsia="zh-TW"/>
              </w:rPr>
              <w:t>%</w:t>
            </w:r>
          </w:p>
        </w:tc>
      </w:tr>
    </w:tbl>
    <w:p w14:paraId="280B8FC5" w14:textId="0A40E1C0" w:rsidR="00DB3B0E" w:rsidRPr="000F59A7" w:rsidRDefault="00382D10" w:rsidP="00DB3B0E">
      <w:pPr>
        <w:pStyle w:val="Source"/>
        <w:spacing w:after="0"/>
        <w:jc w:val="right"/>
        <w:rPr>
          <w:lang w:val="es-MX"/>
        </w:rPr>
      </w:pPr>
      <w:r w:rsidRPr="008B3D14">
        <w:t xml:space="preserve">Fuente: </w:t>
      </w:r>
      <w:r>
        <w:t>IFT (2021)</w:t>
      </w:r>
    </w:p>
    <w:p w14:paraId="21F3C9AD" w14:textId="632DA03A" w:rsidR="00223D08" w:rsidRPr="00131A45" w:rsidRDefault="00223D08" w:rsidP="00223D08">
      <w:pPr>
        <w:pStyle w:val="Textoindependiente"/>
        <w:rPr>
          <w:sz w:val="20"/>
          <w:szCs w:val="22"/>
          <w:lang w:val="es-MX" w:eastAsia="en-US"/>
        </w:rPr>
      </w:pPr>
      <w:r w:rsidRPr="00131A45">
        <w:rPr>
          <w:sz w:val="20"/>
          <w:szCs w:val="22"/>
          <w:lang w:val="es-MX" w:eastAsia="en-US"/>
        </w:rPr>
        <w:t>Para calcular el costo de</w:t>
      </w:r>
      <w:r w:rsidR="000F59A7" w:rsidRPr="00131A45">
        <w:rPr>
          <w:sz w:val="20"/>
          <w:szCs w:val="22"/>
          <w:lang w:val="es-MX" w:eastAsia="en-US"/>
        </w:rPr>
        <w:t>l</w:t>
      </w:r>
      <w:r w:rsidRPr="00131A45">
        <w:rPr>
          <w:sz w:val="20"/>
          <w:szCs w:val="22"/>
          <w:lang w:val="es-MX" w:eastAsia="en-US"/>
        </w:rPr>
        <w:t xml:space="preserve"> SCyD a un nivel más desagregado, es necesario identificar en el modelo el tráfico generado por cada variante de los servicios de SCyD, así como el número correspondiente de suscriptores.</w:t>
      </w:r>
    </w:p>
    <w:p w14:paraId="40EE56C7" w14:textId="35694FCF" w:rsidR="00223D08" w:rsidRPr="00131A45" w:rsidRDefault="00223D08" w:rsidP="00223D08">
      <w:pPr>
        <w:pStyle w:val="Textoindependiente"/>
        <w:rPr>
          <w:sz w:val="20"/>
          <w:szCs w:val="22"/>
          <w:highlight w:val="yellow"/>
          <w:lang w:val="es-MX" w:eastAsia="en-US"/>
        </w:rPr>
      </w:pPr>
      <w:r w:rsidRPr="00131A45">
        <w:rPr>
          <w:sz w:val="20"/>
          <w:szCs w:val="22"/>
          <w:lang w:val="es-MX" w:eastAsia="en-US"/>
        </w:rPr>
        <w:t xml:space="preserve">La siguiente tabla presenta el flujo de cálculo </w:t>
      </w:r>
      <w:r w:rsidR="000F59A7" w:rsidRPr="00131A45">
        <w:rPr>
          <w:sz w:val="20"/>
          <w:szCs w:val="22"/>
          <w:lang w:val="es-MX" w:eastAsia="en-US"/>
        </w:rPr>
        <w:t>necesario.</w:t>
      </w:r>
    </w:p>
    <w:p w14:paraId="329FDC50" w14:textId="29CF6BCC" w:rsidR="00DB3B0E" w:rsidRPr="000F59A7" w:rsidRDefault="00DB3B0E" w:rsidP="00223D08">
      <w:pPr>
        <w:pStyle w:val="Descripcin"/>
        <w:keepNext/>
        <w:rPr>
          <w:lang w:val="es-ES"/>
        </w:rPr>
      </w:pPr>
      <w:r w:rsidRPr="000F59A7">
        <w:rPr>
          <w:lang w:val="es-ES"/>
        </w:rPr>
        <w:t>Figur</w:t>
      </w:r>
      <w:r w:rsidR="005B69B7">
        <w:rPr>
          <w:lang w:val="es-ES"/>
        </w:rPr>
        <w:t>a</w:t>
      </w:r>
      <w:r w:rsidRPr="000F59A7">
        <w:rPr>
          <w:lang w:val="es-ES"/>
        </w:rPr>
        <w:t xml:space="preserve"> </w:t>
      </w:r>
      <w:r w:rsidR="005B69B7">
        <w:rPr>
          <w:lang w:val="es-MX"/>
        </w:rPr>
        <w:t>2</w:t>
      </w:r>
      <w:r w:rsidRPr="000F59A7">
        <w:rPr>
          <w:lang w:val="es-ES"/>
        </w:rPr>
        <w:t xml:space="preserve"> –</w:t>
      </w:r>
      <w:r w:rsidR="00223D08" w:rsidRPr="000F59A7">
        <w:rPr>
          <w:lang w:val="es-ES"/>
        </w:rPr>
        <w:t xml:space="preserve"> </w:t>
      </w:r>
      <w:r w:rsidR="000F59A7" w:rsidRPr="000F59A7">
        <w:rPr>
          <w:lang w:val="es-ES"/>
        </w:rPr>
        <w:t>Flujo</w:t>
      </w:r>
      <w:r w:rsidR="00223D08" w:rsidRPr="000F59A7">
        <w:rPr>
          <w:lang w:val="es-ES"/>
        </w:rPr>
        <w:t xml:space="preserve"> de cálculo </w:t>
      </w:r>
      <w:r w:rsidR="000F59A7" w:rsidRPr="000F59A7">
        <w:rPr>
          <w:lang w:val="es-ES"/>
        </w:rPr>
        <w:t xml:space="preserve">sugerido </w:t>
      </w:r>
      <w:r w:rsidR="00223D08" w:rsidRPr="000F59A7">
        <w:rPr>
          <w:lang w:val="es-ES"/>
        </w:rPr>
        <w:t>para evaluar el costo de cada variante de</w:t>
      </w:r>
      <w:r w:rsidR="000F59A7" w:rsidRPr="000F59A7">
        <w:rPr>
          <w:lang w:val="es-ES"/>
        </w:rPr>
        <w:t>l</w:t>
      </w:r>
      <w:r w:rsidR="00223D08" w:rsidRPr="000F59A7">
        <w:rPr>
          <w:lang w:val="es-ES"/>
        </w:rPr>
        <w:t xml:space="preserve"> SCyD de acuerdo con un enfoque basado en la capacidad</w:t>
      </w:r>
    </w:p>
    <w:p w14:paraId="39D3B81D" w14:textId="5C4201F0" w:rsidR="00DB3B0E" w:rsidRPr="000F59A7" w:rsidRDefault="005B69B7" w:rsidP="00DB3B0E">
      <w:pPr>
        <w:pStyle w:val="Textoindependiente"/>
        <w:rPr>
          <w:lang w:val="es-MX" w:eastAsia="en-US"/>
        </w:rPr>
      </w:pPr>
      <w:r>
        <w:rPr>
          <w:noProof/>
        </w:rPr>
        <w:drawing>
          <wp:inline distT="0" distB="0" distL="0" distR="0" wp14:anchorId="6B5130B9" wp14:editId="75F5EB3A">
            <wp:extent cx="5972810" cy="2978150"/>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2978150"/>
                    </a:xfrm>
                    <a:prstGeom prst="rect">
                      <a:avLst/>
                    </a:prstGeom>
                  </pic:spPr>
                </pic:pic>
              </a:graphicData>
            </a:graphic>
          </wp:inline>
        </w:drawing>
      </w:r>
    </w:p>
    <w:p w14:paraId="0A4AFC37" w14:textId="12CA3A6D" w:rsidR="00DB3B0E" w:rsidRPr="000F59A7" w:rsidRDefault="00DB3B0E" w:rsidP="00DB3B0E">
      <w:pPr>
        <w:pStyle w:val="Textoindependiente"/>
        <w:jc w:val="right"/>
        <w:rPr>
          <w:rFonts w:cs="Arial"/>
          <w:sz w:val="16"/>
          <w:szCs w:val="18"/>
          <w:lang w:val="es-MX" w:eastAsia="en-GB"/>
        </w:rPr>
      </w:pPr>
      <w:r w:rsidRPr="000F59A7">
        <w:rPr>
          <w:rFonts w:cs="Arial"/>
          <w:sz w:val="16"/>
          <w:szCs w:val="18"/>
          <w:lang w:val="es-MX" w:eastAsia="en-GB"/>
        </w:rPr>
        <w:t xml:space="preserve">Fuente: </w:t>
      </w:r>
      <w:r w:rsidR="000476AC">
        <w:rPr>
          <w:rFonts w:cs="Arial"/>
          <w:sz w:val="16"/>
          <w:szCs w:val="18"/>
          <w:lang w:val="es-MX" w:eastAsia="en-GB"/>
        </w:rPr>
        <w:t>IFT (2021)</w:t>
      </w:r>
    </w:p>
    <w:p w14:paraId="3531EF48" w14:textId="77777777" w:rsidR="005B69B7" w:rsidRDefault="005B69B7" w:rsidP="009D7636">
      <w:pPr>
        <w:pStyle w:val="Textoindependiente"/>
        <w:rPr>
          <w:sz w:val="20"/>
          <w:szCs w:val="22"/>
          <w:lang w:val="es-MX" w:eastAsia="en-US"/>
        </w:rPr>
      </w:pPr>
    </w:p>
    <w:p w14:paraId="74CD821D" w14:textId="156740E9" w:rsidR="009D7636" w:rsidRPr="00131A45" w:rsidRDefault="009D7636" w:rsidP="009D7636">
      <w:pPr>
        <w:pStyle w:val="Textoindependiente"/>
        <w:rPr>
          <w:sz w:val="20"/>
          <w:szCs w:val="22"/>
          <w:lang w:val="es-MX" w:eastAsia="en-US"/>
        </w:rPr>
      </w:pPr>
      <w:r w:rsidRPr="00131A45">
        <w:rPr>
          <w:sz w:val="20"/>
          <w:szCs w:val="22"/>
          <w:lang w:val="es-MX" w:eastAsia="en-US"/>
        </w:rPr>
        <w:lastRenderedPageBreak/>
        <w:t>Como se presenta en la figura anterior:</w:t>
      </w:r>
    </w:p>
    <w:p w14:paraId="0B05900B" w14:textId="795B15BF" w:rsidR="009D7636" w:rsidRPr="00131A45" w:rsidRDefault="009D7636" w:rsidP="009D7636">
      <w:pPr>
        <w:pStyle w:val="Textoindependiente"/>
        <w:numPr>
          <w:ilvl w:val="0"/>
          <w:numId w:val="34"/>
        </w:numPr>
        <w:rPr>
          <w:sz w:val="20"/>
          <w:szCs w:val="22"/>
          <w:lang w:val="es-MX" w:eastAsia="en-US"/>
        </w:rPr>
      </w:pPr>
      <w:r w:rsidRPr="00131A45">
        <w:rPr>
          <w:sz w:val="20"/>
          <w:szCs w:val="22"/>
          <w:lang w:val="es-MX" w:eastAsia="en-US"/>
        </w:rPr>
        <w:t>La variante de cada servicio SCyD (para cada nivel de agregación) se denomina SCyD_X_i</w:t>
      </w:r>
      <w:r w:rsidR="000F59A7" w:rsidRPr="00131A45">
        <w:rPr>
          <w:sz w:val="20"/>
          <w:szCs w:val="22"/>
          <w:lang w:val="es-MX" w:eastAsia="en-US"/>
        </w:rPr>
        <w:t xml:space="preserve">, </w:t>
      </w:r>
      <w:r w:rsidRPr="00131A45">
        <w:rPr>
          <w:sz w:val="20"/>
          <w:szCs w:val="22"/>
          <w:lang w:val="es-MX" w:eastAsia="en-US"/>
        </w:rPr>
        <w:t>donde X corresponde a Local, Regional o Nacional, e</w:t>
      </w:r>
      <w:r w:rsidR="000F59A7" w:rsidRPr="00131A45">
        <w:rPr>
          <w:sz w:val="20"/>
          <w:szCs w:val="22"/>
          <w:lang w:val="es-MX" w:eastAsia="en-US"/>
        </w:rPr>
        <w:t xml:space="preserve"> </w:t>
      </w:r>
      <w:r w:rsidRPr="00131A45">
        <w:rPr>
          <w:sz w:val="20"/>
          <w:szCs w:val="22"/>
          <w:lang w:val="es-MX" w:eastAsia="en-US"/>
        </w:rPr>
        <w:t>i corresponde a la variante del servicio que indica la calidad</w:t>
      </w:r>
      <w:r w:rsidR="000F59A7" w:rsidRPr="00131A45">
        <w:rPr>
          <w:sz w:val="20"/>
          <w:szCs w:val="22"/>
          <w:lang w:val="es-MX" w:eastAsia="en-US"/>
        </w:rPr>
        <w:t>, la simetría y la velocidad del servicio</w:t>
      </w:r>
    </w:p>
    <w:p w14:paraId="6F73B30F" w14:textId="18630FE1" w:rsidR="009D7636" w:rsidRPr="00131A45" w:rsidRDefault="009D7636" w:rsidP="009D7636">
      <w:pPr>
        <w:pStyle w:val="Textoindependiente"/>
        <w:numPr>
          <w:ilvl w:val="0"/>
          <w:numId w:val="34"/>
        </w:numPr>
        <w:rPr>
          <w:sz w:val="20"/>
          <w:szCs w:val="22"/>
          <w:lang w:val="es-MX" w:eastAsia="en-US"/>
        </w:rPr>
      </w:pPr>
      <w:r w:rsidRPr="00131A45">
        <w:rPr>
          <w:sz w:val="20"/>
          <w:szCs w:val="22"/>
          <w:lang w:val="es-MX" w:eastAsia="en-US"/>
        </w:rPr>
        <w:t xml:space="preserve">En verde, tráficos, volúmenes y costos agregados que se pueden obtener directamente del </w:t>
      </w:r>
      <w:r w:rsidR="00E109D5">
        <w:rPr>
          <w:sz w:val="20"/>
          <w:szCs w:val="22"/>
          <w:lang w:val="es-MX" w:eastAsia="en-US"/>
        </w:rPr>
        <w:t>M</w:t>
      </w:r>
      <w:r w:rsidR="00E109D5" w:rsidRPr="00131A45">
        <w:rPr>
          <w:sz w:val="20"/>
          <w:szCs w:val="22"/>
          <w:lang w:val="es-MX" w:eastAsia="en-US"/>
        </w:rPr>
        <w:t xml:space="preserve">odelo </w:t>
      </w:r>
      <w:r w:rsidRPr="00131A45">
        <w:rPr>
          <w:sz w:val="20"/>
          <w:szCs w:val="22"/>
          <w:lang w:val="es-MX" w:eastAsia="en-US"/>
        </w:rPr>
        <w:t xml:space="preserve">de </w:t>
      </w:r>
      <w:r w:rsidR="00E109D5">
        <w:rPr>
          <w:sz w:val="20"/>
          <w:szCs w:val="22"/>
          <w:lang w:val="es-MX" w:eastAsia="en-US"/>
        </w:rPr>
        <w:t>I</w:t>
      </w:r>
      <w:r w:rsidR="00E109D5" w:rsidRPr="00131A45">
        <w:rPr>
          <w:sz w:val="20"/>
          <w:szCs w:val="22"/>
          <w:lang w:val="es-MX" w:eastAsia="en-US"/>
        </w:rPr>
        <w:t>nterconexión</w:t>
      </w:r>
      <w:r w:rsidR="000476AC">
        <w:rPr>
          <w:sz w:val="20"/>
          <w:szCs w:val="22"/>
          <w:lang w:val="es-MX" w:eastAsia="en-US"/>
        </w:rPr>
        <w:t xml:space="preserve"> Fijo.</w:t>
      </w:r>
    </w:p>
    <w:p w14:paraId="44A94813" w14:textId="2B64DBAB" w:rsidR="009D7636" w:rsidRPr="00131A45" w:rsidRDefault="009D7636" w:rsidP="009D7636">
      <w:pPr>
        <w:pStyle w:val="Textoindependiente"/>
        <w:numPr>
          <w:ilvl w:val="0"/>
          <w:numId w:val="34"/>
        </w:numPr>
        <w:rPr>
          <w:sz w:val="20"/>
          <w:szCs w:val="22"/>
          <w:lang w:val="es-MX" w:eastAsia="en-US"/>
        </w:rPr>
      </w:pPr>
      <w:r w:rsidRPr="00131A45">
        <w:rPr>
          <w:sz w:val="20"/>
          <w:szCs w:val="22"/>
          <w:lang w:val="es-MX" w:eastAsia="en-US"/>
        </w:rPr>
        <w:t xml:space="preserve">En amarillo, los datos </w:t>
      </w:r>
      <w:r w:rsidR="000476AC">
        <w:rPr>
          <w:sz w:val="20"/>
          <w:szCs w:val="22"/>
          <w:lang w:val="es-MX" w:eastAsia="en-US"/>
        </w:rPr>
        <w:t>recopilados y estimados a partir de información proporcionada por las EM.</w:t>
      </w:r>
    </w:p>
    <w:p w14:paraId="2D3EE409" w14:textId="6339C289" w:rsidR="009D7636" w:rsidRPr="00131A45" w:rsidRDefault="009D7636" w:rsidP="009D7636">
      <w:pPr>
        <w:pStyle w:val="Textoindependiente"/>
        <w:numPr>
          <w:ilvl w:val="0"/>
          <w:numId w:val="34"/>
        </w:numPr>
        <w:rPr>
          <w:sz w:val="20"/>
          <w:szCs w:val="22"/>
          <w:lang w:val="es-MX" w:eastAsia="en-US"/>
        </w:rPr>
      </w:pPr>
      <w:r w:rsidRPr="00131A45">
        <w:rPr>
          <w:sz w:val="20"/>
          <w:szCs w:val="22"/>
          <w:lang w:val="es-MX" w:eastAsia="en-US"/>
        </w:rPr>
        <w:t xml:space="preserve">En </w:t>
      </w:r>
      <w:r w:rsidR="00C669E6">
        <w:rPr>
          <w:sz w:val="20"/>
          <w:szCs w:val="22"/>
          <w:lang w:val="es-MX" w:eastAsia="en-US"/>
        </w:rPr>
        <w:t>naranja</w:t>
      </w:r>
      <w:r w:rsidRPr="00131A45">
        <w:rPr>
          <w:sz w:val="20"/>
          <w:szCs w:val="22"/>
          <w:lang w:val="es-MX" w:eastAsia="en-US"/>
        </w:rPr>
        <w:t>, los cálculos a realizar para evaluar el costo de cada variante de servicio bajo el enfoque basado en la capacidad</w:t>
      </w:r>
      <w:r w:rsidR="000476AC">
        <w:rPr>
          <w:sz w:val="20"/>
          <w:szCs w:val="22"/>
          <w:lang w:val="es-MX" w:eastAsia="en-US"/>
        </w:rPr>
        <w:t>.</w:t>
      </w:r>
    </w:p>
    <w:p w14:paraId="541E792B" w14:textId="77777777" w:rsidR="00E65F82" w:rsidRPr="00131A45" w:rsidRDefault="00E65F82" w:rsidP="009D7636">
      <w:pPr>
        <w:pStyle w:val="Textoindependiente"/>
        <w:rPr>
          <w:sz w:val="20"/>
          <w:szCs w:val="22"/>
          <w:lang w:val="es-MX" w:eastAsia="en-US"/>
        </w:rPr>
      </w:pPr>
    </w:p>
    <w:p w14:paraId="65DC674D" w14:textId="0E0F79F9" w:rsidR="009D7636" w:rsidRPr="00131A45" w:rsidRDefault="009D7636" w:rsidP="009D7636">
      <w:pPr>
        <w:pStyle w:val="Textoindependiente"/>
        <w:rPr>
          <w:sz w:val="20"/>
          <w:szCs w:val="22"/>
          <w:lang w:val="es-MX" w:eastAsia="en-US"/>
        </w:rPr>
      </w:pPr>
      <w:r w:rsidRPr="00131A45">
        <w:rPr>
          <w:sz w:val="20"/>
          <w:szCs w:val="22"/>
          <w:lang w:val="es-MX" w:eastAsia="en-US"/>
        </w:rPr>
        <w:t>El principio de cálculo del cost</w:t>
      </w:r>
      <w:r w:rsidR="00E65F82" w:rsidRPr="00131A45">
        <w:rPr>
          <w:sz w:val="20"/>
          <w:szCs w:val="22"/>
          <w:lang w:val="es-MX" w:eastAsia="en-US"/>
        </w:rPr>
        <w:t>o</w:t>
      </w:r>
      <w:r w:rsidRPr="00131A45">
        <w:rPr>
          <w:sz w:val="20"/>
          <w:szCs w:val="22"/>
          <w:lang w:val="es-MX" w:eastAsia="en-US"/>
        </w:rPr>
        <w:t xml:space="preserve"> de cada variante de servicio consiste en realizar los mismos cálculos realizados en el </w:t>
      </w:r>
      <w:r w:rsidR="004F702A">
        <w:rPr>
          <w:sz w:val="20"/>
          <w:szCs w:val="22"/>
          <w:lang w:val="es-MX" w:eastAsia="en-US"/>
        </w:rPr>
        <w:t>M</w:t>
      </w:r>
      <w:r w:rsidR="004F702A" w:rsidRPr="00131A45">
        <w:rPr>
          <w:sz w:val="20"/>
          <w:szCs w:val="22"/>
          <w:lang w:val="es-MX" w:eastAsia="en-US"/>
        </w:rPr>
        <w:t xml:space="preserve">odelo </w:t>
      </w:r>
      <w:r w:rsidRPr="00131A45">
        <w:rPr>
          <w:sz w:val="20"/>
          <w:szCs w:val="22"/>
          <w:lang w:val="es-MX" w:eastAsia="en-US"/>
        </w:rPr>
        <w:t xml:space="preserve">de </w:t>
      </w:r>
      <w:r w:rsidR="004F702A">
        <w:rPr>
          <w:sz w:val="20"/>
          <w:szCs w:val="22"/>
          <w:lang w:val="es-MX" w:eastAsia="en-US"/>
        </w:rPr>
        <w:t>I</w:t>
      </w:r>
      <w:r w:rsidR="004F702A" w:rsidRPr="00131A45">
        <w:rPr>
          <w:sz w:val="20"/>
          <w:szCs w:val="22"/>
          <w:lang w:val="es-MX" w:eastAsia="en-US"/>
        </w:rPr>
        <w:t>nterconexión</w:t>
      </w:r>
      <w:r w:rsidR="000476AC">
        <w:rPr>
          <w:sz w:val="20"/>
          <w:szCs w:val="22"/>
          <w:lang w:val="es-MX" w:eastAsia="en-US"/>
        </w:rPr>
        <w:t xml:space="preserve"> Fijo</w:t>
      </w:r>
      <w:r w:rsidR="004F702A" w:rsidRPr="00131A45">
        <w:rPr>
          <w:sz w:val="20"/>
          <w:szCs w:val="22"/>
          <w:lang w:val="es-MX" w:eastAsia="en-US"/>
        </w:rPr>
        <w:t xml:space="preserve">, </w:t>
      </w:r>
      <w:r w:rsidRPr="00131A45">
        <w:rPr>
          <w:sz w:val="20"/>
          <w:szCs w:val="22"/>
          <w:lang w:val="es-MX" w:eastAsia="en-US"/>
        </w:rPr>
        <w:t>pero a un nivel más desagregado</w:t>
      </w:r>
      <w:r w:rsidR="00FA676D">
        <w:rPr>
          <w:sz w:val="20"/>
          <w:szCs w:val="22"/>
          <w:lang w:val="es-MX" w:eastAsia="en-US"/>
        </w:rPr>
        <w:t xml:space="preserve">, los cuales se integran </w:t>
      </w:r>
      <w:r w:rsidR="004F702A">
        <w:rPr>
          <w:sz w:val="20"/>
          <w:szCs w:val="22"/>
          <w:lang w:val="es-MX" w:eastAsia="en-US"/>
        </w:rPr>
        <w:t xml:space="preserve">en el Módulo de Cálculo </w:t>
      </w:r>
      <w:r w:rsidR="007B4460">
        <w:rPr>
          <w:sz w:val="20"/>
          <w:szCs w:val="22"/>
          <w:lang w:val="es-MX" w:eastAsia="en-US"/>
        </w:rPr>
        <w:t>del SAIB</w:t>
      </w:r>
      <w:r w:rsidR="000476AC">
        <w:rPr>
          <w:sz w:val="20"/>
          <w:szCs w:val="22"/>
          <w:lang w:val="es-MX" w:eastAsia="en-US"/>
        </w:rPr>
        <w:t xml:space="preserve"> </w:t>
      </w:r>
      <w:r w:rsidR="004F702A">
        <w:rPr>
          <w:sz w:val="20"/>
          <w:szCs w:val="22"/>
          <w:lang w:val="es-MX" w:eastAsia="en-US"/>
        </w:rPr>
        <w:t xml:space="preserve">para determinar las tarifas </w:t>
      </w:r>
      <w:r w:rsidR="007B4460">
        <w:rPr>
          <w:sz w:val="20"/>
          <w:szCs w:val="22"/>
          <w:lang w:val="es-MX" w:eastAsia="en-US"/>
        </w:rPr>
        <w:t>mayoristas aplicables</w:t>
      </w:r>
      <w:r w:rsidR="004F702A">
        <w:rPr>
          <w:sz w:val="20"/>
          <w:szCs w:val="22"/>
          <w:lang w:val="es-MX" w:eastAsia="en-US"/>
        </w:rPr>
        <w:t>.</w:t>
      </w:r>
    </w:p>
    <w:p w14:paraId="07CB22B6" w14:textId="60F4D4DE" w:rsidR="009D7636" w:rsidRPr="00131A45" w:rsidRDefault="004F702A" w:rsidP="009D7636">
      <w:pPr>
        <w:pStyle w:val="Textoindependiente"/>
        <w:rPr>
          <w:sz w:val="20"/>
          <w:szCs w:val="22"/>
          <w:lang w:val="es-MX" w:eastAsia="en-US"/>
        </w:rPr>
      </w:pPr>
      <w:r>
        <w:rPr>
          <w:sz w:val="20"/>
          <w:szCs w:val="22"/>
          <w:lang w:val="es-MX" w:eastAsia="en-US"/>
        </w:rPr>
        <w:t>A partir de este se</w:t>
      </w:r>
      <w:r w:rsidR="009D7636" w:rsidRPr="00131A45">
        <w:rPr>
          <w:sz w:val="20"/>
          <w:szCs w:val="22"/>
          <w:lang w:val="es-MX" w:eastAsia="en-US"/>
        </w:rPr>
        <w:t xml:space="preserve"> calcula para todas las variantes de servicio, el costo correspondiente considerando la siguiente fórmula:</w:t>
      </w:r>
    </w:p>
    <w:p w14:paraId="77A732CB" w14:textId="77777777" w:rsidR="00DB3B0E" w:rsidRPr="00131A45" w:rsidRDefault="00DB3B0E" w:rsidP="00DB3B0E">
      <w:pPr>
        <w:pStyle w:val="Textoindependiente"/>
        <w:rPr>
          <w:sz w:val="20"/>
          <w:szCs w:val="22"/>
          <w:lang w:val="es-MX" w:eastAsia="en-US"/>
        </w:rPr>
      </w:pPr>
      <m:oMathPara>
        <m:oMath>
          <m:r>
            <w:rPr>
              <w:rFonts w:ascii="Cambria Math" w:hAnsi="Cambria Math" w:cs="Cambria Math"/>
              <w:sz w:val="20"/>
              <w:szCs w:val="22"/>
              <w:lang w:val="es-MX" w:eastAsia="en-US"/>
            </w:rPr>
            <m:t>T_X_i</m:t>
          </m:r>
          <m:r>
            <m:rPr>
              <m:sty m:val="p"/>
            </m:rPr>
            <w:rPr>
              <w:rFonts w:ascii="Cambria Math" w:hAnsi="Cambria Math" w:cs="Cambria Math"/>
              <w:sz w:val="20"/>
              <w:szCs w:val="22"/>
              <w:lang w:val="es-MX" w:eastAsia="en-US"/>
            </w:rPr>
            <m:t>=</m:t>
          </m:r>
          <m:f>
            <m:fPr>
              <m:ctrlPr>
                <w:rPr>
                  <w:rFonts w:ascii="Cambria Math" w:hAnsi="Cambria Math"/>
                  <w:sz w:val="20"/>
                  <w:szCs w:val="22"/>
                  <w:lang w:val="es-MX" w:eastAsia="en-US"/>
                </w:rPr>
              </m:ctrlPr>
            </m:fPr>
            <m:num>
              <m:r>
                <m:rPr>
                  <m:sty m:val="p"/>
                </m:rPr>
                <w:rPr>
                  <w:rFonts w:ascii="Cambria Math" w:hAnsi="Cambria Math" w:cs="Cambria Math"/>
                  <w:sz w:val="20"/>
                  <w:szCs w:val="22"/>
                  <w:lang w:val="es-MX" w:eastAsia="en-US"/>
                </w:rPr>
                <m:t>T_X/Mbps×VMbps_X_i</m:t>
              </m:r>
            </m:num>
            <m:den>
              <m:r>
                <m:rPr>
                  <m:sty m:val="p"/>
                </m:rPr>
                <w:rPr>
                  <w:rFonts w:ascii="Cambria Math" w:hAnsi="Cambria Math" w:cs="Cambria Math"/>
                  <w:sz w:val="20"/>
                  <w:szCs w:val="22"/>
                  <w:lang w:val="es-MX" w:eastAsia="en-US"/>
                </w:rPr>
                <m:t>#Sub_X_i</m:t>
              </m:r>
            </m:den>
          </m:f>
        </m:oMath>
      </m:oMathPara>
    </w:p>
    <w:p w14:paraId="55E1E646" w14:textId="3940343E" w:rsidR="00DB3B0E" w:rsidRPr="00131A45" w:rsidRDefault="00DB3B0E" w:rsidP="00DB3B0E">
      <w:pPr>
        <w:pStyle w:val="Textoindependiente"/>
        <w:rPr>
          <w:b/>
          <w:bCs/>
          <w:i/>
          <w:iCs/>
          <w:sz w:val="20"/>
          <w:szCs w:val="22"/>
          <w:lang w:val="es-ES" w:eastAsia="en-US"/>
        </w:rPr>
      </w:pPr>
    </w:p>
    <w:p w14:paraId="58DABD8A" w14:textId="77777777" w:rsidR="009D7636" w:rsidRPr="00131A45" w:rsidRDefault="009D7636" w:rsidP="009D7636">
      <w:pPr>
        <w:pStyle w:val="Textoindependiente"/>
        <w:rPr>
          <w:i/>
          <w:iCs/>
          <w:sz w:val="20"/>
          <w:szCs w:val="22"/>
          <w:lang w:val="es-ES" w:eastAsia="en-US"/>
        </w:rPr>
      </w:pPr>
      <w:r w:rsidRPr="00131A45">
        <w:rPr>
          <w:i/>
          <w:iCs/>
          <w:sz w:val="20"/>
          <w:szCs w:val="22"/>
          <w:lang w:val="es-ES" w:eastAsia="en-US"/>
        </w:rPr>
        <w:t>Dónde:</w:t>
      </w:r>
    </w:p>
    <w:p w14:paraId="5AA63099" w14:textId="1BE8CFFF" w:rsidR="009D7636" w:rsidRPr="00131A45" w:rsidRDefault="009D7636" w:rsidP="009D7636">
      <w:pPr>
        <w:pStyle w:val="Textoindependiente"/>
        <w:numPr>
          <w:ilvl w:val="0"/>
          <w:numId w:val="37"/>
        </w:numPr>
        <w:rPr>
          <w:sz w:val="20"/>
          <w:szCs w:val="22"/>
          <w:lang w:val="es-MX" w:eastAsia="en-US"/>
        </w:rPr>
      </w:pPr>
      <w:r w:rsidRPr="00131A45">
        <w:rPr>
          <w:sz w:val="20"/>
          <w:szCs w:val="22"/>
          <w:lang w:val="es-MX" w:eastAsia="en-US"/>
        </w:rPr>
        <w:t xml:space="preserve">T_X_i - es </w:t>
      </w:r>
      <w:r w:rsidRPr="00131A45">
        <w:rPr>
          <w:b/>
          <w:bCs/>
          <w:sz w:val="20"/>
          <w:szCs w:val="22"/>
          <w:lang w:val="es-MX" w:eastAsia="en-US"/>
        </w:rPr>
        <w:t>la tarifa por abonado del servicio i</w:t>
      </w:r>
      <w:r w:rsidRPr="00131A45">
        <w:rPr>
          <w:sz w:val="20"/>
          <w:szCs w:val="22"/>
          <w:lang w:val="es-MX" w:eastAsia="en-US"/>
        </w:rPr>
        <w:t xml:space="preserve"> (corresponde a la variante del servicio que indica la calidad del servicio, ya sea simétrica o asimétrica así como la velocidad) en el nivel de agregación X (X se refiere a L (local) , R (Regional) o N (Nacional)</w:t>
      </w:r>
    </w:p>
    <w:p w14:paraId="34A332C7" w14:textId="1264889F" w:rsidR="009D7636" w:rsidRPr="00131A45" w:rsidRDefault="009D7636" w:rsidP="009D7636">
      <w:pPr>
        <w:pStyle w:val="Textoindependiente"/>
        <w:numPr>
          <w:ilvl w:val="0"/>
          <w:numId w:val="37"/>
        </w:numPr>
        <w:rPr>
          <w:sz w:val="20"/>
          <w:szCs w:val="22"/>
          <w:lang w:val="es-MX" w:eastAsia="en-US"/>
        </w:rPr>
      </w:pPr>
      <w:r w:rsidRPr="00131A45">
        <w:rPr>
          <w:sz w:val="20"/>
          <w:szCs w:val="22"/>
          <w:lang w:val="es-MX" w:eastAsia="en-US"/>
        </w:rPr>
        <w:t xml:space="preserve">T_X / Mbps - es </w:t>
      </w:r>
      <w:r w:rsidRPr="00131A45">
        <w:rPr>
          <w:b/>
          <w:bCs/>
          <w:sz w:val="20"/>
          <w:szCs w:val="22"/>
          <w:lang w:val="es-MX" w:eastAsia="en-US"/>
        </w:rPr>
        <w:t>la tarifa promedio por Mbps para un nivel dado de agregación X</w:t>
      </w:r>
      <w:r w:rsidRPr="00131A45">
        <w:rPr>
          <w:sz w:val="20"/>
          <w:szCs w:val="22"/>
          <w:lang w:val="es-MX" w:eastAsia="en-US"/>
        </w:rPr>
        <w:t xml:space="preserve"> (X se refiere a L (local), R (Regional) o N (Nacional)</w:t>
      </w:r>
    </w:p>
    <w:p w14:paraId="73DFC3EC" w14:textId="6C88985D" w:rsidR="009D7636" w:rsidRPr="00131A45" w:rsidRDefault="009D7636" w:rsidP="009D7636">
      <w:pPr>
        <w:pStyle w:val="Textoindependiente"/>
        <w:numPr>
          <w:ilvl w:val="0"/>
          <w:numId w:val="37"/>
        </w:numPr>
        <w:rPr>
          <w:sz w:val="20"/>
          <w:szCs w:val="22"/>
          <w:lang w:val="es-MX" w:eastAsia="en-US"/>
        </w:rPr>
      </w:pPr>
      <w:r w:rsidRPr="00131A45">
        <w:rPr>
          <w:sz w:val="20"/>
          <w:szCs w:val="22"/>
          <w:lang w:val="es-MX" w:eastAsia="en-US"/>
        </w:rPr>
        <w:t xml:space="preserve">VMbps_X_i - es </w:t>
      </w:r>
      <w:r w:rsidRPr="00131A45">
        <w:rPr>
          <w:b/>
          <w:bCs/>
          <w:sz w:val="20"/>
          <w:szCs w:val="22"/>
          <w:lang w:val="es-MX" w:eastAsia="en-US"/>
        </w:rPr>
        <w:t>el volumen de tráfico (expresado en Mbps)</w:t>
      </w:r>
      <w:r w:rsidRPr="00131A45">
        <w:rPr>
          <w:sz w:val="20"/>
          <w:szCs w:val="22"/>
          <w:lang w:val="es-MX" w:eastAsia="en-US"/>
        </w:rPr>
        <w:t xml:space="preserve"> correspondiente al servicio i (corresponde a la variante del servicio que indica la calidad del servicio, ya sea simétrica o asimétrica así como la velocidad) en el nivel de agregación X (X se refiere a L (local), R (Regional) o N (Nacional)</w:t>
      </w:r>
    </w:p>
    <w:p w14:paraId="6F20F674" w14:textId="0511197E" w:rsidR="009D7636" w:rsidRPr="00131A45" w:rsidRDefault="009D7636" w:rsidP="009D7636">
      <w:pPr>
        <w:pStyle w:val="Textoindependiente"/>
        <w:numPr>
          <w:ilvl w:val="0"/>
          <w:numId w:val="37"/>
        </w:numPr>
        <w:rPr>
          <w:sz w:val="20"/>
          <w:szCs w:val="22"/>
          <w:lang w:val="es-MX" w:eastAsia="en-US"/>
        </w:rPr>
      </w:pPr>
      <w:r w:rsidRPr="00131A45">
        <w:rPr>
          <w:sz w:val="20"/>
          <w:szCs w:val="22"/>
          <w:lang w:val="es-MX" w:eastAsia="en-US"/>
        </w:rPr>
        <w:t xml:space="preserve">#Sub_X_i - es </w:t>
      </w:r>
      <w:r w:rsidRPr="00131A45">
        <w:rPr>
          <w:b/>
          <w:bCs/>
          <w:sz w:val="20"/>
          <w:szCs w:val="22"/>
          <w:lang w:val="es-MX" w:eastAsia="en-US"/>
        </w:rPr>
        <w:t>el número de abonados correspondientes al servicio i</w:t>
      </w:r>
      <w:r w:rsidRPr="00131A45">
        <w:rPr>
          <w:sz w:val="20"/>
          <w:szCs w:val="22"/>
          <w:lang w:val="es-MX" w:eastAsia="en-US"/>
        </w:rPr>
        <w:t xml:space="preserve"> (corresponde a la variante del servicio que indica la calidad del servicio, ya sea simétrica o asimétrica así como la velocidad) en el nivel de agregación X (X se refiere a L ( local), R (Regional) o N (Nacional)</w:t>
      </w:r>
    </w:p>
    <w:p w14:paraId="37975C2C" w14:textId="472A5949" w:rsidR="009D7636" w:rsidRDefault="009D7636" w:rsidP="00DB3B0E">
      <w:pPr>
        <w:pStyle w:val="Textoindependiente"/>
        <w:rPr>
          <w:b/>
          <w:bCs/>
          <w:i/>
          <w:iCs/>
          <w:lang w:val="es-MX" w:eastAsia="en-US"/>
        </w:rPr>
      </w:pPr>
    </w:p>
    <w:p w14:paraId="3EB016F8" w14:textId="046DEC95" w:rsidR="005B69B7" w:rsidRDefault="005B69B7" w:rsidP="00DB3B0E">
      <w:pPr>
        <w:pStyle w:val="Textoindependiente"/>
        <w:rPr>
          <w:b/>
          <w:bCs/>
          <w:i/>
          <w:iCs/>
          <w:lang w:val="es-MX" w:eastAsia="en-US"/>
        </w:rPr>
      </w:pPr>
    </w:p>
    <w:p w14:paraId="0819C45C" w14:textId="77777777" w:rsidR="005B69B7" w:rsidRDefault="005B69B7" w:rsidP="00DB3B0E">
      <w:pPr>
        <w:pStyle w:val="Textoindependiente"/>
        <w:rPr>
          <w:b/>
          <w:bCs/>
          <w:i/>
          <w:iCs/>
          <w:lang w:val="es-MX" w:eastAsia="en-US"/>
        </w:rPr>
      </w:pPr>
    </w:p>
    <w:p w14:paraId="564BF048" w14:textId="25F5BB46" w:rsidR="00DB3B0E" w:rsidRPr="00285824" w:rsidRDefault="007B6F8E" w:rsidP="00285824">
      <w:pPr>
        <w:pStyle w:val="Ttulo1"/>
        <w:rPr>
          <w:color w:val="auto"/>
          <w:lang w:val="es-419"/>
        </w:rPr>
      </w:pPr>
      <w:bookmarkStart w:id="124" w:name="_Toc83660750"/>
      <w:r w:rsidRPr="00285824">
        <w:rPr>
          <w:color w:val="auto"/>
          <w:lang w:val="es-419"/>
        </w:rPr>
        <w:lastRenderedPageBreak/>
        <w:t>Resumen esquemático para el cálculo de tarifas</w:t>
      </w:r>
      <w:r w:rsidR="004F702A" w:rsidRPr="00285824">
        <w:rPr>
          <w:color w:val="auto"/>
          <w:lang w:val="es-419"/>
        </w:rPr>
        <w:t xml:space="preserve"> SAIB.</w:t>
      </w:r>
      <w:bookmarkEnd w:id="124"/>
    </w:p>
    <w:p w14:paraId="68067B54" w14:textId="0A12197F" w:rsidR="009D7636" w:rsidRPr="00131A45" w:rsidRDefault="000476AC" w:rsidP="009D7636">
      <w:pPr>
        <w:rPr>
          <w:sz w:val="20"/>
          <w:szCs w:val="20"/>
          <w:lang w:val="es-ES"/>
        </w:rPr>
      </w:pPr>
      <w:r>
        <w:rPr>
          <w:sz w:val="20"/>
          <w:szCs w:val="20"/>
          <w:lang w:val="es-ES"/>
        </w:rPr>
        <w:t xml:space="preserve">Los cálculos </w:t>
      </w:r>
      <w:r w:rsidR="00382D10">
        <w:rPr>
          <w:sz w:val="20"/>
          <w:szCs w:val="20"/>
          <w:lang w:val="es-ES"/>
        </w:rPr>
        <w:t>implementados</w:t>
      </w:r>
      <w:r>
        <w:rPr>
          <w:sz w:val="20"/>
          <w:szCs w:val="20"/>
          <w:lang w:val="es-ES"/>
        </w:rPr>
        <w:t xml:space="preserve"> en el Modelo de Cálculo del SAIB</w:t>
      </w:r>
      <w:r w:rsidR="009D7636" w:rsidRPr="00131A45">
        <w:rPr>
          <w:sz w:val="20"/>
          <w:szCs w:val="20"/>
          <w:lang w:val="es-ES"/>
        </w:rPr>
        <w:t xml:space="preserve"> consiste</w:t>
      </w:r>
      <w:r>
        <w:rPr>
          <w:sz w:val="20"/>
          <w:szCs w:val="20"/>
          <w:lang w:val="es-ES"/>
        </w:rPr>
        <w:t>n</w:t>
      </w:r>
      <w:r w:rsidR="009D7636" w:rsidRPr="00131A45">
        <w:rPr>
          <w:sz w:val="20"/>
          <w:szCs w:val="20"/>
          <w:lang w:val="es-ES"/>
        </w:rPr>
        <w:t xml:space="preserve"> en dividir los datos de los modelos (tráfico y abonados) para cada variante de servicio para calcular correctamente las tarifas</w:t>
      </w:r>
      <w:r w:rsidR="004F702A">
        <w:rPr>
          <w:sz w:val="20"/>
          <w:szCs w:val="20"/>
          <w:lang w:val="es-ES"/>
        </w:rPr>
        <w:t>, a partir de datos de uso de capacidad de la red de transporte proporcionados por las EM</w:t>
      </w:r>
      <w:r w:rsidR="009D7636" w:rsidRPr="00131A45">
        <w:rPr>
          <w:sz w:val="20"/>
          <w:szCs w:val="20"/>
          <w:lang w:val="es-ES"/>
        </w:rPr>
        <w:t>.</w:t>
      </w:r>
      <w:r w:rsidR="007B6F8E">
        <w:rPr>
          <w:sz w:val="20"/>
          <w:szCs w:val="20"/>
          <w:lang w:val="es-ES"/>
        </w:rPr>
        <w:t xml:space="preserve"> Dichos resultados por cada tipo de servicio se suman a partir de los resultados del acceso del bucle </w:t>
      </w:r>
      <w:r w:rsidR="005B69B7">
        <w:rPr>
          <w:sz w:val="20"/>
          <w:szCs w:val="20"/>
          <w:lang w:val="es-ES"/>
        </w:rPr>
        <w:t xml:space="preserve">cobre </w:t>
      </w:r>
      <w:r w:rsidR="007B6F8E">
        <w:rPr>
          <w:sz w:val="20"/>
          <w:szCs w:val="20"/>
          <w:lang w:val="es-ES"/>
        </w:rPr>
        <w:t>y/o fibra, resultando en las tarifas SAIB aplicables a cada una de las variantes del servicio.</w:t>
      </w:r>
    </w:p>
    <w:p w14:paraId="42D8EF0A" w14:textId="77777777" w:rsidR="00DB3B0E" w:rsidRPr="00DB3B0E" w:rsidRDefault="00DB3B0E" w:rsidP="00DB3B0E">
      <w:pPr>
        <w:pStyle w:val="Textoindependiente"/>
        <w:rPr>
          <w:lang w:val="es-MX" w:eastAsia="en-US"/>
        </w:rPr>
      </w:pPr>
    </w:p>
    <w:p w14:paraId="175736F7" w14:textId="20E5CA37" w:rsidR="00DB3B0E" w:rsidRPr="00DB3B0E" w:rsidRDefault="00DB3B0E" w:rsidP="00DB3B0E">
      <w:pPr>
        <w:pStyle w:val="Textoindependiente"/>
        <w:keepNext/>
        <w:jc w:val="center"/>
        <w:rPr>
          <w:b/>
          <w:sz w:val="16"/>
          <w:szCs w:val="16"/>
          <w:lang w:val="es-MX"/>
        </w:rPr>
      </w:pPr>
      <w:r w:rsidRPr="00DB3B0E">
        <w:rPr>
          <w:b/>
          <w:sz w:val="16"/>
          <w:szCs w:val="16"/>
          <w:lang w:val="es-MX"/>
        </w:rPr>
        <w:t xml:space="preserve">Figure </w:t>
      </w:r>
      <w:r w:rsidR="00671861">
        <w:rPr>
          <w:b/>
          <w:sz w:val="16"/>
          <w:szCs w:val="16"/>
          <w:lang w:val="es-MX"/>
        </w:rPr>
        <w:t>3</w:t>
      </w:r>
      <w:r w:rsidRPr="00DB3B0E">
        <w:rPr>
          <w:b/>
          <w:sz w:val="16"/>
          <w:szCs w:val="16"/>
          <w:lang w:val="es-MX"/>
        </w:rPr>
        <w:t xml:space="preserve"> – Resumen esquemático del enfoque</w:t>
      </w:r>
      <w:r w:rsidR="00EA5062">
        <w:rPr>
          <w:b/>
          <w:sz w:val="16"/>
          <w:szCs w:val="16"/>
          <w:lang w:val="es-MX"/>
        </w:rPr>
        <w:t xml:space="preserve"> SAIB</w:t>
      </w:r>
    </w:p>
    <w:p w14:paraId="07E45D87" w14:textId="45ACC810" w:rsidR="00DB3B0E" w:rsidRPr="00DB3B0E" w:rsidRDefault="00EA5062" w:rsidP="00DB3B0E">
      <w:pPr>
        <w:pStyle w:val="Textoindependiente"/>
        <w:jc w:val="center"/>
        <w:rPr>
          <w:lang w:val="es-MX" w:eastAsia="en-US"/>
        </w:rPr>
      </w:pPr>
      <w:r>
        <w:rPr>
          <w:noProof/>
        </w:rPr>
        <w:drawing>
          <wp:inline distT="0" distB="0" distL="0" distR="0" wp14:anchorId="1083E52F" wp14:editId="05029276">
            <wp:extent cx="5972810" cy="269049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2810" cy="2690495"/>
                    </a:xfrm>
                    <a:prstGeom prst="rect">
                      <a:avLst/>
                    </a:prstGeom>
                  </pic:spPr>
                </pic:pic>
              </a:graphicData>
            </a:graphic>
          </wp:inline>
        </w:drawing>
      </w:r>
    </w:p>
    <w:p w14:paraId="5EE4B592" w14:textId="47C2686F" w:rsidR="00DB3B0E" w:rsidRPr="00E65F82" w:rsidRDefault="00382D10" w:rsidP="00DB3B0E">
      <w:pPr>
        <w:pStyle w:val="Textoindependiente"/>
        <w:jc w:val="right"/>
        <w:rPr>
          <w:rFonts w:cs="Arial"/>
          <w:sz w:val="16"/>
          <w:szCs w:val="18"/>
          <w:lang w:val="es-MX" w:eastAsia="en-GB"/>
        </w:rPr>
      </w:pPr>
      <w:r w:rsidRPr="00382D10">
        <w:rPr>
          <w:rFonts w:cs="Arial"/>
          <w:sz w:val="16"/>
          <w:szCs w:val="18"/>
          <w:lang w:val="es-MX" w:eastAsia="en-GB"/>
        </w:rPr>
        <w:t>Fuente: IFT (2021)</w:t>
      </w:r>
    </w:p>
    <w:p w14:paraId="57C50C7B" w14:textId="77777777" w:rsidR="00B446AC" w:rsidRPr="00DB3B0E" w:rsidRDefault="00B446AC" w:rsidP="00DB3B0E">
      <w:pPr>
        <w:pStyle w:val="Ttulo2"/>
        <w:numPr>
          <w:ilvl w:val="0"/>
          <w:numId w:val="0"/>
        </w:numPr>
        <w:rPr>
          <w:lang w:val="es-MX"/>
        </w:rPr>
      </w:pPr>
    </w:p>
    <w:sectPr w:rsidR="00B446AC" w:rsidRPr="00DB3B0E" w:rsidSect="00066D80">
      <w:headerReference w:type="default" r:id="rId12"/>
      <w:footerReference w:type="default" r:id="rId13"/>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2F4AA" w14:textId="77777777" w:rsidR="00E3633B" w:rsidRDefault="00E3633B" w:rsidP="00F67D40">
      <w:r>
        <w:separator/>
      </w:r>
    </w:p>
  </w:endnote>
  <w:endnote w:type="continuationSeparator" w:id="0">
    <w:p w14:paraId="75458296" w14:textId="77777777" w:rsidR="00E3633B" w:rsidRDefault="00E3633B" w:rsidP="00F67D40">
      <w:r>
        <w:continuationSeparator/>
      </w:r>
    </w:p>
  </w:endnote>
  <w:endnote w:type="continuationNotice" w:id="1">
    <w:p w14:paraId="19D9EEB3" w14:textId="77777777" w:rsidR="00E3633B" w:rsidRDefault="00E36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72956459"/>
      <w:docPartObj>
        <w:docPartGallery w:val="Page Numbers (Bottom of Page)"/>
        <w:docPartUnique/>
      </w:docPartObj>
    </w:sdtPr>
    <w:sdtEndPr/>
    <w:sdtContent>
      <w:sdt>
        <w:sdtPr>
          <w:rPr>
            <w:sz w:val="20"/>
            <w:szCs w:val="20"/>
          </w:rPr>
          <w:id w:val="-1350645785"/>
          <w:docPartObj>
            <w:docPartGallery w:val="Page Numbers (Top of Page)"/>
            <w:docPartUnique/>
          </w:docPartObj>
        </w:sdtPr>
        <w:sdtEndPr/>
        <w:sdtContent>
          <w:p w14:paraId="16E6FEE9" w14:textId="0BD0AE63" w:rsidR="0075677D" w:rsidRPr="00C47E08" w:rsidRDefault="0075677D" w:rsidP="00C47E08">
            <w:pPr>
              <w:pStyle w:val="Piedepgina"/>
              <w:jc w:val="right"/>
              <w:rPr>
                <w:sz w:val="20"/>
                <w:szCs w:val="20"/>
              </w:rPr>
            </w:pPr>
            <w:r w:rsidRPr="00C47E08">
              <w:rPr>
                <w:sz w:val="20"/>
                <w:szCs w:val="20"/>
                <w:lang w:val="es-ES"/>
              </w:rPr>
              <w:t xml:space="preserve">Página </w:t>
            </w:r>
            <w:r w:rsidRPr="00C47E08">
              <w:rPr>
                <w:sz w:val="20"/>
                <w:szCs w:val="20"/>
              </w:rPr>
              <w:fldChar w:fldCharType="begin"/>
            </w:r>
            <w:r w:rsidRPr="00C47E08">
              <w:rPr>
                <w:sz w:val="20"/>
                <w:szCs w:val="20"/>
              </w:rPr>
              <w:instrText>PAGE</w:instrText>
            </w:r>
            <w:r w:rsidRPr="00C47E08">
              <w:rPr>
                <w:sz w:val="20"/>
                <w:szCs w:val="20"/>
              </w:rPr>
              <w:fldChar w:fldCharType="separate"/>
            </w:r>
            <w:r w:rsidRPr="00C47E08">
              <w:rPr>
                <w:sz w:val="20"/>
                <w:szCs w:val="20"/>
                <w:lang w:val="es-ES"/>
              </w:rPr>
              <w:t>2</w:t>
            </w:r>
            <w:r w:rsidRPr="00C47E08">
              <w:rPr>
                <w:sz w:val="20"/>
                <w:szCs w:val="20"/>
              </w:rPr>
              <w:fldChar w:fldCharType="end"/>
            </w:r>
            <w:r w:rsidRPr="00C47E08">
              <w:rPr>
                <w:sz w:val="20"/>
                <w:szCs w:val="20"/>
                <w:lang w:val="es-ES"/>
              </w:rPr>
              <w:t xml:space="preserve"> de </w:t>
            </w:r>
            <w:r w:rsidRPr="00C47E08">
              <w:rPr>
                <w:sz w:val="20"/>
                <w:szCs w:val="20"/>
              </w:rPr>
              <w:fldChar w:fldCharType="begin"/>
            </w:r>
            <w:r w:rsidRPr="00C47E08">
              <w:rPr>
                <w:sz w:val="20"/>
                <w:szCs w:val="20"/>
              </w:rPr>
              <w:instrText>NUMPAGES</w:instrText>
            </w:r>
            <w:r w:rsidRPr="00C47E08">
              <w:rPr>
                <w:sz w:val="20"/>
                <w:szCs w:val="20"/>
              </w:rPr>
              <w:fldChar w:fldCharType="separate"/>
            </w:r>
            <w:r w:rsidRPr="00C47E08">
              <w:rPr>
                <w:sz w:val="20"/>
                <w:szCs w:val="20"/>
                <w:lang w:val="es-ES"/>
              </w:rPr>
              <w:t>2</w:t>
            </w:r>
            <w:r w:rsidRPr="00C47E08">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B9683" w14:textId="77777777" w:rsidR="00E3633B" w:rsidRDefault="00E3633B" w:rsidP="00F67D40">
      <w:r>
        <w:separator/>
      </w:r>
    </w:p>
  </w:footnote>
  <w:footnote w:type="continuationSeparator" w:id="0">
    <w:p w14:paraId="2B9E9F4A" w14:textId="77777777" w:rsidR="00E3633B" w:rsidRDefault="00E3633B" w:rsidP="00F67D40">
      <w:r>
        <w:continuationSeparator/>
      </w:r>
    </w:p>
  </w:footnote>
  <w:footnote w:type="continuationNotice" w:id="1">
    <w:p w14:paraId="78C81BA6" w14:textId="77777777" w:rsidR="00E3633B" w:rsidRDefault="00E3633B">
      <w:pPr>
        <w:spacing w:after="0" w:line="240" w:lineRule="auto"/>
      </w:pPr>
    </w:p>
  </w:footnote>
  <w:footnote w:id="2">
    <w:p w14:paraId="7150EA13" w14:textId="77777777" w:rsidR="0075677D" w:rsidRPr="000C51DB" w:rsidRDefault="0075677D" w:rsidP="0091770E">
      <w:pPr>
        <w:pStyle w:val="Textonotapie"/>
        <w:rPr>
          <w:lang w:val="es-MX"/>
        </w:rPr>
      </w:pPr>
      <w:r>
        <w:rPr>
          <w:rStyle w:val="Refdenotaalpie"/>
        </w:rPr>
        <w:footnoteRef/>
      </w:r>
      <w:r w:rsidRPr="000C51DB">
        <w:rPr>
          <w:lang w:val="es-MX"/>
        </w:rPr>
        <w:t xml:space="preserve"> </w:t>
      </w:r>
      <w:r w:rsidRPr="000C51DB">
        <w:rPr>
          <w:sz w:val="18"/>
          <w:szCs w:val="18"/>
          <w:lang w:val="es-MX"/>
        </w:rPr>
        <w:t xml:space="preserve">Disponible en la siguiente liga electrónica: </w:t>
      </w:r>
      <w:hyperlink r:id="rId1" w:history="1">
        <w:r w:rsidRPr="000C51DB">
          <w:rPr>
            <w:rStyle w:val="Hipervnculo"/>
            <w:sz w:val="18"/>
            <w:szCs w:val="18"/>
            <w:lang w:val="es-MX"/>
          </w:rPr>
          <w:t>http://www.ift.org.mx/sites/default/files/21_02_22_bienal_2_vp_vf.pdf</w:t>
        </w:r>
      </w:hyperlink>
      <w:r w:rsidRPr="000C51DB">
        <w:rPr>
          <w:sz w:val="18"/>
          <w:szCs w:val="18"/>
          <w:lang w:val="es-MX"/>
        </w:rPr>
        <w:t xml:space="preserve"> </w:t>
      </w:r>
    </w:p>
  </w:footnote>
  <w:footnote w:id="3">
    <w:p w14:paraId="017B379B" w14:textId="77777777" w:rsidR="0075677D" w:rsidRPr="00C47E08" w:rsidRDefault="0075677D" w:rsidP="0091770E">
      <w:pPr>
        <w:pStyle w:val="Textonotapie"/>
        <w:ind w:left="0" w:firstLine="0"/>
        <w:rPr>
          <w:lang w:val="es-MX"/>
        </w:rPr>
      </w:pPr>
      <w:r>
        <w:rPr>
          <w:rStyle w:val="Refdenotaalpie"/>
        </w:rPr>
        <w:footnoteRef/>
      </w:r>
      <w:r w:rsidRPr="00C47E08">
        <w:rPr>
          <w:lang w:val="es-MX"/>
        </w:rPr>
        <w:t xml:space="preserve"> </w:t>
      </w:r>
      <w:r w:rsidRPr="00C47E08">
        <w:rPr>
          <w:sz w:val="18"/>
          <w:szCs w:val="18"/>
          <w:lang w:val="es-MX"/>
        </w:rPr>
        <w:t xml:space="preserve">Disponible en la siguiente liga electrónica: </w:t>
      </w:r>
      <w:hyperlink r:id="rId2" w:history="1">
        <w:r w:rsidRPr="00C47E08">
          <w:rPr>
            <w:rStyle w:val="Hipervnculo"/>
            <w:sz w:val="18"/>
            <w:szCs w:val="18"/>
            <w:lang w:val="es-MX"/>
          </w:rPr>
          <w:t>http://www.ift.org.mx/sites/default/files/anexo_3_medidas_2014-2017-2020_telecom.pdf</w:t>
        </w:r>
      </w:hyperlink>
      <w:r w:rsidRPr="00C47E08">
        <w:rPr>
          <w:sz w:val="18"/>
          <w:szCs w:val="18"/>
          <w:lang w:val="es-MX"/>
        </w:rPr>
        <w:t xml:space="preserve"> </w:t>
      </w:r>
    </w:p>
  </w:footnote>
  <w:footnote w:id="4">
    <w:p w14:paraId="5F27B884" w14:textId="7261CA97" w:rsidR="0075677D" w:rsidRPr="006D3F7F" w:rsidRDefault="0075677D" w:rsidP="006D3F7F">
      <w:pPr>
        <w:pStyle w:val="Textonotapie"/>
        <w:ind w:left="0" w:firstLine="0"/>
        <w:rPr>
          <w:lang w:val="es-MX"/>
        </w:rPr>
      </w:pPr>
      <w:r>
        <w:rPr>
          <w:rStyle w:val="Refdenotaalpie"/>
        </w:rPr>
        <w:footnoteRef/>
      </w:r>
      <w:r w:rsidRPr="006D3F7F">
        <w:rPr>
          <w:lang w:val="es-MX"/>
        </w:rPr>
        <w:t xml:space="preserve"> </w:t>
      </w:r>
      <w:r>
        <w:rPr>
          <w:lang w:val="es-MX"/>
        </w:rPr>
        <w:t xml:space="preserve">Disponible en la siguiente liga </w:t>
      </w:r>
      <w:r w:rsidRPr="00453486">
        <w:rPr>
          <w:sz w:val="18"/>
          <w:szCs w:val="18"/>
          <w:lang w:val="es-MX"/>
        </w:rPr>
        <w:t xml:space="preserve">electrónica: </w:t>
      </w:r>
      <w:hyperlink r:id="rId3" w:history="1">
        <w:r w:rsidRPr="00453486">
          <w:rPr>
            <w:rStyle w:val="Hipervnculo"/>
            <w:sz w:val="18"/>
            <w:szCs w:val="18"/>
            <w:lang w:val="es-MX"/>
          </w:rPr>
          <w:t>http://www.ift.org.mx/sites/default/files/contenidogeneral/politica-regulatoria/ofertadereferenciaparaladesagregaciondelbuclelocalempresasmayoristas.pdf</w:t>
        </w:r>
      </w:hyperlink>
      <w:r>
        <w:rPr>
          <w:rStyle w:val="Hipervnculo"/>
          <w:sz w:val="18"/>
          <w:szCs w:val="18"/>
          <w:lang w:val="es-MX"/>
        </w:rPr>
        <w:t xml:space="preserve"> </w:t>
      </w:r>
    </w:p>
  </w:footnote>
  <w:footnote w:id="5">
    <w:p w14:paraId="2734F781" w14:textId="77777777" w:rsidR="0075677D" w:rsidRPr="00D312C4" w:rsidRDefault="0075677D" w:rsidP="008733AB">
      <w:pPr>
        <w:pStyle w:val="Textonotapie"/>
        <w:ind w:left="0" w:firstLine="0"/>
        <w:rPr>
          <w:lang w:val="es-MX"/>
        </w:rPr>
      </w:pPr>
      <w:r w:rsidRPr="00C82E33">
        <w:rPr>
          <w:rStyle w:val="Refdenotaalpie"/>
          <w:sz w:val="18"/>
          <w:szCs w:val="18"/>
        </w:rPr>
        <w:footnoteRef/>
      </w:r>
      <w:r w:rsidRPr="00CF0BD9">
        <w:rPr>
          <w:sz w:val="18"/>
          <w:szCs w:val="18"/>
          <w:lang w:val="es-MX"/>
        </w:rPr>
        <w:t xml:space="preserve"> Autorizado por el Instituto en el “</w:t>
      </w:r>
      <w:r w:rsidRPr="00B01E15">
        <w:rPr>
          <w:i/>
          <w:iCs/>
          <w:sz w:val="18"/>
          <w:szCs w:val="18"/>
          <w:lang w:val="es-MX"/>
        </w:rPr>
        <w:t>ACUERDO MEDIANTE LA CUAL EL PLENO DEL INSTITUTO FEDERAL DE TELECOMUNICACIONES EXPIDE EL MODELO INTEGRAL DE RED DE ACCESO FIJO Y EL MODELO COSTOS EVITADOS PARA DETERMINAR LAS TARIFAS DEL SERVICIOS DE ACCESO Y USO COMPARTIDO DE INFRAESTRUCTURA PASIVA FIJA Y DEL SERVICIO DE DESAGREGACIÓN EFECTIVA DE LA RED LOCAL DEL AGENTE ECONÓMICO PREPONDERANTE EN EL SECTOR TELECOMUNICACIONES</w:t>
      </w:r>
      <w:r w:rsidRPr="00CF0BD9">
        <w:rPr>
          <w:sz w:val="18"/>
          <w:szCs w:val="18"/>
          <w:lang w:val="es-MX"/>
        </w:rPr>
        <w:t xml:space="preserve">”, disponible en la siguiente liga electrónica: </w:t>
      </w:r>
      <w:hyperlink r:id="rId4" w:history="1">
        <w:r w:rsidRPr="00CF0BD9">
          <w:rPr>
            <w:rStyle w:val="Hipervnculo"/>
            <w:sz w:val="18"/>
            <w:lang w:val="es-MX"/>
          </w:rPr>
          <w:t>http://www.ift.org.mx/sites/default/files/conocenos/pleno/sesiones/acuerdoliga/piftext11121824.pdf</w:t>
        </w:r>
      </w:hyperlink>
      <w:r w:rsidRPr="00CF0BD9">
        <w:rPr>
          <w:sz w:val="18"/>
          <w:szCs w:val="18"/>
          <w:lang w:val="es-MX"/>
        </w:rPr>
        <w:t xml:space="preserve">, así como su última actualización señalada en la “Resolución mediante la cual el Pleno del Instituto Federal de Telecomunicaciones modifica y aprueba los términos y condiciones de las Ofertas de Referencia de los Servicios de Desagregación presentadas por Red Nacional Última Milla, S.A.P.I. de C.V. y Red Última Milla del Noroeste, S.A.P.I. de C.V. aplicables del 1 de enero al 31 de diciembre de 2021.”, disponible en la siguiente liga electrónica: </w:t>
      </w:r>
      <w:hyperlink r:id="rId5" w:history="1">
        <w:r w:rsidRPr="00CF0BD9">
          <w:rPr>
            <w:rStyle w:val="Hipervnculo"/>
            <w:sz w:val="18"/>
            <w:lang w:val="es-MX"/>
          </w:rPr>
          <w:t>http://www.ift.org.mx/sites/default/files/conocenos/pleno/sesiones/acuerdoliga/vpext09122045.pdf</w:t>
        </w:r>
      </w:hyperlink>
      <w:r w:rsidRPr="00CF0BD9">
        <w:rPr>
          <w:sz w:val="18"/>
          <w:szCs w:val="18"/>
          <w:lang w:val="es-MX"/>
        </w:rPr>
        <w:t xml:space="preserve">. </w:t>
      </w:r>
      <w:bookmarkStart w:id="2" w:name="_Hlk82291156"/>
      <w:r w:rsidRPr="00C82E33">
        <w:rPr>
          <w:sz w:val="18"/>
          <w:szCs w:val="18"/>
          <w:lang w:val="es-MX"/>
        </w:rPr>
        <w:t xml:space="preserve">El archivo en formato Excel del modelo a que se hace referencia puede ser descargado en la siguiente liga electrónica: </w:t>
      </w:r>
      <w:hyperlink r:id="rId6" w:history="1">
        <w:r w:rsidRPr="00C82E33">
          <w:rPr>
            <w:rStyle w:val="Hipervnculo"/>
            <w:sz w:val="18"/>
            <w:lang w:val="es-MX"/>
          </w:rPr>
          <w:t>http://www.ift.org.mx/sites/default/files/contenidogeneral/politica-regulatoria/modelodecostosintegraldereddeaccesofijo2021versionpublica.zip</w:t>
        </w:r>
      </w:hyperlink>
      <w:r w:rsidRPr="00D312C4">
        <w:rPr>
          <w:lang w:val="es-MX"/>
        </w:rPr>
        <w:t xml:space="preserve"> </w:t>
      </w:r>
      <w:bookmarkEnd w:id="2"/>
    </w:p>
  </w:footnote>
  <w:footnote w:id="6">
    <w:p w14:paraId="3607DFAA" w14:textId="6DD2ADC6" w:rsidR="0075677D" w:rsidRPr="00C82E33" w:rsidRDefault="0075677D" w:rsidP="008733AB">
      <w:pPr>
        <w:pStyle w:val="Textonotapie"/>
        <w:ind w:left="0" w:firstLine="0"/>
        <w:rPr>
          <w:sz w:val="18"/>
          <w:szCs w:val="18"/>
          <w:lang w:val="es-MX"/>
        </w:rPr>
      </w:pPr>
      <w:r w:rsidRPr="00C82E33">
        <w:rPr>
          <w:rStyle w:val="Refdenotaalpie"/>
          <w:sz w:val="18"/>
          <w:szCs w:val="18"/>
        </w:rPr>
        <w:footnoteRef/>
      </w:r>
      <w:r w:rsidRPr="00CF0BD9">
        <w:rPr>
          <w:sz w:val="18"/>
          <w:szCs w:val="18"/>
          <w:lang w:val="es-MX"/>
        </w:rPr>
        <w:t xml:space="preserve"> </w:t>
      </w:r>
      <w:bookmarkStart w:id="3" w:name="_Hlk82292181"/>
      <w:r w:rsidRPr="00C82E33">
        <w:rPr>
          <w:sz w:val="18"/>
          <w:szCs w:val="18"/>
          <w:lang w:val="es-MX"/>
        </w:rPr>
        <w:t>El archivo en formato Excel de los “Modelos de Costos</w:t>
      </w:r>
      <w:r>
        <w:rPr>
          <w:sz w:val="18"/>
          <w:szCs w:val="18"/>
          <w:lang w:val="es-MX"/>
        </w:rPr>
        <w:t xml:space="preserve"> de Interconexión</w:t>
      </w:r>
      <w:r w:rsidRPr="00C82E33">
        <w:rPr>
          <w:sz w:val="18"/>
          <w:szCs w:val="18"/>
          <w:lang w:val="es-MX"/>
        </w:rPr>
        <w:t xml:space="preserve"> del Agente Económico Preponderante” pueden ser descargados en la siguiente liga electrónica: </w:t>
      </w:r>
      <w:hyperlink r:id="rId7" w:history="1">
        <w:r w:rsidRPr="00C82E33">
          <w:rPr>
            <w:rStyle w:val="Hipervnculo"/>
            <w:sz w:val="18"/>
            <w:lang w:val="es-MX"/>
          </w:rPr>
          <w:t>http://www.ift.org.mx/politica-regulatoria/modelos-de-costos/condiciones_tecnicas_minimas_y_modelos_de_costos_utilizados_para_determinar_las_tarifas_de_interconexion_aplicables_al_ano_2021/modelos_de_costos_del_agente_economico_preponderante</w:t>
        </w:r>
      </w:hyperlink>
      <w:bookmarkEnd w:id="3"/>
      <w:r w:rsidRPr="00C82E33">
        <w:rPr>
          <w:sz w:val="18"/>
          <w:szCs w:val="18"/>
          <w:lang w:val="es-MX"/>
        </w:rPr>
        <w:t xml:space="preserve">  </w:t>
      </w:r>
    </w:p>
  </w:footnote>
  <w:footnote w:id="7">
    <w:p w14:paraId="764B45F6" w14:textId="78A81B6C" w:rsidR="0075677D" w:rsidRPr="00B01E15" w:rsidRDefault="0075677D" w:rsidP="008733AB">
      <w:pPr>
        <w:pStyle w:val="Textonotapie"/>
        <w:ind w:left="0" w:firstLine="0"/>
        <w:rPr>
          <w:lang w:val="es-MX"/>
        </w:rPr>
      </w:pPr>
      <w:r>
        <w:rPr>
          <w:rStyle w:val="Refdenotaalpie"/>
        </w:rPr>
        <w:footnoteRef/>
      </w:r>
      <w:r w:rsidRPr="00B01E15">
        <w:rPr>
          <w:lang w:val="es-MX"/>
        </w:rPr>
        <w:t xml:space="preserve"> </w:t>
      </w:r>
      <w:r>
        <w:rPr>
          <w:sz w:val="18"/>
          <w:szCs w:val="18"/>
          <w:lang w:val="es-MX"/>
        </w:rPr>
        <w:t xml:space="preserve">Disponible en la siguiente liga electrónica: </w:t>
      </w:r>
      <w:hyperlink r:id="rId8" w:history="1">
        <w:r w:rsidRPr="00B654C4">
          <w:rPr>
            <w:rStyle w:val="Hipervnculo"/>
            <w:sz w:val="18"/>
            <w:szCs w:val="18"/>
            <w:lang w:val="es-MX"/>
          </w:rPr>
          <w:t>http://www.ift.org.mx/sites/default/files/conocenos/pleno/sesiones/acuerdoliga/dof041120343.pdf</w:t>
        </w:r>
      </w:hyperlink>
      <w:r>
        <w:rPr>
          <w:sz w:val="18"/>
          <w:szCs w:val="18"/>
          <w:lang w:val="es-MX"/>
        </w:rPr>
        <w:t xml:space="preserve"> </w:t>
      </w:r>
    </w:p>
  </w:footnote>
  <w:footnote w:id="8">
    <w:p w14:paraId="083860BC" w14:textId="0B6FCEC1" w:rsidR="0075677D" w:rsidRPr="00B241EB" w:rsidRDefault="0075677D" w:rsidP="00453486">
      <w:pPr>
        <w:pStyle w:val="Textonotapie"/>
        <w:ind w:left="0" w:firstLine="0"/>
        <w:rPr>
          <w:lang w:val="es-MX"/>
        </w:rPr>
      </w:pPr>
      <w:r>
        <w:rPr>
          <w:rStyle w:val="Refdenotaalpie"/>
        </w:rPr>
        <w:footnoteRef/>
      </w:r>
      <w:r w:rsidRPr="00B241EB">
        <w:rPr>
          <w:lang w:val="es-MX"/>
        </w:rPr>
        <w:t xml:space="preserve"> </w:t>
      </w:r>
      <w:r w:rsidRPr="00453486">
        <w:rPr>
          <w:sz w:val="18"/>
          <w:szCs w:val="18"/>
          <w:lang w:val="es-MX"/>
        </w:rPr>
        <w:t xml:space="preserve">Para mayor detalle puede consultarse los términos y condiciones definidos por el Instituto en la Oferta de Referencia para la Desagregación del </w:t>
      </w:r>
      <w:bookmarkStart w:id="5" w:name="_Hlk82291831"/>
      <w:r w:rsidRPr="00453486">
        <w:rPr>
          <w:sz w:val="18"/>
          <w:szCs w:val="18"/>
          <w:lang w:val="es-MX"/>
        </w:rPr>
        <w:t xml:space="preserve">Bucle Local (OREDA-Empresa Mayorista) </w:t>
      </w:r>
      <w:bookmarkEnd w:id="5"/>
      <w:r w:rsidRPr="00453486">
        <w:rPr>
          <w:sz w:val="18"/>
          <w:szCs w:val="18"/>
          <w:lang w:val="es-MX"/>
        </w:rPr>
        <w:t>2021</w:t>
      </w:r>
      <w:r>
        <w:rPr>
          <w:sz w:val="18"/>
          <w:szCs w:val="18"/>
          <w:lang w:val="es-MX"/>
        </w:rPr>
        <w:t xml:space="preserve"> </w:t>
      </w:r>
      <w:r w:rsidRPr="00453486">
        <w:rPr>
          <w:sz w:val="18"/>
          <w:szCs w:val="18"/>
          <w:lang w:val="es-MX"/>
        </w:rPr>
        <w:t xml:space="preserve">en la siguiente liga electrónica: </w:t>
      </w:r>
      <w:hyperlink r:id="rId9" w:history="1">
        <w:r w:rsidRPr="00453486">
          <w:rPr>
            <w:rStyle w:val="Hipervnculo"/>
            <w:sz w:val="18"/>
            <w:szCs w:val="18"/>
            <w:lang w:val="es-MX"/>
          </w:rPr>
          <w:t>http://www.ift.org.mx/sites/default/files/contenidogeneral/politica-regulatoria/ofertadereferenciaparaladesagregaciondelbuclelocalempresasmayoristas.pdf</w:t>
        </w:r>
      </w:hyperlink>
      <w:r>
        <w:rPr>
          <w:lang w:val="es-MX"/>
        </w:rPr>
        <w:t xml:space="preserve"> </w:t>
      </w:r>
    </w:p>
  </w:footnote>
  <w:footnote w:id="9">
    <w:p w14:paraId="711BF318" w14:textId="4353B3F0" w:rsidR="0075677D" w:rsidRPr="00B01E15" w:rsidRDefault="0075677D">
      <w:pPr>
        <w:pStyle w:val="Textonotapie"/>
        <w:rPr>
          <w:lang w:val="es-MX"/>
        </w:rPr>
      </w:pPr>
      <w:r>
        <w:rPr>
          <w:rStyle w:val="Refdenotaalpie"/>
        </w:rPr>
        <w:footnoteRef/>
      </w:r>
      <w:r w:rsidRPr="008733AB">
        <w:rPr>
          <w:lang w:val="es-MX"/>
        </w:rPr>
        <w:t xml:space="preserve"> </w:t>
      </w:r>
      <w:r w:rsidRPr="005B2309">
        <w:rPr>
          <w:sz w:val="18"/>
          <w:szCs w:val="18"/>
          <w:lang w:val="es-MX"/>
        </w:rPr>
        <w:t>Ídem</w:t>
      </w:r>
      <w:r>
        <w:rPr>
          <w:lang w:val="es-MX"/>
        </w:rPr>
        <w:t>.</w:t>
      </w:r>
    </w:p>
  </w:footnote>
  <w:footnote w:id="10">
    <w:p w14:paraId="4B692692" w14:textId="189FB356" w:rsidR="0075677D" w:rsidRPr="005B2309" w:rsidRDefault="0075677D" w:rsidP="005B2309">
      <w:pPr>
        <w:pStyle w:val="Textonotapie"/>
        <w:ind w:left="0" w:firstLine="0"/>
        <w:rPr>
          <w:sz w:val="18"/>
          <w:szCs w:val="18"/>
          <w:lang w:val="es-MX"/>
        </w:rPr>
      </w:pPr>
      <w:r w:rsidRPr="005B2309">
        <w:rPr>
          <w:rStyle w:val="Refdenotaalpie"/>
          <w:sz w:val="18"/>
          <w:szCs w:val="18"/>
        </w:rPr>
        <w:footnoteRef/>
      </w:r>
      <w:r w:rsidRPr="005B2309">
        <w:rPr>
          <w:sz w:val="18"/>
          <w:szCs w:val="18"/>
          <w:lang w:val="es-MX"/>
        </w:rPr>
        <w:t xml:space="preserve"> Disponible en la siguiente liga electrónica: </w:t>
      </w:r>
      <w:hyperlink r:id="rId10" w:history="1">
        <w:r w:rsidR="00F748CC" w:rsidRPr="001F3436">
          <w:rPr>
            <w:rStyle w:val="Hipervnculo"/>
            <w:lang w:val="es-MX"/>
          </w:rPr>
          <w:t>http://www.ift.org.mx/sites/default/files/industria/temasrelevantes/17418/documentos/archivosdeconsultapublicaem.zip</w:t>
        </w:r>
      </w:hyperlink>
    </w:p>
  </w:footnote>
  <w:footnote w:id="11">
    <w:p w14:paraId="12CCEF6C" w14:textId="7F61BA9A" w:rsidR="0075677D" w:rsidRPr="00621FD6" w:rsidRDefault="0075677D" w:rsidP="00621FD6">
      <w:pPr>
        <w:pStyle w:val="Textonotapie"/>
        <w:ind w:left="0" w:firstLine="0"/>
        <w:rPr>
          <w:sz w:val="18"/>
          <w:szCs w:val="18"/>
          <w:lang w:val="es-MX"/>
        </w:rPr>
      </w:pPr>
      <w:r>
        <w:rPr>
          <w:rStyle w:val="Refdenotaalpie"/>
        </w:rPr>
        <w:footnoteRef/>
      </w:r>
      <w:r w:rsidRPr="00666465">
        <w:rPr>
          <w:lang w:val="es-MX"/>
        </w:rPr>
        <w:t xml:space="preserve"> </w:t>
      </w:r>
      <w:r>
        <w:rPr>
          <w:sz w:val="18"/>
          <w:szCs w:val="18"/>
          <w:lang w:val="es-MX"/>
        </w:rPr>
        <w:t>Cuyo alcance fue autorizado por el Instituto a través de la publicación en el Diario Oficial de la Federación, e</w:t>
      </w:r>
      <w:r w:rsidRPr="00621FD6">
        <w:rPr>
          <w:sz w:val="18"/>
          <w:szCs w:val="18"/>
          <w:lang w:val="es-MX"/>
        </w:rPr>
        <w:t>l 17 de noviembre de 2020</w:t>
      </w:r>
      <w:r>
        <w:rPr>
          <w:sz w:val="18"/>
          <w:szCs w:val="18"/>
          <w:lang w:val="es-MX"/>
        </w:rPr>
        <w:t>, el</w:t>
      </w:r>
      <w:r w:rsidRPr="00621FD6">
        <w:rPr>
          <w:sz w:val="18"/>
          <w:szCs w:val="18"/>
          <w:lang w:val="es-MX"/>
        </w:rPr>
        <w:t xml:space="preserve">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2021”</w:t>
      </w:r>
    </w:p>
  </w:footnote>
  <w:footnote w:id="12">
    <w:p w14:paraId="10993AE3" w14:textId="3BF6B7B9" w:rsidR="001E5CB1" w:rsidRPr="008839E3" w:rsidRDefault="001E5CB1" w:rsidP="008839E3">
      <w:pPr>
        <w:pStyle w:val="Textonotapie"/>
        <w:ind w:left="0" w:firstLine="0"/>
        <w:rPr>
          <w:color w:val="000000"/>
          <w:sz w:val="18"/>
          <w:szCs w:val="18"/>
          <w:lang w:val="es-ES_tradnl" w:eastAsia="es-ES"/>
        </w:rPr>
      </w:pPr>
      <w:r w:rsidRPr="00AF4F48">
        <w:rPr>
          <w:rStyle w:val="Refdenotaalpie"/>
          <w:sz w:val="18"/>
          <w:szCs w:val="18"/>
        </w:rPr>
        <w:footnoteRef/>
      </w:r>
      <w:r w:rsidRPr="00AF4F48">
        <w:rPr>
          <w:sz w:val="18"/>
          <w:szCs w:val="18"/>
          <w:lang w:val="es-MX"/>
        </w:rPr>
        <w:t xml:space="preserve"> </w:t>
      </w:r>
      <w:r w:rsidRPr="008839E3">
        <w:rPr>
          <w:sz w:val="18"/>
          <w:szCs w:val="18"/>
          <w:lang w:val="es-MX"/>
        </w:rPr>
        <w:t>Para representar el valor del medio de transmisión se utiliza en segmentos de velocidad menores a 20 Mbps el valor promedio de cobr</w:t>
      </w:r>
      <w:r w:rsidR="00C4530F">
        <w:rPr>
          <w:sz w:val="18"/>
          <w:szCs w:val="18"/>
          <w:lang w:val="es-MX"/>
        </w:rPr>
        <w:t>e</w:t>
      </w:r>
      <w:r w:rsidRPr="008839E3">
        <w:rPr>
          <w:sz w:val="18"/>
          <w:szCs w:val="18"/>
          <w:lang w:val="es-MX"/>
        </w:rPr>
        <w:t xml:space="preserve"> y fibra óptica, mientras </w:t>
      </w:r>
      <w:r w:rsidR="00AF4F48" w:rsidRPr="008839E3">
        <w:rPr>
          <w:sz w:val="18"/>
          <w:szCs w:val="18"/>
          <w:lang w:val="es-MX"/>
        </w:rPr>
        <w:t>que,</w:t>
      </w:r>
      <w:r w:rsidRPr="008839E3">
        <w:rPr>
          <w:sz w:val="18"/>
          <w:szCs w:val="18"/>
          <w:lang w:val="es-MX"/>
        </w:rPr>
        <w:t xml:space="preserve"> para perfiles de velocidad </w:t>
      </w:r>
      <w:r w:rsidR="00C4530F">
        <w:rPr>
          <w:sz w:val="18"/>
          <w:szCs w:val="18"/>
          <w:lang w:val="es-MX"/>
        </w:rPr>
        <w:t>de</w:t>
      </w:r>
      <w:r w:rsidR="00C4530F" w:rsidRPr="008839E3">
        <w:rPr>
          <w:sz w:val="18"/>
          <w:szCs w:val="18"/>
          <w:lang w:val="es-MX"/>
        </w:rPr>
        <w:t xml:space="preserve"> </w:t>
      </w:r>
      <w:r w:rsidRPr="008839E3">
        <w:rPr>
          <w:sz w:val="18"/>
          <w:szCs w:val="18"/>
          <w:lang w:val="es-MX"/>
        </w:rPr>
        <w:t>a</w:t>
      </w:r>
      <w:r w:rsidR="00C4530F">
        <w:rPr>
          <w:sz w:val="18"/>
          <w:szCs w:val="18"/>
          <w:lang w:val="es-MX"/>
        </w:rPr>
        <w:t>l</w:t>
      </w:r>
      <w:r w:rsidRPr="008839E3">
        <w:rPr>
          <w:sz w:val="18"/>
          <w:szCs w:val="18"/>
          <w:lang w:val="es-MX"/>
        </w:rPr>
        <w:t xml:space="preserve"> </w:t>
      </w:r>
      <w:r w:rsidR="00C4530F">
        <w:rPr>
          <w:sz w:val="18"/>
          <w:szCs w:val="18"/>
          <w:lang w:val="es-MX"/>
        </w:rPr>
        <w:t>menos</w:t>
      </w:r>
      <w:r w:rsidRPr="008839E3">
        <w:rPr>
          <w:sz w:val="18"/>
          <w:szCs w:val="18"/>
          <w:lang w:val="es-MX"/>
        </w:rPr>
        <w:t xml:space="preserve"> 20 </w:t>
      </w:r>
      <w:r w:rsidR="00AF4F48" w:rsidRPr="008839E3">
        <w:rPr>
          <w:sz w:val="18"/>
          <w:szCs w:val="18"/>
          <w:lang w:val="es-MX"/>
        </w:rPr>
        <w:t>Mbps,</w:t>
      </w:r>
      <w:r w:rsidRPr="008839E3">
        <w:rPr>
          <w:sz w:val="18"/>
          <w:szCs w:val="18"/>
          <w:lang w:val="es-MX"/>
        </w:rPr>
        <w:t xml:space="preserve"> así como perfiles simétricos, </w:t>
      </w:r>
      <w:r w:rsidRPr="008839E3">
        <w:rPr>
          <w:color w:val="000000"/>
          <w:sz w:val="18"/>
          <w:szCs w:val="18"/>
          <w:lang w:val="es-ES_tradnl" w:eastAsia="es-ES"/>
        </w:rPr>
        <w:t>se supone se proveen a través de fibra</w:t>
      </w:r>
      <w:r w:rsidR="00AF4F48" w:rsidRPr="008839E3">
        <w:rPr>
          <w:color w:val="000000"/>
          <w:sz w:val="18"/>
          <w:szCs w:val="18"/>
          <w:lang w:val="es-ES_tradnl" w:eastAsia="es-ES"/>
        </w:rPr>
        <w:t xml:space="preserve"> óptica</w:t>
      </w:r>
      <w:r w:rsidRPr="008839E3">
        <w:rPr>
          <w:color w:val="000000"/>
          <w:sz w:val="18"/>
          <w:szCs w:val="18"/>
          <w:lang w:val="es-ES_tradnl" w:eastAsia="es-ES"/>
        </w:rPr>
        <w:t>.</w:t>
      </w:r>
      <w:r w:rsidR="00AF4F48" w:rsidRPr="008839E3">
        <w:rPr>
          <w:color w:val="000000"/>
          <w:sz w:val="18"/>
          <w:szCs w:val="18"/>
          <w:lang w:val="es-ES_tradnl" w:eastAsia="es-ES"/>
        </w:rPr>
        <w:t xml:space="preserve"> Lo anterior, </w:t>
      </w:r>
      <w:r w:rsidR="000B785D">
        <w:rPr>
          <w:color w:val="000000"/>
          <w:sz w:val="18"/>
          <w:szCs w:val="18"/>
          <w:lang w:val="es-ES_tradnl" w:eastAsia="es-ES"/>
        </w:rPr>
        <w:t>para considerar la migración de servicios de cobre a fibra latente en los servicios de las</w:t>
      </w:r>
      <w:r w:rsidR="00AF4F48" w:rsidRPr="008839E3">
        <w:rPr>
          <w:color w:val="000000"/>
          <w:sz w:val="18"/>
          <w:szCs w:val="18"/>
          <w:lang w:val="es-ES_tradnl" w:eastAsia="es-ES"/>
        </w:rPr>
        <w:t xml:space="preserve"> EM.</w:t>
      </w:r>
    </w:p>
  </w:footnote>
  <w:footnote w:id="13">
    <w:p w14:paraId="18DE720F" w14:textId="11C56A81" w:rsidR="0075677D" w:rsidRPr="008839E3" w:rsidRDefault="0075677D" w:rsidP="008839E3">
      <w:pPr>
        <w:pStyle w:val="Textonotapie"/>
        <w:ind w:left="0" w:firstLine="0"/>
        <w:rPr>
          <w:sz w:val="18"/>
          <w:szCs w:val="18"/>
          <w:lang w:val="es-MX"/>
        </w:rPr>
      </w:pPr>
      <w:r w:rsidRPr="008839E3">
        <w:rPr>
          <w:rStyle w:val="Refdenotaalpie"/>
          <w:sz w:val="18"/>
          <w:szCs w:val="18"/>
        </w:rPr>
        <w:footnoteRef/>
      </w:r>
      <w:r w:rsidRPr="008839E3">
        <w:rPr>
          <w:sz w:val="18"/>
          <w:szCs w:val="18"/>
          <w:lang w:val="es-MX"/>
        </w:rPr>
        <w:t xml:space="preserve"> Autorizado por el Instituto en el “</w:t>
      </w:r>
      <w:r w:rsidRPr="008839E3">
        <w:rPr>
          <w:i/>
          <w:iCs/>
          <w:sz w:val="18"/>
          <w:szCs w:val="18"/>
          <w:lang w:val="es-MX"/>
        </w:rPr>
        <w:t>ACUERDO MEDIANTE LA CUAL EL PLENO DEL INSTITUTO FEDERAL DE TELECOMUNICACIONES EXPIDE EL MODELO INTEGRAL DE RED DE ACCESO FIJO Y EL MODELO COSTOS EVITADOS PARA DETERMINAR LAS TARIFAS DEL SERVICIOS DE ACCESO Y USO COMPARTIDO DE INFRAESTRUCTURA PASIVA FIJA Y DEL SERVICIO DE DESAGREGACIÓN EFECTIVA DE LA RED LOCAL DEL AGENTE ECONÓMICO PREPONDERANTE EN EL SECTOR TELECOMUNICACIONES</w:t>
      </w:r>
      <w:r w:rsidRPr="008839E3">
        <w:rPr>
          <w:sz w:val="18"/>
          <w:szCs w:val="18"/>
          <w:lang w:val="es-MX"/>
        </w:rPr>
        <w:t xml:space="preserve">”, disponible en la siguiente liga electrónica: </w:t>
      </w:r>
      <w:hyperlink r:id="rId11" w:history="1">
        <w:r w:rsidRPr="008839E3">
          <w:rPr>
            <w:rStyle w:val="Hipervnculo"/>
            <w:sz w:val="18"/>
            <w:szCs w:val="18"/>
            <w:lang w:val="es-MX"/>
          </w:rPr>
          <w:t>http://www.ift.org.mx/sites/default/files/conocenos/pleno/sesiones/acuerdoliga/piftext11121824.pdf</w:t>
        </w:r>
      </w:hyperlink>
      <w:r w:rsidRPr="008839E3">
        <w:rPr>
          <w:sz w:val="18"/>
          <w:szCs w:val="18"/>
          <w:lang w:val="es-MX"/>
        </w:rPr>
        <w:t xml:space="preserve">, así como su última actualización señalada en la “Resolución mediante la cual el Pleno del Instituto Federal de Telecomunicaciones modifica y aprueba los términos y condiciones de las Ofertas de Referencia de los Servicios de Desagregación presentadas por Red Nacional Última Milla, S.A.P.I. de C.V. y Red Última Milla del Noroeste, S.A.P.I. de C.V. aplicables del 1 de enero al 31 de diciembre de 2021.”, disponible en la siguiente liga electrónica: </w:t>
      </w:r>
      <w:hyperlink r:id="rId12" w:history="1">
        <w:r w:rsidRPr="008839E3">
          <w:rPr>
            <w:rStyle w:val="Hipervnculo"/>
            <w:sz w:val="18"/>
            <w:szCs w:val="18"/>
            <w:lang w:val="es-MX"/>
          </w:rPr>
          <w:t>http://www.ift.org.mx/sites/default/files/conocenos/pleno/sesiones/acuerdoliga/vpext09122045.pdf</w:t>
        </w:r>
      </w:hyperlink>
      <w:r w:rsidRPr="008839E3">
        <w:rPr>
          <w:sz w:val="18"/>
          <w:szCs w:val="18"/>
          <w:lang w:val="es-MX"/>
        </w:rPr>
        <w:t xml:space="preserve">. </w:t>
      </w:r>
      <w:bookmarkStart w:id="11" w:name="_Hlk83400730"/>
      <w:r w:rsidRPr="008839E3">
        <w:rPr>
          <w:sz w:val="18"/>
          <w:szCs w:val="18"/>
          <w:lang w:val="es-MX"/>
        </w:rPr>
        <w:t xml:space="preserve">El archivo en formato Excel del modelo a que se hace referencia puede ser descargado en la siguiente liga electrónica: </w:t>
      </w:r>
      <w:hyperlink r:id="rId13" w:history="1">
        <w:r w:rsidRPr="008839E3">
          <w:rPr>
            <w:rStyle w:val="Hipervnculo"/>
            <w:sz w:val="18"/>
            <w:szCs w:val="18"/>
            <w:lang w:val="es-MX"/>
          </w:rPr>
          <w:t>http://www.ift.org.mx/sites/default/files/contenidogeneral/politica-regulatoria/modelodecostosintegraldereddeaccesofijo2021versionpublica.zip</w:t>
        </w:r>
      </w:hyperlink>
      <w:bookmarkEnd w:id="11"/>
    </w:p>
  </w:footnote>
  <w:footnote w:id="14">
    <w:p w14:paraId="3175B5B8" w14:textId="4A1F8061" w:rsidR="0075677D" w:rsidRPr="008839E3" w:rsidRDefault="0075677D" w:rsidP="008839E3">
      <w:pPr>
        <w:pStyle w:val="Textonotapie"/>
        <w:ind w:left="0" w:firstLine="0"/>
        <w:rPr>
          <w:sz w:val="18"/>
          <w:szCs w:val="18"/>
          <w:lang w:val="es-MX"/>
        </w:rPr>
      </w:pPr>
      <w:r w:rsidRPr="008839E3">
        <w:rPr>
          <w:rStyle w:val="Refdenotaalpie"/>
          <w:sz w:val="18"/>
          <w:szCs w:val="18"/>
        </w:rPr>
        <w:footnoteRef/>
      </w:r>
      <w:r w:rsidRPr="008839E3">
        <w:rPr>
          <w:sz w:val="18"/>
          <w:szCs w:val="18"/>
          <w:lang w:val="es-ES"/>
        </w:rPr>
        <w:t xml:space="preserve"> De conformidad con el valor reportado en la “Consulta Pública sobre el “Anteproyecto de Condiciones técnicas mínimas para la interconexión entre concesionarios de redes públicas de telecomunicaciones y las tarifas que resulten de las metodologías de costos que estarán vigentes para el año 2022”. Disponible en la siguiente liga electrónica: </w:t>
      </w:r>
      <w:hyperlink r:id="rId14" w:history="1">
        <w:r w:rsidRPr="008839E3">
          <w:rPr>
            <w:rStyle w:val="Hipervnculo"/>
            <w:sz w:val="18"/>
            <w:szCs w:val="18"/>
            <w:lang w:val="es-ES"/>
          </w:rPr>
          <w:t>http://www.ift.org.mx/industria/consultas-publicas/anteproyecto-de-condiciones-tecnicas-minimas-para-la-interconexion-entre-concesionarios-de-redes-0</w:t>
        </w:r>
      </w:hyperlink>
      <w:r w:rsidRPr="008839E3">
        <w:rPr>
          <w:sz w:val="18"/>
          <w:szCs w:val="18"/>
          <w:lang w:val="es-ES"/>
        </w:rPr>
        <w:t xml:space="preserve"> </w:t>
      </w:r>
    </w:p>
  </w:footnote>
  <w:footnote w:id="15">
    <w:p w14:paraId="007FC8B6" w14:textId="77777777" w:rsidR="0075677D" w:rsidRPr="0093457F" w:rsidRDefault="0075677D" w:rsidP="008839E3">
      <w:pPr>
        <w:pStyle w:val="Textonotapie"/>
        <w:ind w:left="0" w:firstLine="0"/>
        <w:rPr>
          <w:sz w:val="18"/>
          <w:szCs w:val="18"/>
          <w:lang w:val="es-MX"/>
        </w:rPr>
      </w:pPr>
      <w:r w:rsidRPr="008839E3">
        <w:rPr>
          <w:rStyle w:val="Refdenotaalpie"/>
          <w:sz w:val="18"/>
          <w:szCs w:val="18"/>
        </w:rPr>
        <w:footnoteRef/>
      </w:r>
      <w:r w:rsidRPr="008839E3">
        <w:rPr>
          <w:sz w:val="18"/>
          <w:szCs w:val="18"/>
          <w:lang w:val="es-MX"/>
        </w:rPr>
        <w:t xml:space="preserve"> Disponible en la siguiente liga electrónica: </w:t>
      </w:r>
      <w:hyperlink r:id="rId15" w:anchor=":~:text=TELMEX%20informa%20que%20ha%20concluido,salarial%20mayor%2C%20el%20aumento%20ser%C3%A1" w:history="1">
        <w:r w:rsidRPr="008839E3">
          <w:rPr>
            <w:rStyle w:val="Hipervnculo"/>
            <w:sz w:val="18"/>
            <w:szCs w:val="18"/>
            <w:lang w:val="es-MX"/>
          </w:rPr>
          <w:t>https://telmex.com/web/acerca-de-telmex/com_210521-telmex-concluye-revision-salarial-2021-2022#:~:text=TELMEX%20informa%20que%20ha%20concluido,salarial%20mayor%2C%20el%20aumento%20ser%C3%A1</w:t>
        </w:r>
      </w:hyperlink>
      <w:r w:rsidRPr="0093457F">
        <w:rPr>
          <w:sz w:val="18"/>
          <w:szCs w:val="18"/>
          <w:lang w:val="es-MX"/>
        </w:rPr>
        <w:t xml:space="preserve"> </w:t>
      </w:r>
    </w:p>
  </w:footnote>
  <w:footnote w:id="16">
    <w:p w14:paraId="500E5482" w14:textId="785C3FC7" w:rsidR="0075677D" w:rsidRPr="008733AB" w:rsidRDefault="0075677D" w:rsidP="008839E3">
      <w:pPr>
        <w:pStyle w:val="Textonotapie"/>
        <w:ind w:left="0" w:firstLine="0"/>
        <w:rPr>
          <w:lang w:val="es-MX"/>
        </w:rPr>
      </w:pPr>
      <w:r>
        <w:rPr>
          <w:rStyle w:val="Refdenotaalpie"/>
        </w:rPr>
        <w:footnoteRef/>
      </w:r>
      <w:r w:rsidRPr="008733AB">
        <w:rPr>
          <w:lang w:val="es-MX"/>
        </w:rPr>
        <w:t xml:space="preserve"> </w:t>
      </w:r>
      <w:r w:rsidRPr="000B785D">
        <w:rPr>
          <w:sz w:val="18"/>
          <w:szCs w:val="18"/>
          <w:lang w:val="es-MX"/>
        </w:rPr>
        <w:t xml:space="preserve">El costo incremental en la red de transporte calculado en el Modelo de Interconexión Fijo se calcula en términos reales en pesos de 2015, </w:t>
      </w:r>
      <w:r w:rsidR="000B785D">
        <w:rPr>
          <w:sz w:val="18"/>
          <w:szCs w:val="18"/>
          <w:lang w:val="es-MX"/>
        </w:rPr>
        <w:t>a partir del cual se obtuvo el</w:t>
      </w:r>
      <w:r w:rsidRPr="000B785D">
        <w:rPr>
          <w:sz w:val="18"/>
          <w:szCs w:val="18"/>
          <w:lang w:val="es-MX"/>
        </w:rPr>
        <w:t xml:space="preserve"> precio en términos corrientes. Lo anterior, en consistencia en la modelación de la red de acceso del AEP en el Modelo Integral de Acceso Fijo. Bajo este enfoque, el flujo de efectivo de la empresa hipotética dentro del modelo toma en consideración flujos nominales en términos de la inversión al valor de los costos que se actualizan por su tendencia en precios, lo que permite desarrollar el para el presente Módulo de </w:t>
      </w:r>
      <w:r w:rsidR="008839E3" w:rsidRPr="000B785D">
        <w:rPr>
          <w:sz w:val="18"/>
          <w:szCs w:val="18"/>
          <w:lang w:val="es-MX"/>
        </w:rPr>
        <w:t>Cálculo</w:t>
      </w:r>
      <w:r w:rsidRPr="000B785D">
        <w:rPr>
          <w:sz w:val="18"/>
          <w:szCs w:val="18"/>
          <w:lang w:val="es-MX"/>
        </w:rPr>
        <w:t xml:space="preserve"> del SAIB en términos nominales</w:t>
      </w:r>
      <w:r w:rsidR="000B785D" w:rsidRPr="000B785D">
        <w:rPr>
          <w:sz w:val="18"/>
          <w:szCs w:val="18"/>
          <w:lang w:val="es-MX"/>
        </w:rPr>
        <w:t>.</w:t>
      </w:r>
    </w:p>
  </w:footnote>
  <w:footnote w:id="17">
    <w:p w14:paraId="00273213" w14:textId="724BB420" w:rsidR="0075677D" w:rsidRPr="00C820F3" w:rsidRDefault="0075677D" w:rsidP="008839E3">
      <w:pPr>
        <w:pStyle w:val="Textonotapie"/>
        <w:ind w:left="0" w:firstLine="0"/>
        <w:rPr>
          <w:lang w:val="es-ES"/>
        </w:rPr>
      </w:pPr>
      <w:r w:rsidRPr="008B3D14">
        <w:rPr>
          <w:rStyle w:val="Refdenotaalpie"/>
        </w:rPr>
        <w:footnoteRef/>
      </w:r>
      <w:r w:rsidRPr="008B3D14">
        <w:rPr>
          <w:lang w:val="es-ES"/>
        </w:rPr>
        <w:t xml:space="preserve">  En esta sección, una variante del servicio se define como una combinación {nivel de agregación, calidad, simetría, velocidad}. Por ejemplo, el servicio SCyD Local / calidad Best Effort / Simetrico / 3Mbps es una variante del servicio SCyD Local</w:t>
      </w:r>
    </w:p>
  </w:footnote>
  <w:footnote w:id="18">
    <w:p w14:paraId="47539A9E" w14:textId="1E5423F8" w:rsidR="0075677D" w:rsidRPr="007A5B1C" w:rsidRDefault="0075677D">
      <w:pPr>
        <w:pStyle w:val="Textonotapie"/>
        <w:rPr>
          <w:lang w:val="es-MX"/>
        </w:rPr>
      </w:pPr>
      <w:r>
        <w:rPr>
          <w:rStyle w:val="Refdenotaalpie"/>
        </w:rPr>
        <w:footnoteRef/>
      </w:r>
      <w:r w:rsidRPr="007A5B1C">
        <w:rPr>
          <w:lang w:val="es-MX"/>
        </w:rPr>
        <w:t xml:space="preserve"> De conformidad con aquellos de</w:t>
      </w:r>
      <w:r>
        <w:rPr>
          <w:lang w:val="es-MX"/>
        </w:rPr>
        <w:t>finidos por el Instituto en el numeral 7.1.7 Consideraciones Metodológicas Adicionales de la OREDA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002D" w14:textId="6CA8D573" w:rsidR="0075677D" w:rsidRPr="00437AB8" w:rsidRDefault="0075677D" w:rsidP="00E6668F">
    <w:pPr>
      <w:pStyle w:val="Encabezado"/>
      <w:pBdr>
        <w:bottom w:val="single" w:sz="4" w:space="1" w:color="auto"/>
      </w:pBdr>
      <w:spacing w:after="240"/>
      <w:jc w:val="left"/>
      <w:rPr>
        <w:sz w:val="10"/>
        <w:szCs w:val="10"/>
        <w:lang w:val="es-ES"/>
      </w:rPr>
    </w:pPr>
    <w:r w:rsidRPr="00C47E08">
      <w:rPr>
        <w:b/>
        <w:sz w:val="18"/>
        <w:szCs w:val="18"/>
        <w:lang w:val="es-MX"/>
      </w:rPr>
      <w:t>Módulo de Cálculo para determinar las tarifas del Servicio de Acceso Indirecto al Bucle Local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6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0E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49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6E87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D466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926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EAA8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2493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B23D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03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566D3"/>
    <w:multiLevelType w:val="hybridMultilevel"/>
    <w:tmpl w:val="A4B07B94"/>
    <w:lvl w:ilvl="0" w:tplc="61D6DB02">
      <w:start w:val="1"/>
      <w:numFmt w:val="decimal"/>
      <w:pStyle w:val="Question"/>
      <w:lvlText w:val="Q%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85E30C2"/>
    <w:multiLevelType w:val="multilevel"/>
    <w:tmpl w:val="D20E1D7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B7242CB"/>
    <w:multiLevelType w:val="hybridMultilevel"/>
    <w:tmpl w:val="42F080E4"/>
    <w:lvl w:ilvl="0" w:tplc="8342F7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6501F"/>
    <w:multiLevelType w:val="hybridMultilevel"/>
    <w:tmpl w:val="112E8942"/>
    <w:lvl w:ilvl="0" w:tplc="5908DEDC">
      <w:start w:val="1"/>
      <w:numFmt w:val="bullet"/>
      <w:lvlText w:val=""/>
      <w:lvlJc w:val="left"/>
      <w:pPr>
        <w:ind w:left="720" w:hanging="360"/>
      </w:pPr>
      <w:rPr>
        <w:rFonts w:ascii="Wingdings 3" w:hAnsi="Wingdings 3" w:cs="Wingdings" w:hint="default"/>
        <w:color w:val="CC000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5553AA"/>
    <w:multiLevelType w:val="hybridMultilevel"/>
    <w:tmpl w:val="83224C1A"/>
    <w:lvl w:ilvl="0" w:tplc="6CB020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4A0AB6"/>
    <w:multiLevelType w:val="multilevel"/>
    <w:tmpl w:val="566E17F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65B6525"/>
    <w:multiLevelType w:val="hybridMultilevel"/>
    <w:tmpl w:val="55DE90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7845B51"/>
    <w:multiLevelType w:val="hybridMultilevel"/>
    <w:tmpl w:val="3C54E740"/>
    <w:lvl w:ilvl="0" w:tplc="F6C8D89A">
      <w:start w:val="2020"/>
      <w:numFmt w:val="bullet"/>
      <w:lvlText w:val="-"/>
      <w:lvlJc w:val="left"/>
      <w:pPr>
        <w:ind w:left="720" w:hanging="360"/>
      </w:pPr>
      <w:rPr>
        <w:rFonts w:ascii="Arial" w:eastAsia="PMingLiU"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F36095"/>
    <w:multiLevelType w:val="hybridMultilevel"/>
    <w:tmpl w:val="1F2E8C6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7C558D"/>
    <w:multiLevelType w:val="hybridMultilevel"/>
    <w:tmpl w:val="790E8214"/>
    <w:lvl w:ilvl="0" w:tplc="8342F7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268F3"/>
    <w:multiLevelType w:val="hybridMultilevel"/>
    <w:tmpl w:val="FDFC6B28"/>
    <w:lvl w:ilvl="0" w:tplc="15EEBFA0">
      <w:start w:val="2020"/>
      <w:numFmt w:val="bullet"/>
      <w:lvlText w:val=""/>
      <w:lvlJc w:val="left"/>
      <w:pPr>
        <w:ind w:left="720" w:hanging="360"/>
      </w:pPr>
      <w:rPr>
        <w:rFonts w:ascii="Arial" w:eastAsia="PMingLiU"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467FED"/>
    <w:multiLevelType w:val="hybridMultilevel"/>
    <w:tmpl w:val="134225BE"/>
    <w:lvl w:ilvl="0" w:tplc="BFFE086A">
      <w:start w:val="1"/>
      <w:numFmt w:val="decimal"/>
      <w:lvlText w:val="%1."/>
      <w:lvlJc w:val="left"/>
      <w:pPr>
        <w:ind w:left="720" w:hanging="360"/>
      </w:pPr>
      <w:rPr>
        <w:rFonts w:hint="default"/>
        <w:color w:val="CC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07591"/>
    <w:multiLevelType w:val="hybridMultilevel"/>
    <w:tmpl w:val="23F62126"/>
    <w:lvl w:ilvl="0" w:tplc="616A8E38">
      <w:start w:val="12"/>
      <w:numFmt w:val="bullet"/>
      <w:lvlText w:val="-"/>
      <w:lvlJc w:val="left"/>
      <w:pPr>
        <w:ind w:left="720" w:hanging="360"/>
      </w:pPr>
      <w:rPr>
        <w:rFonts w:ascii="ITC Avant Garde" w:eastAsia="Times New Roman"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C7B2085"/>
    <w:multiLevelType w:val="hybridMultilevel"/>
    <w:tmpl w:val="8A20846E"/>
    <w:lvl w:ilvl="0" w:tplc="6A4EA8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5A37C7"/>
    <w:multiLevelType w:val="multilevel"/>
    <w:tmpl w:val="179E4C0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24E25AD"/>
    <w:multiLevelType w:val="hybridMultilevel"/>
    <w:tmpl w:val="2FB0D668"/>
    <w:lvl w:ilvl="0" w:tplc="5908DEDC">
      <w:start w:val="1"/>
      <w:numFmt w:val="bullet"/>
      <w:lvlText w:val=""/>
      <w:lvlJc w:val="left"/>
      <w:pPr>
        <w:ind w:left="1440" w:hanging="720"/>
      </w:pPr>
      <w:rPr>
        <w:rFonts w:ascii="Wingdings 3" w:hAnsi="Wingdings 3" w:cs="Wingdings" w:hint="default"/>
        <w:color w:val="CC0000" w:themeColor="accent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433A6D"/>
    <w:multiLevelType w:val="hybridMultilevel"/>
    <w:tmpl w:val="6D4C90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7FA203B"/>
    <w:multiLevelType w:val="hybridMultilevel"/>
    <w:tmpl w:val="53648286"/>
    <w:lvl w:ilvl="0" w:tplc="BFFE086A">
      <w:start w:val="1"/>
      <w:numFmt w:val="decimal"/>
      <w:lvlText w:val="%1."/>
      <w:lvlJc w:val="left"/>
      <w:pPr>
        <w:ind w:left="720" w:hanging="360"/>
      </w:pPr>
      <w:rPr>
        <w:rFonts w:hint="default"/>
        <w:color w:val="CC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A3B49"/>
    <w:multiLevelType w:val="hybridMultilevel"/>
    <w:tmpl w:val="637E64FA"/>
    <w:lvl w:ilvl="0" w:tplc="5D60B2CC">
      <w:start w:val="1"/>
      <w:numFmt w:val="bullet"/>
      <w:lvlText w:val=""/>
      <w:lvlJc w:val="left"/>
      <w:pPr>
        <w:ind w:left="720" w:hanging="360"/>
      </w:pPr>
      <w:rPr>
        <w:rFonts w:ascii="Wingdings 3" w:hAnsi="Wingdings 3"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D1FD8"/>
    <w:multiLevelType w:val="hybridMultilevel"/>
    <w:tmpl w:val="4AA04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2A5029D"/>
    <w:multiLevelType w:val="hybridMultilevel"/>
    <w:tmpl w:val="E2A44D4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B3572E"/>
    <w:multiLevelType w:val="hybridMultilevel"/>
    <w:tmpl w:val="E2A44D4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F2FD3"/>
    <w:multiLevelType w:val="hybridMultilevel"/>
    <w:tmpl w:val="BC6E5C52"/>
    <w:lvl w:ilvl="0" w:tplc="1818B5A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B64F88"/>
    <w:multiLevelType w:val="multilevel"/>
    <w:tmpl w:val="3D0A0C4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BD8284D"/>
    <w:multiLevelType w:val="hybridMultilevel"/>
    <w:tmpl w:val="3A448B08"/>
    <w:lvl w:ilvl="0" w:tplc="5B309534">
      <w:start w:val="1"/>
      <w:numFmt w:val="decimal"/>
      <w:lvlText w:val="%1."/>
      <w:lvlJc w:val="left"/>
      <w:pPr>
        <w:ind w:left="1572" w:hanging="360"/>
      </w:pPr>
      <w:rPr>
        <w:rFonts w:hint="default"/>
        <w:color w:val="auto"/>
      </w:rPr>
    </w:lvl>
    <w:lvl w:ilvl="1" w:tplc="98F0BD8A">
      <w:start w:val="1"/>
      <w:numFmt w:val="bullet"/>
      <w:lvlText w:val=""/>
      <w:lvlJc w:val="left"/>
      <w:pPr>
        <w:ind w:left="2292" w:hanging="360"/>
      </w:pPr>
      <w:rPr>
        <w:rFonts w:ascii="Wingdings 3" w:hAnsi="Wingdings 3" w:hint="default"/>
        <w:color w:val="CC0000" w:themeColor="accent6"/>
        <w:sz w:val="16"/>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35" w15:restartNumberingAfterBreak="0">
    <w:nsid w:val="636B46A4"/>
    <w:multiLevelType w:val="multilevel"/>
    <w:tmpl w:val="040C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6" w15:restartNumberingAfterBreak="0">
    <w:nsid w:val="66592963"/>
    <w:multiLevelType w:val="multilevel"/>
    <w:tmpl w:val="55364D10"/>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rPr>
        <w:sz w:val="24"/>
        <w:szCs w:val="28"/>
        <w:lang w:val="es-MX"/>
      </w:rPr>
    </w:lvl>
    <w:lvl w:ilvl="2">
      <w:start w:val="1"/>
      <w:numFmt w:val="decimal"/>
      <w:pStyle w:val="Ttulo3"/>
      <w:lvlText w:val="%1.%2.%3"/>
      <w:lvlJc w:val="left"/>
      <w:pPr>
        <w:ind w:left="720" w:hanging="720"/>
      </w:pPr>
      <w:rPr>
        <w:lang w:val="es-ES"/>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7" w15:restartNumberingAfterBreak="0">
    <w:nsid w:val="68B06CB2"/>
    <w:multiLevelType w:val="multilevel"/>
    <w:tmpl w:val="77EC1D8A"/>
    <w:lvl w:ilvl="0">
      <w:start w:val="1"/>
      <w:numFmt w:val="bullet"/>
      <w:pStyle w:val="Prrafodelista"/>
      <w:lvlText w:val="-"/>
      <w:lvlJc w:val="left"/>
      <w:pPr>
        <w:ind w:left="720" w:hanging="360"/>
      </w:pPr>
      <w:rPr>
        <w:rFonts w:ascii="Courier New" w:hAnsi="Courier New" w:hint="default"/>
        <w:color w:val="auto"/>
        <w:sz w:val="16"/>
      </w:rPr>
    </w:lvl>
    <w:lvl w:ilvl="1">
      <w:start w:val="1"/>
      <w:numFmt w:val="bullet"/>
      <w:lvlText w:val=""/>
      <w:lvlJc w:val="left"/>
      <w:pPr>
        <w:ind w:left="1080" w:hanging="360"/>
      </w:pPr>
      <w:rPr>
        <w:rFonts w:ascii="Wingdings 3" w:hAnsi="Wingdings 3" w:cs="Wingdings" w:hint="default"/>
        <w:color w:val="CC0000" w:themeColor="accent6"/>
        <w:sz w:val="16"/>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8" w15:restartNumberingAfterBreak="0">
    <w:nsid w:val="7408262A"/>
    <w:multiLevelType w:val="hybridMultilevel"/>
    <w:tmpl w:val="B37C1AF0"/>
    <w:lvl w:ilvl="0" w:tplc="DEAE55FE">
      <w:start w:val="1"/>
      <w:numFmt w:val="bullet"/>
      <w:pStyle w:val="Numtext1"/>
      <w:lvlText w:val="-"/>
      <w:lvlJc w:val="left"/>
      <w:pPr>
        <w:ind w:left="1572" w:hanging="360"/>
      </w:pPr>
      <w:rPr>
        <w:rFonts w:ascii="Arial" w:eastAsia="Times New Roman" w:hAnsi="Arial" w:cs="Arial" w:hint="default"/>
        <w:color w:val="auto"/>
      </w:rPr>
    </w:lvl>
    <w:lvl w:ilvl="1" w:tplc="98F0BD8A">
      <w:start w:val="1"/>
      <w:numFmt w:val="bullet"/>
      <w:pStyle w:val="Numtext2"/>
      <w:lvlText w:val=""/>
      <w:lvlJc w:val="left"/>
      <w:pPr>
        <w:ind w:left="2292" w:hanging="360"/>
      </w:pPr>
      <w:rPr>
        <w:rFonts w:ascii="Wingdings 3" w:hAnsi="Wingdings 3" w:hint="default"/>
        <w:color w:val="CC0000" w:themeColor="accent6"/>
        <w:sz w:val="16"/>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39" w15:restartNumberingAfterBreak="0">
    <w:nsid w:val="75D112F6"/>
    <w:multiLevelType w:val="hybridMultilevel"/>
    <w:tmpl w:val="3C6ED5D4"/>
    <w:lvl w:ilvl="0" w:tplc="C1FA4F6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D5131"/>
    <w:multiLevelType w:val="hybridMultilevel"/>
    <w:tmpl w:val="130AE064"/>
    <w:lvl w:ilvl="0" w:tplc="080A0017">
      <w:start w:val="1"/>
      <w:numFmt w:val="lowerLetter"/>
      <w:lvlText w:val="%1)"/>
      <w:lvlJc w:val="left"/>
      <w:pPr>
        <w:ind w:left="720" w:hanging="360"/>
      </w:pPr>
      <w:rPr>
        <w:rFonts w:hint="default"/>
      </w:rPr>
    </w:lvl>
    <w:lvl w:ilvl="1" w:tplc="D68C4BD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E837C9"/>
    <w:multiLevelType w:val="hybridMultilevel"/>
    <w:tmpl w:val="D7C8BD92"/>
    <w:lvl w:ilvl="0" w:tplc="5908DEDC">
      <w:start w:val="1"/>
      <w:numFmt w:val="bullet"/>
      <w:lvlText w:val=""/>
      <w:lvlJc w:val="left"/>
      <w:pPr>
        <w:ind w:left="720" w:hanging="360"/>
      </w:pPr>
      <w:rPr>
        <w:rFonts w:ascii="Wingdings 3" w:hAnsi="Wingdings 3" w:cs="Wingdings" w:hint="default"/>
        <w:color w:val="CC000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3"/>
  </w:num>
  <w:num w:numId="4">
    <w:abstractNumId w:val="2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5"/>
  </w:num>
  <w:num w:numId="16">
    <w:abstractNumId w:val="37"/>
  </w:num>
  <w:num w:numId="17">
    <w:abstractNumId w:val="10"/>
  </w:num>
  <w:num w:numId="18">
    <w:abstractNumId w:val="26"/>
  </w:num>
  <w:num w:numId="19">
    <w:abstractNumId w:val="16"/>
  </w:num>
  <w:num w:numId="20">
    <w:abstractNumId w:val="17"/>
  </w:num>
  <w:num w:numId="21">
    <w:abstractNumId w:val="20"/>
  </w:num>
  <w:num w:numId="22">
    <w:abstractNumId w:val="32"/>
  </w:num>
  <w:num w:numId="23">
    <w:abstractNumId w:val="15"/>
  </w:num>
  <w:num w:numId="24">
    <w:abstractNumId w:val="15"/>
  </w:num>
  <w:num w:numId="25">
    <w:abstractNumId w:val="38"/>
  </w:num>
  <w:num w:numId="26">
    <w:abstractNumId w:val="36"/>
  </w:num>
  <w:num w:numId="27">
    <w:abstractNumId w:val="14"/>
  </w:num>
  <w:num w:numId="28">
    <w:abstractNumId w:val="34"/>
  </w:num>
  <w:num w:numId="29">
    <w:abstractNumId w:val="27"/>
  </w:num>
  <w:num w:numId="30">
    <w:abstractNumId w:val="13"/>
  </w:num>
  <w:num w:numId="31">
    <w:abstractNumId w:val="30"/>
  </w:num>
  <w:num w:numId="32">
    <w:abstractNumId w:val="31"/>
  </w:num>
  <w:num w:numId="33">
    <w:abstractNumId w:val="39"/>
  </w:num>
  <w:num w:numId="34">
    <w:abstractNumId w:val="28"/>
  </w:num>
  <w:num w:numId="35">
    <w:abstractNumId w:val="21"/>
  </w:num>
  <w:num w:numId="36">
    <w:abstractNumId w:val="12"/>
  </w:num>
  <w:num w:numId="37">
    <w:abstractNumId w:val="19"/>
  </w:num>
  <w:num w:numId="38">
    <w:abstractNumId w:val="23"/>
  </w:num>
  <w:num w:numId="39">
    <w:abstractNumId w:val="41"/>
  </w:num>
  <w:num w:numId="40">
    <w:abstractNumId w:val="25"/>
  </w:num>
  <w:num w:numId="41">
    <w:abstractNumId w:val="37"/>
  </w:num>
  <w:num w:numId="42">
    <w:abstractNumId w:val="29"/>
  </w:num>
  <w:num w:numId="43">
    <w:abstractNumId w:val="40"/>
  </w:num>
  <w:num w:numId="44">
    <w:abstractNumId w:val="36"/>
  </w:num>
  <w:num w:numId="45">
    <w:abstractNumId w:val="36"/>
  </w:num>
  <w:num w:numId="46">
    <w:abstractNumId w:val="36"/>
  </w:num>
  <w:num w:numId="47">
    <w:abstractNumId w:val="36"/>
  </w:num>
  <w:num w:numId="48">
    <w:abstractNumId w:val="22"/>
  </w:num>
  <w:num w:numId="49">
    <w:abstractNumId w:val="36"/>
  </w:num>
  <w:num w:numId="50">
    <w:abstractNumId w:val="36"/>
  </w:num>
  <w:num w:numId="51">
    <w:abstractNumId w:val="36"/>
  </w:num>
  <w:num w:numId="52">
    <w:abstractNumId w:val="36"/>
  </w:num>
  <w:num w:numId="53">
    <w:abstractNumId w:val="36"/>
  </w:num>
  <w:num w:numId="54">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28"/>
    <w:rsid w:val="00001794"/>
    <w:rsid w:val="000476AC"/>
    <w:rsid w:val="00066D80"/>
    <w:rsid w:val="00070C5C"/>
    <w:rsid w:val="00077306"/>
    <w:rsid w:val="00084ECC"/>
    <w:rsid w:val="000B42B4"/>
    <w:rsid w:val="000B756D"/>
    <w:rsid w:val="000B785D"/>
    <w:rsid w:val="000C51DB"/>
    <w:rsid w:val="000F59A7"/>
    <w:rsid w:val="00127BC0"/>
    <w:rsid w:val="00131A45"/>
    <w:rsid w:val="0014423A"/>
    <w:rsid w:val="00147A3D"/>
    <w:rsid w:val="00172C97"/>
    <w:rsid w:val="00177260"/>
    <w:rsid w:val="001A1D38"/>
    <w:rsid w:val="001A31C9"/>
    <w:rsid w:val="001B5E0B"/>
    <w:rsid w:val="001B618F"/>
    <w:rsid w:val="001C2530"/>
    <w:rsid w:val="001C4545"/>
    <w:rsid w:val="001D21D3"/>
    <w:rsid w:val="001E5CB1"/>
    <w:rsid w:val="001F053C"/>
    <w:rsid w:val="00223D08"/>
    <w:rsid w:val="00225B10"/>
    <w:rsid w:val="0023180F"/>
    <w:rsid w:val="00232C27"/>
    <w:rsid w:val="00244D55"/>
    <w:rsid w:val="00254931"/>
    <w:rsid w:val="0026019D"/>
    <w:rsid w:val="00260882"/>
    <w:rsid w:val="002848CA"/>
    <w:rsid w:val="00285824"/>
    <w:rsid w:val="002C4002"/>
    <w:rsid w:val="002E5CEE"/>
    <w:rsid w:val="00303F29"/>
    <w:rsid w:val="00321033"/>
    <w:rsid w:val="003412A4"/>
    <w:rsid w:val="00355887"/>
    <w:rsid w:val="003715DA"/>
    <w:rsid w:val="00382B5E"/>
    <w:rsid w:val="00382D10"/>
    <w:rsid w:val="003838D0"/>
    <w:rsid w:val="00395A36"/>
    <w:rsid w:val="003A61E6"/>
    <w:rsid w:val="003D7D99"/>
    <w:rsid w:val="00402515"/>
    <w:rsid w:val="00407F75"/>
    <w:rsid w:val="00410222"/>
    <w:rsid w:val="00417935"/>
    <w:rsid w:val="00437AB8"/>
    <w:rsid w:val="00453486"/>
    <w:rsid w:val="00480680"/>
    <w:rsid w:val="00483FA8"/>
    <w:rsid w:val="004A2366"/>
    <w:rsid w:val="004B688F"/>
    <w:rsid w:val="004E1FC0"/>
    <w:rsid w:val="004E5EBE"/>
    <w:rsid w:val="004F702A"/>
    <w:rsid w:val="0050146B"/>
    <w:rsid w:val="00504E0A"/>
    <w:rsid w:val="0052673A"/>
    <w:rsid w:val="0053082F"/>
    <w:rsid w:val="00537507"/>
    <w:rsid w:val="00544E14"/>
    <w:rsid w:val="0055799C"/>
    <w:rsid w:val="00573D16"/>
    <w:rsid w:val="00595D4A"/>
    <w:rsid w:val="005A625A"/>
    <w:rsid w:val="005A74B8"/>
    <w:rsid w:val="005B2309"/>
    <w:rsid w:val="005B69B7"/>
    <w:rsid w:val="005C6949"/>
    <w:rsid w:val="005D7943"/>
    <w:rsid w:val="005F7205"/>
    <w:rsid w:val="00621FD6"/>
    <w:rsid w:val="00625350"/>
    <w:rsid w:val="006518D8"/>
    <w:rsid w:val="00666465"/>
    <w:rsid w:val="00671861"/>
    <w:rsid w:val="006A0CA7"/>
    <w:rsid w:val="006A42FE"/>
    <w:rsid w:val="006B4017"/>
    <w:rsid w:val="006C0004"/>
    <w:rsid w:val="006D3F7F"/>
    <w:rsid w:val="006F2A0D"/>
    <w:rsid w:val="00704027"/>
    <w:rsid w:val="00717702"/>
    <w:rsid w:val="00743354"/>
    <w:rsid w:val="0075677D"/>
    <w:rsid w:val="00762E4B"/>
    <w:rsid w:val="007834F2"/>
    <w:rsid w:val="007934AA"/>
    <w:rsid w:val="007A5B1C"/>
    <w:rsid w:val="007B4460"/>
    <w:rsid w:val="007B6F8E"/>
    <w:rsid w:val="007D1DD8"/>
    <w:rsid w:val="007E4F67"/>
    <w:rsid w:val="007F2818"/>
    <w:rsid w:val="00803EB2"/>
    <w:rsid w:val="008059D3"/>
    <w:rsid w:val="00806D3C"/>
    <w:rsid w:val="00820202"/>
    <w:rsid w:val="00862CD9"/>
    <w:rsid w:val="008733AB"/>
    <w:rsid w:val="008839E3"/>
    <w:rsid w:val="008A1374"/>
    <w:rsid w:val="008A6419"/>
    <w:rsid w:val="008B3D14"/>
    <w:rsid w:val="008C1510"/>
    <w:rsid w:val="008C2F8F"/>
    <w:rsid w:val="008D703C"/>
    <w:rsid w:val="0091770E"/>
    <w:rsid w:val="009279CF"/>
    <w:rsid w:val="0093457F"/>
    <w:rsid w:val="009429C5"/>
    <w:rsid w:val="00981CA6"/>
    <w:rsid w:val="0098337F"/>
    <w:rsid w:val="009A2579"/>
    <w:rsid w:val="009D2C42"/>
    <w:rsid w:val="009D7636"/>
    <w:rsid w:val="009E4333"/>
    <w:rsid w:val="009E547F"/>
    <w:rsid w:val="009E6B40"/>
    <w:rsid w:val="009F2DC1"/>
    <w:rsid w:val="009F2FA7"/>
    <w:rsid w:val="00A0242F"/>
    <w:rsid w:val="00A05E69"/>
    <w:rsid w:val="00A30280"/>
    <w:rsid w:val="00A54A85"/>
    <w:rsid w:val="00A858A8"/>
    <w:rsid w:val="00A87949"/>
    <w:rsid w:val="00AB2AE4"/>
    <w:rsid w:val="00AB7C28"/>
    <w:rsid w:val="00AC5C3D"/>
    <w:rsid w:val="00AC7075"/>
    <w:rsid w:val="00AC7AA4"/>
    <w:rsid w:val="00AE51F6"/>
    <w:rsid w:val="00AF4F48"/>
    <w:rsid w:val="00AF5BF0"/>
    <w:rsid w:val="00B01E15"/>
    <w:rsid w:val="00B241EB"/>
    <w:rsid w:val="00B36ECA"/>
    <w:rsid w:val="00B417CD"/>
    <w:rsid w:val="00B446AC"/>
    <w:rsid w:val="00B53B77"/>
    <w:rsid w:val="00B745CC"/>
    <w:rsid w:val="00B817F3"/>
    <w:rsid w:val="00B94A86"/>
    <w:rsid w:val="00BB213E"/>
    <w:rsid w:val="00BE5D6A"/>
    <w:rsid w:val="00C00E05"/>
    <w:rsid w:val="00C02954"/>
    <w:rsid w:val="00C04863"/>
    <w:rsid w:val="00C05D28"/>
    <w:rsid w:val="00C11DD0"/>
    <w:rsid w:val="00C12914"/>
    <w:rsid w:val="00C2772A"/>
    <w:rsid w:val="00C34153"/>
    <w:rsid w:val="00C43FC0"/>
    <w:rsid w:val="00C4530F"/>
    <w:rsid w:val="00C47E08"/>
    <w:rsid w:val="00C52A7D"/>
    <w:rsid w:val="00C52F54"/>
    <w:rsid w:val="00C543EA"/>
    <w:rsid w:val="00C669E6"/>
    <w:rsid w:val="00C820F3"/>
    <w:rsid w:val="00CA17FA"/>
    <w:rsid w:val="00CC04F6"/>
    <w:rsid w:val="00CC6187"/>
    <w:rsid w:val="00CD3F15"/>
    <w:rsid w:val="00CE7126"/>
    <w:rsid w:val="00CF0BD9"/>
    <w:rsid w:val="00D1785C"/>
    <w:rsid w:val="00D262D0"/>
    <w:rsid w:val="00D30D34"/>
    <w:rsid w:val="00D406DF"/>
    <w:rsid w:val="00D47735"/>
    <w:rsid w:val="00D75F34"/>
    <w:rsid w:val="00DA511F"/>
    <w:rsid w:val="00DB189E"/>
    <w:rsid w:val="00DB3B0E"/>
    <w:rsid w:val="00DE4E91"/>
    <w:rsid w:val="00DE52D6"/>
    <w:rsid w:val="00DF30C4"/>
    <w:rsid w:val="00E02C21"/>
    <w:rsid w:val="00E109D5"/>
    <w:rsid w:val="00E12641"/>
    <w:rsid w:val="00E133D3"/>
    <w:rsid w:val="00E22900"/>
    <w:rsid w:val="00E25D0B"/>
    <w:rsid w:val="00E3633B"/>
    <w:rsid w:val="00E42D70"/>
    <w:rsid w:val="00E65F82"/>
    <w:rsid w:val="00E6668F"/>
    <w:rsid w:val="00E715DD"/>
    <w:rsid w:val="00E74152"/>
    <w:rsid w:val="00E7629F"/>
    <w:rsid w:val="00E97D3A"/>
    <w:rsid w:val="00EA0CF4"/>
    <w:rsid w:val="00EA5062"/>
    <w:rsid w:val="00F07FA1"/>
    <w:rsid w:val="00F16EF8"/>
    <w:rsid w:val="00F20E1F"/>
    <w:rsid w:val="00F45B85"/>
    <w:rsid w:val="00F47D9B"/>
    <w:rsid w:val="00F525FF"/>
    <w:rsid w:val="00F67D40"/>
    <w:rsid w:val="00F704F5"/>
    <w:rsid w:val="00F748CC"/>
    <w:rsid w:val="00F76D5A"/>
    <w:rsid w:val="00F92BD7"/>
    <w:rsid w:val="00FA676D"/>
    <w:rsid w:val="00FC4C9D"/>
    <w:rsid w:val="00FE4F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A1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5DD"/>
    <w:pPr>
      <w:spacing w:line="288" w:lineRule="auto"/>
      <w:jc w:val="both"/>
    </w:pPr>
    <w:rPr>
      <w:rFonts w:ascii="Arial" w:hAnsi="Arial" w:cs="Arial"/>
      <w:lang w:val="en-GB"/>
    </w:rPr>
  </w:style>
  <w:style w:type="paragraph" w:styleId="Ttulo1">
    <w:name w:val="heading 1"/>
    <w:basedOn w:val="Normal"/>
    <w:next w:val="Normal"/>
    <w:link w:val="Ttulo1Car"/>
    <w:qFormat/>
    <w:rsid w:val="00A0242F"/>
    <w:pPr>
      <w:keepNext/>
      <w:keepLines/>
      <w:numPr>
        <w:numId w:val="26"/>
      </w:numPr>
      <w:spacing w:before="480" w:after="360"/>
      <w:outlineLvl w:val="0"/>
    </w:pPr>
    <w:rPr>
      <w:rFonts w:eastAsiaTheme="majorEastAsia"/>
      <w:b/>
      <w:bCs/>
      <w:color w:val="CC0000" w:themeColor="accent6"/>
      <w:sz w:val="28"/>
      <w:szCs w:val="28"/>
    </w:rPr>
  </w:style>
  <w:style w:type="paragraph" w:styleId="Ttulo2">
    <w:name w:val="heading 2"/>
    <w:basedOn w:val="Normal"/>
    <w:next w:val="Normal"/>
    <w:link w:val="Ttulo2Car"/>
    <w:unhideWhenUsed/>
    <w:qFormat/>
    <w:rsid w:val="00A0242F"/>
    <w:pPr>
      <w:keepNext/>
      <w:keepLines/>
      <w:numPr>
        <w:ilvl w:val="1"/>
        <w:numId w:val="26"/>
      </w:numPr>
      <w:spacing w:before="360" w:after="240"/>
      <w:outlineLvl w:val="1"/>
    </w:pPr>
    <w:rPr>
      <w:rFonts w:eastAsiaTheme="majorEastAsia"/>
      <w:b/>
      <w:bCs/>
      <w:color w:val="000000" w:themeColor="text1"/>
      <w:sz w:val="24"/>
      <w:szCs w:val="24"/>
    </w:rPr>
  </w:style>
  <w:style w:type="paragraph" w:styleId="Ttulo3">
    <w:name w:val="heading 3"/>
    <w:basedOn w:val="Normal"/>
    <w:next w:val="Normal"/>
    <w:link w:val="Ttulo3Car"/>
    <w:unhideWhenUsed/>
    <w:qFormat/>
    <w:rsid w:val="00F67D40"/>
    <w:pPr>
      <w:keepNext/>
      <w:keepLines/>
      <w:numPr>
        <w:ilvl w:val="2"/>
        <w:numId w:val="26"/>
      </w:numPr>
      <w:spacing w:before="360" w:after="240"/>
      <w:outlineLvl w:val="2"/>
    </w:pPr>
    <w:rPr>
      <w:rFonts w:eastAsiaTheme="majorEastAsia"/>
      <w:b/>
      <w:bCs/>
      <w:color w:val="000000" w:themeColor="text1"/>
    </w:rPr>
  </w:style>
  <w:style w:type="paragraph" w:styleId="Ttulo4">
    <w:name w:val="heading 4"/>
    <w:aliases w:val="h4,4,H4,h4 sub sub heading,h41,h42,Para4,(Alt+4),H41,(Alt+4)1,H42,(Alt+4)2,H43,(Alt+4)3,H44,(Alt+4)4,H45,(Alt+4)5,H411,(Alt+4)11,H421,(Alt+4)21,H431,(Alt+4)31,H46,(Alt+4)6,H412,(Alt+4)12,H422,(Alt+4)22,H432,(Alt+4)32,H47,(Alt+4)7"/>
    <w:basedOn w:val="Normal"/>
    <w:next w:val="Normal"/>
    <w:link w:val="Ttulo4Car"/>
    <w:unhideWhenUsed/>
    <w:qFormat/>
    <w:rsid w:val="00A0242F"/>
    <w:pPr>
      <w:keepNext/>
      <w:keepLines/>
      <w:numPr>
        <w:ilvl w:val="3"/>
        <w:numId w:val="26"/>
      </w:numPr>
      <w:spacing w:before="360" w:after="240"/>
      <w:outlineLvl w:val="3"/>
    </w:pPr>
    <w:rPr>
      <w:rFonts w:eastAsiaTheme="majorEastAsia"/>
      <w:color w:val="000000" w:themeColor="text1"/>
    </w:rPr>
  </w:style>
  <w:style w:type="paragraph" w:styleId="Ttulo5">
    <w:name w:val="heading 5"/>
    <w:aliases w:val="Para5,h5,h51,h52,L5,H5,Level 3 - i,Document Title 2,Level 3 - (i)"/>
    <w:basedOn w:val="Normal"/>
    <w:next w:val="Normal"/>
    <w:link w:val="Ttulo5Car"/>
    <w:rsid w:val="00DB3B0E"/>
    <w:pPr>
      <w:numPr>
        <w:ilvl w:val="4"/>
        <w:numId w:val="26"/>
      </w:numPr>
      <w:suppressAutoHyphens/>
      <w:spacing w:before="240" w:after="60"/>
      <w:outlineLvl w:val="4"/>
    </w:pPr>
    <w:rPr>
      <w:rFonts w:eastAsia="Times New Roman" w:cs="Times New Roman"/>
      <w:b/>
      <w:bCs/>
      <w:i/>
      <w:iCs/>
      <w:sz w:val="26"/>
      <w:szCs w:val="26"/>
      <w:lang w:eastAsia="ar-SA"/>
    </w:rPr>
  </w:style>
  <w:style w:type="paragraph" w:styleId="Ttulo6">
    <w:name w:val="heading 6"/>
    <w:aliases w:val="Legal Level 1.,L1 PIP,Name of Org,H6"/>
    <w:basedOn w:val="Normal"/>
    <w:next w:val="Normal"/>
    <w:link w:val="Ttulo6Car"/>
    <w:rsid w:val="00DB3B0E"/>
    <w:pPr>
      <w:numPr>
        <w:ilvl w:val="5"/>
        <w:numId w:val="26"/>
      </w:numPr>
      <w:suppressAutoHyphens/>
      <w:spacing w:before="240" w:after="60"/>
      <w:outlineLvl w:val="5"/>
    </w:pPr>
    <w:rPr>
      <w:rFonts w:eastAsia="Times New Roman" w:cs="Times New Roman"/>
      <w:b/>
      <w:bCs/>
      <w:lang w:eastAsia="ar-SA"/>
    </w:rPr>
  </w:style>
  <w:style w:type="paragraph" w:styleId="Ttulo7">
    <w:name w:val="heading 7"/>
    <w:aliases w:val="Legal Level 1.1.,L2 PIP,H7"/>
    <w:basedOn w:val="Normal"/>
    <w:next w:val="Normal"/>
    <w:link w:val="Ttulo7Car"/>
    <w:rsid w:val="00DB3B0E"/>
    <w:pPr>
      <w:numPr>
        <w:ilvl w:val="6"/>
        <w:numId w:val="26"/>
      </w:numPr>
      <w:suppressAutoHyphens/>
      <w:spacing w:before="240" w:after="60"/>
      <w:outlineLvl w:val="6"/>
    </w:pPr>
    <w:rPr>
      <w:rFonts w:eastAsia="Times New Roman" w:cs="Times New Roman"/>
      <w:szCs w:val="24"/>
      <w:lang w:eastAsia="ar-SA"/>
    </w:rPr>
  </w:style>
  <w:style w:type="paragraph" w:styleId="Ttulo8">
    <w:name w:val="heading 8"/>
    <w:aliases w:val="cover doc subtitle,H8"/>
    <w:basedOn w:val="Normal"/>
    <w:next w:val="Normal"/>
    <w:link w:val="Ttulo8Car"/>
    <w:rsid w:val="00DB3B0E"/>
    <w:pPr>
      <w:numPr>
        <w:ilvl w:val="7"/>
        <w:numId w:val="26"/>
      </w:numPr>
      <w:suppressAutoHyphens/>
      <w:spacing w:before="240" w:after="60"/>
      <w:outlineLvl w:val="7"/>
    </w:pPr>
    <w:rPr>
      <w:rFonts w:eastAsia="Times New Roman" w:cs="Times New Roman"/>
      <w:i/>
      <w:iCs/>
      <w:szCs w:val="24"/>
      <w:lang w:eastAsia="ar-SA"/>
    </w:rPr>
  </w:style>
  <w:style w:type="paragraph" w:styleId="Ttulo9">
    <w:name w:val="heading 9"/>
    <w:aliases w:val="H9"/>
    <w:basedOn w:val="Normal"/>
    <w:next w:val="Normal"/>
    <w:link w:val="Ttulo9Car"/>
    <w:rsid w:val="00DB3B0E"/>
    <w:pPr>
      <w:numPr>
        <w:ilvl w:val="8"/>
        <w:numId w:val="26"/>
      </w:numPr>
      <w:suppressAutoHyphens/>
      <w:spacing w:before="240" w:after="60"/>
      <w:outlineLvl w:val="8"/>
    </w:pPr>
    <w:rPr>
      <w:rFonts w:eastAsia="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rsid w:val="00E715DD"/>
    <w:pPr>
      <w:spacing w:after="0" w:line="240" w:lineRule="auto"/>
      <w:contextualSpacing/>
    </w:pPr>
    <w:rPr>
      <w:rFonts w:eastAsiaTheme="majorEastAsia"/>
      <w:b/>
      <w:bCs/>
      <w:spacing w:val="-10"/>
      <w:kern w:val="28"/>
      <w:sz w:val="56"/>
      <w:szCs w:val="56"/>
    </w:rPr>
  </w:style>
  <w:style w:type="character" w:customStyle="1" w:styleId="TtuloCar">
    <w:name w:val="Título Car"/>
    <w:basedOn w:val="Fuentedeprrafopredeter"/>
    <w:link w:val="Ttulo"/>
    <w:uiPriority w:val="10"/>
    <w:rsid w:val="00E715DD"/>
    <w:rPr>
      <w:rFonts w:ascii="Arial" w:eastAsiaTheme="majorEastAsia" w:hAnsi="Arial" w:cs="Arial"/>
      <w:b/>
      <w:bCs/>
      <w:spacing w:val="-10"/>
      <w:kern w:val="28"/>
      <w:sz w:val="56"/>
      <w:szCs w:val="56"/>
      <w:lang w:val="en-GB"/>
    </w:rPr>
  </w:style>
  <w:style w:type="character" w:customStyle="1" w:styleId="Ttulo1Car">
    <w:name w:val="Título 1 Car"/>
    <w:basedOn w:val="Fuentedeprrafopredeter"/>
    <w:link w:val="Ttulo1"/>
    <w:uiPriority w:val="9"/>
    <w:rsid w:val="00A0242F"/>
    <w:rPr>
      <w:rFonts w:ascii="Arial" w:eastAsiaTheme="majorEastAsia" w:hAnsi="Arial" w:cs="Arial"/>
      <w:b/>
      <w:bCs/>
      <w:color w:val="CC0000" w:themeColor="accent6"/>
      <w:sz w:val="28"/>
      <w:szCs w:val="28"/>
    </w:rPr>
  </w:style>
  <w:style w:type="character" w:customStyle="1" w:styleId="Ttulo2Car">
    <w:name w:val="Título 2 Car"/>
    <w:basedOn w:val="Fuentedeprrafopredeter"/>
    <w:link w:val="Ttulo2"/>
    <w:uiPriority w:val="9"/>
    <w:rsid w:val="00A0242F"/>
    <w:rPr>
      <w:rFonts w:ascii="Arial" w:eastAsiaTheme="majorEastAsia" w:hAnsi="Arial" w:cs="Arial"/>
      <w:b/>
      <w:bCs/>
      <w:color w:val="000000" w:themeColor="text1"/>
      <w:sz w:val="24"/>
      <w:szCs w:val="24"/>
    </w:rPr>
  </w:style>
  <w:style w:type="character" w:customStyle="1" w:styleId="Ttulo3Car">
    <w:name w:val="Título 3 Car"/>
    <w:basedOn w:val="Fuentedeprrafopredeter"/>
    <w:link w:val="Ttulo3"/>
    <w:uiPriority w:val="9"/>
    <w:rsid w:val="00F67D40"/>
    <w:rPr>
      <w:rFonts w:ascii="Arial" w:eastAsiaTheme="majorEastAsia" w:hAnsi="Arial" w:cs="Arial"/>
      <w:b/>
      <w:bCs/>
      <w:color w:val="000000" w:themeColor="text1"/>
    </w:rPr>
  </w:style>
  <w:style w:type="character" w:customStyle="1" w:styleId="Ttulo4Car">
    <w:name w:val="Título 4 Car"/>
    <w:aliases w:val="h4 Car,4 Car,H4 Car,h4 sub sub heading Car,h41 Car,h42 Car,Para4 Car,(Alt+4) Car,H41 Car,(Alt+4)1 Car,H42 Car,(Alt+4)2 Car,H43 Car,(Alt+4)3 Car,H44 Car,(Alt+4)4 Car,H45 Car,(Alt+4)5 Car,H411 Car,(Alt+4)11 Car,H421 Car,(Alt+4)21 Car,H431 Car"/>
    <w:basedOn w:val="Fuentedeprrafopredeter"/>
    <w:link w:val="Ttulo4"/>
    <w:uiPriority w:val="9"/>
    <w:rsid w:val="00A0242F"/>
    <w:rPr>
      <w:rFonts w:ascii="Arial" w:eastAsiaTheme="majorEastAsia" w:hAnsi="Arial" w:cs="Arial"/>
      <w:color w:val="000000" w:themeColor="text1"/>
    </w:rPr>
  </w:style>
  <w:style w:type="paragraph" w:styleId="Subttulo">
    <w:name w:val="Subtitle"/>
    <w:basedOn w:val="Normal"/>
    <w:next w:val="Normal"/>
    <w:link w:val="SubttuloCar"/>
    <w:uiPriority w:val="11"/>
    <w:qFormat/>
    <w:rsid w:val="00FE4FB3"/>
    <w:pPr>
      <w:numPr>
        <w:ilvl w:val="1"/>
      </w:numPr>
      <w:spacing w:before="360" w:after="240"/>
    </w:pPr>
    <w:rPr>
      <w:rFonts w:eastAsiaTheme="minorEastAsia"/>
      <w:b/>
      <w:bCs/>
      <w:color w:val="000000" w:themeColor="text1"/>
    </w:rPr>
  </w:style>
  <w:style w:type="character" w:customStyle="1" w:styleId="SubttuloCar">
    <w:name w:val="Subtítulo Car"/>
    <w:basedOn w:val="Fuentedeprrafopredeter"/>
    <w:link w:val="Subttulo"/>
    <w:uiPriority w:val="11"/>
    <w:rsid w:val="00FE4FB3"/>
    <w:rPr>
      <w:rFonts w:ascii="Arial" w:eastAsiaTheme="minorEastAsia" w:hAnsi="Arial" w:cs="Arial"/>
      <w:b/>
      <w:bCs/>
      <w:color w:val="000000" w:themeColor="text1"/>
      <w:lang w:val="en-GB"/>
    </w:rPr>
  </w:style>
  <w:style w:type="character" w:styleId="nfasis">
    <w:name w:val="Emphasis"/>
    <w:basedOn w:val="Fuentedeprrafopredeter"/>
    <w:uiPriority w:val="20"/>
    <w:rsid w:val="00A0242F"/>
    <w:rPr>
      <w:i/>
      <w:iCs/>
    </w:rPr>
  </w:style>
  <w:style w:type="paragraph" w:styleId="Cita">
    <w:name w:val="Quote"/>
    <w:basedOn w:val="Normal"/>
    <w:next w:val="Normal"/>
    <w:link w:val="CitaCar"/>
    <w:uiPriority w:val="29"/>
    <w:qFormat/>
    <w:rsid w:val="008059D3"/>
    <w:pPr>
      <w:spacing w:before="200" w:after="360"/>
      <w:ind w:left="1134" w:right="1276"/>
    </w:pPr>
    <w:rPr>
      <w:i/>
      <w:iCs/>
      <w:color w:val="404040" w:themeColor="text1" w:themeTint="BF"/>
      <w:lang w:val="fr-FR"/>
    </w:rPr>
  </w:style>
  <w:style w:type="character" w:customStyle="1" w:styleId="CitaCar">
    <w:name w:val="Cita Car"/>
    <w:basedOn w:val="Fuentedeprrafopredeter"/>
    <w:link w:val="Cita"/>
    <w:uiPriority w:val="29"/>
    <w:rsid w:val="008059D3"/>
    <w:rPr>
      <w:rFonts w:ascii="Arial" w:hAnsi="Arial" w:cs="Arial"/>
      <w:i/>
      <w:iCs/>
      <w:color w:val="404040" w:themeColor="text1" w:themeTint="BF"/>
    </w:rPr>
  </w:style>
  <w:style w:type="paragraph" w:styleId="Sinespaciado">
    <w:name w:val="No Spacing"/>
    <w:uiPriority w:val="1"/>
    <w:qFormat/>
    <w:rsid w:val="00A0242F"/>
    <w:pPr>
      <w:spacing w:after="0" w:line="240" w:lineRule="auto"/>
      <w:jc w:val="both"/>
    </w:pPr>
    <w:rPr>
      <w:rFonts w:ascii="Arial" w:hAnsi="Arial" w:cs="Arial"/>
    </w:rPr>
  </w:style>
  <w:style w:type="character" w:styleId="Hipervnculo">
    <w:name w:val="Hyperlink"/>
    <w:basedOn w:val="Fuentedeprrafopredeter"/>
    <w:uiPriority w:val="99"/>
    <w:unhideWhenUsed/>
    <w:rsid w:val="00A0242F"/>
    <w:rPr>
      <w:color w:val="333399" w:themeColor="hyperlink"/>
      <w:u w:val="single"/>
    </w:rPr>
  </w:style>
  <w:style w:type="character" w:customStyle="1" w:styleId="Mentionnonrsolue1">
    <w:name w:val="Mention non résolue1"/>
    <w:basedOn w:val="Fuentedeprrafopredeter"/>
    <w:uiPriority w:val="99"/>
    <w:semiHidden/>
    <w:unhideWhenUsed/>
    <w:rsid w:val="00A0242F"/>
    <w:rPr>
      <w:color w:val="605E5C"/>
      <w:shd w:val="clear" w:color="auto" w:fill="E1DFDD"/>
    </w:rPr>
  </w:style>
  <w:style w:type="paragraph" w:customStyle="1" w:styleId="Titresansnumro">
    <w:name w:val="Titre sans numéro"/>
    <w:basedOn w:val="Ttulo1"/>
    <w:next w:val="Normal"/>
    <w:qFormat/>
    <w:rsid w:val="001A31C9"/>
    <w:pPr>
      <w:numPr>
        <w:numId w:val="0"/>
      </w:numPr>
      <w:jc w:val="left"/>
    </w:pPr>
  </w:style>
  <w:style w:type="table" w:styleId="Tablaconcuadrcula">
    <w:name w:val="Table Grid"/>
    <w:basedOn w:val="Tablanormal"/>
    <w:uiPriority w:val="39"/>
    <w:rsid w:val="00526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ALTS FOOTNOTE,Footnote text,Footnote Text Char Char Char,Footnote Text Char Char Char Char Char Char Char,Footnote Text Char Char Char Char Char Char Char Char Char,Footnote Text Char Char Char Char Char,Footnote Text2 Char Char,SF píe,fn"/>
    <w:basedOn w:val="Normal"/>
    <w:link w:val="TextonotapieCar"/>
    <w:uiPriority w:val="99"/>
    <w:unhideWhenUsed/>
    <w:qFormat/>
    <w:rsid w:val="0052673A"/>
    <w:pPr>
      <w:spacing w:after="0" w:line="240" w:lineRule="auto"/>
      <w:ind w:left="284" w:hanging="284"/>
    </w:pPr>
    <w:rPr>
      <w:sz w:val="20"/>
      <w:szCs w:val="20"/>
    </w:rPr>
  </w:style>
  <w:style w:type="character" w:customStyle="1" w:styleId="TextonotapieCar">
    <w:name w:val="Texto nota pie Car"/>
    <w:aliases w:val="ALTS FOOTNOTE Car,Footnote text Car,Footnote Text Char Char Char Car,Footnote Text Char Char Char Char Char Char Char Car,Footnote Text Char Char Char Char Char Char Char Char Char Car,Footnote Text Char Char Char Char Char Car,fn Car"/>
    <w:basedOn w:val="Fuentedeprrafopredeter"/>
    <w:link w:val="Textonotapie"/>
    <w:uiPriority w:val="99"/>
    <w:rsid w:val="0052673A"/>
    <w:rPr>
      <w:rFonts w:ascii="Arial" w:hAnsi="Arial" w:cs="Arial"/>
      <w:sz w:val="20"/>
      <w:szCs w:val="20"/>
    </w:rPr>
  </w:style>
  <w:style w:type="character" w:styleId="Refdenotaalpie">
    <w:name w:val="footnote reference"/>
    <w:aliases w:val="ftref,Footnote number,ComReg Footnote Reference,Appel note de bas de p,fr,Footnote symbol,Footnote,Nota,ABA Footnote Reference,fr 2,(NECG) Footnote Reference,Style 6,Voetnootverwijzing,Style 12,Style 124,Footnotemark,FR,FR1,Ref,o"/>
    <w:basedOn w:val="Fuentedeprrafopredeter"/>
    <w:link w:val="FootnoteReferenceNumber"/>
    <w:uiPriority w:val="99"/>
    <w:unhideWhenUsed/>
    <w:qFormat/>
    <w:rsid w:val="0052673A"/>
    <w:rPr>
      <w:vertAlign w:val="superscript"/>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
    <w:basedOn w:val="Normal"/>
    <w:link w:val="PrrafodelistaCar"/>
    <w:uiPriority w:val="34"/>
    <w:qFormat/>
    <w:rsid w:val="00E25D0B"/>
    <w:pPr>
      <w:numPr>
        <w:numId w:val="16"/>
      </w:numPr>
    </w:pPr>
  </w:style>
  <w:style w:type="paragraph" w:styleId="Descripcin">
    <w:name w:val="caption"/>
    <w:aliases w:val="Caption (ALL),Caption (all),Inscription,Beschriftung Char Char Char,Beschriftung Char,Caption2,figura,figura1,figura2,ITT d,Table Title,Caption - Centre Graphic,cp + Justified,Left:  2,5 cm,First ...,cp,ref,Fig &amp; Table Title,CaptionCFMU,Ca,C"/>
    <w:basedOn w:val="Normal"/>
    <w:next w:val="Normal"/>
    <w:link w:val="DescripcinCar"/>
    <w:qFormat/>
    <w:rsid w:val="00254931"/>
    <w:pPr>
      <w:suppressAutoHyphens/>
      <w:spacing w:before="360" w:after="120"/>
      <w:jc w:val="center"/>
    </w:pPr>
    <w:rPr>
      <w:rFonts w:eastAsia="Times New Roman" w:cs="Times New Roman"/>
      <w:b/>
      <w:sz w:val="16"/>
      <w:szCs w:val="16"/>
      <w:lang w:eastAsia="ar-SA"/>
    </w:rPr>
  </w:style>
  <w:style w:type="paragraph" w:customStyle="1" w:styleId="Source">
    <w:name w:val="Source"/>
    <w:basedOn w:val="Normal"/>
    <w:next w:val="Normal"/>
    <w:link w:val="SourceChar"/>
    <w:qFormat/>
    <w:rsid w:val="00254931"/>
    <w:pPr>
      <w:keepNext/>
      <w:spacing w:before="120" w:after="360" w:line="240" w:lineRule="auto"/>
      <w:jc w:val="left"/>
    </w:pPr>
    <w:rPr>
      <w:rFonts w:eastAsia="Times New Roman"/>
      <w:sz w:val="16"/>
      <w:szCs w:val="18"/>
      <w:lang w:eastAsia="en-GB"/>
    </w:rPr>
  </w:style>
  <w:style w:type="character" w:customStyle="1" w:styleId="SourceChar">
    <w:name w:val="Source Char"/>
    <w:basedOn w:val="Fuentedeprrafopredeter"/>
    <w:link w:val="Source"/>
    <w:rsid w:val="00254931"/>
    <w:rPr>
      <w:rFonts w:ascii="Arial" w:eastAsia="Times New Roman" w:hAnsi="Arial" w:cs="Arial"/>
      <w:sz w:val="16"/>
      <w:szCs w:val="18"/>
      <w:lang w:val="en-GB" w:eastAsia="en-GB"/>
    </w:rPr>
  </w:style>
  <w:style w:type="paragraph" w:customStyle="1" w:styleId="TableH1">
    <w:name w:val="TableH1"/>
    <w:basedOn w:val="Normal"/>
    <w:link w:val="TableH1Char"/>
    <w:qFormat/>
    <w:rsid w:val="00254931"/>
    <w:pPr>
      <w:spacing w:before="40" w:after="40"/>
      <w:jc w:val="center"/>
    </w:pPr>
    <w:rPr>
      <w:rFonts w:eastAsia="PMingLiU"/>
      <w:b/>
      <w:bCs/>
      <w:color w:val="FFFFFF" w:themeColor="background1"/>
      <w:sz w:val="16"/>
      <w:szCs w:val="16"/>
      <w:lang w:eastAsia="zh-TW"/>
    </w:rPr>
  </w:style>
  <w:style w:type="paragraph" w:customStyle="1" w:styleId="Tabletext">
    <w:name w:val="Table text"/>
    <w:basedOn w:val="Normal"/>
    <w:link w:val="TabletextChar"/>
    <w:qFormat/>
    <w:rsid w:val="00254931"/>
    <w:pPr>
      <w:spacing w:before="40" w:after="40"/>
      <w:jc w:val="left"/>
    </w:pPr>
    <w:rPr>
      <w:rFonts w:eastAsia="PMingLiU"/>
      <w:sz w:val="16"/>
      <w:szCs w:val="16"/>
      <w:lang w:eastAsia="zh-TW"/>
    </w:rPr>
  </w:style>
  <w:style w:type="character" w:customStyle="1" w:styleId="TableH1Char">
    <w:name w:val="TableH1 Char"/>
    <w:basedOn w:val="Fuentedeprrafopredeter"/>
    <w:link w:val="TableH1"/>
    <w:rsid w:val="00254931"/>
    <w:rPr>
      <w:rFonts w:ascii="Arial" w:eastAsia="PMingLiU" w:hAnsi="Arial" w:cs="Arial"/>
      <w:b/>
      <w:bCs/>
      <w:color w:val="FFFFFF" w:themeColor="background1"/>
      <w:sz w:val="16"/>
      <w:szCs w:val="16"/>
      <w:lang w:val="en-GB" w:eastAsia="zh-TW"/>
    </w:rPr>
  </w:style>
  <w:style w:type="paragraph" w:customStyle="1" w:styleId="Tablenumber">
    <w:name w:val="Table number"/>
    <w:basedOn w:val="Tabletext"/>
    <w:link w:val="TablenumberChar"/>
    <w:qFormat/>
    <w:rsid w:val="00254931"/>
    <w:pPr>
      <w:jc w:val="right"/>
    </w:pPr>
  </w:style>
  <w:style w:type="character" w:customStyle="1" w:styleId="TabletextChar">
    <w:name w:val="Table text Char"/>
    <w:basedOn w:val="Fuentedeprrafopredeter"/>
    <w:link w:val="Tabletext"/>
    <w:rsid w:val="00254931"/>
    <w:rPr>
      <w:rFonts w:ascii="Arial" w:eastAsia="PMingLiU" w:hAnsi="Arial" w:cs="Arial"/>
      <w:sz w:val="16"/>
      <w:szCs w:val="16"/>
      <w:lang w:val="en-GB" w:eastAsia="zh-TW"/>
    </w:rPr>
  </w:style>
  <w:style w:type="character" w:customStyle="1" w:styleId="TablenumberChar">
    <w:name w:val="Table number Char"/>
    <w:basedOn w:val="TabletextChar"/>
    <w:link w:val="Tablenumber"/>
    <w:rsid w:val="00254931"/>
    <w:rPr>
      <w:rFonts w:ascii="Arial" w:eastAsia="PMingLiU" w:hAnsi="Arial" w:cs="Arial"/>
      <w:sz w:val="16"/>
      <w:szCs w:val="16"/>
      <w:lang w:val="en-GB" w:eastAsia="zh-TW"/>
    </w:rPr>
  </w:style>
  <w:style w:type="paragraph" w:customStyle="1" w:styleId="TableH2">
    <w:name w:val="TableH2"/>
    <w:basedOn w:val="TableH1"/>
    <w:link w:val="TableH2Char"/>
    <w:qFormat/>
    <w:rsid w:val="00254931"/>
    <w:rPr>
      <w:color w:val="000000" w:themeColor="text1"/>
    </w:rPr>
  </w:style>
  <w:style w:type="character" w:customStyle="1" w:styleId="TableH2Char">
    <w:name w:val="TableH2 Char"/>
    <w:basedOn w:val="TableH1Char"/>
    <w:link w:val="TableH2"/>
    <w:rsid w:val="00254931"/>
    <w:rPr>
      <w:rFonts w:ascii="Arial" w:eastAsia="PMingLiU" w:hAnsi="Arial" w:cs="Arial"/>
      <w:b/>
      <w:bCs/>
      <w:color w:val="000000" w:themeColor="text1"/>
      <w:sz w:val="16"/>
      <w:szCs w:val="16"/>
      <w:lang w:val="en-GB" w:eastAsia="zh-TW"/>
    </w:rPr>
  </w:style>
  <w:style w:type="paragraph" w:customStyle="1" w:styleId="Question">
    <w:name w:val="Question"/>
    <w:basedOn w:val="Prrafodelista"/>
    <w:qFormat/>
    <w:rsid w:val="001A31C9"/>
    <w:pPr>
      <w:numPr>
        <w:numId w:val="17"/>
      </w:numPr>
      <w:pBdr>
        <w:top w:val="single" w:sz="4" w:space="1" w:color="auto"/>
        <w:left w:val="single" w:sz="4" w:space="4" w:color="auto"/>
        <w:bottom w:val="single" w:sz="4" w:space="1" w:color="auto"/>
        <w:right w:val="single" w:sz="4" w:space="4" w:color="auto"/>
      </w:pBdr>
      <w:shd w:val="clear" w:color="auto" w:fill="FFEB9C" w:themeFill="text2"/>
      <w:ind w:left="0" w:firstLine="0"/>
    </w:pPr>
  </w:style>
  <w:style w:type="paragraph" w:styleId="TDC1">
    <w:name w:val="toc 1"/>
    <w:basedOn w:val="Normal"/>
    <w:next w:val="Normal"/>
    <w:autoRedefine/>
    <w:uiPriority w:val="39"/>
    <w:unhideWhenUsed/>
    <w:rsid w:val="001A31C9"/>
    <w:pPr>
      <w:spacing w:after="100"/>
    </w:pPr>
  </w:style>
  <w:style w:type="paragraph" w:styleId="TDC2">
    <w:name w:val="toc 2"/>
    <w:basedOn w:val="Normal"/>
    <w:next w:val="Normal"/>
    <w:autoRedefine/>
    <w:uiPriority w:val="39"/>
    <w:unhideWhenUsed/>
    <w:rsid w:val="001A31C9"/>
    <w:pPr>
      <w:spacing w:after="100"/>
      <w:ind w:left="220"/>
    </w:pPr>
  </w:style>
  <w:style w:type="paragraph" w:styleId="TDC3">
    <w:name w:val="toc 3"/>
    <w:basedOn w:val="Normal"/>
    <w:next w:val="Normal"/>
    <w:autoRedefine/>
    <w:uiPriority w:val="39"/>
    <w:unhideWhenUsed/>
    <w:rsid w:val="001A31C9"/>
    <w:pPr>
      <w:spacing w:after="100"/>
      <w:ind w:left="440"/>
    </w:pPr>
  </w:style>
  <w:style w:type="paragraph" w:styleId="ndice1">
    <w:name w:val="index 1"/>
    <w:basedOn w:val="Normal"/>
    <w:next w:val="Normal"/>
    <w:autoRedefine/>
    <w:uiPriority w:val="99"/>
    <w:semiHidden/>
    <w:unhideWhenUsed/>
    <w:rsid w:val="00355887"/>
    <w:pPr>
      <w:spacing w:after="0" w:line="240" w:lineRule="auto"/>
      <w:ind w:left="220" w:hanging="220"/>
    </w:pPr>
  </w:style>
  <w:style w:type="paragraph" w:styleId="Tabladeilustraciones">
    <w:name w:val="table of figures"/>
    <w:basedOn w:val="Normal"/>
    <w:next w:val="Normal"/>
    <w:uiPriority w:val="99"/>
    <w:unhideWhenUsed/>
    <w:rsid w:val="00355887"/>
    <w:pPr>
      <w:spacing w:after="0"/>
    </w:pPr>
  </w:style>
  <w:style w:type="paragraph" w:styleId="Encabezado">
    <w:name w:val="header"/>
    <w:basedOn w:val="Normal"/>
    <w:link w:val="EncabezadoCar"/>
    <w:uiPriority w:val="99"/>
    <w:unhideWhenUsed/>
    <w:rsid w:val="00E97D3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97D3A"/>
    <w:rPr>
      <w:rFonts w:ascii="Arial" w:hAnsi="Arial" w:cs="Arial"/>
      <w:lang w:val="en-GB"/>
    </w:rPr>
  </w:style>
  <w:style w:type="paragraph" w:styleId="Piedepgina">
    <w:name w:val="footer"/>
    <w:basedOn w:val="Normal"/>
    <w:link w:val="PiedepginaCar"/>
    <w:uiPriority w:val="99"/>
    <w:unhideWhenUsed/>
    <w:rsid w:val="00E97D3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97D3A"/>
    <w:rPr>
      <w:rFonts w:ascii="Arial" w:hAnsi="Arial" w:cs="Arial"/>
      <w:lang w:val="en-GB"/>
    </w:rPr>
  </w:style>
  <w:style w:type="paragraph" w:styleId="Textodeglobo">
    <w:name w:val="Balloon Text"/>
    <w:basedOn w:val="Normal"/>
    <w:link w:val="TextodegloboCar"/>
    <w:uiPriority w:val="99"/>
    <w:semiHidden/>
    <w:unhideWhenUsed/>
    <w:rsid w:val="00E666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68F"/>
    <w:rPr>
      <w:rFonts w:ascii="Segoe UI" w:hAnsi="Segoe UI" w:cs="Segoe UI"/>
      <w:sz w:val="18"/>
      <w:szCs w:val="18"/>
      <w:lang w:val="en-GB"/>
    </w:rPr>
  </w:style>
  <w:style w:type="paragraph" w:styleId="TDC4">
    <w:name w:val="toc 4"/>
    <w:basedOn w:val="Normal"/>
    <w:next w:val="Normal"/>
    <w:autoRedefine/>
    <w:uiPriority w:val="39"/>
    <w:unhideWhenUsed/>
    <w:rsid w:val="00C43FC0"/>
    <w:pPr>
      <w:spacing w:after="100" w:line="259" w:lineRule="auto"/>
    </w:pPr>
    <w:rPr>
      <w:szCs w:val="20"/>
      <w:lang w:val="la-Latn"/>
    </w:rPr>
  </w:style>
  <w:style w:type="character" w:styleId="Refdecomentario">
    <w:name w:val="annotation reference"/>
    <w:basedOn w:val="Fuentedeprrafopredeter"/>
    <w:uiPriority w:val="99"/>
    <w:unhideWhenUsed/>
    <w:rsid w:val="00C43FC0"/>
    <w:rPr>
      <w:sz w:val="16"/>
      <w:szCs w:val="16"/>
    </w:rPr>
  </w:style>
  <w:style w:type="paragraph" w:styleId="Textocomentario">
    <w:name w:val="annotation text"/>
    <w:basedOn w:val="Normal"/>
    <w:link w:val="TextocomentarioCar"/>
    <w:uiPriority w:val="99"/>
    <w:unhideWhenUsed/>
    <w:rsid w:val="00C43FC0"/>
    <w:pPr>
      <w:spacing w:line="240" w:lineRule="auto"/>
    </w:pPr>
    <w:rPr>
      <w:sz w:val="20"/>
      <w:szCs w:val="20"/>
      <w:lang w:val="la-Latn"/>
    </w:rPr>
  </w:style>
  <w:style w:type="character" w:customStyle="1" w:styleId="TextocomentarioCar">
    <w:name w:val="Texto comentario Car"/>
    <w:basedOn w:val="Fuentedeprrafopredeter"/>
    <w:link w:val="Textocomentario"/>
    <w:uiPriority w:val="99"/>
    <w:qFormat/>
    <w:rsid w:val="00C43FC0"/>
    <w:rPr>
      <w:rFonts w:ascii="Arial" w:hAnsi="Arial" w:cs="Arial"/>
      <w:sz w:val="20"/>
      <w:szCs w:val="20"/>
      <w:lang w:val="la-Latn"/>
    </w:rPr>
  </w:style>
  <w:style w:type="character" w:customStyle="1" w:styleId="DescripcinCar">
    <w:name w:val="Descripción Car"/>
    <w:aliases w:val="Caption (ALL) Car,Caption (all) Car,Inscription Car,Beschriftung Char Char Char Car,Beschriftung Char Car,Caption2 Car,figura Car,figura1 Car,figura2 Car,ITT d Car,Table Title Car,Caption - Centre Graphic Car,cp + Justified Car,5 cm Car"/>
    <w:basedOn w:val="Fuentedeprrafopredeter"/>
    <w:link w:val="Descripcin"/>
    <w:locked/>
    <w:rsid w:val="0053082F"/>
    <w:rPr>
      <w:rFonts w:ascii="Arial" w:eastAsia="Times New Roman" w:hAnsi="Arial" w:cs="Times New Roman"/>
      <w:b/>
      <w:sz w:val="16"/>
      <w:szCs w:val="16"/>
      <w:lang w:val="en-GB" w:eastAsia="ar-SA"/>
    </w:rPr>
  </w:style>
  <w:style w:type="paragraph" w:customStyle="1" w:styleId="Numtext1">
    <w:name w:val="Numtext 1"/>
    <w:basedOn w:val="Prrafodelista"/>
    <w:link w:val="Numtext1Char"/>
    <w:qFormat/>
    <w:rsid w:val="00DB3B0E"/>
    <w:pPr>
      <w:numPr>
        <w:numId w:val="25"/>
      </w:numPr>
      <w:suppressAutoHyphens/>
      <w:spacing w:after="200" w:line="276" w:lineRule="auto"/>
    </w:pPr>
    <w:rPr>
      <w:rFonts w:eastAsia="Times New Roman"/>
      <w:lang w:val="es-ES"/>
    </w:rPr>
  </w:style>
  <w:style w:type="paragraph" w:customStyle="1" w:styleId="Numtext2">
    <w:name w:val="Numtext 2"/>
    <w:basedOn w:val="Numtext1"/>
    <w:qFormat/>
    <w:rsid w:val="00DB3B0E"/>
    <w:pPr>
      <w:numPr>
        <w:ilvl w:val="1"/>
      </w:numPr>
      <w:tabs>
        <w:tab w:val="num" w:pos="360"/>
      </w:tabs>
      <w:ind w:left="851" w:hanging="576"/>
    </w:pPr>
  </w:style>
  <w:style w:type="character" w:customStyle="1" w:styleId="Numtext1Char">
    <w:name w:val="Numtext 1 Char"/>
    <w:basedOn w:val="Fuentedeprrafopredeter"/>
    <w:link w:val="Numtext1"/>
    <w:rsid w:val="00DB3B0E"/>
    <w:rPr>
      <w:rFonts w:ascii="Arial" w:eastAsia="Times New Roman" w:hAnsi="Arial" w:cs="Arial"/>
      <w:lang w:val="es-ES"/>
    </w:rPr>
  </w:style>
  <w:style w:type="paragraph" w:styleId="Textoindependiente">
    <w:name w:val="Body Text"/>
    <w:basedOn w:val="Normal"/>
    <w:link w:val="TextoindependienteCar"/>
    <w:qFormat/>
    <w:rsid w:val="00DB3B0E"/>
    <w:pPr>
      <w:suppressAutoHyphens/>
      <w:spacing w:before="120" w:after="120"/>
    </w:pPr>
    <w:rPr>
      <w:rFonts w:eastAsia="Times New Roman" w:cs="Times New Roman"/>
      <w:szCs w:val="24"/>
      <w:lang w:eastAsia="ar-SA"/>
    </w:rPr>
  </w:style>
  <w:style w:type="character" w:customStyle="1" w:styleId="TextoindependienteCar">
    <w:name w:val="Texto independiente Car"/>
    <w:basedOn w:val="Fuentedeprrafopredeter"/>
    <w:link w:val="Textoindependiente"/>
    <w:rsid w:val="00DB3B0E"/>
    <w:rPr>
      <w:rFonts w:ascii="Arial" w:eastAsia="Times New Roman" w:hAnsi="Arial" w:cs="Times New Roman"/>
      <w:szCs w:val="24"/>
      <w:lang w:val="en-GB" w:eastAsia="ar-SA"/>
    </w:rPr>
  </w:style>
  <w:style w:type="paragraph" w:customStyle="1" w:styleId="Quotation">
    <w:name w:val="Quotation"/>
    <w:basedOn w:val="Normal"/>
    <w:next w:val="Textoindependiente"/>
    <w:link w:val="QuotationChar"/>
    <w:qFormat/>
    <w:rsid w:val="00DB3B0E"/>
    <w:pPr>
      <w:suppressAutoHyphens/>
      <w:spacing w:before="120" w:after="120"/>
      <w:ind w:left="1260" w:right="1159"/>
      <w:jc w:val="left"/>
    </w:pPr>
    <w:rPr>
      <w:rFonts w:eastAsia="Times New Roman"/>
      <w:i/>
      <w:szCs w:val="24"/>
      <w:lang w:eastAsia="ar-SA"/>
    </w:rPr>
  </w:style>
  <w:style w:type="character" w:customStyle="1" w:styleId="QuotationChar">
    <w:name w:val="Quotation Char"/>
    <w:basedOn w:val="TextoindependienteCar"/>
    <w:link w:val="Quotation"/>
    <w:rsid w:val="00DB3B0E"/>
    <w:rPr>
      <w:rFonts w:ascii="Arial" w:eastAsia="Times New Roman" w:hAnsi="Arial" w:cs="Arial"/>
      <w:i/>
      <w:szCs w:val="24"/>
      <w:lang w:val="en-GB" w:eastAsia="ar-SA"/>
    </w:rPr>
  </w:style>
  <w:style w:type="character" w:customStyle="1" w:styleId="Ttulo5Car">
    <w:name w:val="Título 5 Car"/>
    <w:aliases w:val="Para5 Car,h5 Car,h51 Car,h52 Car,L5 Car,H5 Car,Level 3 - i Car,Document Title 2 Car,Level 3 - (i) Car"/>
    <w:basedOn w:val="Fuentedeprrafopredeter"/>
    <w:link w:val="Ttulo5"/>
    <w:rsid w:val="00DB3B0E"/>
    <w:rPr>
      <w:rFonts w:ascii="Arial" w:eastAsia="Times New Roman" w:hAnsi="Arial" w:cs="Times New Roman"/>
      <w:b/>
      <w:bCs/>
      <w:i/>
      <w:iCs/>
      <w:sz w:val="26"/>
      <w:szCs w:val="26"/>
      <w:lang w:val="en-GB" w:eastAsia="ar-SA"/>
    </w:rPr>
  </w:style>
  <w:style w:type="character" w:customStyle="1" w:styleId="Ttulo6Car">
    <w:name w:val="Título 6 Car"/>
    <w:aliases w:val="Legal Level 1. Car,L1 PIP Car,Name of Org Car,H6 Car"/>
    <w:basedOn w:val="Fuentedeprrafopredeter"/>
    <w:link w:val="Ttulo6"/>
    <w:rsid w:val="00DB3B0E"/>
    <w:rPr>
      <w:rFonts w:ascii="Arial" w:eastAsia="Times New Roman" w:hAnsi="Arial" w:cs="Times New Roman"/>
      <w:b/>
      <w:bCs/>
      <w:lang w:val="en-GB" w:eastAsia="ar-SA"/>
    </w:rPr>
  </w:style>
  <w:style w:type="character" w:customStyle="1" w:styleId="Ttulo7Car">
    <w:name w:val="Título 7 Car"/>
    <w:aliases w:val="Legal Level 1.1. Car,L2 PIP Car,H7 Car"/>
    <w:basedOn w:val="Fuentedeprrafopredeter"/>
    <w:link w:val="Ttulo7"/>
    <w:rsid w:val="00DB3B0E"/>
    <w:rPr>
      <w:rFonts w:ascii="Arial" w:eastAsia="Times New Roman" w:hAnsi="Arial" w:cs="Times New Roman"/>
      <w:szCs w:val="24"/>
      <w:lang w:val="en-GB" w:eastAsia="ar-SA"/>
    </w:rPr>
  </w:style>
  <w:style w:type="character" w:customStyle="1" w:styleId="Ttulo8Car">
    <w:name w:val="Título 8 Car"/>
    <w:aliases w:val="cover doc subtitle Car,H8 Car"/>
    <w:basedOn w:val="Fuentedeprrafopredeter"/>
    <w:link w:val="Ttulo8"/>
    <w:rsid w:val="00DB3B0E"/>
    <w:rPr>
      <w:rFonts w:ascii="Arial" w:eastAsia="Times New Roman" w:hAnsi="Arial" w:cs="Times New Roman"/>
      <w:i/>
      <w:iCs/>
      <w:szCs w:val="24"/>
      <w:lang w:val="en-GB" w:eastAsia="ar-SA"/>
    </w:rPr>
  </w:style>
  <w:style w:type="character" w:customStyle="1" w:styleId="Ttulo9Car">
    <w:name w:val="Título 9 Car"/>
    <w:aliases w:val="H9 Car"/>
    <w:basedOn w:val="Fuentedeprrafopredeter"/>
    <w:link w:val="Ttulo9"/>
    <w:rsid w:val="00DB3B0E"/>
    <w:rPr>
      <w:rFonts w:ascii="Arial" w:eastAsia="Times New Roman" w:hAnsi="Arial" w:cs="Arial"/>
      <w:lang w:val="en-GB" w:eastAsia="ar-SA"/>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link w:val="Refdenotaalpie"/>
    <w:uiPriority w:val="99"/>
    <w:rsid w:val="00DB3B0E"/>
    <w:pPr>
      <w:spacing w:line="240" w:lineRule="exact"/>
      <w:jc w:val="left"/>
    </w:pPr>
    <w:rPr>
      <w:rFonts w:asciiTheme="minorHAnsi" w:hAnsiTheme="minorHAnsi" w:cstheme="minorBidi"/>
      <w:vertAlign w:val="superscript"/>
      <w:lang w:val="fr-FR"/>
    </w:rPr>
  </w:style>
  <w:style w:type="paragraph" w:styleId="Asuntodelcomentario">
    <w:name w:val="annotation subject"/>
    <w:basedOn w:val="Textocomentario"/>
    <w:next w:val="Textocomentario"/>
    <w:link w:val="AsuntodelcomentarioCar"/>
    <w:uiPriority w:val="99"/>
    <w:semiHidden/>
    <w:unhideWhenUsed/>
    <w:rsid w:val="00F704F5"/>
    <w:rPr>
      <w:b/>
      <w:bCs/>
      <w:lang w:val="en-GB"/>
    </w:rPr>
  </w:style>
  <w:style w:type="character" w:customStyle="1" w:styleId="AsuntodelcomentarioCar">
    <w:name w:val="Asunto del comentario Car"/>
    <w:basedOn w:val="TextocomentarioCar"/>
    <w:link w:val="Asuntodelcomentario"/>
    <w:uiPriority w:val="99"/>
    <w:semiHidden/>
    <w:rsid w:val="00F704F5"/>
    <w:rPr>
      <w:rFonts w:ascii="Arial" w:hAnsi="Arial" w:cs="Arial"/>
      <w:b/>
      <w:bCs/>
      <w:sz w:val="20"/>
      <w:szCs w:val="20"/>
      <w:lang w:val="en-GB"/>
    </w:rPr>
  </w:style>
  <w:style w:type="character" w:styleId="Mencinsinresolver">
    <w:name w:val="Unresolved Mention"/>
    <w:basedOn w:val="Fuentedeprrafopredeter"/>
    <w:uiPriority w:val="99"/>
    <w:semiHidden/>
    <w:unhideWhenUsed/>
    <w:rsid w:val="00C47E08"/>
    <w:rPr>
      <w:color w:val="605E5C"/>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34"/>
    <w:qFormat/>
    <w:rsid w:val="00B817F3"/>
    <w:rPr>
      <w:rFonts w:ascii="Arial" w:hAnsi="Arial" w:cs="Arial"/>
      <w:lang w:val="en-GB"/>
    </w:rPr>
  </w:style>
  <w:style w:type="table" w:customStyle="1" w:styleId="Tablaconcuadrcula1">
    <w:name w:val="Tabla con cuadrícula1"/>
    <w:basedOn w:val="Tablanormal"/>
    <w:next w:val="Tablaconcuadrcula"/>
    <w:rsid w:val="00B817F3"/>
    <w:pPr>
      <w:spacing w:after="0" w:line="240" w:lineRule="auto"/>
    </w:pPr>
    <w:rPr>
      <w:rFonts w:ascii="Times New Roman" w:eastAsia="Times New Roman" w:hAnsi="Times New Roman" w:cs="Times New Roman"/>
      <w:sz w:val="20"/>
      <w:szCs w:val="20"/>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
    <w:name w:val="Grid Table 5 Dark"/>
    <w:basedOn w:val="Tablanormal"/>
    <w:uiPriority w:val="50"/>
    <w:rsid w:val="004806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ipervnculovisitado">
    <w:name w:val="FollowedHyperlink"/>
    <w:basedOn w:val="Fuentedeprrafopredeter"/>
    <w:uiPriority w:val="99"/>
    <w:semiHidden/>
    <w:unhideWhenUsed/>
    <w:rsid w:val="00C00E05"/>
    <w:rPr>
      <w:color w:val="333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78045">
      <w:bodyDiv w:val="1"/>
      <w:marLeft w:val="0"/>
      <w:marRight w:val="0"/>
      <w:marTop w:val="0"/>
      <w:marBottom w:val="0"/>
      <w:divBdr>
        <w:top w:val="none" w:sz="0" w:space="0" w:color="auto"/>
        <w:left w:val="none" w:sz="0" w:space="0" w:color="auto"/>
        <w:bottom w:val="none" w:sz="0" w:space="0" w:color="auto"/>
        <w:right w:val="none" w:sz="0" w:space="0" w:color="auto"/>
      </w:divBdr>
    </w:div>
    <w:div w:id="297221638">
      <w:bodyDiv w:val="1"/>
      <w:marLeft w:val="0"/>
      <w:marRight w:val="0"/>
      <w:marTop w:val="0"/>
      <w:marBottom w:val="0"/>
      <w:divBdr>
        <w:top w:val="none" w:sz="0" w:space="0" w:color="auto"/>
        <w:left w:val="none" w:sz="0" w:space="0" w:color="auto"/>
        <w:bottom w:val="none" w:sz="0" w:space="0" w:color="auto"/>
        <w:right w:val="none" w:sz="0" w:space="0" w:color="auto"/>
      </w:divBdr>
    </w:div>
    <w:div w:id="1015885006">
      <w:bodyDiv w:val="1"/>
      <w:marLeft w:val="0"/>
      <w:marRight w:val="0"/>
      <w:marTop w:val="0"/>
      <w:marBottom w:val="0"/>
      <w:divBdr>
        <w:top w:val="none" w:sz="0" w:space="0" w:color="auto"/>
        <w:left w:val="none" w:sz="0" w:space="0" w:color="auto"/>
        <w:bottom w:val="none" w:sz="0" w:space="0" w:color="auto"/>
        <w:right w:val="none" w:sz="0" w:space="0" w:color="auto"/>
      </w:divBdr>
    </w:div>
    <w:div w:id="1274248365">
      <w:bodyDiv w:val="1"/>
      <w:marLeft w:val="0"/>
      <w:marRight w:val="0"/>
      <w:marTop w:val="0"/>
      <w:marBottom w:val="0"/>
      <w:divBdr>
        <w:top w:val="none" w:sz="0" w:space="0" w:color="auto"/>
        <w:left w:val="none" w:sz="0" w:space="0" w:color="auto"/>
        <w:bottom w:val="none" w:sz="0" w:space="0" w:color="auto"/>
        <w:right w:val="none" w:sz="0" w:space="0" w:color="auto"/>
      </w:divBdr>
      <w:divsChild>
        <w:div w:id="1428692640">
          <w:marLeft w:val="0"/>
          <w:marRight w:val="0"/>
          <w:marTop w:val="100"/>
          <w:marBottom w:val="0"/>
          <w:divBdr>
            <w:top w:val="none" w:sz="0" w:space="0" w:color="auto"/>
            <w:left w:val="none" w:sz="0" w:space="0" w:color="auto"/>
            <w:bottom w:val="none" w:sz="0" w:space="0" w:color="auto"/>
            <w:right w:val="none" w:sz="0" w:space="0" w:color="auto"/>
          </w:divBdr>
          <w:divsChild>
            <w:div w:id="1550219708">
              <w:marLeft w:val="0"/>
              <w:marRight w:val="0"/>
              <w:marTop w:val="60"/>
              <w:marBottom w:val="0"/>
              <w:divBdr>
                <w:top w:val="none" w:sz="0" w:space="0" w:color="auto"/>
                <w:left w:val="none" w:sz="0" w:space="0" w:color="auto"/>
                <w:bottom w:val="none" w:sz="0" w:space="0" w:color="auto"/>
                <w:right w:val="none" w:sz="0" w:space="0" w:color="auto"/>
              </w:divBdr>
            </w:div>
          </w:divsChild>
        </w:div>
        <w:div w:id="1027829576">
          <w:marLeft w:val="0"/>
          <w:marRight w:val="0"/>
          <w:marTop w:val="0"/>
          <w:marBottom w:val="0"/>
          <w:divBdr>
            <w:top w:val="none" w:sz="0" w:space="0" w:color="auto"/>
            <w:left w:val="none" w:sz="0" w:space="0" w:color="auto"/>
            <w:bottom w:val="none" w:sz="0" w:space="0" w:color="auto"/>
            <w:right w:val="none" w:sz="0" w:space="0" w:color="auto"/>
          </w:divBdr>
          <w:divsChild>
            <w:div w:id="1126046390">
              <w:marLeft w:val="0"/>
              <w:marRight w:val="0"/>
              <w:marTop w:val="0"/>
              <w:marBottom w:val="0"/>
              <w:divBdr>
                <w:top w:val="none" w:sz="0" w:space="0" w:color="auto"/>
                <w:left w:val="none" w:sz="0" w:space="0" w:color="auto"/>
                <w:bottom w:val="none" w:sz="0" w:space="0" w:color="auto"/>
                <w:right w:val="none" w:sz="0" w:space="0" w:color="auto"/>
              </w:divBdr>
              <w:divsChild>
                <w:div w:id="18704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1163">
      <w:bodyDiv w:val="1"/>
      <w:marLeft w:val="0"/>
      <w:marRight w:val="0"/>
      <w:marTop w:val="0"/>
      <w:marBottom w:val="0"/>
      <w:divBdr>
        <w:top w:val="none" w:sz="0" w:space="0" w:color="auto"/>
        <w:left w:val="none" w:sz="0" w:space="0" w:color="auto"/>
        <w:bottom w:val="none" w:sz="0" w:space="0" w:color="auto"/>
        <w:right w:val="none" w:sz="0" w:space="0" w:color="auto"/>
      </w:divBdr>
    </w:div>
    <w:div w:id="1353920206">
      <w:bodyDiv w:val="1"/>
      <w:marLeft w:val="0"/>
      <w:marRight w:val="0"/>
      <w:marTop w:val="0"/>
      <w:marBottom w:val="0"/>
      <w:divBdr>
        <w:top w:val="none" w:sz="0" w:space="0" w:color="auto"/>
        <w:left w:val="none" w:sz="0" w:space="0" w:color="auto"/>
        <w:bottom w:val="none" w:sz="0" w:space="0" w:color="auto"/>
        <w:right w:val="none" w:sz="0" w:space="0" w:color="auto"/>
      </w:divBdr>
    </w:div>
    <w:div w:id="1579289683">
      <w:bodyDiv w:val="1"/>
      <w:marLeft w:val="0"/>
      <w:marRight w:val="0"/>
      <w:marTop w:val="0"/>
      <w:marBottom w:val="0"/>
      <w:divBdr>
        <w:top w:val="none" w:sz="0" w:space="0" w:color="auto"/>
        <w:left w:val="none" w:sz="0" w:space="0" w:color="auto"/>
        <w:bottom w:val="none" w:sz="0" w:space="0" w:color="auto"/>
        <w:right w:val="none" w:sz="0" w:space="0" w:color="auto"/>
      </w:divBdr>
    </w:div>
    <w:div w:id="1763992937">
      <w:bodyDiv w:val="1"/>
      <w:marLeft w:val="0"/>
      <w:marRight w:val="0"/>
      <w:marTop w:val="0"/>
      <w:marBottom w:val="0"/>
      <w:divBdr>
        <w:top w:val="none" w:sz="0" w:space="0" w:color="auto"/>
        <w:left w:val="none" w:sz="0" w:space="0" w:color="auto"/>
        <w:bottom w:val="none" w:sz="0" w:space="0" w:color="auto"/>
        <w:right w:val="none" w:sz="0" w:space="0" w:color="auto"/>
      </w:divBdr>
    </w:div>
    <w:div w:id="20712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ocenos/pleno/sesiones/acuerdoliga/dof041120343.pdf" TargetMode="External"/><Relationship Id="rId13" Type="http://schemas.openxmlformats.org/officeDocument/2006/relationships/hyperlink" Target="http://www.ift.org.mx/sites/default/files/contenidogeneral/politica-regulatoria/modelodecostosintegraldereddeaccesofijo2021versionpublica.zip" TargetMode="External"/><Relationship Id="rId3" Type="http://schemas.openxmlformats.org/officeDocument/2006/relationships/hyperlink" Target="http://www.ift.org.mx/sites/default/files/contenidogeneral/politica-regulatoria/ofertadereferenciaparaladesagregaciondelbuclelocalempresasmayoristas.pdf" TargetMode="External"/><Relationship Id="rId7" Type="http://schemas.openxmlformats.org/officeDocument/2006/relationships/hyperlink" Target="http://www.ift.org.mx/politica-regulatoria/modelos-de-costos/condiciones_tecnicas_minimas_y_modelos_de_costos_utilizados_para_determinar_las_tarifas_de_interconexion_aplicables_al_ano_2021/modelos_de_costos_del_agente_economico_preponderante" TargetMode="External"/><Relationship Id="rId12" Type="http://schemas.openxmlformats.org/officeDocument/2006/relationships/hyperlink" Target="http://www.ift.org.mx/sites/default/files/conocenos/pleno/sesiones/acuerdoliga/vpext09122045.pdf" TargetMode="External"/><Relationship Id="rId2" Type="http://schemas.openxmlformats.org/officeDocument/2006/relationships/hyperlink" Target="http://www.ift.org.mx/sites/default/files/anexo_3_medidas_2014-2017-2020_telecom.pdf" TargetMode="External"/><Relationship Id="rId1" Type="http://schemas.openxmlformats.org/officeDocument/2006/relationships/hyperlink" Target="http://www.ift.org.mx/sites/default/files/21_02_22_bienal_2_vp_vf.pdf" TargetMode="External"/><Relationship Id="rId6" Type="http://schemas.openxmlformats.org/officeDocument/2006/relationships/hyperlink" Target="http://www.ift.org.mx/sites/default/files/contenidogeneral/politica-regulatoria/modelodecostosintegraldereddeaccesofijo2021versionpublica.zip" TargetMode="External"/><Relationship Id="rId11" Type="http://schemas.openxmlformats.org/officeDocument/2006/relationships/hyperlink" Target="http://www.ift.org.mx/sites/default/files/conocenos/pleno/sesiones/acuerdoliga/piftext11121824.pdf" TargetMode="External"/><Relationship Id="rId5" Type="http://schemas.openxmlformats.org/officeDocument/2006/relationships/hyperlink" Target="http://www.ift.org.mx/sites/default/files/conocenos/pleno/sesiones/acuerdoliga/vpext09122045.pdf" TargetMode="External"/><Relationship Id="rId15" Type="http://schemas.openxmlformats.org/officeDocument/2006/relationships/hyperlink" Target="https://telmex.com/web/acerca-de-telmex/com_210521-telmex-concluye-revision-salarial-2021-2022" TargetMode="External"/><Relationship Id="rId10" Type="http://schemas.openxmlformats.org/officeDocument/2006/relationships/hyperlink" Target="http://www.ift.org.mx/sites/default/files/industria/temasrelevantes/17418/documentos/archivosdeconsultapublicaem.zip" TargetMode="External"/><Relationship Id="rId4" Type="http://schemas.openxmlformats.org/officeDocument/2006/relationships/hyperlink" Target="http://www.ift.org.mx/sites/default/files/conocenos/pleno/sesiones/acuerdoliga/piftext11121824.pdf" TargetMode="External"/><Relationship Id="rId9" Type="http://schemas.openxmlformats.org/officeDocument/2006/relationships/hyperlink" Target="http://www.ift.org.mx/sites/default/files/contenidogeneral/politica-regulatoria/ofertadereferenciaparaladesagregaciondelbuclelocalempresasmayoristas.pdf" TargetMode="External"/><Relationship Id="rId14" Type="http://schemas.openxmlformats.org/officeDocument/2006/relationships/hyperlink" Target="http://www.ift.org.mx/industria/consultas-publicas/anteproyecto-de-condiciones-tecnicas-minimas-para-la-interconexion-entre-concesionarios-de-redes-0" TargetMode="External"/></Relationships>
</file>

<file path=word/theme/theme1.xml><?xml version="1.0" encoding="utf-8"?>
<a:theme xmlns:a="http://schemas.openxmlformats.org/drawingml/2006/main" name="Thème Office">
  <a:themeElements>
    <a:clrScheme name="Personnalisé 1">
      <a:dk1>
        <a:srgbClr val="000000"/>
      </a:dk1>
      <a:lt1>
        <a:srgbClr val="FFFFFF"/>
      </a:lt1>
      <a:dk2>
        <a:srgbClr val="FFEB9C"/>
      </a:dk2>
      <a:lt2>
        <a:srgbClr val="C6EFCE"/>
      </a:lt2>
      <a:accent1>
        <a:srgbClr val="ECECEC"/>
      </a:accent1>
      <a:accent2>
        <a:srgbClr val="D6CFC7"/>
      </a:accent2>
      <a:accent3>
        <a:srgbClr val="AC9F96"/>
      </a:accent3>
      <a:accent4>
        <a:srgbClr val="5A300E"/>
      </a:accent4>
      <a:accent5>
        <a:srgbClr val="767171"/>
      </a:accent5>
      <a:accent6>
        <a:srgbClr val="CC0000"/>
      </a:accent6>
      <a:hlink>
        <a:srgbClr val="333399"/>
      </a:hlink>
      <a:folHlink>
        <a:srgbClr val="3333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905C-6BF0-40FA-BB70-ADF91DBB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3659</Words>
  <Characters>20129</Characters>
  <Application>Microsoft Office Word</Application>
  <DocSecurity>0</DocSecurity>
  <Lines>167</Lines>
  <Paragraphs>47</Paragraphs>
  <ScaleCrop>false</ScaleCrop>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2021-10-06T18:34:00Z</dcterms:created>
  <dcterms:modified xsi:type="dcterms:W3CDTF">2021-10-06T18:34:00Z</dcterms:modified>
</cp:coreProperties>
</file>