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F8252" w14:textId="78D77371" w:rsidR="009E1F77" w:rsidRPr="0052418C" w:rsidRDefault="009E1F77" w:rsidP="0052418C">
      <w:pPr>
        <w:spacing w:after="0" w:line="276" w:lineRule="auto"/>
        <w:ind w:left="0" w:right="0" w:firstLine="0"/>
        <w:rPr>
          <w:rFonts w:ascii="ITC Avant Garde" w:hAnsi="ITC Avant Garde" w:cs="Arial"/>
          <w:b/>
          <w:color w:val="auto"/>
          <w:sz w:val="24"/>
        </w:rPr>
      </w:pPr>
      <w:bookmarkStart w:id="0" w:name="_GoBack"/>
      <w:bookmarkEnd w:id="0"/>
      <w:r w:rsidRPr="0052418C">
        <w:rPr>
          <w:rFonts w:ascii="ITC Avant Garde" w:hAnsi="ITC Avant Garde" w:cs="Arial"/>
          <w:b/>
          <w:color w:val="auto"/>
          <w:sz w:val="24"/>
        </w:rPr>
        <w:t>RESPUESTAS GENERALES QUE BRINDA EL INSTITUTO FEDERAL DE TELECOMUNICACIONES A LAS MANIFESTACIONES, OPINIONES, COMENTARIOS Y PROPUESTAS CONCRETAS, PRESENTADAS DURANTE LA CONSULTA PÚBLICA DE LA</w:t>
      </w:r>
      <w:r w:rsidR="004C7664" w:rsidRPr="0052418C">
        <w:rPr>
          <w:rFonts w:ascii="ITC Avant Garde" w:hAnsi="ITC Avant Garde" w:cs="Arial"/>
          <w:b/>
          <w:color w:val="auto"/>
          <w:sz w:val="24"/>
        </w:rPr>
        <w:t>S</w:t>
      </w:r>
      <w:r w:rsidRPr="0052418C">
        <w:rPr>
          <w:rFonts w:ascii="ITC Avant Garde" w:hAnsi="ITC Avant Garde" w:cs="Arial"/>
          <w:b/>
          <w:color w:val="auto"/>
          <w:sz w:val="24"/>
        </w:rPr>
        <w:t xml:space="preserve"> “</w:t>
      </w:r>
      <w:r w:rsidR="006037D3" w:rsidRPr="0052418C">
        <w:rPr>
          <w:rFonts w:ascii="ITC Avant Garde" w:hAnsi="ITC Avant Garde"/>
          <w:b/>
          <w:i/>
          <w:color w:val="auto"/>
          <w:sz w:val="24"/>
        </w:rPr>
        <w:t>Propuestas de Ofertas de Referencia para la prestación del servicio mayorista de Enlaces Dedicados Locales y de Interconexión así como entre localidades y de larga distancia internacional, y las propuestas de Ofertas de Referencia para la prestación del Servicio de Acceso y Uso Compartido de Infraestructura Pasiva presentadas por Teléfonos de México, S.A.B. de C.V., Teléfonos del Noroeste, S.A. de C.V., Red Nacional Última Milla, S.A.P.I. de C.V. y Red Última Milla del Noroeste, S.A.P.I. de C.V., aplicables del 1 de enero de 2022 al 31 de diciembre de 2022</w:t>
      </w:r>
      <w:r w:rsidRPr="0052418C">
        <w:rPr>
          <w:rFonts w:ascii="ITC Avant Garde" w:hAnsi="ITC Avant Garde" w:cs="Arial"/>
          <w:b/>
          <w:i/>
          <w:color w:val="auto"/>
          <w:sz w:val="24"/>
        </w:rPr>
        <w:t>”</w:t>
      </w:r>
      <w:r w:rsidRPr="0052418C">
        <w:rPr>
          <w:rFonts w:ascii="ITC Avant Garde" w:hAnsi="ITC Avant Garde" w:cs="Arial"/>
          <w:b/>
          <w:color w:val="auto"/>
          <w:sz w:val="24"/>
        </w:rPr>
        <w:t>.</w:t>
      </w:r>
    </w:p>
    <w:p w14:paraId="40177934" w14:textId="77777777" w:rsidR="00BE6636" w:rsidRPr="0052418C" w:rsidRDefault="00BE6636" w:rsidP="0052418C">
      <w:pPr>
        <w:spacing w:after="0" w:line="276" w:lineRule="auto"/>
        <w:ind w:left="0" w:right="0" w:firstLine="0"/>
        <w:rPr>
          <w:rFonts w:ascii="ITC Avant Garde" w:hAnsi="ITC Avant Garde" w:cs="Arial"/>
          <w:color w:val="auto"/>
        </w:rPr>
      </w:pPr>
    </w:p>
    <w:p w14:paraId="5F918B91" w14:textId="1FEB64EF" w:rsidR="00D223E9" w:rsidRPr="0052418C" w:rsidRDefault="00D223E9" w:rsidP="0052418C">
      <w:pPr>
        <w:spacing w:after="0" w:line="276" w:lineRule="auto"/>
        <w:ind w:left="-6" w:hanging="11"/>
        <w:rPr>
          <w:rFonts w:ascii="ITC Avant Garde" w:hAnsi="ITC Avant Garde" w:cs="Arial"/>
        </w:rPr>
      </w:pPr>
      <w:r w:rsidRPr="0052418C">
        <w:rPr>
          <w:rFonts w:ascii="ITC Avant Garde" w:hAnsi="ITC Avant Garde" w:cs="Arial"/>
          <w:b/>
        </w:rPr>
        <w:t xml:space="preserve">Fecha de Elaboración del Informe de Consideraciones sobre los comentarios, opiniones y aportaciones recibidos </w:t>
      </w:r>
      <w:r w:rsidR="0078542F" w:rsidRPr="0052418C">
        <w:rPr>
          <w:rFonts w:ascii="ITC Avant Garde" w:hAnsi="ITC Avant Garde" w:cs="Arial"/>
          <w:b/>
        </w:rPr>
        <w:t>con relación a</w:t>
      </w:r>
      <w:r w:rsidRPr="0052418C">
        <w:rPr>
          <w:rFonts w:ascii="ITC Avant Garde" w:hAnsi="ITC Avant Garde" w:cs="Arial"/>
          <w:b/>
        </w:rPr>
        <w:t xml:space="preserve"> la presente Consulta Pública: </w:t>
      </w:r>
      <w:r w:rsidR="006037D3" w:rsidRPr="0052418C">
        <w:rPr>
          <w:rFonts w:ascii="ITC Avant Garde" w:hAnsi="ITC Avant Garde" w:cs="Arial"/>
        </w:rPr>
        <w:t>1</w:t>
      </w:r>
      <w:r w:rsidR="00C16648" w:rsidRPr="0052418C">
        <w:rPr>
          <w:rFonts w:ascii="ITC Avant Garde" w:hAnsi="ITC Avant Garde" w:cs="Arial"/>
        </w:rPr>
        <w:t>7</w:t>
      </w:r>
      <w:r w:rsidR="00051824" w:rsidRPr="0052418C">
        <w:rPr>
          <w:rFonts w:ascii="ITC Avant Garde" w:hAnsi="ITC Avant Garde" w:cs="Arial"/>
        </w:rPr>
        <w:t xml:space="preserve"> </w:t>
      </w:r>
      <w:r w:rsidRPr="0052418C">
        <w:rPr>
          <w:rFonts w:ascii="ITC Avant Garde" w:hAnsi="ITC Avant Garde" w:cs="Arial"/>
        </w:rPr>
        <w:t xml:space="preserve">de </w:t>
      </w:r>
      <w:r w:rsidR="00133976" w:rsidRPr="0052418C">
        <w:rPr>
          <w:rFonts w:ascii="ITC Avant Garde" w:hAnsi="ITC Avant Garde" w:cs="Arial"/>
        </w:rPr>
        <w:t>enero</w:t>
      </w:r>
      <w:r w:rsidR="00A2293F" w:rsidRPr="0052418C">
        <w:rPr>
          <w:rFonts w:ascii="ITC Avant Garde" w:hAnsi="ITC Avant Garde" w:cs="Arial"/>
        </w:rPr>
        <w:t xml:space="preserve"> </w:t>
      </w:r>
      <w:r w:rsidRPr="0052418C">
        <w:rPr>
          <w:rFonts w:ascii="ITC Avant Garde" w:hAnsi="ITC Avant Garde" w:cs="Arial"/>
        </w:rPr>
        <w:t xml:space="preserve">de </w:t>
      </w:r>
      <w:r w:rsidR="006037D3" w:rsidRPr="0052418C">
        <w:rPr>
          <w:rFonts w:ascii="ITC Avant Garde" w:hAnsi="ITC Avant Garde" w:cs="Arial"/>
        </w:rPr>
        <w:t>2022</w:t>
      </w:r>
      <w:r w:rsidRPr="0052418C">
        <w:rPr>
          <w:rFonts w:ascii="ITC Avant Garde" w:hAnsi="ITC Avant Garde" w:cs="Arial"/>
        </w:rPr>
        <w:t>.</w:t>
      </w:r>
    </w:p>
    <w:p w14:paraId="6DA4250C" w14:textId="77777777" w:rsidR="00D223E9" w:rsidRPr="0052418C" w:rsidRDefault="00D223E9" w:rsidP="0052418C">
      <w:pPr>
        <w:spacing w:after="0" w:line="276" w:lineRule="auto"/>
        <w:ind w:left="-6" w:hanging="11"/>
        <w:rPr>
          <w:rFonts w:ascii="ITC Avant Garde" w:hAnsi="ITC Avant Garde" w:cs="Arial"/>
          <w:b/>
        </w:rPr>
      </w:pPr>
    </w:p>
    <w:p w14:paraId="4D2E225D" w14:textId="4D9B3381" w:rsidR="00D223E9" w:rsidRPr="0052418C" w:rsidRDefault="00D223E9" w:rsidP="0052418C">
      <w:pPr>
        <w:spacing w:after="0" w:line="276" w:lineRule="auto"/>
        <w:ind w:left="-6" w:hanging="11"/>
        <w:rPr>
          <w:rFonts w:ascii="ITC Avant Garde" w:hAnsi="ITC Avant Garde" w:cs="Arial"/>
          <w:b/>
        </w:rPr>
      </w:pPr>
      <w:r w:rsidRPr="0052418C">
        <w:rPr>
          <w:rFonts w:ascii="ITC Avant Garde" w:hAnsi="ITC Avant Garde" w:cs="Arial"/>
          <w:b/>
        </w:rPr>
        <w:t>Descripción de la Consulta Pública:</w:t>
      </w:r>
    </w:p>
    <w:p w14:paraId="7DE91DED" w14:textId="2F357BF6" w:rsidR="00567F4F" w:rsidRPr="0052418C" w:rsidRDefault="00D223E9" w:rsidP="0052418C">
      <w:pPr>
        <w:spacing w:after="0" w:line="276" w:lineRule="auto"/>
        <w:ind w:left="-17" w:right="0" w:firstLine="0"/>
        <w:rPr>
          <w:rFonts w:ascii="ITC Avant Garde" w:eastAsiaTheme="minorHAnsi" w:hAnsi="ITC Avant Garde" w:cs="Arial"/>
          <w:lang w:eastAsia="en-US"/>
        </w:rPr>
      </w:pPr>
      <w:r w:rsidRPr="0052418C">
        <w:rPr>
          <w:rFonts w:ascii="ITC Avant Garde" w:hAnsi="ITC Avant Garde" w:cs="Arial"/>
        </w:rPr>
        <w:t>El Instituto Federal de Telecomunicaciones (en lo sucesivo,</w:t>
      </w:r>
      <w:r w:rsidR="00ED73EF" w:rsidRPr="0052418C">
        <w:rPr>
          <w:rFonts w:ascii="ITC Avant Garde" w:hAnsi="ITC Avant Garde" w:cs="Arial"/>
        </w:rPr>
        <w:t xml:space="preserve"> el</w:t>
      </w:r>
      <w:r w:rsidRPr="0052418C">
        <w:rPr>
          <w:rFonts w:ascii="ITC Avant Garde" w:hAnsi="ITC Avant Garde" w:cs="Arial"/>
        </w:rPr>
        <w:t xml:space="preserve"> “Instituto”) </w:t>
      </w:r>
      <w:r w:rsidRPr="0052418C">
        <w:rPr>
          <w:rFonts w:ascii="ITC Avant Garde" w:eastAsiaTheme="minorHAnsi" w:hAnsi="ITC Avant Garde" w:cs="Arial"/>
          <w:lang w:eastAsia="en-US"/>
        </w:rPr>
        <w:t xml:space="preserve">recibió los comentarios, opiniones y aportaciones que se tuvieron con relación al contenido de las </w:t>
      </w:r>
      <w:r w:rsidR="008F14C1" w:rsidRPr="0052418C">
        <w:rPr>
          <w:rFonts w:ascii="ITC Avant Garde" w:eastAsiaTheme="minorHAnsi" w:hAnsi="ITC Avant Garde" w:cs="ITC Avant Garde"/>
          <w:b/>
          <w:i/>
          <w:lang w:eastAsia="en-US"/>
        </w:rPr>
        <w:t>“</w:t>
      </w:r>
      <w:r w:rsidR="006037D3" w:rsidRPr="008A63B6">
        <w:rPr>
          <w:rFonts w:ascii="ITC Avant Garde" w:hAnsi="ITC Avant Garde"/>
          <w:b/>
          <w:i/>
          <w:iCs/>
          <w:color w:val="auto"/>
        </w:rPr>
        <w:t>Propuestas de Ofertas de Referencia para la prestación del servicio mayorista de Enlaces Dedicados Locales y de Interconexión así como entre localidades y de larga distancia internacional, y las propuestas de Ofertas de Referencia para la prestación del Servicio de Acceso y Uso Compartido de Infraestructura Pasiva presentadas por Teléfonos de México, S.A.B. de C.V., Teléfonos del Noroeste, S.A. de C.V., Red Nacional Última Milla, S.A.P.I. de C.V. y Red Última Milla del Noroeste, S.A.P.I. de C.V., aplicables del 1 de enero de 2022 al 31 de diciembre de 2022</w:t>
      </w:r>
      <w:r w:rsidR="008F14C1" w:rsidRPr="0052418C">
        <w:rPr>
          <w:rFonts w:ascii="ITC Avant Garde" w:hAnsi="ITC Avant Garde"/>
          <w:b/>
          <w:i/>
          <w:color w:val="auto"/>
        </w:rPr>
        <w:t>”</w:t>
      </w:r>
      <w:r w:rsidR="008F14C1" w:rsidRPr="0052418C" w:rsidDel="008F14C1">
        <w:rPr>
          <w:rFonts w:ascii="ITC Avant Garde" w:hAnsi="ITC Avant Garde" w:cs="Arial"/>
          <w:b/>
          <w:bCs/>
          <w:i/>
          <w:color w:val="auto"/>
        </w:rPr>
        <w:t xml:space="preserve"> </w:t>
      </w:r>
      <w:r w:rsidR="00404273" w:rsidRPr="0052418C">
        <w:rPr>
          <w:rFonts w:ascii="ITC Avant Garde" w:hAnsi="ITC Avant Garde" w:cs="Arial"/>
          <w:i/>
          <w:color w:val="auto"/>
        </w:rPr>
        <w:t>(</w:t>
      </w:r>
      <w:r w:rsidR="00404273" w:rsidRPr="0052418C">
        <w:rPr>
          <w:rFonts w:ascii="ITC Avant Garde" w:hAnsi="ITC Avant Garde" w:cs="Arial"/>
          <w:color w:val="auto"/>
        </w:rPr>
        <w:t>en lo sucesivo,</w:t>
      </w:r>
      <w:r w:rsidR="00ED73EF" w:rsidRPr="0052418C">
        <w:rPr>
          <w:rFonts w:ascii="ITC Avant Garde" w:hAnsi="ITC Avant Garde" w:cs="Arial"/>
          <w:color w:val="auto"/>
        </w:rPr>
        <w:t xml:space="preserve"> la</w:t>
      </w:r>
      <w:r w:rsidR="00404273" w:rsidRPr="0052418C">
        <w:rPr>
          <w:rFonts w:ascii="ITC Avant Garde" w:hAnsi="ITC Avant Garde" w:cs="Arial"/>
          <w:color w:val="auto"/>
        </w:rPr>
        <w:t xml:space="preserve"> “Propuesta de </w:t>
      </w:r>
      <w:r w:rsidR="008F14C1" w:rsidRPr="0052418C">
        <w:rPr>
          <w:rFonts w:ascii="ITC Avant Garde" w:hAnsi="ITC Avant Garde" w:cs="Arial"/>
          <w:color w:val="auto"/>
        </w:rPr>
        <w:t>Oferta</w:t>
      </w:r>
      <w:r w:rsidR="00404273" w:rsidRPr="0052418C">
        <w:rPr>
          <w:rFonts w:ascii="ITC Avant Garde" w:hAnsi="ITC Avant Garde" w:cs="Arial"/>
          <w:i/>
          <w:color w:val="auto"/>
        </w:rPr>
        <w:t>”)</w:t>
      </w:r>
      <w:r w:rsidR="00BE6636" w:rsidRPr="0052418C">
        <w:rPr>
          <w:rFonts w:ascii="ITC Avant Garde" w:hAnsi="ITC Avant Garde" w:cs="Arial"/>
          <w:color w:val="auto"/>
        </w:rPr>
        <w:t xml:space="preserve">, recibidas durante el periodo comprendido del </w:t>
      </w:r>
      <w:r w:rsidR="00141CCB" w:rsidRPr="0052418C">
        <w:rPr>
          <w:rFonts w:ascii="ITC Avant Garde" w:hAnsi="ITC Avant Garde" w:cs="Arial"/>
          <w:color w:val="auto"/>
        </w:rPr>
        <w:t xml:space="preserve">09 </w:t>
      </w:r>
      <w:r w:rsidR="00BE6636" w:rsidRPr="0052418C">
        <w:rPr>
          <w:rFonts w:ascii="ITC Avant Garde" w:hAnsi="ITC Avant Garde" w:cs="Arial"/>
          <w:color w:val="auto"/>
        </w:rPr>
        <w:t xml:space="preserve">de agosto al </w:t>
      </w:r>
      <w:r w:rsidR="00141CCB" w:rsidRPr="0052418C">
        <w:rPr>
          <w:rFonts w:ascii="ITC Avant Garde" w:hAnsi="ITC Avant Garde" w:cs="Arial"/>
          <w:color w:val="auto"/>
        </w:rPr>
        <w:t xml:space="preserve">07 </w:t>
      </w:r>
      <w:r w:rsidR="00BE6636" w:rsidRPr="0052418C">
        <w:rPr>
          <w:rFonts w:ascii="ITC Avant Garde" w:hAnsi="ITC Avant Garde" w:cs="Arial"/>
          <w:color w:val="auto"/>
        </w:rPr>
        <w:t xml:space="preserve">de septiembre </w:t>
      </w:r>
      <w:r w:rsidR="00DB7A19" w:rsidRPr="0052418C">
        <w:rPr>
          <w:rFonts w:ascii="ITC Avant Garde" w:hAnsi="ITC Avant Garde" w:cs="Arial"/>
          <w:color w:val="auto"/>
        </w:rPr>
        <w:t>2021</w:t>
      </w:r>
      <w:r w:rsidR="009E1F77" w:rsidRPr="0052418C">
        <w:rPr>
          <w:rFonts w:ascii="ITC Avant Garde" w:hAnsi="ITC Avant Garde" w:cs="Arial"/>
          <w:color w:val="auto"/>
        </w:rPr>
        <w:t>,</w:t>
      </w:r>
      <w:r w:rsidR="00BE6636" w:rsidRPr="0052418C">
        <w:rPr>
          <w:rFonts w:ascii="ITC Avant Garde" w:hAnsi="ITC Avant Garde" w:cs="Arial"/>
          <w:color w:val="auto"/>
        </w:rPr>
        <w:t xml:space="preserve"> </w:t>
      </w:r>
      <w:r w:rsidR="00567F4F" w:rsidRPr="0052418C">
        <w:rPr>
          <w:rFonts w:ascii="ITC Avant Garde" w:eastAsiaTheme="minorHAnsi" w:hAnsi="ITC Avant Garde" w:cs="Arial"/>
          <w:lang w:eastAsia="en-US"/>
        </w:rPr>
        <w:t>a través de la dirección de correo electrónico</w:t>
      </w:r>
      <w:r w:rsidR="00D74CC2" w:rsidRPr="0052418C">
        <w:rPr>
          <w:rFonts w:ascii="ITC Avant Garde" w:eastAsiaTheme="minorHAnsi" w:hAnsi="ITC Avant Garde" w:cs="Arial"/>
          <w:lang w:eastAsia="en-US"/>
        </w:rPr>
        <w:t xml:space="preserve"> </w:t>
      </w:r>
      <w:hyperlink r:id="rId11" w:history="1">
        <w:r w:rsidR="00567F4F" w:rsidRPr="0052418C">
          <w:rPr>
            <w:rFonts w:ascii="ITC Avant Garde" w:eastAsiaTheme="minorHAnsi" w:hAnsi="ITC Avant Garde" w:cs="Arial"/>
            <w:lang w:eastAsia="en-US"/>
          </w:rPr>
          <w:t>ofertas.referencia@ift.org.mx</w:t>
        </w:r>
      </w:hyperlink>
      <w:r w:rsidR="00567F4F" w:rsidRPr="0052418C">
        <w:rPr>
          <w:rFonts w:ascii="ITC Avant Garde" w:eastAsiaTheme="minorHAnsi" w:hAnsi="ITC Avant Garde" w:cs="Arial"/>
          <w:lang w:eastAsia="en-US"/>
        </w:rPr>
        <w:t xml:space="preserve"> o bien, mediante escrito presentado en la Oficialía de Partes Común del Instituto ubicada en Insurgentes Sur 1143, colonia Nochebuena, </w:t>
      </w:r>
      <w:r w:rsidR="009E1F77" w:rsidRPr="0052418C">
        <w:rPr>
          <w:rFonts w:ascii="ITC Avant Garde" w:eastAsiaTheme="minorHAnsi" w:hAnsi="ITC Avant Garde" w:cs="Arial"/>
          <w:lang w:eastAsia="en-US"/>
        </w:rPr>
        <w:t xml:space="preserve">Demarcación Territorial </w:t>
      </w:r>
      <w:r w:rsidR="00567F4F" w:rsidRPr="0052418C">
        <w:rPr>
          <w:rFonts w:ascii="ITC Avant Garde" w:eastAsiaTheme="minorHAnsi" w:hAnsi="ITC Avant Garde" w:cs="Arial"/>
          <w:lang w:eastAsia="en-US"/>
        </w:rPr>
        <w:t>Benito Juárez, C.P. 03720, Ciudad de México.</w:t>
      </w:r>
    </w:p>
    <w:p w14:paraId="732E0C9F" w14:textId="27C853E7" w:rsidR="00BE6636" w:rsidRPr="0052418C" w:rsidRDefault="00BE6636" w:rsidP="0052418C">
      <w:pPr>
        <w:spacing w:after="0" w:line="276" w:lineRule="auto"/>
        <w:ind w:left="0" w:right="0"/>
        <w:rPr>
          <w:rFonts w:ascii="ITC Avant Garde" w:hAnsi="ITC Avant Garde" w:cs="Arial"/>
          <w:color w:val="auto"/>
        </w:rPr>
      </w:pPr>
    </w:p>
    <w:p w14:paraId="48A735F5" w14:textId="55267936" w:rsidR="00E0448E" w:rsidRPr="0052418C" w:rsidRDefault="00E0448E" w:rsidP="0052418C">
      <w:pPr>
        <w:spacing w:after="0" w:line="276" w:lineRule="auto"/>
        <w:ind w:left="-5"/>
        <w:rPr>
          <w:rFonts w:ascii="ITC Avant Garde" w:hAnsi="ITC Avant Garde" w:cs="Arial"/>
          <w:b/>
        </w:rPr>
      </w:pPr>
      <w:r w:rsidRPr="0052418C">
        <w:rPr>
          <w:rFonts w:ascii="ITC Avant Garde" w:hAnsi="ITC Avant Garde" w:cs="Arial"/>
          <w:b/>
        </w:rPr>
        <w:t>Objetivo de la Consulta Pública:</w:t>
      </w:r>
    </w:p>
    <w:p w14:paraId="51CDDE21" w14:textId="07DF42F8" w:rsidR="00E0448E" w:rsidRPr="0052418C" w:rsidRDefault="00E0448E" w:rsidP="0052418C">
      <w:pPr>
        <w:spacing w:after="0" w:line="276" w:lineRule="auto"/>
        <w:ind w:left="-5" w:right="0"/>
        <w:rPr>
          <w:rFonts w:ascii="ITC Avant Garde" w:hAnsi="ITC Avant Garde" w:cs="Arial"/>
        </w:rPr>
      </w:pPr>
      <w:r w:rsidRPr="0052418C">
        <w:rPr>
          <w:rFonts w:ascii="ITC Avant Garde" w:hAnsi="ITC Avant Garde" w:cs="Arial"/>
        </w:rPr>
        <w:t>El Instituto convencido de la importancia y relevancia de transparentar su proceso de elaboración de nuevas regulaciones, a través de la consulta pública recibió los comentarios, opiniones y aportaciones de cualquier interesado a propósito de la</w:t>
      </w:r>
      <w:r w:rsidR="000F40C6" w:rsidRPr="0052418C">
        <w:rPr>
          <w:rFonts w:ascii="ITC Avant Garde" w:hAnsi="ITC Avant Garde" w:cs="Arial"/>
        </w:rPr>
        <w:t xml:space="preserve">s </w:t>
      </w:r>
      <w:r w:rsidRPr="0052418C">
        <w:rPr>
          <w:rFonts w:ascii="ITC Avant Garde" w:hAnsi="ITC Avant Garde" w:cs="Arial"/>
        </w:rPr>
        <w:t>Propuesta</w:t>
      </w:r>
      <w:r w:rsidR="000F40C6" w:rsidRPr="0052418C">
        <w:rPr>
          <w:rFonts w:ascii="ITC Avant Garde" w:hAnsi="ITC Avant Garde" w:cs="Arial"/>
        </w:rPr>
        <w:t>s</w:t>
      </w:r>
      <w:r w:rsidRPr="0052418C">
        <w:rPr>
          <w:rFonts w:ascii="ITC Avant Garde" w:hAnsi="ITC Avant Garde" w:cs="Arial"/>
        </w:rPr>
        <w:t xml:space="preserve"> de Oferta, las cuales se proponen con base en lo establecido en los artículos 1, 2, 7, 15, fracci</w:t>
      </w:r>
      <w:r w:rsidR="00CA4FAB" w:rsidRPr="0052418C">
        <w:rPr>
          <w:rFonts w:ascii="ITC Avant Garde" w:hAnsi="ITC Avant Garde" w:cs="Arial"/>
        </w:rPr>
        <w:t>o</w:t>
      </w:r>
      <w:r w:rsidRPr="0052418C">
        <w:rPr>
          <w:rFonts w:ascii="ITC Avant Garde" w:hAnsi="ITC Avant Garde" w:cs="Arial"/>
        </w:rPr>
        <w:t>n</w:t>
      </w:r>
      <w:r w:rsidR="00CA4FAB" w:rsidRPr="0052418C">
        <w:rPr>
          <w:rFonts w:ascii="ITC Avant Garde" w:hAnsi="ITC Avant Garde" w:cs="Arial"/>
        </w:rPr>
        <w:t>es</w:t>
      </w:r>
      <w:r w:rsidRPr="0052418C">
        <w:rPr>
          <w:rFonts w:ascii="ITC Avant Garde" w:hAnsi="ITC Avant Garde" w:cs="Arial"/>
        </w:rPr>
        <w:t xml:space="preserve"> XL y LXIII, 51</w:t>
      </w:r>
      <w:r w:rsidR="005D3D03" w:rsidRPr="0052418C">
        <w:rPr>
          <w:rFonts w:ascii="ITC Avant Garde" w:hAnsi="ITC Avant Garde" w:cs="Arial"/>
        </w:rPr>
        <w:t>, 268</w:t>
      </w:r>
      <w:r w:rsidRPr="0052418C">
        <w:rPr>
          <w:rFonts w:ascii="ITC Avant Garde" w:hAnsi="ITC Avant Garde" w:cs="Arial"/>
        </w:rPr>
        <w:t xml:space="preserve"> y 269 fracción III de la Ley Federal </w:t>
      </w:r>
      <w:r w:rsidRPr="0052418C">
        <w:rPr>
          <w:rFonts w:ascii="ITC Avant Garde" w:hAnsi="ITC Avant Garde" w:cs="Arial"/>
        </w:rPr>
        <w:lastRenderedPageBreak/>
        <w:t>de Telecomunicaciones y Radiodifusión (en lo sucesivo, la “LFTR”), y 1, 4, fracción I, 6, fracción XXXVIII y 2</w:t>
      </w:r>
      <w:r w:rsidR="00BA6A8E" w:rsidRPr="0052418C">
        <w:rPr>
          <w:rFonts w:ascii="ITC Avant Garde" w:hAnsi="ITC Avant Garde" w:cs="Arial"/>
        </w:rPr>
        <w:t>5</w:t>
      </w:r>
      <w:r w:rsidRPr="0052418C">
        <w:rPr>
          <w:rFonts w:ascii="ITC Avant Garde" w:hAnsi="ITC Avant Garde" w:cs="Arial"/>
        </w:rPr>
        <w:t xml:space="preserve">, fracción </w:t>
      </w:r>
      <w:r w:rsidR="00BA6A8E" w:rsidRPr="0052418C">
        <w:rPr>
          <w:rFonts w:ascii="ITC Avant Garde" w:hAnsi="ITC Avant Garde" w:cs="Arial"/>
        </w:rPr>
        <w:t>X</w:t>
      </w:r>
      <w:r w:rsidRPr="0052418C">
        <w:rPr>
          <w:rFonts w:ascii="ITC Avant Garde" w:hAnsi="ITC Avant Garde" w:cs="Arial"/>
        </w:rPr>
        <w:t>I del Estatuto Orgánico del Instituto, y la “</w:t>
      </w:r>
      <w:r w:rsidRPr="0052418C">
        <w:rPr>
          <w:rFonts w:ascii="ITC Avant Garde" w:hAnsi="ITC Avant Garde" w:cs="Arial"/>
          <w:i/>
        </w:rPr>
        <w:t>Resolución mediante la cual el Pleno del Instituto Federal de Telecomunicaciones determina al grupo de interés económico del que forman parte América Móvil, S.A.B. de C.V., Teléfonos de México, S.A.B. de C.V., Teléfonos del Noroeste, S.A. de C.V., Radiomóvil Dipsa, S.A.B. de C. V., Grupo Carso, S.A.B. de C.V., y Grupo Financiero Inbursa, S.A.B. de C.V., como Agente Económico Preponderante en el sector de telecomunicaciones y le impone las medidas necesarias para evitar que se afecte la competencia y la libre concurrencia”</w:t>
      </w:r>
      <w:r w:rsidRPr="0052418C">
        <w:rPr>
          <w:rFonts w:ascii="ITC Avant Garde" w:hAnsi="ITC Avant Garde" w:cs="Arial"/>
        </w:rPr>
        <w:t>, aprobada media</w:t>
      </w:r>
      <w:r w:rsidR="008133ED" w:rsidRPr="0052418C">
        <w:rPr>
          <w:rFonts w:ascii="ITC Avant Garde" w:hAnsi="ITC Avant Garde" w:cs="Arial"/>
        </w:rPr>
        <w:t>nte Acuerdo P/IFT/EXT/060314/76</w:t>
      </w:r>
      <w:r w:rsidRPr="0052418C">
        <w:rPr>
          <w:rFonts w:ascii="ITC Avant Garde" w:hAnsi="ITC Avant Garde" w:cs="Arial"/>
        </w:rPr>
        <w:t xml:space="preserve"> y la “</w:t>
      </w:r>
      <w:r w:rsidRPr="0052418C">
        <w:rPr>
          <w:rFonts w:ascii="ITC Avant Garde" w:hAnsi="ITC Avant Garde"/>
          <w:i/>
        </w:rPr>
        <w:t xml:space="preserve">Resolución mediante la cual el Pleno del Instituto Federal de Telecomunicaciones suprime, modifica y adiciona las medidas impuestas al </w:t>
      </w:r>
      <w:r w:rsidR="00C16648" w:rsidRPr="0052418C">
        <w:rPr>
          <w:rFonts w:ascii="ITC Avant Garde" w:hAnsi="ITC Avant Garde"/>
          <w:i/>
        </w:rPr>
        <w:t>agente económico preponderante en el sector de telecomunicaciones mediante Acuerdos P/IFT/EXT/060314/76 y P/IFT/EXT/270217/119” aprobada mediante Acuerdo P/IFT/021220/488”</w:t>
      </w:r>
      <w:r w:rsidR="00C16648" w:rsidRPr="0052418C">
        <w:rPr>
          <w:rFonts w:ascii="ITC Avant Garde" w:hAnsi="ITC Avant Garde"/>
        </w:rPr>
        <w:t xml:space="preserve"> (en lo sucesivo, las “Medidas Fijas”).</w:t>
      </w:r>
    </w:p>
    <w:p w14:paraId="61CF87EE" w14:textId="77777777" w:rsidR="00E0448E" w:rsidRPr="0052418C" w:rsidRDefault="00E0448E" w:rsidP="0052418C">
      <w:pPr>
        <w:spacing w:after="0" w:line="276" w:lineRule="auto"/>
        <w:ind w:left="-5" w:right="0"/>
        <w:rPr>
          <w:rFonts w:ascii="ITC Avant Garde" w:hAnsi="ITC Avant Garde" w:cs="Arial"/>
        </w:rPr>
      </w:pPr>
    </w:p>
    <w:p w14:paraId="719E9D89" w14:textId="2A1B03F5" w:rsidR="00E0448E" w:rsidRPr="0052418C" w:rsidRDefault="00E0448E" w:rsidP="0052418C">
      <w:pPr>
        <w:spacing w:after="0" w:line="276" w:lineRule="auto"/>
        <w:ind w:left="0" w:right="0"/>
        <w:rPr>
          <w:rFonts w:ascii="ITC Avant Garde" w:hAnsi="ITC Avant Garde" w:cs="Arial"/>
        </w:rPr>
      </w:pPr>
      <w:r w:rsidRPr="0052418C">
        <w:rPr>
          <w:rFonts w:ascii="ITC Avant Garde" w:hAnsi="ITC Avant Garde" w:cs="Arial"/>
        </w:rPr>
        <w:t>Los objetivos principales de la consulta pública consistieron en:</w:t>
      </w:r>
      <w:r w:rsidR="00D53C5B" w:rsidRPr="0052418C">
        <w:rPr>
          <w:rFonts w:ascii="ITC Avant Garde" w:hAnsi="ITC Avant Garde" w:cs="Arial"/>
        </w:rPr>
        <w:t xml:space="preserve"> </w:t>
      </w:r>
      <w:r w:rsidRPr="0052418C">
        <w:rPr>
          <w:rFonts w:ascii="ITC Avant Garde" w:hAnsi="ITC Avant Garde" w:cs="Arial"/>
        </w:rPr>
        <w:t>i)</w:t>
      </w:r>
      <w:r w:rsidR="00D53C5B" w:rsidRPr="0052418C">
        <w:rPr>
          <w:rFonts w:ascii="ITC Avant Garde" w:hAnsi="ITC Avant Garde" w:cs="Arial"/>
        </w:rPr>
        <w:t xml:space="preserve"> </w:t>
      </w:r>
      <w:r w:rsidRPr="0052418C">
        <w:rPr>
          <w:rFonts w:ascii="ITC Avant Garde" w:hAnsi="ITC Avant Garde" w:cs="Arial"/>
        </w:rPr>
        <w:t>contar con mayores elementos para determinar las condiciones bajo las cuales se deberán aprobar la Propuesta de Oferta;</w:t>
      </w:r>
      <w:r w:rsidR="00D53C5B" w:rsidRPr="0052418C">
        <w:rPr>
          <w:rFonts w:ascii="ITC Avant Garde" w:hAnsi="ITC Avant Garde" w:cs="Arial"/>
        </w:rPr>
        <w:t xml:space="preserve"> </w:t>
      </w:r>
      <w:r w:rsidRPr="0052418C">
        <w:rPr>
          <w:rFonts w:ascii="ITC Avant Garde" w:hAnsi="ITC Avant Garde" w:cs="Arial"/>
        </w:rPr>
        <w:t>ii)</w:t>
      </w:r>
      <w:r w:rsidR="00D53C5B" w:rsidRPr="0052418C">
        <w:rPr>
          <w:rFonts w:ascii="ITC Avant Garde" w:hAnsi="ITC Avant Garde" w:cs="Arial"/>
        </w:rPr>
        <w:t xml:space="preserve"> </w:t>
      </w:r>
      <w:r w:rsidRPr="0052418C">
        <w:rPr>
          <w:rFonts w:ascii="ITC Avant Garde" w:hAnsi="ITC Avant Garde" w:cs="Arial"/>
        </w:rPr>
        <w:t>favorecer la transparencia y participación ciudadana con el fin de recibir los comentarios y opiniones de regulados, cámaras</w:t>
      </w:r>
      <w:r w:rsidR="003F71C5" w:rsidRPr="0052418C">
        <w:rPr>
          <w:rFonts w:ascii="ITC Avant Garde" w:hAnsi="ITC Avant Garde" w:cs="Arial"/>
        </w:rPr>
        <w:t xml:space="preserve"> de la industria</w:t>
      </w:r>
      <w:r w:rsidRPr="0052418C">
        <w:rPr>
          <w:rFonts w:ascii="ITC Avant Garde" w:hAnsi="ITC Avant Garde" w:cs="Arial"/>
        </w:rPr>
        <w:t>, usuarios y audiencias sobre las Propuestas de Ofertas; y</w:t>
      </w:r>
      <w:r w:rsidR="005447D7" w:rsidRPr="0052418C">
        <w:rPr>
          <w:rFonts w:ascii="ITC Avant Garde" w:hAnsi="ITC Avant Garde" w:cs="Arial"/>
        </w:rPr>
        <w:t xml:space="preserve"> </w:t>
      </w:r>
      <w:r w:rsidRPr="0052418C">
        <w:rPr>
          <w:rFonts w:ascii="ITC Avant Garde" w:hAnsi="ITC Avant Garde" w:cs="Arial"/>
        </w:rPr>
        <w:t>iii)</w:t>
      </w:r>
      <w:r w:rsidR="005447D7" w:rsidRPr="0052418C">
        <w:rPr>
          <w:rFonts w:ascii="ITC Avant Garde" w:hAnsi="ITC Avant Garde" w:cs="Arial"/>
        </w:rPr>
        <w:t xml:space="preserve"> </w:t>
      </w:r>
      <w:r w:rsidRPr="0052418C">
        <w:rPr>
          <w:rFonts w:ascii="ITC Avant Garde" w:hAnsi="ITC Avant Garde" w:cs="Arial"/>
        </w:rPr>
        <w:t>establecer las bases para aprobar o modificar la misma.</w:t>
      </w:r>
    </w:p>
    <w:p w14:paraId="6D0E7612" w14:textId="77777777" w:rsidR="00E0448E" w:rsidRPr="0052418C" w:rsidRDefault="00E0448E" w:rsidP="0052418C">
      <w:pPr>
        <w:spacing w:after="0" w:line="276" w:lineRule="auto"/>
        <w:ind w:left="0" w:right="0"/>
        <w:rPr>
          <w:rFonts w:ascii="ITC Avant Garde" w:hAnsi="ITC Avant Garde" w:cs="Arial"/>
        </w:rPr>
      </w:pPr>
    </w:p>
    <w:p w14:paraId="5ED4808E" w14:textId="77777777" w:rsidR="00E0448E" w:rsidRPr="0052418C" w:rsidRDefault="00E0448E" w:rsidP="0052418C">
      <w:pPr>
        <w:spacing w:after="0" w:line="276" w:lineRule="auto"/>
        <w:ind w:left="-5"/>
        <w:rPr>
          <w:rFonts w:ascii="ITC Avant Garde" w:hAnsi="ITC Avant Garde" w:cs="Arial"/>
          <w:b/>
        </w:rPr>
      </w:pPr>
      <w:r w:rsidRPr="0052418C">
        <w:rPr>
          <w:rFonts w:ascii="ITC Avant Garde" w:hAnsi="ITC Avant Garde" w:cs="Arial"/>
          <w:b/>
        </w:rPr>
        <w:t xml:space="preserve">Unidad Administrativa que promueve el proyecto: </w:t>
      </w:r>
      <w:r w:rsidRPr="0052418C">
        <w:rPr>
          <w:rFonts w:ascii="ITC Avant Garde" w:hAnsi="ITC Avant Garde" w:cs="Arial"/>
        </w:rPr>
        <w:t>Unidad de Política Regulatoria.</w:t>
      </w:r>
    </w:p>
    <w:p w14:paraId="1954B6B5" w14:textId="77777777" w:rsidR="00E0448E" w:rsidRPr="0052418C" w:rsidRDefault="00E0448E" w:rsidP="0052418C">
      <w:pPr>
        <w:spacing w:after="0" w:line="276" w:lineRule="auto"/>
        <w:ind w:left="0" w:right="0"/>
        <w:rPr>
          <w:rFonts w:ascii="ITC Avant Garde" w:hAnsi="ITC Avant Garde" w:cs="Arial"/>
          <w:color w:val="auto"/>
        </w:rPr>
      </w:pPr>
    </w:p>
    <w:p w14:paraId="61F1FF8A" w14:textId="4F42CC9A" w:rsidR="00E0448E" w:rsidRPr="0052418C" w:rsidRDefault="00E0448E" w:rsidP="0052418C">
      <w:pPr>
        <w:spacing w:after="0" w:line="276" w:lineRule="auto"/>
        <w:ind w:left="-6" w:hanging="11"/>
        <w:rPr>
          <w:rFonts w:ascii="ITC Avant Garde" w:hAnsi="ITC Avant Garde" w:cs="Arial"/>
          <w:b/>
        </w:rPr>
      </w:pPr>
      <w:r w:rsidRPr="0052418C">
        <w:rPr>
          <w:rFonts w:ascii="ITC Avant Garde" w:hAnsi="ITC Avant Garde" w:cs="Arial"/>
          <w:b/>
        </w:rPr>
        <w:t>Participantes de la Consulta Pública:</w:t>
      </w:r>
    </w:p>
    <w:p w14:paraId="1BE53D68" w14:textId="087C1A28" w:rsidR="00BE6636" w:rsidRPr="0052418C" w:rsidRDefault="00BE6636" w:rsidP="0052418C">
      <w:pPr>
        <w:spacing w:after="0" w:line="276" w:lineRule="auto"/>
        <w:ind w:left="0" w:right="0"/>
        <w:rPr>
          <w:rFonts w:ascii="ITC Avant Garde" w:hAnsi="ITC Avant Garde" w:cs="Arial"/>
          <w:color w:val="auto"/>
        </w:rPr>
      </w:pPr>
      <w:r w:rsidRPr="0052418C">
        <w:rPr>
          <w:rFonts w:ascii="ITC Avant Garde" w:hAnsi="ITC Avant Garde" w:cs="Arial"/>
          <w:color w:val="auto"/>
        </w:rPr>
        <w:t xml:space="preserve">Durante el periodo de la consulta pública de mérito, se recibieron </w:t>
      </w:r>
      <w:r w:rsidR="00C16648" w:rsidRPr="0052418C">
        <w:rPr>
          <w:rFonts w:ascii="ITC Avant Garde" w:hAnsi="ITC Avant Garde" w:cs="Arial"/>
          <w:color w:val="auto"/>
        </w:rPr>
        <w:t>7</w:t>
      </w:r>
      <w:r w:rsidR="00DB7A19" w:rsidRPr="0052418C">
        <w:rPr>
          <w:rFonts w:ascii="ITC Avant Garde" w:hAnsi="ITC Avant Garde" w:cs="Arial"/>
          <w:color w:val="auto"/>
        </w:rPr>
        <w:t xml:space="preserve"> </w:t>
      </w:r>
      <w:r w:rsidRPr="0052418C">
        <w:rPr>
          <w:rFonts w:ascii="ITC Avant Garde" w:hAnsi="ITC Avant Garde" w:cs="Arial"/>
          <w:color w:val="auto"/>
        </w:rPr>
        <w:t>participaciones, por parte de las siguientes personas morales:</w:t>
      </w:r>
    </w:p>
    <w:p w14:paraId="44718451" w14:textId="77777777" w:rsidR="00BE6636" w:rsidRPr="0052418C" w:rsidRDefault="00BE6636" w:rsidP="0052418C">
      <w:pPr>
        <w:spacing w:after="0" w:line="276" w:lineRule="auto"/>
        <w:ind w:left="0" w:right="0"/>
        <w:rPr>
          <w:rFonts w:ascii="ITC Avant Garde" w:hAnsi="ITC Avant Garde" w:cs="Arial"/>
          <w:color w:val="auto"/>
        </w:rPr>
      </w:pPr>
    </w:p>
    <w:p w14:paraId="2CE587C2" w14:textId="34E301BB" w:rsidR="00BE6636" w:rsidRPr="0052418C" w:rsidRDefault="00C41D47" w:rsidP="0052418C">
      <w:pPr>
        <w:pStyle w:val="Prrafodelista"/>
        <w:numPr>
          <w:ilvl w:val="0"/>
          <w:numId w:val="1"/>
        </w:numPr>
        <w:spacing w:after="0" w:line="276" w:lineRule="auto"/>
        <w:ind w:left="567" w:right="0" w:hanging="567"/>
        <w:contextualSpacing w:val="0"/>
        <w:rPr>
          <w:rFonts w:ascii="ITC Avant Garde" w:hAnsi="ITC Avant Garde" w:cs="Arial"/>
          <w:color w:val="auto"/>
        </w:rPr>
      </w:pPr>
      <w:r w:rsidRPr="0052418C">
        <w:rPr>
          <w:rFonts w:ascii="ITC Avant Garde" w:eastAsiaTheme="minorHAnsi" w:hAnsi="ITC Avant Garde" w:cs="Arial"/>
          <w:color w:val="auto"/>
          <w:lang w:eastAsia="en-US"/>
        </w:rPr>
        <w:t>A</w:t>
      </w:r>
      <w:r w:rsidR="00152DAF" w:rsidRPr="0052418C">
        <w:rPr>
          <w:rFonts w:ascii="ITC Avant Garde" w:eastAsiaTheme="minorHAnsi" w:hAnsi="ITC Avant Garde" w:cs="Arial"/>
          <w:color w:val="auto"/>
          <w:lang w:eastAsia="en-US"/>
        </w:rPr>
        <w:t>xtel</w:t>
      </w:r>
      <w:r w:rsidRPr="0052418C">
        <w:rPr>
          <w:rFonts w:ascii="ITC Avant Garde" w:eastAsiaTheme="minorHAnsi" w:hAnsi="ITC Avant Garde" w:cs="Arial"/>
          <w:color w:val="auto"/>
          <w:lang w:eastAsia="en-US"/>
        </w:rPr>
        <w:t xml:space="preserve">, S.A.B. </w:t>
      </w:r>
      <w:r w:rsidR="00152DAF" w:rsidRPr="0052418C">
        <w:rPr>
          <w:rFonts w:ascii="ITC Avant Garde" w:eastAsiaTheme="minorHAnsi" w:hAnsi="ITC Avant Garde" w:cs="Arial"/>
          <w:color w:val="auto"/>
          <w:lang w:eastAsia="en-US"/>
        </w:rPr>
        <w:t>de</w:t>
      </w:r>
      <w:r w:rsidRPr="0052418C">
        <w:rPr>
          <w:rFonts w:ascii="ITC Avant Garde" w:eastAsiaTheme="minorHAnsi" w:hAnsi="ITC Avant Garde" w:cs="Arial"/>
          <w:color w:val="auto"/>
          <w:lang w:eastAsia="en-US"/>
        </w:rPr>
        <w:t xml:space="preserve"> C.V.</w:t>
      </w:r>
      <w:r w:rsidR="00D11672" w:rsidRPr="0052418C">
        <w:rPr>
          <w:rFonts w:ascii="ITC Avant Garde" w:eastAsiaTheme="minorHAnsi" w:hAnsi="ITC Avant Garde" w:cs="Arial"/>
          <w:color w:val="auto"/>
          <w:lang w:eastAsia="en-US"/>
        </w:rPr>
        <w:t xml:space="preserve"> </w:t>
      </w:r>
      <w:r w:rsidR="00D11672" w:rsidRPr="0052418C">
        <w:rPr>
          <w:rFonts w:ascii="ITC Avant Garde" w:hAnsi="ITC Avant Garde" w:cs="Arial"/>
          <w:color w:val="auto"/>
        </w:rPr>
        <w:t>(en lo sucesivo, “</w:t>
      </w:r>
      <w:r w:rsidR="00D11672" w:rsidRPr="0052418C">
        <w:rPr>
          <w:rFonts w:ascii="ITC Avant Garde" w:eastAsiaTheme="minorHAnsi" w:hAnsi="ITC Avant Garde" w:cs="Arial"/>
          <w:color w:val="auto"/>
          <w:lang w:eastAsia="en-US"/>
        </w:rPr>
        <w:t>Axtel</w:t>
      </w:r>
      <w:r w:rsidR="00D11672" w:rsidRPr="0052418C">
        <w:rPr>
          <w:rFonts w:ascii="ITC Avant Garde" w:hAnsi="ITC Avant Garde" w:cs="Arial"/>
          <w:color w:val="auto"/>
        </w:rPr>
        <w:t>”)</w:t>
      </w:r>
      <w:r w:rsidR="00BE6636" w:rsidRPr="0052418C">
        <w:rPr>
          <w:rFonts w:ascii="ITC Avant Garde" w:eastAsiaTheme="minorHAnsi" w:hAnsi="ITC Avant Garde" w:cs="Arial"/>
          <w:color w:val="auto"/>
          <w:lang w:eastAsia="en-US"/>
        </w:rPr>
        <w:t>;</w:t>
      </w:r>
    </w:p>
    <w:p w14:paraId="0D3BD752" w14:textId="77777777" w:rsidR="005A17CE" w:rsidRPr="0052418C" w:rsidRDefault="005A17CE" w:rsidP="0052418C">
      <w:pPr>
        <w:pStyle w:val="Prrafodelista"/>
        <w:numPr>
          <w:ilvl w:val="0"/>
          <w:numId w:val="1"/>
        </w:numPr>
        <w:spacing w:after="0" w:line="276" w:lineRule="auto"/>
        <w:ind w:left="567" w:right="0" w:hanging="567"/>
        <w:contextualSpacing w:val="0"/>
        <w:rPr>
          <w:rFonts w:ascii="ITC Avant Garde" w:hAnsi="ITC Avant Garde" w:cs="Arial"/>
          <w:color w:val="auto"/>
        </w:rPr>
      </w:pPr>
      <w:r w:rsidRPr="0052418C">
        <w:rPr>
          <w:rFonts w:ascii="ITC Avant Garde" w:eastAsiaTheme="minorHAnsi" w:hAnsi="ITC Avant Garde" w:cs="Arial"/>
          <w:color w:val="auto"/>
          <w:lang w:eastAsia="en-US"/>
        </w:rPr>
        <w:t xml:space="preserve">Mega Cable, S.A. de C.V. </w:t>
      </w:r>
      <w:r w:rsidRPr="0052418C">
        <w:rPr>
          <w:rFonts w:ascii="ITC Avant Garde" w:hAnsi="ITC Avant Garde" w:cs="Arial"/>
          <w:color w:val="auto"/>
        </w:rPr>
        <w:t>(en lo sucesivo, “</w:t>
      </w:r>
      <w:r w:rsidRPr="0052418C">
        <w:rPr>
          <w:rFonts w:ascii="ITC Avant Garde" w:eastAsiaTheme="minorHAnsi" w:hAnsi="ITC Avant Garde" w:cs="Arial"/>
          <w:color w:val="auto"/>
          <w:lang w:eastAsia="en-US"/>
        </w:rPr>
        <w:t>Mega Cable</w:t>
      </w:r>
      <w:r w:rsidRPr="0052418C">
        <w:rPr>
          <w:rFonts w:ascii="ITC Avant Garde" w:hAnsi="ITC Avant Garde" w:cs="Arial"/>
          <w:color w:val="auto"/>
        </w:rPr>
        <w:t>”)</w:t>
      </w:r>
      <w:r w:rsidRPr="0052418C">
        <w:rPr>
          <w:rFonts w:ascii="ITC Avant Garde" w:eastAsiaTheme="minorHAnsi" w:hAnsi="ITC Avant Garde" w:cs="Arial"/>
          <w:color w:val="auto"/>
          <w:lang w:eastAsia="en-US"/>
        </w:rPr>
        <w:t>;</w:t>
      </w:r>
    </w:p>
    <w:p w14:paraId="672869F9" w14:textId="77777777" w:rsidR="00A25D0F" w:rsidRPr="0052418C" w:rsidRDefault="00A25D0F" w:rsidP="0052418C">
      <w:pPr>
        <w:pStyle w:val="Prrafodelista"/>
        <w:numPr>
          <w:ilvl w:val="0"/>
          <w:numId w:val="1"/>
        </w:numPr>
        <w:spacing w:after="0" w:line="276" w:lineRule="auto"/>
        <w:ind w:left="567" w:right="0" w:hanging="567"/>
        <w:contextualSpacing w:val="0"/>
        <w:rPr>
          <w:rFonts w:ascii="ITC Avant Garde" w:hAnsi="ITC Avant Garde" w:cs="Arial"/>
          <w:color w:val="auto"/>
        </w:rPr>
      </w:pPr>
      <w:r w:rsidRPr="0052418C">
        <w:rPr>
          <w:rFonts w:ascii="ITC Avant Garde" w:hAnsi="ITC Avant Garde" w:cs="Arial"/>
          <w:color w:val="auto"/>
        </w:rPr>
        <w:t>Pegaso PCS, S.A. de C.V. (en lo sucesivo, “Pegaso”);</w:t>
      </w:r>
    </w:p>
    <w:p w14:paraId="2C59D861" w14:textId="2B7BF533" w:rsidR="00A25D0F" w:rsidRPr="0052418C" w:rsidDel="00DE1669" w:rsidRDefault="00A25D0F" w:rsidP="0052418C">
      <w:pPr>
        <w:pStyle w:val="Prrafodelista"/>
        <w:numPr>
          <w:ilvl w:val="0"/>
          <w:numId w:val="1"/>
        </w:numPr>
        <w:tabs>
          <w:tab w:val="left" w:pos="1134"/>
        </w:tabs>
        <w:spacing w:after="0" w:line="276" w:lineRule="auto"/>
        <w:ind w:left="567" w:right="0" w:hanging="567"/>
        <w:contextualSpacing w:val="0"/>
        <w:rPr>
          <w:rFonts w:ascii="ITC Avant Garde" w:hAnsi="ITC Avant Garde" w:cs="Arial"/>
          <w:color w:val="auto"/>
        </w:rPr>
      </w:pPr>
      <w:r w:rsidRPr="0052418C" w:rsidDel="00DE1669">
        <w:rPr>
          <w:rFonts w:ascii="ITC Avant Garde" w:hAnsi="ITC Avant Garde" w:cs="Arial"/>
          <w:color w:val="auto"/>
        </w:rPr>
        <w:t>Operbes, S.A. de C.V., Cablevisión, S.A. de C.V., Cablemás Telecomunicaciones, S.A. de C.V., Cablevisión Red, S.A. de C.V., Tele Azteca, S.A. de C.V., Televisión Internacional, S.A. de C.V., México Red de Telecomunicaciones, S. de R.L. de C.V. y TV Cable de Oriente, S.A. de C.V</w:t>
      </w:r>
      <w:r w:rsidR="00C16648" w:rsidRPr="0052418C">
        <w:rPr>
          <w:rFonts w:ascii="ITC Avant Garde" w:hAnsi="ITC Avant Garde" w:cs="Arial"/>
          <w:color w:val="auto"/>
        </w:rPr>
        <w:t>;</w:t>
      </w:r>
    </w:p>
    <w:p w14:paraId="1D6C3090" w14:textId="690357E0" w:rsidR="00DE1618" w:rsidRPr="0052418C" w:rsidRDefault="00DE1618" w:rsidP="0052418C">
      <w:pPr>
        <w:pStyle w:val="Prrafodelista"/>
        <w:numPr>
          <w:ilvl w:val="0"/>
          <w:numId w:val="1"/>
        </w:numPr>
        <w:spacing w:after="0" w:line="276" w:lineRule="auto"/>
        <w:ind w:left="567" w:right="0" w:hanging="567"/>
        <w:contextualSpacing w:val="0"/>
        <w:rPr>
          <w:rFonts w:ascii="ITC Avant Garde" w:hAnsi="ITC Avant Garde" w:cs="Arial"/>
          <w:color w:val="auto"/>
        </w:rPr>
      </w:pPr>
      <w:r w:rsidRPr="0052418C">
        <w:rPr>
          <w:rFonts w:ascii="ITC Avant Garde" w:hAnsi="ITC Avant Garde" w:cs="Arial"/>
          <w:color w:val="auto"/>
        </w:rPr>
        <w:t>AT&amp;T Comunicaciones Digitales, S. de R.L. de C.V., Grupo AT&amp;T Celullar, S. de R.L. de C.V., AT&amp;T Norte, S. de R.L. de C.V., AT&amp;T Comercialización Móvil, S. de R.L. de C.V.</w:t>
      </w:r>
      <w:r w:rsidR="0079593A" w:rsidRPr="0052418C">
        <w:rPr>
          <w:rFonts w:ascii="ITC Avant Garde" w:hAnsi="ITC Avant Garde" w:cs="Arial"/>
          <w:color w:val="auto"/>
        </w:rPr>
        <w:t>,</w:t>
      </w:r>
      <w:r w:rsidRPr="0052418C">
        <w:rPr>
          <w:rFonts w:ascii="ITC Avant Garde" w:hAnsi="ITC Avant Garde" w:cs="Arial"/>
          <w:color w:val="auto"/>
        </w:rPr>
        <w:t xml:space="preserve"> y AT&amp;T Desarrollo en Comunicaciones de México, S. de R.L. de C.V.</w:t>
      </w:r>
      <w:r w:rsidR="00D11672" w:rsidRPr="0052418C">
        <w:rPr>
          <w:rFonts w:ascii="ITC Avant Garde" w:hAnsi="ITC Avant Garde" w:cs="Arial"/>
          <w:color w:val="auto"/>
        </w:rPr>
        <w:t xml:space="preserve"> (en lo sucesivo, “Grupo AT&amp;T”)</w:t>
      </w:r>
      <w:r w:rsidR="00E6097E" w:rsidRPr="0052418C">
        <w:rPr>
          <w:rFonts w:ascii="ITC Avant Garde" w:hAnsi="ITC Avant Garde" w:cs="Arial"/>
          <w:color w:val="auto"/>
        </w:rPr>
        <w:t>;</w:t>
      </w:r>
    </w:p>
    <w:p w14:paraId="052ED8FF" w14:textId="0ABA3865" w:rsidR="00A25D0F" w:rsidRPr="0052418C" w:rsidRDefault="00A25D0F" w:rsidP="0052418C">
      <w:pPr>
        <w:pStyle w:val="Prrafodelista"/>
        <w:numPr>
          <w:ilvl w:val="0"/>
          <w:numId w:val="1"/>
        </w:numPr>
        <w:spacing w:after="0" w:line="276" w:lineRule="auto"/>
        <w:ind w:left="567" w:right="0" w:hanging="567"/>
        <w:contextualSpacing w:val="0"/>
        <w:rPr>
          <w:rFonts w:ascii="ITC Avant Garde" w:hAnsi="ITC Avant Garde" w:cs="Arial"/>
          <w:color w:val="auto"/>
        </w:rPr>
      </w:pPr>
      <w:r w:rsidRPr="0052418C">
        <w:rPr>
          <w:rFonts w:ascii="ITC Avant Garde" w:hAnsi="ITC Avant Garde" w:cs="Arial"/>
          <w:color w:val="auto"/>
        </w:rPr>
        <w:t>Cámara Nacional de la Industria Electrónica, de Telecomunicaciones y Tecnologías de la Información (en lo sucesivo, “CANIETI”);</w:t>
      </w:r>
    </w:p>
    <w:p w14:paraId="44CFC150" w14:textId="51FFBAD9" w:rsidR="00C16648" w:rsidRPr="0052418C" w:rsidRDefault="00C16648" w:rsidP="0052418C">
      <w:pPr>
        <w:pStyle w:val="Prrafodelista"/>
        <w:numPr>
          <w:ilvl w:val="0"/>
          <w:numId w:val="1"/>
        </w:numPr>
        <w:tabs>
          <w:tab w:val="left" w:pos="1134"/>
        </w:tabs>
        <w:spacing w:after="0" w:line="276" w:lineRule="auto"/>
        <w:ind w:left="567" w:right="0" w:hanging="567"/>
        <w:contextualSpacing w:val="0"/>
        <w:rPr>
          <w:rFonts w:ascii="ITC Avant Garde" w:hAnsi="ITC Avant Garde" w:cs="Arial"/>
          <w:color w:val="auto"/>
        </w:rPr>
      </w:pPr>
      <w:r w:rsidRPr="0052418C">
        <w:rPr>
          <w:rFonts w:ascii="ITC Avant Garde" w:hAnsi="ITC Avant Garde" w:cs="Arial"/>
          <w:color w:val="auto"/>
        </w:rPr>
        <w:lastRenderedPageBreak/>
        <w:t>UC Telecomunicaciones, S.A.P.I. de C.V.</w:t>
      </w:r>
    </w:p>
    <w:p w14:paraId="46780F19" w14:textId="77777777" w:rsidR="00BE6636" w:rsidRPr="0052418C" w:rsidRDefault="00BE6636" w:rsidP="0052418C">
      <w:pPr>
        <w:autoSpaceDE w:val="0"/>
        <w:autoSpaceDN w:val="0"/>
        <w:adjustRightInd w:val="0"/>
        <w:spacing w:after="0" w:line="276" w:lineRule="auto"/>
        <w:ind w:left="0" w:right="0" w:firstLine="0"/>
        <w:rPr>
          <w:rFonts w:ascii="ITC Avant Garde" w:eastAsiaTheme="minorHAnsi" w:hAnsi="ITC Avant Garde" w:cs="Arial"/>
          <w:color w:val="auto"/>
          <w:lang w:eastAsia="en-US"/>
        </w:rPr>
      </w:pPr>
    </w:p>
    <w:p w14:paraId="06E81DAF" w14:textId="2381051C" w:rsidR="00950D71" w:rsidRPr="0052418C" w:rsidRDefault="00950D71" w:rsidP="0052418C">
      <w:pPr>
        <w:spacing w:after="0" w:line="276" w:lineRule="auto"/>
        <w:ind w:left="-6" w:hanging="11"/>
        <w:rPr>
          <w:rFonts w:ascii="ITC Avant Garde" w:hAnsi="ITC Avant Garde" w:cs="Arial"/>
          <w:b/>
        </w:rPr>
      </w:pPr>
      <w:r w:rsidRPr="0052418C">
        <w:rPr>
          <w:rFonts w:ascii="ITC Avant Garde" w:hAnsi="ITC Avant Garde" w:cs="Arial"/>
          <w:b/>
        </w:rPr>
        <w:t>Respuestas y posicionamientos por parte del Instituto:</w:t>
      </w:r>
    </w:p>
    <w:p w14:paraId="11C76FC2" w14:textId="77E982F0" w:rsidR="00950D71" w:rsidRPr="0052418C" w:rsidRDefault="00950D71" w:rsidP="0052418C">
      <w:pPr>
        <w:spacing w:after="0" w:line="276" w:lineRule="auto"/>
        <w:ind w:left="-5" w:right="0"/>
        <w:rPr>
          <w:rFonts w:ascii="ITC Avant Garde" w:hAnsi="ITC Avant Garde" w:cs="Arial"/>
        </w:rPr>
      </w:pPr>
      <w:r w:rsidRPr="0052418C">
        <w:rPr>
          <w:rFonts w:ascii="ITC Avant Garde" w:hAnsi="ITC Avant Garde" w:cs="Arial"/>
        </w:rPr>
        <w:t xml:space="preserve">Se señala que el orden en el que son abordados cada uno de los temas y numerales genéricos mencionados, obedece primordialmente al orden en que cada uno de éstos aparecen en la Propuesta de </w:t>
      </w:r>
      <w:r w:rsidR="009E1F77" w:rsidRPr="0052418C">
        <w:rPr>
          <w:rFonts w:ascii="ITC Avant Garde" w:hAnsi="ITC Avant Garde" w:cs="Arial"/>
          <w:i/>
        </w:rPr>
        <w:t>“</w:t>
      </w:r>
      <w:r w:rsidRPr="0052418C">
        <w:rPr>
          <w:rFonts w:ascii="ITC Avant Garde" w:hAnsi="ITC Avant Garde" w:cs="Arial"/>
          <w:b/>
          <w:i/>
          <w:color w:val="auto"/>
        </w:rPr>
        <w:t xml:space="preserve">Oferta de Referencia para la Prestación de Servicio Mayorista de Arrendamiento de </w:t>
      </w:r>
      <w:bookmarkStart w:id="1" w:name="_Hlk93406677"/>
      <w:r w:rsidRPr="0052418C">
        <w:rPr>
          <w:rFonts w:ascii="ITC Avant Garde" w:hAnsi="ITC Avant Garde" w:cs="Arial"/>
          <w:b/>
          <w:i/>
          <w:color w:val="auto"/>
        </w:rPr>
        <w:t>Enlaces Dedicados Locales</w:t>
      </w:r>
      <w:r w:rsidR="00850585" w:rsidRPr="0052418C">
        <w:rPr>
          <w:rFonts w:ascii="ITC Avant Garde" w:hAnsi="ITC Avant Garde" w:cs="Arial"/>
          <w:b/>
          <w:i/>
          <w:color w:val="auto"/>
        </w:rPr>
        <w:t xml:space="preserve"> y de Interconexión</w:t>
      </w:r>
      <w:bookmarkEnd w:id="1"/>
      <w:r w:rsidR="008D5F6D" w:rsidRPr="0052418C">
        <w:rPr>
          <w:rFonts w:ascii="ITC Avant Garde" w:hAnsi="ITC Avant Garde" w:cs="Arial"/>
          <w:i/>
          <w:color w:val="auto"/>
        </w:rPr>
        <w:t>”</w:t>
      </w:r>
      <w:r w:rsidRPr="0052418C">
        <w:rPr>
          <w:rFonts w:ascii="ITC Avant Garde" w:hAnsi="ITC Avant Garde" w:cs="Arial"/>
          <w:b/>
          <w:i/>
        </w:rPr>
        <w:t xml:space="preserve"> </w:t>
      </w:r>
      <w:r w:rsidRPr="0052418C">
        <w:rPr>
          <w:rFonts w:ascii="ITC Avant Garde" w:hAnsi="ITC Avant Garde" w:cs="Arial"/>
        </w:rPr>
        <w:t xml:space="preserve">(en lo sucesivo, la “ORE </w:t>
      </w:r>
      <w:r w:rsidR="008F14C1" w:rsidRPr="0052418C">
        <w:rPr>
          <w:rFonts w:ascii="ITC Avant Garde" w:hAnsi="ITC Avant Garde" w:cs="Arial"/>
        </w:rPr>
        <w:t xml:space="preserve">EM </w:t>
      </w:r>
      <w:r w:rsidR="0054780E" w:rsidRPr="0052418C">
        <w:rPr>
          <w:rFonts w:ascii="ITC Avant Garde" w:hAnsi="ITC Avant Garde" w:cs="Arial"/>
        </w:rPr>
        <w:t>2022</w:t>
      </w:r>
      <w:r w:rsidRPr="0052418C">
        <w:rPr>
          <w:rFonts w:ascii="ITC Avant Garde" w:hAnsi="ITC Avant Garde" w:cs="Arial"/>
        </w:rPr>
        <w:t>”) presentada</w:t>
      </w:r>
      <w:r w:rsidR="006D668E" w:rsidRPr="0052418C">
        <w:rPr>
          <w:rFonts w:ascii="ITC Avant Garde" w:hAnsi="ITC Avant Garde" w:cs="Arial"/>
        </w:rPr>
        <w:t>s</w:t>
      </w:r>
      <w:r w:rsidRPr="0052418C">
        <w:rPr>
          <w:rFonts w:ascii="ITC Avant Garde" w:hAnsi="ITC Avant Garde" w:cs="Arial"/>
        </w:rPr>
        <w:t xml:space="preserve"> po</w:t>
      </w:r>
      <w:r w:rsidR="001D4422" w:rsidRPr="0052418C">
        <w:rPr>
          <w:rFonts w:ascii="ITC Avant Garde" w:hAnsi="ITC Avant Garde" w:cs="Arial"/>
        </w:rPr>
        <w:t xml:space="preserve">r </w:t>
      </w:r>
      <w:r w:rsidR="0033721E" w:rsidRPr="0052418C">
        <w:rPr>
          <w:rFonts w:ascii="ITC Avant Garde" w:hAnsi="ITC Avant Garde" w:cs="Arial"/>
        </w:rPr>
        <w:t>Red Nacional Última Milla</w:t>
      </w:r>
      <w:r w:rsidR="006D668E" w:rsidRPr="0052418C">
        <w:rPr>
          <w:rFonts w:ascii="ITC Avant Garde" w:hAnsi="ITC Avant Garde" w:cs="Arial"/>
        </w:rPr>
        <w:t>, S.A.P.I. de C.V.</w:t>
      </w:r>
      <w:r w:rsidR="0033721E" w:rsidRPr="0052418C">
        <w:rPr>
          <w:rFonts w:ascii="ITC Avant Garde" w:hAnsi="ITC Avant Garde" w:cs="Arial"/>
        </w:rPr>
        <w:t xml:space="preserve"> </w:t>
      </w:r>
      <w:r w:rsidR="00DF0F61" w:rsidRPr="0052418C">
        <w:rPr>
          <w:rFonts w:ascii="ITC Avant Garde" w:hAnsi="ITC Avant Garde" w:cs="Arial"/>
        </w:rPr>
        <w:t xml:space="preserve">y Red Última Milla del Noroeste, S.A.P.I. de C.V. </w:t>
      </w:r>
      <w:r w:rsidR="00DF0F61" w:rsidRPr="0052418C">
        <w:rPr>
          <w:rFonts w:ascii="ITC Avant Garde" w:hAnsi="ITC Avant Garde"/>
        </w:rPr>
        <w:t xml:space="preserve">(en lo sucesivo </w:t>
      </w:r>
      <w:r w:rsidR="00A86458" w:rsidRPr="0052418C">
        <w:rPr>
          <w:rFonts w:ascii="ITC Avant Garde" w:hAnsi="ITC Avant Garde"/>
        </w:rPr>
        <w:t>conjuntamente, “</w:t>
      </w:r>
      <w:r w:rsidR="00A86458" w:rsidRPr="0052418C">
        <w:rPr>
          <w:rFonts w:ascii="ITC Avant Garde" w:hAnsi="ITC Avant Garde" w:cs="Arial"/>
        </w:rPr>
        <w:t>Red Nacional</w:t>
      </w:r>
      <w:r w:rsidR="00A86458" w:rsidRPr="0052418C">
        <w:rPr>
          <w:rFonts w:ascii="ITC Avant Garde" w:hAnsi="ITC Avant Garde"/>
        </w:rPr>
        <w:t>”)</w:t>
      </w:r>
      <w:r w:rsidR="00A86458" w:rsidRPr="0052418C" w:rsidDel="00A86458">
        <w:rPr>
          <w:rFonts w:ascii="ITC Avant Garde" w:hAnsi="ITC Avant Garde" w:cs="Arial"/>
        </w:rPr>
        <w:t xml:space="preserve"> </w:t>
      </w:r>
    </w:p>
    <w:p w14:paraId="2B172D42" w14:textId="77777777" w:rsidR="00BE6636" w:rsidRPr="0052418C" w:rsidRDefault="00BE6636" w:rsidP="0052418C">
      <w:pPr>
        <w:autoSpaceDE w:val="0"/>
        <w:autoSpaceDN w:val="0"/>
        <w:adjustRightInd w:val="0"/>
        <w:spacing w:after="0" w:line="276" w:lineRule="auto"/>
        <w:ind w:left="0" w:right="0"/>
        <w:rPr>
          <w:rFonts w:ascii="ITC Avant Garde" w:hAnsi="ITC Avant Garde" w:cs="Arial"/>
          <w:color w:val="auto"/>
        </w:rPr>
      </w:pPr>
    </w:p>
    <w:p w14:paraId="33301744" w14:textId="77777777" w:rsidR="00BE6636" w:rsidRPr="0052418C" w:rsidRDefault="00BE6636" w:rsidP="0052418C">
      <w:pPr>
        <w:autoSpaceDE w:val="0"/>
        <w:autoSpaceDN w:val="0"/>
        <w:adjustRightInd w:val="0"/>
        <w:spacing w:after="0" w:line="276" w:lineRule="auto"/>
        <w:ind w:left="0" w:right="0" w:firstLine="0"/>
        <w:rPr>
          <w:rFonts w:ascii="ITC Avant Garde" w:hAnsi="ITC Avant Garde" w:cs="Arial"/>
          <w:color w:val="auto"/>
        </w:rPr>
      </w:pPr>
      <w:r w:rsidRPr="0052418C">
        <w:rPr>
          <w:rFonts w:ascii="ITC Avant Garde" w:hAnsi="ITC Avant Garde" w:cs="Arial"/>
          <w:color w:val="auto"/>
        </w:rPr>
        <w:t>Por lo anterior, el Instituto emite las siguientes respuestas y consideraciones para las participaciones recibidas:</w:t>
      </w:r>
    </w:p>
    <w:p w14:paraId="56F960D2" w14:textId="77777777" w:rsidR="00BE6636" w:rsidRPr="0052418C" w:rsidRDefault="00BE6636" w:rsidP="0052418C">
      <w:pPr>
        <w:spacing w:after="0" w:line="276" w:lineRule="auto"/>
        <w:ind w:left="0" w:right="0" w:firstLine="0"/>
        <w:rPr>
          <w:rFonts w:ascii="ITC Avant Garde" w:hAnsi="ITC Avant Garde" w:cs="Arial"/>
          <w:b/>
          <w:color w:val="auto"/>
          <w:u w:val="single"/>
        </w:rPr>
      </w:pPr>
    </w:p>
    <w:p w14:paraId="38043F51" w14:textId="396764F1" w:rsidR="009E1F77" w:rsidRPr="0052418C" w:rsidRDefault="009E1F77" w:rsidP="0052418C">
      <w:pPr>
        <w:pStyle w:val="IFTnormal"/>
        <w:spacing w:after="0"/>
        <w:ind w:left="0"/>
        <w:rPr>
          <w:rFonts w:eastAsiaTheme="majorEastAsia" w:cs="Arial"/>
          <w:b/>
          <w:u w:val="single"/>
        </w:rPr>
      </w:pPr>
      <w:r w:rsidRPr="0052418C">
        <w:rPr>
          <w:rFonts w:eastAsiaTheme="majorEastAsia" w:cs="Arial"/>
          <w:b/>
          <w:u w:val="single"/>
        </w:rPr>
        <w:t>1. Oferta.</w:t>
      </w:r>
    </w:p>
    <w:p w14:paraId="4C36F551" w14:textId="77777777" w:rsidR="003E6193" w:rsidRPr="0052418C" w:rsidRDefault="003E6193" w:rsidP="0052418C">
      <w:pPr>
        <w:autoSpaceDE w:val="0"/>
        <w:autoSpaceDN w:val="0"/>
        <w:adjustRightInd w:val="0"/>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AXTEL:</w:t>
      </w:r>
    </w:p>
    <w:p w14:paraId="25414D19" w14:textId="60AD0E61" w:rsidR="003E6193" w:rsidRPr="0052418C" w:rsidRDefault="003E6193" w:rsidP="00422EB4">
      <w:pPr>
        <w:autoSpaceDE w:val="0"/>
        <w:autoSpaceDN w:val="0"/>
        <w:adjustRightInd w:val="0"/>
        <w:spacing w:after="0" w:line="276" w:lineRule="auto"/>
        <w:ind w:left="0" w:right="0" w:firstLine="0"/>
        <w:rPr>
          <w:rFonts w:ascii="ITC Avant Garde" w:hAnsi="ITC Avant Garde" w:cs="Arial"/>
          <w:i/>
          <w:color w:val="auto"/>
          <w:sz w:val="18"/>
          <w:szCs w:val="18"/>
        </w:rPr>
      </w:pPr>
      <w:r w:rsidRPr="0052418C">
        <w:rPr>
          <w:rFonts w:ascii="ITC Avant Garde" w:hAnsi="ITC Avant Garde" w:cs="Arial"/>
          <w:color w:val="auto"/>
        </w:rPr>
        <w:t xml:space="preserve">Señaló que el </w:t>
      </w:r>
      <w:r w:rsidR="00A24979" w:rsidRPr="0052418C">
        <w:rPr>
          <w:rFonts w:ascii="ITC Avant Garde" w:hAnsi="ITC Avant Garde" w:cs="Arial"/>
        </w:rPr>
        <w:t>Agente Económico Preponderante</w:t>
      </w:r>
      <w:r w:rsidR="00A24979" w:rsidRPr="0052418C">
        <w:rPr>
          <w:rFonts w:ascii="ITC Avant Garde" w:hAnsi="ITC Avant Garde" w:cs="Arial"/>
          <w:color w:val="auto"/>
        </w:rPr>
        <w:t xml:space="preserve"> </w:t>
      </w:r>
      <w:r w:rsidR="00EF0921" w:rsidRPr="0052418C">
        <w:rPr>
          <w:rFonts w:ascii="ITC Avant Garde" w:hAnsi="ITC Avant Garde" w:cs="Arial"/>
          <w:color w:val="auto"/>
        </w:rPr>
        <w:t>(</w:t>
      </w:r>
      <w:r w:rsidR="00EF0921" w:rsidRPr="0052418C">
        <w:rPr>
          <w:rFonts w:ascii="ITC Avant Garde" w:hAnsi="ITC Avant Garde" w:cs="Arial"/>
        </w:rPr>
        <w:t>en lo sucesivo, el “</w:t>
      </w:r>
      <w:r w:rsidR="00A24979" w:rsidRPr="0052418C">
        <w:rPr>
          <w:rFonts w:ascii="ITC Avant Garde" w:hAnsi="ITC Avant Garde" w:cs="Arial"/>
          <w:color w:val="auto"/>
        </w:rPr>
        <w:t>AEP</w:t>
      </w:r>
      <w:r w:rsidR="00EF0921" w:rsidRPr="0052418C">
        <w:rPr>
          <w:rFonts w:ascii="ITC Avant Garde" w:hAnsi="ITC Avant Garde" w:cs="Arial"/>
        </w:rPr>
        <w:t xml:space="preserve">”) </w:t>
      </w:r>
      <w:r w:rsidRPr="0052418C">
        <w:rPr>
          <w:rFonts w:ascii="ITC Avant Garde" w:hAnsi="ITC Avant Garde" w:cs="Arial"/>
          <w:color w:val="auto"/>
        </w:rPr>
        <w:t xml:space="preserve">elimina parte de la definición de Enlace Dedicado, por lo que propone conservar la definición completa de la </w:t>
      </w:r>
      <w:r w:rsidR="00613875">
        <w:rPr>
          <w:rFonts w:ascii="ITC Avant Garde" w:hAnsi="ITC Avant Garde" w:cs="Arial"/>
          <w:color w:val="auto"/>
        </w:rPr>
        <w:t>o</w:t>
      </w:r>
      <w:r w:rsidRPr="0052418C">
        <w:rPr>
          <w:rFonts w:ascii="ITC Avant Garde" w:hAnsi="ITC Avant Garde" w:cs="Arial"/>
          <w:color w:val="auto"/>
        </w:rPr>
        <w:t>ferta vigente</w:t>
      </w:r>
      <w:r w:rsidR="00613875">
        <w:rPr>
          <w:rFonts w:ascii="ITC Avant Garde" w:hAnsi="ITC Avant Garde" w:cs="Arial"/>
          <w:i/>
          <w:color w:val="auto"/>
          <w:sz w:val="18"/>
          <w:szCs w:val="18"/>
        </w:rPr>
        <w:t>.</w:t>
      </w:r>
    </w:p>
    <w:p w14:paraId="70C18C79" w14:textId="77777777" w:rsidR="003E6193" w:rsidRPr="0052418C" w:rsidRDefault="003E6193" w:rsidP="0052418C">
      <w:pPr>
        <w:autoSpaceDE w:val="0"/>
        <w:autoSpaceDN w:val="0"/>
        <w:adjustRightInd w:val="0"/>
        <w:spacing w:after="0" w:line="276" w:lineRule="auto"/>
        <w:ind w:left="0" w:right="0" w:firstLine="0"/>
        <w:rPr>
          <w:rFonts w:ascii="ITC Avant Garde" w:hAnsi="ITC Avant Garde" w:cs="Arial"/>
          <w:color w:val="auto"/>
        </w:rPr>
      </w:pPr>
    </w:p>
    <w:p w14:paraId="025FD8A8" w14:textId="64EF142C" w:rsidR="00EA0FA3" w:rsidRPr="0052418C" w:rsidRDefault="00EA0FA3"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8D5F6D" w:rsidRPr="0052418C">
        <w:rPr>
          <w:rFonts w:ascii="ITC Avant Garde" w:hAnsi="ITC Avant Garde" w:cs="Arial"/>
          <w:b/>
          <w:color w:val="auto"/>
        </w:rPr>
        <w:t>:</w:t>
      </w:r>
    </w:p>
    <w:p w14:paraId="4E8154A6" w14:textId="71473C0C" w:rsidR="00613875" w:rsidRDefault="00613875" w:rsidP="0052418C">
      <w:pPr>
        <w:autoSpaceDE w:val="0"/>
        <w:autoSpaceDN w:val="0"/>
        <w:adjustRightInd w:val="0"/>
        <w:spacing w:after="0" w:line="276" w:lineRule="auto"/>
        <w:ind w:left="0" w:right="0" w:firstLine="0"/>
        <w:rPr>
          <w:rFonts w:ascii="ITC Avant Garde" w:hAnsi="ITC Avant Garde" w:cs="Arial"/>
          <w:color w:val="auto"/>
        </w:rPr>
      </w:pPr>
      <w:r>
        <w:rPr>
          <w:rFonts w:ascii="ITC Avant Garde" w:hAnsi="ITC Avant Garde" w:cs="Arial"/>
          <w:color w:val="auto"/>
        </w:rPr>
        <w:t>L</w:t>
      </w:r>
      <w:r w:rsidR="00EA0FA3" w:rsidRPr="0052418C">
        <w:rPr>
          <w:rFonts w:ascii="ITC Avant Garde" w:hAnsi="ITC Avant Garde" w:cs="Arial"/>
          <w:color w:val="auto"/>
        </w:rPr>
        <w:t>a definición de “</w:t>
      </w:r>
      <w:r w:rsidR="0054780E" w:rsidRPr="0052418C">
        <w:rPr>
          <w:rFonts w:ascii="ITC Avant Garde" w:hAnsi="ITC Avant Garde" w:cs="Arial"/>
          <w:color w:val="auto"/>
        </w:rPr>
        <w:t>Enlace Dedicado</w:t>
      </w:r>
      <w:r w:rsidR="00EA0FA3" w:rsidRPr="0052418C">
        <w:rPr>
          <w:rFonts w:ascii="ITC Avant Garde" w:hAnsi="ITC Avant Garde" w:cs="Arial"/>
          <w:color w:val="auto"/>
        </w:rPr>
        <w:t>”,</w:t>
      </w:r>
      <w:r w:rsidR="00CF3333" w:rsidRPr="0052418C">
        <w:rPr>
          <w:rFonts w:ascii="ITC Avant Garde" w:hAnsi="ITC Avant Garde" w:cs="Arial"/>
          <w:color w:val="auto"/>
        </w:rPr>
        <w:t xml:space="preserve"> </w:t>
      </w:r>
      <w:r w:rsidR="0054780E" w:rsidRPr="0052418C">
        <w:rPr>
          <w:rFonts w:ascii="ITC Avant Garde" w:hAnsi="ITC Avant Garde" w:cs="Arial"/>
          <w:color w:val="auto"/>
        </w:rPr>
        <w:t>se modificó conforme al marco regulatorio vigente</w:t>
      </w:r>
      <w:r>
        <w:rPr>
          <w:rFonts w:ascii="ITC Avant Garde" w:hAnsi="ITC Avant Garde" w:cs="Arial"/>
          <w:color w:val="auto"/>
        </w:rPr>
        <w:t xml:space="preserve"> en los siguientes términos:</w:t>
      </w:r>
    </w:p>
    <w:p w14:paraId="32075B95" w14:textId="6B1C1F7A" w:rsidR="00EA0FA3" w:rsidRPr="0052418C" w:rsidRDefault="00EA0FA3" w:rsidP="0052418C">
      <w:pPr>
        <w:autoSpaceDE w:val="0"/>
        <w:autoSpaceDN w:val="0"/>
        <w:adjustRightInd w:val="0"/>
        <w:spacing w:after="0" w:line="276" w:lineRule="auto"/>
        <w:ind w:left="0" w:right="0" w:firstLine="0"/>
        <w:rPr>
          <w:rFonts w:ascii="ITC Avant Garde" w:hAnsi="ITC Avant Garde" w:cs="Arial"/>
          <w:color w:val="auto"/>
        </w:rPr>
      </w:pPr>
    </w:p>
    <w:p w14:paraId="7C7634FB" w14:textId="77777777" w:rsidR="00F52DCD" w:rsidRPr="00422EB4" w:rsidRDefault="00F52DCD" w:rsidP="00F52DCD">
      <w:pPr>
        <w:autoSpaceDE w:val="0"/>
        <w:autoSpaceDN w:val="0"/>
        <w:adjustRightInd w:val="0"/>
        <w:spacing w:after="0" w:line="276" w:lineRule="auto"/>
        <w:ind w:left="567" w:right="567" w:firstLine="0"/>
        <w:rPr>
          <w:rFonts w:ascii="ITC Avant Garde" w:hAnsi="ITC Avant Garde" w:cs="Arial"/>
          <w:i/>
          <w:iCs/>
          <w:color w:val="auto"/>
          <w:sz w:val="18"/>
          <w:szCs w:val="18"/>
        </w:rPr>
      </w:pPr>
      <w:r w:rsidRPr="00422EB4">
        <w:rPr>
          <w:rFonts w:ascii="ITC Avant Garde" w:hAnsi="ITC Avant Garde" w:cs="Arial"/>
          <w:i/>
          <w:iCs/>
          <w:color w:val="auto"/>
          <w:sz w:val="18"/>
          <w:szCs w:val="18"/>
        </w:rPr>
        <w:t>“</w:t>
      </w:r>
      <w:r w:rsidRPr="00422EB4">
        <w:rPr>
          <w:rFonts w:ascii="ITC Avant Garde" w:hAnsi="ITC Avant Garde" w:cs="Arial"/>
          <w:b/>
          <w:bCs/>
          <w:i/>
          <w:iCs/>
          <w:color w:val="auto"/>
          <w:sz w:val="18"/>
          <w:szCs w:val="18"/>
        </w:rPr>
        <w:t>Enlace Dedicado</w:t>
      </w:r>
      <w:r w:rsidRPr="00422EB4">
        <w:rPr>
          <w:rFonts w:ascii="ITC Avant Garde" w:hAnsi="ITC Avant Garde" w:cs="Arial"/>
          <w:i/>
          <w:iCs/>
          <w:color w:val="auto"/>
          <w:sz w:val="18"/>
          <w:szCs w:val="18"/>
        </w:rPr>
        <w:t>: Medio que permite el transporte de información entre dos puntos con un ancho de banda comprometido, independientemente de la tecnología que sea empleada en el transporte de la misma, donde el CS tiene pleno control sobre el tipo de señales que se transportan.”</w:t>
      </w:r>
    </w:p>
    <w:p w14:paraId="16CD7C84" w14:textId="5A8B304D" w:rsidR="00F210D4" w:rsidRPr="0052418C" w:rsidDel="00A9280F" w:rsidRDefault="00F210D4" w:rsidP="0052418C">
      <w:pPr>
        <w:autoSpaceDE w:val="0"/>
        <w:autoSpaceDN w:val="0"/>
        <w:adjustRightInd w:val="0"/>
        <w:spacing w:after="0" w:line="276" w:lineRule="auto"/>
        <w:ind w:left="0" w:right="0" w:firstLine="0"/>
        <w:rPr>
          <w:rFonts w:ascii="ITC Avant Garde" w:hAnsi="ITC Avant Garde" w:cs="Arial"/>
          <w:color w:val="auto"/>
        </w:rPr>
      </w:pPr>
    </w:p>
    <w:p w14:paraId="4333598E" w14:textId="3B15E7D2" w:rsidR="00DA60CB" w:rsidRPr="0052418C" w:rsidRDefault="00DA60CB" w:rsidP="0052418C">
      <w:pPr>
        <w:pStyle w:val="IFT1"/>
        <w:spacing w:after="0"/>
        <w:rPr>
          <w:rFonts w:eastAsiaTheme="majorEastAsia" w:cs="Arial"/>
          <w:b/>
          <w:u w:val="single"/>
          <w:lang w:val="es-ES_tradnl"/>
        </w:rPr>
      </w:pPr>
      <w:r w:rsidRPr="0052418C">
        <w:rPr>
          <w:rFonts w:eastAsiaTheme="majorEastAsia" w:cs="Arial"/>
          <w:b/>
          <w:u w:val="single"/>
          <w:lang w:val="es-ES_tradnl"/>
        </w:rPr>
        <w:t>2.1</w:t>
      </w:r>
      <w:r w:rsidR="00EF7253" w:rsidRPr="0052418C">
        <w:rPr>
          <w:rFonts w:eastAsiaTheme="majorEastAsia" w:cs="Arial"/>
          <w:b/>
          <w:u w:val="single"/>
          <w:lang w:val="es-ES_tradnl"/>
        </w:rPr>
        <w:t xml:space="preserve"> </w:t>
      </w:r>
      <w:r w:rsidRPr="0052418C">
        <w:rPr>
          <w:rFonts w:eastAsiaTheme="majorEastAsia" w:cs="Arial"/>
          <w:b/>
          <w:u w:val="single"/>
          <w:lang w:val="es-ES_tradnl"/>
        </w:rPr>
        <w:t xml:space="preserve">Servicios </w:t>
      </w:r>
      <w:r w:rsidR="00184D1B" w:rsidRPr="0052418C">
        <w:rPr>
          <w:rFonts w:eastAsiaTheme="majorEastAsia" w:cs="Arial"/>
          <w:b/>
          <w:u w:val="single"/>
          <w:lang w:val="es-ES_tradnl"/>
        </w:rPr>
        <w:t>M</w:t>
      </w:r>
      <w:r w:rsidRPr="0052418C">
        <w:rPr>
          <w:rFonts w:eastAsiaTheme="majorEastAsia" w:cs="Arial"/>
          <w:b/>
          <w:u w:val="single"/>
          <w:lang w:val="es-ES_tradnl"/>
        </w:rPr>
        <w:t>ayoristas de Arrendamiento de Enlaces Dedicados</w:t>
      </w:r>
      <w:r w:rsidR="003C7805" w:rsidRPr="0052418C">
        <w:rPr>
          <w:rFonts w:eastAsiaTheme="majorEastAsia" w:cs="Arial"/>
          <w:b/>
          <w:u w:val="single"/>
          <w:lang w:val="es-ES_tradnl"/>
        </w:rPr>
        <w:t xml:space="preserve"> y de Interconexión</w:t>
      </w:r>
      <w:r w:rsidR="00E6097E" w:rsidRPr="0052418C">
        <w:rPr>
          <w:rFonts w:eastAsiaTheme="majorEastAsia" w:cs="Arial"/>
          <w:b/>
          <w:u w:val="single"/>
          <w:lang w:val="es-ES_tradnl"/>
        </w:rPr>
        <w:t>.</w:t>
      </w:r>
    </w:p>
    <w:p w14:paraId="1B05E85A" w14:textId="534A4CA3" w:rsidR="0083647F" w:rsidRPr="0052418C" w:rsidRDefault="00EE193B" w:rsidP="0052418C">
      <w:pPr>
        <w:spacing w:after="0" w:line="276" w:lineRule="auto"/>
        <w:ind w:left="0" w:right="0"/>
        <w:rPr>
          <w:rFonts w:ascii="ITC Avant Garde" w:eastAsiaTheme="majorEastAsia" w:hAnsi="ITC Avant Garde" w:cs="Arial"/>
          <w:b/>
          <w:color w:val="auto"/>
          <w:lang w:val="es-ES_tradnl"/>
        </w:rPr>
      </w:pPr>
      <w:r w:rsidRPr="0052418C">
        <w:rPr>
          <w:rFonts w:ascii="ITC Avant Garde" w:eastAsiaTheme="majorEastAsia" w:hAnsi="ITC Avant Garde" w:cs="Arial"/>
          <w:b/>
          <w:color w:val="auto"/>
          <w:lang w:val="es-ES_tradnl"/>
        </w:rPr>
        <w:t>GRUPO</w:t>
      </w:r>
      <w:r w:rsidR="0083647F" w:rsidRPr="0052418C">
        <w:rPr>
          <w:rFonts w:ascii="ITC Avant Garde" w:eastAsiaTheme="majorEastAsia" w:hAnsi="ITC Avant Garde" w:cs="Arial"/>
          <w:b/>
          <w:color w:val="auto"/>
          <w:lang w:val="es-ES_tradnl"/>
        </w:rPr>
        <w:t xml:space="preserve"> AT&amp;T: </w:t>
      </w:r>
    </w:p>
    <w:p w14:paraId="7D47FE5A" w14:textId="30BD2CD2" w:rsidR="00DE1618" w:rsidRPr="0052418C" w:rsidRDefault="00DB7A19" w:rsidP="0052418C">
      <w:pPr>
        <w:spacing w:after="0" w:line="276" w:lineRule="auto"/>
        <w:ind w:left="0" w:right="0"/>
        <w:rPr>
          <w:rFonts w:ascii="ITC Avant Garde" w:eastAsiaTheme="majorEastAsia" w:hAnsi="ITC Avant Garde" w:cs="Arial"/>
          <w:color w:val="auto"/>
          <w:lang w:val="es-ES_tradnl"/>
        </w:rPr>
      </w:pPr>
      <w:r w:rsidRPr="0052418C">
        <w:rPr>
          <w:rFonts w:ascii="ITC Avant Garde" w:eastAsiaTheme="majorEastAsia" w:hAnsi="ITC Avant Garde" w:cs="Arial"/>
          <w:color w:val="auto"/>
          <w:lang w:val="es-ES_tradnl"/>
        </w:rPr>
        <w:t xml:space="preserve">Señaló </w:t>
      </w:r>
      <w:r w:rsidR="00743249" w:rsidRPr="0052418C">
        <w:rPr>
          <w:rFonts w:ascii="ITC Avant Garde" w:eastAsiaTheme="majorEastAsia" w:hAnsi="ITC Avant Garde" w:cs="Arial"/>
          <w:color w:val="auto"/>
          <w:lang w:val="es-ES_tradnl"/>
        </w:rPr>
        <w:t>que</w:t>
      </w:r>
      <w:r w:rsidR="00BA3A51" w:rsidRPr="0052418C">
        <w:rPr>
          <w:rFonts w:ascii="ITC Avant Garde" w:eastAsiaTheme="majorEastAsia" w:hAnsi="ITC Avant Garde" w:cs="Arial"/>
          <w:color w:val="auto"/>
          <w:lang w:val="es-ES_tradnl"/>
        </w:rPr>
        <w:t xml:space="preserve"> </w:t>
      </w:r>
      <w:r w:rsidR="00713EB3" w:rsidRPr="0052418C">
        <w:rPr>
          <w:rFonts w:ascii="ITC Avant Garde" w:eastAsiaTheme="majorEastAsia" w:hAnsi="ITC Avant Garde" w:cs="Arial"/>
          <w:color w:val="auto"/>
          <w:lang w:val="es-ES_tradnl"/>
        </w:rPr>
        <w:t xml:space="preserve">Red Nacional </w:t>
      </w:r>
      <w:r w:rsidR="00BA3A51" w:rsidRPr="0052418C">
        <w:rPr>
          <w:rFonts w:ascii="ITC Avant Garde" w:eastAsiaTheme="majorEastAsia" w:hAnsi="ITC Avant Garde" w:cs="Arial"/>
          <w:color w:val="auto"/>
          <w:lang w:val="es-ES_tradnl"/>
        </w:rPr>
        <w:t xml:space="preserve">eliminó </w:t>
      </w:r>
      <w:r w:rsidR="00F85B79" w:rsidRPr="0052418C">
        <w:rPr>
          <w:rFonts w:ascii="ITC Avant Garde" w:eastAsiaTheme="majorEastAsia" w:hAnsi="ITC Avant Garde" w:cs="Arial"/>
          <w:color w:val="auto"/>
          <w:lang w:val="es-ES_tradnl"/>
        </w:rPr>
        <w:t>el</w:t>
      </w:r>
      <w:r w:rsidR="00BA3A51" w:rsidRPr="0052418C">
        <w:rPr>
          <w:rFonts w:ascii="ITC Avant Garde" w:eastAsiaTheme="majorEastAsia" w:hAnsi="ITC Avant Garde" w:cs="Arial"/>
          <w:color w:val="auto"/>
          <w:lang w:val="es-ES_tradnl"/>
        </w:rPr>
        <w:t xml:space="preserve"> Hub Ethernet de 100 Gbps</w:t>
      </w:r>
      <w:r w:rsidR="00F85B79" w:rsidRPr="0052418C">
        <w:rPr>
          <w:rFonts w:ascii="ITC Avant Garde" w:eastAsiaTheme="majorEastAsia" w:hAnsi="ITC Avant Garde" w:cs="Arial"/>
          <w:color w:val="auto"/>
          <w:lang w:val="es-ES_tradnl"/>
        </w:rPr>
        <w:t xml:space="preserve"> de la oferta vigente, </w:t>
      </w:r>
      <w:r w:rsidR="001C3171" w:rsidRPr="0052418C">
        <w:rPr>
          <w:rFonts w:ascii="ITC Avant Garde" w:eastAsiaTheme="majorEastAsia" w:hAnsi="ITC Avant Garde" w:cs="Arial"/>
          <w:color w:val="auto"/>
          <w:lang w:val="es-ES_tradnl"/>
        </w:rPr>
        <w:t>el</w:t>
      </w:r>
      <w:r w:rsidR="00F85B79" w:rsidRPr="0052418C">
        <w:rPr>
          <w:rFonts w:ascii="ITC Avant Garde" w:eastAsiaTheme="majorEastAsia" w:hAnsi="ITC Avant Garde" w:cs="Arial"/>
          <w:color w:val="auto"/>
          <w:lang w:val="es-ES_tradnl"/>
        </w:rPr>
        <w:t xml:space="preserve"> cual se requiere para concentrar enlaces en puntos de conmutación</w:t>
      </w:r>
      <w:r w:rsidR="00717066" w:rsidRPr="0052418C">
        <w:rPr>
          <w:rFonts w:ascii="ITC Avant Garde" w:eastAsiaTheme="majorEastAsia" w:hAnsi="ITC Avant Garde" w:cs="Arial"/>
          <w:color w:val="auto"/>
          <w:lang w:val="es-ES_tradnl"/>
        </w:rPr>
        <w:t>.</w:t>
      </w:r>
      <w:r w:rsidR="00713EB3" w:rsidRPr="0052418C">
        <w:rPr>
          <w:rFonts w:ascii="ITC Avant Garde" w:eastAsiaTheme="majorEastAsia" w:hAnsi="ITC Avant Garde" w:cs="Arial"/>
          <w:color w:val="auto"/>
          <w:lang w:val="es-ES_tradnl"/>
        </w:rPr>
        <w:t xml:space="preserve"> Por tanto, </w:t>
      </w:r>
      <w:r w:rsidR="0093309F" w:rsidRPr="0093309F">
        <w:rPr>
          <w:rFonts w:ascii="ITC Avant Garde" w:eastAsiaTheme="majorEastAsia" w:hAnsi="ITC Avant Garde" w:cs="Arial"/>
          <w:color w:val="auto"/>
          <w:lang w:val="es-ES_tradnl"/>
        </w:rPr>
        <w:t xml:space="preserve">GRUPO AT&amp;T </w:t>
      </w:r>
      <w:r w:rsidR="00713EB3" w:rsidRPr="0052418C">
        <w:rPr>
          <w:rFonts w:ascii="ITC Avant Garde" w:eastAsiaTheme="majorEastAsia" w:hAnsi="ITC Avant Garde" w:cs="Arial"/>
          <w:color w:val="auto"/>
          <w:lang w:val="es-ES_tradnl"/>
        </w:rPr>
        <w:t xml:space="preserve">sugiere que se mantengan las capacidades de </w:t>
      </w:r>
      <w:r w:rsidR="00F85B79" w:rsidRPr="0052418C">
        <w:rPr>
          <w:rFonts w:ascii="ITC Avant Garde" w:eastAsiaTheme="majorEastAsia" w:hAnsi="ITC Avant Garde" w:cs="Arial"/>
          <w:color w:val="auto"/>
          <w:lang w:val="es-ES_tradnl"/>
        </w:rPr>
        <w:t xml:space="preserve">Hub </w:t>
      </w:r>
      <w:r w:rsidR="00713EB3" w:rsidRPr="0052418C">
        <w:rPr>
          <w:rFonts w:ascii="ITC Avant Garde" w:eastAsiaTheme="majorEastAsia" w:hAnsi="ITC Avant Garde" w:cs="Arial"/>
          <w:color w:val="auto"/>
          <w:lang w:val="es-ES_tradnl"/>
        </w:rPr>
        <w:t>100 Gbps</w:t>
      </w:r>
      <w:r w:rsidR="00B941F8" w:rsidRPr="0052418C">
        <w:rPr>
          <w:rFonts w:ascii="ITC Avant Garde" w:eastAsiaTheme="majorEastAsia" w:hAnsi="ITC Avant Garde" w:cs="Arial"/>
          <w:color w:val="auto"/>
          <w:lang w:val="es-ES_tradnl"/>
        </w:rPr>
        <w:t xml:space="preserve"> en todos aquellos comentarios que hacen referencia a las velocidades de los enlaces.</w:t>
      </w:r>
    </w:p>
    <w:p w14:paraId="4DF5AE97" w14:textId="4E0C4B2C" w:rsidR="00E53FBC" w:rsidRPr="0052418C" w:rsidRDefault="00E53FBC" w:rsidP="0052418C">
      <w:pPr>
        <w:autoSpaceDE w:val="0"/>
        <w:autoSpaceDN w:val="0"/>
        <w:adjustRightInd w:val="0"/>
        <w:spacing w:after="0" w:line="276" w:lineRule="auto"/>
        <w:ind w:left="0" w:right="0" w:firstLine="0"/>
        <w:rPr>
          <w:rFonts w:ascii="ITC Avant Garde" w:hAnsi="ITC Avant Garde" w:cs="Arial"/>
          <w:color w:val="auto"/>
        </w:rPr>
      </w:pPr>
    </w:p>
    <w:p w14:paraId="2F204554" w14:textId="77777777" w:rsidR="003E6193" w:rsidRPr="0052418C" w:rsidRDefault="003E6193" w:rsidP="0052418C">
      <w:pPr>
        <w:autoSpaceDE w:val="0"/>
        <w:autoSpaceDN w:val="0"/>
        <w:adjustRightInd w:val="0"/>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AXTEL:</w:t>
      </w:r>
    </w:p>
    <w:p w14:paraId="48ACBBC3" w14:textId="274D3412" w:rsidR="003E6193" w:rsidRPr="0052418C" w:rsidRDefault="003E6193" w:rsidP="0052418C">
      <w:pPr>
        <w:tabs>
          <w:tab w:val="left" w:pos="1630"/>
        </w:tabs>
        <w:autoSpaceDE w:val="0"/>
        <w:autoSpaceDN w:val="0"/>
        <w:adjustRightInd w:val="0"/>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Señaló que </w:t>
      </w:r>
      <w:r w:rsidR="00691867" w:rsidRPr="0052418C">
        <w:rPr>
          <w:rFonts w:ascii="ITC Avant Garde" w:hAnsi="ITC Avant Garde" w:cs="Arial"/>
          <w:color w:val="auto"/>
        </w:rPr>
        <w:t>la Propuesta de Oferta</w:t>
      </w:r>
      <w:r w:rsidRPr="0052418C">
        <w:rPr>
          <w:rFonts w:ascii="ITC Avant Garde" w:hAnsi="ITC Avant Garde" w:cs="Arial"/>
          <w:color w:val="auto"/>
        </w:rPr>
        <w:t xml:space="preserve"> </w:t>
      </w:r>
      <w:r w:rsidR="00691867" w:rsidRPr="0052418C">
        <w:rPr>
          <w:rFonts w:ascii="ITC Avant Garde" w:hAnsi="ITC Avant Garde" w:cs="Arial"/>
          <w:color w:val="auto"/>
        </w:rPr>
        <w:t>d</w:t>
      </w:r>
      <w:r w:rsidRPr="0052418C">
        <w:rPr>
          <w:rFonts w:ascii="ITC Avant Garde" w:hAnsi="ITC Avant Garde" w:cs="Arial"/>
          <w:color w:val="auto"/>
        </w:rPr>
        <w:t>el AEP</w:t>
      </w:r>
      <w:r w:rsidR="00691867" w:rsidRPr="0052418C">
        <w:rPr>
          <w:rFonts w:ascii="ITC Avant Garde" w:hAnsi="ITC Avant Garde" w:cs="Arial"/>
          <w:color w:val="auto"/>
        </w:rPr>
        <w:t xml:space="preserve"> </w:t>
      </w:r>
      <w:r w:rsidRPr="0052418C">
        <w:rPr>
          <w:rFonts w:ascii="ITC Avant Garde" w:hAnsi="ITC Avant Garde" w:cs="Arial"/>
          <w:color w:val="auto"/>
        </w:rPr>
        <w:t>ofrece los servicios basados en TDM en todos los sitios, hasta agotar la capacidad disponible siempre y cuando cuente con infraestructura y sea técnicamente factible. Por lo que solicit</w:t>
      </w:r>
      <w:r w:rsidR="00691867" w:rsidRPr="0052418C">
        <w:rPr>
          <w:rFonts w:ascii="ITC Avant Garde" w:hAnsi="ITC Avant Garde" w:cs="Arial"/>
          <w:color w:val="auto"/>
        </w:rPr>
        <w:t>ó</w:t>
      </w:r>
      <w:r w:rsidRPr="0052418C">
        <w:rPr>
          <w:rFonts w:ascii="ITC Avant Garde" w:hAnsi="ITC Avant Garde" w:cs="Arial"/>
          <w:color w:val="auto"/>
        </w:rPr>
        <w:t xml:space="preserve"> que el AEP cumpla con la atención a solicitudes de TDM como lo marcan las reglas de </w:t>
      </w:r>
      <w:r w:rsidRPr="0052418C">
        <w:rPr>
          <w:rFonts w:ascii="ITC Avant Garde" w:hAnsi="ITC Avant Garde" w:cs="Arial"/>
          <w:color w:val="auto"/>
        </w:rPr>
        <w:lastRenderedPageBreak/>
        <w:t>preponderancia y entregue los servicios en esta tecnología cuando le sean solicitados.</w:t>
      </w:r>
    </w:p>
    <w:p w14:paraId="548C8D94" w14:textId="18F7DBDC" w:rsidR="003E6193" w:rsidRPr="0052418C" w:rsidRDefault="003E6193" w:rsidP="0052418C">
      <w:pPr>
        <w:autoSpaceDE w:val="0"/>
        <w:autoSpaceDN w:val="0"/>
        <w:adjustRightInd w:val="0"/>
        <w:spacing w:after="0" w:line="276" w:lineRule="auto"/>
        <w:ind w:left="0" w:right="0" w:firstLine="0"/>
        <w:rPr>
          <w:rFonts w:ascii="ITC Avant Garde" w:hAnsi="ITC Avant Garde" w:cs="Arial"/>
          <w:color w:val="auto"/>
        </w:rPr>
      </w:pPr>
    </w:p>
    <w:p w14:paraId="6CF1CB87" w14:textId="77777777" w:rsidR="00BE083A" w:rsidRPr="0052418C" w:rsidRDefault="00BE083A" w:rsidP="0052418C">
      <w:pPr>
        <w:spacing w:after="0" w:line="276" w:lineRule="auto"/>
        <w:ind w:left="0" w:right="0" w:firstLine="0"/>
        <w:rPr>
          <w:rFonts w:ascii="ITC Avant Garde" w:hAnsi="ITC Avant Garde"/>
          <w:b/>
          <w:color w:val="auto"/>
        </w:rPr>
      </w:pPr>
      <w:r w:rsidRPr="0052418C">
        <w:rPr>
          <w:rFonts w:ascii="ITC Avant Garde" w:hAnsi="ITC Avant Garde"/>
          <w:b/>
          <w:color w:val="auto"/>
        </w:rPr>
        <w:t>MEGA CABLE:</w:t>
      </w:r>
    </w:p>
    <w:p w14:paraId="1319D9BB" w14:textId="71B289D7" w:rsidR="00BE083A" w:rsidRPr="0052418C" w:rsidRDefault="00BE083A" w:rsidP="0052418C">
      <w:pPr>
        <w:spacing w:after="0" w:line="276" w:lineRule="auto"/>
        <w:rPr>
          <w:rFonts w:ascii="ITC Avant Garde" w:hAnsi="ITC Avant Garde"/>
          <w:bCs/>
          <w:color w:val="auto"/>
        </w:rPr>
      </w:pPr>
      <w:r w:rsidRPr="0052418C">
        <w:rPr>
          <w:rFonts w:ascii="ITC Avant Garde" w:hAnsi="ITC Avant Garde"/>
          <w:bCs/>
          <w:color w:val="auto"/>
        </w:rPr>
        <w:t xml:space="preserve">Argumentó que la Oferta no incluye capacidades por encima de E1 para tecnología TDM, lo que puede resultar en afectaciones a los </w:t>
      </w:r>
      <w:r w:rsidR="00C34C3B" w:rsidRPr="0052418C">
        <w:rPr>
          <w:rFonts w:ascii="ITC Avant Garde" w:hAnsi="ITC Avant Garde"/>
          <w:color w:val="auto"/>
        </w:rPr>
        <w:t xml:space="preserve">Concesionarios Solicitantes (en lo sucesivo, “CS”) </w:t>
      </w:r>
      <w:r w:rsidRPr="0052418C">
        <w:rPr>
          <w:rFonts w:ascii="ITC Avant Garde" w:hAnsi="ITC Avant Garde"/>
          <w:bCs/>
          <w:color w:val="auto"/>
        </w:rPr>
        <w:t xml:space="preserve">que contratan dichos enlaces o que estarían en la posibilidad de hacerlo. </w:t>
      </w:r>
      <w:r w:rsidR="00C34C3B" w:rsidRPr="0052418C">
        <w:rPr>
          <w:rFonts w:ascii="ITC Avant Garde" w:hAnsi="ITC Avant Garde"/>
          <w:bCs/>
          <w:color w:val="auto"/>
        </w:rPr>
        <w:t xml:space="preserve">Señaló </w:t>
      </w:r>
      <w:r w:rsidRPr="0052418C">
        <w:rPr>
          <w:rFonts w:ascii="ITC Avant Garde" w:hAnsi="ITC Avant Garde"/>
          <w:bCs/>
          <w:color w:val="auto"/>
        </w:rPr>
        <w:t xml:space="preserve">que </w:t>
      </w:r>
      <w:r w:rsidR="00C34C3B" w:rsidRPr="0052418C">
        <w:rPr>
          <w:rFonts w:ascii="ITC Avant Garde" w:hAnsi="ITC Avant Garde"/>
          <w:bCs/>
          <w:color w:val="auto"/>
        </w:rPr>
        <w:t>de</w:t>
      </w:r>
      <w:r w:rsidRPr="0052418C">
        <w:rPr>
          <w:rFonts w:ascii="ITC Avant Garde" w:hAnsi="ITC Avant Garde"/>
          <w:bCs/>
          <w:color w:val="auto"/>
        </w:rPr>
        <w:t xml:space="preserve"> no </w:t>
      </w:r>
      <w:r w:rsidR="00C34C3B" w:rsidRPr="0052418C">
        <w:rPr>
          <w:rFonts w:ascii="ITC Avant Garde" w:hAnsi="ITC Avant Garde"/>
          <w:bCs/>
          <w:color w:val="auto"/>
        </w:rPr>
        <w:t>contar</w:t>
      </w:r>
      <w:r w:rsidRPr="0052418C">
        <w:rPr>
          <w:rFonts w:ascii="ITC Avant Garde" w:hAnsi="ITC Avant Garde"/>
          <w:bCs/>
          <w:color w:val="auto"/>
        </w:rPr>
        <w:t xml:space="preserve"> con dichas capacidades </w:t>
      </w:r>
      <w:r w:rsidR="00C34C3B" w:rsidRPr="0052418C">
        <w:rPr>
          <w:rFonts w:ascii="ITC Avant Garde" w:hAnsi="ITC Avant Garde"/>
          <w:bCs/>
          <w:color w:val="auto"/>
        </w:rPr>
        <w:t>se</w:t>
      </w:r>
      <w:r w:rsidRPr="0052418C">
        <w:rPr>
          <w:rFonts w:ascii="ITC Avant Garde" w:hAnsi="ITC Avant Garde"/>
          <w:bCs/>
          <w:color w:val="auto"/>
        </w:rPr>
        <w:t xml:space="preserve"> limita</w:t>
      </w:r>
      <w:r w:rsidR="00C34C3B" w:rsidRPr="0052418C">
        <w:rPr>
          <w:rFonts w:ascii="ITC Avant Garde" w:hAnsi="ITC Avant Garde"/>
          <w:bCs/>
          <w:color w:val="auto"/>
        </w:rPr>
        <w:t>n</w:t>
      </w:r>
      <w:r w:rsidRPr="0052418C">
        <w:rPr>
          <w:rFonts w:ascii="ITC Avant Garde" w:hAnsi="ITC Avant Garde"/>
          <w:bCs/>
          <w:color w:val="auto"/>
        </w:rPr>
        <w:t xml:space="preserve"> las alternativas del servicio de arrendamiento de enlaces dedicados a los CS. Asimismo, </w:t>
      </w:r>
      <w:r w:rsidR="00C34C3B" w:rsidRPr="0052418C">
        <w:rPr>
          <w:rFonts w:ascii="ITC Avant Garde" w:hAnsi="ITC Avant Garde"/>
          <w:bCs/>
          <w:color w:val="auto"/>
        </w:rPr>
        <w:t xml:space="preserve">manifestó que </w:t>
      </w:r>
      <w:bookmarkStart w:id="2" w:name="_Hlk93318445"/>
      <w:r w:rsidR="00EF0921" w:rsidRPr="0052418C">
        <w:rPr>
          <w:rFonts w:ascii="ITC Avant Garde" w:hAnsi="ITC Avant Garde" w:cs="Arial"/>
        </w:rPr>
        <w:t>Red Nacional</w:t>
      </w:r>
      <w:r w:rsidRPr="0052418C">
        <w:rPr>
          <w:rFonts w:ascii="ITC Avant Garde" w:hAnsi="ITC Avant Garde"/>
          <w:bCs/>
          <w:color w:val="auto"/>
        </w:rPr>
        <w:t xml:space="preserve"> </w:t>
      </w:r>
      <w:bookmarkEnd w:id="2"/>
      <w:r w:rsidRPr="0052418C">
        <w:rPr>
          <w:rFonts w:ascii="ITC Avant Garde" w:hAnsi="ITC Avant Garde"/>
          <w:bCs/>
          <w:color w:val="auto"/>
        </w:rPr>
        <w:t>intent</w:t>
      </w:r>
      <w:r w:rsidR="00C34C3B" w:rsidRPr="0052418C">
        <w:rPr>
          <w:rFonts w:ascii="ITC Avant Garde" w:hAnsi="ITC Avant Garde"/>
          <w:bCs/>
          <w:color w:val="auto"/>
        </w:rPr>
        <w:t xml:space="preserve">ó </w:t>
      </w:r>
      <w:r w:rsidRPr="0052418C">
        <w:rPr>
          <w:rFonts w:ascii="ITC Avant Garde" w:hAnsi="ITC Avant Garde"/>
          <w:bCs/>
          <w:color w:val="auto"/>
        </w:rPr>
        <w:t xml:space="preserve">proporcionar los enlaces dedicados con tecnología TDM solamente en aquellos casos mientras cuente con dicha tecnología y tenga capacidad disponible, lo cual genera incertidumbre en usuarios y restringe injustificadamente las opciones de contratación de </w:t>
      </w:r>
      <w:r w:rsidR="000858BC">
        <w:rPr>
          <w:rFonts w:ascii="ITC Avant Garde" w:hAnsi="ITC Avant Garde"/>
          <w:bCs/>
          <w:color w:val="auto"/>
        </w:rPr>
        <w:t xml:space="preserve">los </w:t>
      </w:r>
      <w:r w:rsidRPr="0052418C">
        <w:rPr>
          <w:rFonts w:ascii="ITC Avant Garde" w:hAnsi="ITC Avant Garde"/>
          <w:bCs/>
          <w:color w:val="auto"/>
        </w:rPr>
        <w:t xml:space="preserve">CS y </w:t>
      </w:r>
      <w:r w:rsidR="00C34C3B" w:rsidRPr="0052418C">
        <w:rPr>
          <w:rFonts w:ascii="ITC Avant Garde" w:hAnsi="ITC Avant Garde"/>
          <w:color w:val="auto"/>
        </w:rPr>
        <w:t>Autorizados Solicitantes (en lo sucesivo, “</w:t>
      </w:r>
      <w:r w:rsidRPr="0052418C">
        <w:rPr>
          <w:rFonts w:ascii="ITC Avant Garde" w:hAnsi="ITC Avant Garde"/>
          <w:bCs/>
          <w:color w:val="auto"/>
        </w:rPr>
        <w:t>AS</w:t>
      </w:r>
      <w:r w:rsidR="00C34C3B" w:rsidRPr="0052418C">
        <w:rPr>
          <w:rFonts w:ascii="ITC Avant Garde" w:hAnsi="ITC Avant Garde"/>
          <w:color w:val="auto"/>
        </w:rPr>
        <w:t>”)</w:t>
      </w:r>
      <w:r w:rsidRPr="0052418C">
        <w:rPr>
          <w:rFonts w:ascii="ITC Avant Garde" w:hAnsi="ITC Avant Garde"/>
          <w:bCs/>
          <w:color w:val="auto"/>
        </w:rPr>
        <w:t>.</w:t>
      </w:r>
    </w:p>
    <w:p w14:paraId="4A33E007" w14:textId="77777777" w:rsidR="00BE083A" w:rsidRPr="0052418C" w:rsidRDefault="00BE083A" w:rsidP="0052418C">
      <w:pPr>
        <w:autoSpaceDE w:val="0"/>
        <w:autoSpaceDN w:val="0"/>
        <w:adjustRightInd w:val="0"/>
        <w:spacing w:after="0" w:line="276" w:lineRule="auto"/>
        <w:ind w:left="0" w:right="0" w:firstLine="0"/>
        <w:rPr>
          <w:rFonts w:ascii="ITC Avant Garde" w:hAnsi="ITC Avant Garde" w:cs="Arial"/>
          <w:color w:val="auto"/>
        </w:rPr>
      </w:pPr>
    </w:p>
    <w:p w14:paraId="3F72E4FE" w14:textId="0C8C7850" w:rsidR="002F2F9E" w:rsidRPr="0052418C" w:rsidRDefault="00874EE9" w:rsidP="0052418C">
      <w:pPr>
        <w:autoSpaceDE w:val="0"/>
        <w:autoSpaceDN w:val="0"/>
        <w:adjustRightInd w:val="0"/>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B55741" w:rsidRPr="0052418C">
        <w:rPr>
          <w:rFonts w:ascii="ITC Avant Garde" w:hAnsi="ITC Avant Garde" w:cs="Arial"/>
          <w:b/>
          <w:color w:val="auto"/>
        </w:rPr>
        <w:t>:</w:t>
      </w:r>
    </w:p>
    <w:p w14:paraId="2AA8900E" w14:textId="34A930AB" w:rsidR="00A926FD" w:rsidRPr="0052418C" w:rsidRDefault="00EE193B" w:rsidP="0052418C">
      <w:pPr>
        <w:autoSpaceDE w:val="0"/>
        <w:autoSpaceDN w:val="0"/>
        <w:adjustRightInd w:val="0"/>
        <w:spacing w:after="0" w:line="276" w:lineRule="auto"/>
        <w:ind w:left="0" w:right="0" w:firstLine="0"/>
        <w:rPr>
          <w:rFonts w:ascii="ITC Avant Garde" w:hAnsi="ITC Avant Garde"/>
          <w:color w:val="auto"/>
        </w:rPr>
      </w:pPr>
      <w:r w:rsidRPr="0052418C">
        <w:rPr>
          <w:rFonts w:ascii="ITC Avant Garde" w:hAnsi="ITC Avant Garde" w:cs="Arial"/>
          <w:color w:val="auto"/>
        </w:rPr>
        <w:t xml:space="preserve">Al respecto, </w:t>
      </w:r>
      <w:r w:rsidRPr="0052418C">
        <w:rPr>
          <w:rFonts w:ascii="ITC Avant Garde" w:hAnsi="ITC Avant Garde"/>
        </w:rPr>
        <w:t>d</w:t>
      </w:r>
      <w:r w:rsidR="0039796F" w:rsidRPr="0052418C">
        <w:rPr>
          <w:rFonts w:ascii="ITC Avant Garde" w:hAnsi="ITC Avant Garde"/>
        </w:rPr>
        <w:t>e conformidad con</w:t>
      </w:r>
      <w:r w:rsidR="00C34C3B" w:rsidRPr="0052418C">
        <w:rPr>
          <w:rFonts w:ascii="ITC Avant Garde" w:hAnsi="ITC Avant Garde"/>
        </w:rPr>
        <w:t xml:space="preserve"> el comentario de Grupo AT&amp;T</w:t>
      </w:r>
      <w:r w:rsidR="0039796F" w:rsidRPr="0052418C">
        <w:rPr>
          <w:rFonts w:ascii="ITC Avant Garde" w:hAnsi="ITC Avant Garde"/>
        </w:rPr>
        <w:t xml:space="preserve">, </w:t>
      </w:r>
      <w:r w:rsidR="00763B0E" w:rsidRPr="0052418C">
        <w:rPr>
          <w:rFonts w:ascii="ITC Avant Garde" w:hAnsi="ITC Avant Garde"/>
        </w:rPr>
        <w:t xml:space="preserve">se </w:t>
      </w:r>
      <w:r w:rsidR="006037D3" w:rsidRPr="0052418C">
        <w:rPr>
          <w:rFonts w:ascii="ITC Avant Garde" w:hAnsi="ITC Avant Garde"/>
        </w:rPr>
        <w:t>adicionó</w:t>
      </w:r>
      <w:r w:rsidR="006037D3" w:rsidRPr="0052418C">
        <w:rPr>
          <w:rFonts w:ascii="ITC Avant Garde" w:hAnsi="ITC Avant Garde"/>
          <w:lang w:eastAsia="en-US"/>
        </w:rPr>
        <w:t xml:space="preserve"> </w:t>
      </w:r>
      <w:r w:rsidR="0039796F" w:rsidRPr="0052418C">
        <w:rPr>
          <w:rFonts w:ascii="ITC Avant Garde" w:hAnsi="ITC Avant Garde"/>
          <w:lang w:eastAsia="en-US"/>
        </w:rPr>
        <w:t>la capacidad de 100 Gbps de enlaces Ethernet que deben ser proporcionados por Red Nacional y Red Noroeste</w:t>
      </w:r>
      <w:r w:rsidR="00A926FD" w:rsidRPr="0052418C">
        <w:rPr>
          <w:rFonts w:ascii="ITC Avant Garde" w:hAnsi="ITC Avant Garde"/>
          <w:lang w:eastAsia="en-US"/>
        </w:rPr>
        <w:t xml:space="preserve">, </w:t>
      </w:r>
      <w:r w:rsidR="00A926FD" w:rsidRPr="0052418C">
        <w:rPr>
          <w:rFonts w:ascii="ITC Avant Garde" w:hAnsi="ITC Avant Garde"/>
          <w:color w:val="auto"/>
        </w:rPr>
        <w:t>en los numerales 2.1, 2.3 y 2.4.1.1, con el objetivo de que los CS o AS tengan acceso a dichas capacidades.</w:t>
      </w:r>
    </w:p>
    <w:p w14:paraId="01303E35" w14:textId="77777777" w:rsidR="0039796F" w:rsidRPr="0052418C" w:rsidRDefault="0039796F" w:rsidP="0052418C">
      <w:pPr>
        <w:spacing w:line="276" w:lineRule="auto"/>
        <w:rPr>
          <w:rFonts w:ascii="ITC Avant Garde" w:hAnsi="ITC Avant Garde"/>
          <w:lang w:eastAsia="en-US"/>
        </w:rPr>
      </w:pPr>
    </w:p>
    <w:p w14:paraId="197C5136" w14:textId="1FA21DF5" w:rsidR="006849FE" w:rsidRPr="0052418C" w:rsidRDefault="006849FE" w:rsidP="0052418C">
      <w:pPr>
        <w:autoSpaceDE w:val="0"/>
        <w:autoSpaceDN w:val="0"/>
        <w:spacing w:line="276" w:lineRule="auto"/>
        <w:ind w:left="709" w:right="757"/>
        <w:rPr>
          <w:rFonts w:ascii="ITC Avant Garde" w:hAnsi="ITC Avant Garde" w:cs="Arial"/>
          <w:b/>
          <w:i/>
          <w:sz w:val="18"/>
          <w:szCs w:val="18"/>
        </w:rPr>
      </w:pPr>
      <w:r w:rsidRPr="0052418C">
        <w:rPr>
          <w:rFonts w:ascii="ITC Avant Garde" w:hAnsi="ITC Avant Garde" w:cs="Arial"/>
          <w:b/>
          <w:i/>
          <w:sz w:val="18"/>
          <w:szCs w:val="18"/>
        </w:rPr>
        <w:t>“2. Servicio Comercial de Telecomunicaciones</w:t>
      </w:r>
    </w:p>
    <w:p w14:paraId="4F372A29" w14:textId="77777777" w:rsidR="0039796F" w:rsidRPr="0052418C" w:rsidRDefault="0039796F" w:rsidP="0052418C">
      <w:pPr>
        <w:autoSpaceDE w:val="0"/>
        <w:autoSpaceDN w:val="0"/>
        <w:spacing w:line="276" w:lineRule="auto"/>
        <w:ind w:left="709" w:right="757"/>
        <w:rPr>
          <w:rFonts w:ascii="ITC Avant Garde" w:hAnsi="ITC Avant Garde" w:cs="Arial"/>
          <w:b/>
          <w:i/>
          <w:sz w:val="18"/>
          <w:szCs w:val="18"/>
        </w:rPr>
      </w:pPr>
    </w:p>
    <w:p w14:paraId="12594233" w14:textId="77777777" w:rsidR="0039796F" w:rsidRPr="0052418C" w:rsidRDefault="0039796F" w:rsidP="0052418C">
      <w:pPr>
        <w:autoSpaceDE w:val="0"/>
        <w:autoSpaceDN w:val="0"/>
        <w:spacing w:line="276" w:lineRule="auto"/>
        <w:ind w:left="709" w:right="757"/>
        <w:rPr>
          <w:rFonts w:ascii="ITC Avant Garde" w:hAnsi="ITC Avant Garde" w:cs="Arial"/>
          <w:b/>
          <w:i/>
          <w:sz w:val="18"/>
          <w:szCs w:val="18"/>
        </w:rPr>
      </w:pPr>
      <w:r w:rsidRPr="0052418C">
        <w:rPr>
          <w:rFonts w:ascii="ITC Avant Garde" w:hAnsi="ITC Avant Garde" w:cs="Arial"/>
          <w:b/>
          <w:i/>
          <w:sz w:val="18"/>
          <w:szCs w:val="18"/>
        </w:rPr>
        <w:t xml:space="preserve">2.1 Servicios mayoristas de Arrendamiento de Enlaces Dedicados y de Interconexión. </w:t>
      </w:r>
    </w:p>
    <w:p w14:paraId="054D4B7D" w14:textId="77777777" w:rsidR="0039796F" w:rsidRPr="0052418C" w:rsidRDefault="0039796F" w:rsidP="0052418C">
      <w:pPr>
        <w:autoSpaceDE w:val="0"/>
        <w:autoSpaceDN w:val="0"/>
        <w:spacing w:line="276" w:lineRule="auto"/>
        <w:ind w:left="709" w:right="757"/>
        <w:rPr>
          <w:rFonts w:ascii="ITC Avant Garde" w:hAnsi="ITC Avant Garde" w:cs="Arial"/>
          <w:b/>
          <w:i/>
          <w:sz w:val="18"/>
          <w:szCs w:val="18"/>
        </w:rPr>
      </w:pPr>
    </w:p>
    <w:p w14:paraId="0155AD4A" w14:textId="77777777" w:rsidR="0039796F" w:rsidRPr="0052418C" w:rsidRDefault="0039796F" w:rsidP="0052418C">
      <w:pPr>
        <w:autoSpaceDE w:val="0"/>
        <w:autoSpaceDN w:val="0"/>
        <w:spacing w:line="276" w:lineRule="auto"/>
        <w:ind w:left="709" w:right="757"/>
        <w:rPr>
          <w:rFonts w:ascii="ITC Avant Garde" w:hAnsi="ITC Avant Garde" w:cs="Arial"/>
          <w:b/>
          <w:i/>
          <w:sz w:val="18"/>
          <w:szCs w:val="18"/>
        </w:rPr>
      </w:pPr>
      <w:r w:rsidRPr="0052418C">
        <w:rPr>
          <w:rFonts w:ascii="ITC Avant Garde" w:hAnsi="ITC Avant Garde" w:cs="Arial"/>
          <w:i/>
          <w:sz w:val="18"/>
          <w:szCs w:val="18"/>
        </w:rPr>
        <w:t>(…)</w:t>
      </w:r>
    </w:p>
    <w:p w14:paraId="4EE5B02C" w14:textId="77777777" w:rsidR="0039796F" w:rsidRPr="0052418C" w:rsidRDefault="0039796F" w:rsidP="0052418C">
      <w:pPr>
        <w:autoSpaceDE w:val="0"/>
        <w:autoSpaceDN w:val="0"/>
        <w:spacing w:line="276" w:lineRule="auto"/>
        <w:ind w:left="709" w:right="757"/>
        <w:rPr>
          <w:rFonts w:ascii="ITC Avant Garde" w:hAnsi="ITC Avant Garde" w:cs="Arial"/>
          <w:i/>
          <w:sz w:val="18"/>
          <w:szCs w:val="18"/>
        </w:rPr>
      </w:pPr>
    </w:p>
    <w:p w14:paraId="5CA45BFB" w14:textId="77777777" w:rsidR="0039796F" w:rsidRPr="0052418C" w:rsidRDefault="0039796F" w:rsidP="0052418C">
      <w:pPr>
        <w:pStyle w:val="Prrafodelista"/>
        <w:numPr>
          <w:ilvl w:val="0"/>
          <w:numId w:val="89"/>
        </w:numPr>
        <w:tabs>
          <w:tab w:val="left" w:pos="851"/>
        </w:tabs>
        <w:autoSpaceDE w:val="0"/>
        <w:autoSpaceDN w:val="0"/>
        <w:spacing w:after="0" w:line="276" w:lineRule="auto"/>
        <w:ind w:right="757"/>
        <w:contextualSpacing w:val="0"/>
        <w:rPr>
          <w:rFonts w:ascii="ITC Avant Garde" w:hAnsi="ITC Avant Garde" w:cs="Arial"/>
          <w:i/>
          <w:sz w:val="18"/>
          <w:szCs w:val="18"/>
        </w:rPr>
      </w:pPr>
      <w:r w:rsidRPr="0052418C">
        <w:rPr>
          <w:rFonts w:ascii="ITC Avant Garde" w:hAnsi="ITC Avant Garde" w:cs="Arial"/>
          <w:i/>
          <w:sz w:val="18"/>
          <w:szCs w:val="18"/>
        </w:rPr>
        <w:t xml:space="preserve">Enlaces Locales (ambas puntas en una misma Localidad), mediante tecnología Ethernet, con las siguientes capacidades: Ethernet 1 Mbps, Ethernet 2 Mbps, Ethernet 4 Mbps, Ethernet 6 Mbps, Ethernet 8 Mbps, Ethernet 10 Mbps, Ethernet 20 Mbps, Ethernet 30 Mbps, Ethernet 40 Mbps, Ethernet 50 Mbps, Ethernet 60 Mbps, Ethernet 80 Mbps, Ethernet 100 Mbps, Ethernet 150 Mbps, Ethernet 200 Mbps, Ethernet 250 Mbps, Ethernet 500 Mbps, Ethernet 1 Gbps, Hub Ethernet 1 Gbps, Hub Ethernet 10 Gbps, </w:t>
      </w:r>
      <w:r w:rsidRPr="0052418C">
        <w:rPr>
          <w:rFonts w:ascii="ITC Avant Garde" w:hAnsi="ITC Avant Garde" w:cs="Arial"/>
          <w:b/>
          <w:i/>
          <w:sz w:val="18"/>
          <w:szCs w:val="18"/>
          <w:u w:val="single"/>
        </w:rPr>
        <w:t>Hub Ethernet 100 Gbps</w:t>
      </w:r>
      <w:r w:rsidRPr="0052418C">
        <w:rPr>
          <w:rFonts w:ascii="ITC Avant Garde" w:hAnsi="ITC Avant Garde" w:cs="Arial"/>
          <w:i/>
          <w:sz w:val="18"/>
          <w:szCs w:val="18"/>
          <w:u w:val="single"/>
        </w:rPr>
        <w:t xml:space="preserve"> </w:t>
      </w:r>
      <w:r w:rsidRPr="0052418C">
        <w:rPr>
          <w:rFonts w:ascii="ITC Avant Garde" w:hAnsi="ITC Avant Garde" w:cs="Arial"/>
          <w:i/>
          <w:sz w:val="18"/>
          <w:szCs w:val="18"/>
        </w:rPr>
        <w:t xml:space="preserve">de conformidad con lo establecido en la tabla del numeral 2.3. </w:t>
      </w:r>
    </w:p>
    <w:p w14:paraId="0A02C332" w14:textId="77777777" w:rsidR="006849FE" w:rsidRPr="0052418C" w:rsidRDefault="006849FE" w:rsidP="0052418C">
      <w:pPr>
        <w:pStyle w:val="Prrafodelista"/>
        <w:autoSpaceDE w:val="0"/>
        <w:autoSpaceDN w:val="0"/>
        <w:spacing w:after="0" w:line="276" w:lineRule="auto"/>
        <w:ind w:left="709" w:right="757"/>
        <w:contextualSpacing w:val="0"/>
        <w:rPr>
          <w:rFonts w:ascii="ITC Avant Garde" w:hAnsi="ITC Avant Garde" w:cs="Arial"/>
          <w:i/>
          <w:sz w:val="18"/>
          <w:szCs w:val="18"/>
        </w:rPr>
      </w:pPr>
      <w:r w:rsidRPr="0052418C">
        <w:rPr>
          <w:rFonts w:ascii="ITC Avant Garde" w:hAnsi="ITC Avant Garde" w:cs="Arial"/>
          <w:i/>
          <w:sz w:val="18"/>
          <w:szCs w:val="18"/>
        </w:rPr>
        <w:t xml:space="preserve"> </w:t>
      </w:r>
    </w:p>
    <w:p w14:paraId="32A8C563" w14:textId="6CEBCDE1" w:rsidR="00767050" w:rsidRPr="0052418C" w:rsidRDefault="00767050" w:rsidP="0052418C">
      <w:pPr>
        <w:autoSpaceDE w:val="0"/>
        <w:autoSpaceDN w:val="0"/>
        <w:adjustRightInd w:val="0"/>
        <w:spacing w:after="0" w:line="276" w:lineRule="auto"/>
        <w:ind w:left="709" w:right="0" w:firstLine="0"/>
        <w:rPr>
          <w:rFonts w:ascii="ITC Avant Garde" w:hAnsi="ITC Avant Garde" w:cs="Arial"/>
          <w:i/>
          <w:color w:val="auto"/>
          <w:sz w:val="18"/>
          <w:szCs w:val="18"/>
        </w:rPr>
      </w:pPr>
      <w:r w:rsidRPr="0052418C">
        <w:rPr>
          <w:rFonts w:ascii="ITC Avant Garde" w:hAnsi="ITC Avant Garde" w:cs="Arial"/>
          <w:i/>
          <w:color w:val="auto"/>
          <w:sz w:val="18"/>
          <w:szCs w:val="18"/>
        </w:rPr>
        <w:t>(…)</w:t>
      </w:r>
    </w:p>
    <w:p w14:paraId="79E9EAFB" w14:textId="77777777" w:rsidR="0036142B" w:rsidRPr="0036142B" w:rsidRDefault="0036142B" w:rsidP="0036142B">
      <w:pPr>
        <w:pStyle w:val="Prrafodelista"/>
        <w:autoSpaceDE w:val="0"/>
        <w:autoSpaceDN w:val="0"/>
        <w:spacing w:after="0" w:line="276" w:lineRule="auto"/>
        <w:ind w:left="5665" w:right="757" w:firstLine="707"/>
        <w:contextualSpacing w:val="0"/>
        <w:rPr>
          <w:rFonts w:ascii="ITC Avant Garde" w:hAnsi="ITC Avant Garde" w:cs="Arial"/>
          <w:iCs/>
          <w:sz w:val="18"/>
          <w:szCs w:val="18"/>
        </w:rPr>
      </w:pPr>
      <w:r w:rsidRPr="0036142B">
        <w:rPr>
          <w:rFonts w:ascii="ITC Avant Garde" w:hAnsi="ITC Avant Garde" w:cs="Arial"/>
          <w:iCs/>
          <w:sz w:val="18"/>
          <w:szCs w:val="18"/>
        </w:rPr>
        <w:t>(énfasis añadido)</w:t>
      </w:r>
    </w:p>
    <w:p w14:paraId="69A62D1D" w14:textId="6A07CC0D" w:rsidR="003B6046" w:rsidRPr="0052418C" w:rsidRDefault="003B6046" w:rsidP="0052418C">
      <w:pPr>
        <w:pStyle w:val="IFTnormal"/>
        <w:spacing w:after="0"/>
        <w:ind w:left="709" w:right="616"/>
        <w:rPr>
          <w:rFonts w:cs="Arial"/>
          <w:i/>
          <w:color w:val="000000"/>
          <w:sz w:val="18"/>
          <w:szCs w:val="18"/>
        </w:rPr>
      </w:pPr>
    </w:p>
    <w:p w14:paraId="271D9C29" w14:textId="5AC7487B" w:rsidR="003B6046" w:rsidRPr="0052418C" w:rsidRDefault="003B6046" w:rsidP="0052418C">
      <w:pPr>
        <w:autoSpaceDE w:val="0"/>
        <w:autoSpaceDN w:val="0"/>
        <w:spacing w:after="0" w:line="276" w:lineRule="auto"/>
        <w:ind w:left="709" w:right="616"/>
        <w:rPr>
          <w:rFonts w:ascii="ITC Avant Garde" w:hAnsi="ITC Avant Garde" w:cs="Arial"/>
          <w:i/>
          <w:sz w:val="18"/>
          <w:szCs w:val="18"/>
        </w:rPr>
      </w:pPr>
      <w:r w:rsidRPr="0052418C">
        <w:rPr>
          <w:rFonts w:ascii="ITC Avant Garde" w:hAnsi="ITC Avant Garde" w:cs="Arial"/>
          <w:b/>
          <w:bCs/>
          <w:i/>
          <w:sz w:val="18"/>
          <w:szCs w:val="18"/>
        </w:rPr>
        <w:t>2.3 Capacidad de los Servicios.</w:t>
      </w:r>
    </w:p>
    <w:p w14:paraId="7185554F" w14:textId="1B942645" w:rsidR="00AB1B28" w:rsidRPr="0052418C" w:rsidRDefault="003B6046" w:rsidP="0052418C">
      <w:pPr>
        <w:autoSpaceDE w:val="0"/>
        <w:autoSpaceDN w:val="0"/>
        <w:spacing w:after="0" w:line="276" w:lineRule="auto"/>
        <w:ind w:left="709" w:right="616"/>
        <w:rPr>
          <w:rFonts w:ascii="ITC Avant Garde" w:hAnsi="ITC Avant Garde" w:cs="Arial"/>
          <w:i/>
          <w:sz w:val="18"/>
          <w:szCs w:val="18"/>
        </w:rPr>
      </w:pPr>
      <w:r w:rsidRPr="0052418C">
        <w:rPr>
          <w:rFonts w:ascii="ITC Avant Garde" w:hAnsi="ITC Avant Garde" w:cs="Arial"/>
          <w:i/>
          <w:sz w:val="18"/>
          <w:szCs w:val="18"/>
        </w:rPr>
        <w:t> </w:t>
      </w:r>
    </w:p>
    <w:p w14:paraId="2326BB20" w14:textId="77777777" w:rsidR="00AB1B28" w:rsidRPr="0052418C" w:rsidRDefault="00AB1B28" w:rsidP="0052418C">
      <w:pPr>
        <w:autoSpaceDE w:val="0"/>
        <w:autoSpaceDN w:val="0"/>
        <w:spacing w:after="0" w:line="276" w:lineRule="auto"/>
        <w:ind w:left="709" w:right="709" w:firstLine="0"/>
        <w:rPr>
          <w:rFonts w:ascii="ITC Avant Garde" w:hAnsi="ITC Avant Garde" w:cs="Arial"/>
          <w:i/>
          <w:sz w:val="18"/>
          <w:szCs w:val="18"/>
        </w:rPr>
      </w:pPr>
      <w:r w:rsidRPr="0052418C">
        <w:rPr>
          <w:rFonts w:ascii="ITC Avant Garde" w:hAnsi="ITC Avant Garde" w:cs="Arial"/>
          <w:i/>
          <w:sz w:val="18"/>
          <w:szCs w:val="18"/>
        </w:rPr>
        <w:t>Los servicios mayoristas de Arrendamiento de Enlaces Dedicados Locales, serán ofrecidos en las siguientes velocidades de transmisión:</w:t>
      </w:r>
    </w:p>
    <w:p w14:paraId="718A21E4" w14:textId="321094EB" w:rsidR="003B6046" w:rsidRPr="0052418C" w:rsidRDefault="003B6046" w:rsidP="0052418C">
      <w:pPr>
        <w:autoSpaceDE w:val="0"/>
        <w:autoSpaceDN w:val="0"/>
        <w:spacing w:after="0" w:line="276" w:lineRule="auto"/>
        <w:ind w:left="567" w:right="709"/>
        <w:rPr>
          <w:rFonts w:ascii="ITC Avant Garde" w:hAnsi="ITC Avant Garde" w:cs="Arial"/>
          <w:i/>
        </w:rPr>
      </w:pPr>
    </w:p>
    <w:tbl>
      <w:tblPr>
        <w:tblW w:w="46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94"/>
        <w:gridCol w:w="2484"/>
      </w:tblGrid>
      <w:tr w:rsidR="00DB5C96" w:rsidRPr="0052418C" w14:paraId="15B30434" w14:textId="77777777" w:rsidTr="0036142B">
        <w:trPr>
          <w:trHeight w:val="512"/>
          <w:jc w:val="center"/>
        </w:trPr>
        <w:tc>
          <w:tcPr>
            <w:tcW w:w="2194" w:type="dxa"/>
            <w:vMerge w:val="restart"/>
            <w:tcBorders>
              <w:top w:val="single" w:sz="4" w:space="0" w:color="auto"/>
              <w:left w:val="single" w:sz="4" w:space="0" w:color="auto"/>
              <w:right w:val="single" w:sz="4" w:space="0" w:color="auto"/>
            </w:tcBorders>
            <w:shd w:val="clear" w:color="auto" w:fill="0070C0"/>
            <w:vAlign w:val="center"/>
            <w:hideMark/>
          </w:tcPr>
          <w:p w14:paraId="58E9A473" w14:textId="77777777" w:rsidR="00DB5C96" w:rsidRPr="0052418C" w:rsidRDefault="00DB5C96" w:rsidP="0052418C">
            <w:pPr>
              <w:tabs>
                <w:tab w:val="left" w:pos="-720"/>
              </w:tabs>
              <w:suppressAutoHyphens/>
              <w:spacing w:after="0" w:line="276" w:lineRule="auto"/>
              <w:ind w:hanging="11"/>
              <w:rPr>
                <w:rFonts w:ascii="ITC Avant Garde" w:hAnsi="ITC Avant Garde" w:cs="Arial"/>
                <w:i/>
                <w:color w:val="FFFFFF" w:themeColor="background1"/>
                <w:sz w:val="18"/>
                <w:szCs w:val="18"/>
                <w:lang w:val="es-ES_tradnl"/>
              </w:rPr>
            </w:pPr>
            <w:r w:rsidRPr="0052418C">
              <w:rPr>
                <w:rFonts w:ascii="ITC Avant Garde" w:hAnsi="ITC Avant Garde" w:cs="Arial"/>
                <w:b/>
                <w:i/>
                <w:color w:val="FFFFFF" w:themeColor="background1"/>
                <w:sz w:val="18"/>
                <w:szCs w:val="18"/>
                <w:lang w:val="es-ES_tradnl"/>
              </w:rPr>
              <w:lastRenderedPageBreak/>
              <w:t>Denominación</w:t>
            </w:r>
            <w:r w:rsidRPr="0052418C">
              <w:rPr>
                <w:rFonts w:ascii="ITC Avant Garde" w:hAnsi="ITC Avant Garde" w:cs="Arial"/>
                <w:b/>
                <w:bCs/>
                <w:i/>
                <w:color w:val="FFFFFF" w:themeColor="background1"/>
                <w:sz w:val="18"/>
                <w:szCs w:val="18"/>
                <w:lang w:val="es-ES_tradnl" w:eastAsia="es-ES"/>
              </w:rPr>
              <w:t xml:space="preserve"> </w:t>
            </w:r>
          </w:p>
        </w:tc>
        <w:tc>
          <w:tcPr>
            <w:tcW w:w="2484" w:type="dxa"/>
            <w:vMerge w:val="restart"/>
            <w:tcBorders>
              <w:top w:val="single" w:sz="4" w:space="0" w:color="auto"/>
              <w:left w:val="single" w:sz="4" w:space="0" w:color="auto"/>
              <w:right w:val="single" w:sz="4" w:space="0" w:color="auto"/>
            </w:tcBorders>
            <w:shd w:val="clear" w:color="auto" w:fill="0070C0"/>
            <w:vAlign w:val="center"/>
            <w:hideMark/>
          </w:tcPr>
          <w:p w14:paraId="1656A98B" w14:textId="77777777" w:rsidR="00DB5C96" w:rsidRPr="0052418C" w:rsidRDefault="00DB5C96" w:rsidP="0052418C">
            <w:pPr>
              <w:tabs>
                <w:tab w:val="left" w:pos="-720"/>
              </w:tabs>
              <w:suppressAutoHyphens/>
              <w:spacing w:after="0" w:line="276" w:lineRule="auto"/>
              <w:ind w:hanging="11"/>
              <w:rPr>
                <w:rFonts w:ascii="ITC Avant Garde" w:hAnsi="ITC Avant Garde" w:cs="Arial"/>
                <w:i/>
                <w:color w:val="FFFFFF" w:themeColor="background1"/>
                <w:sz w:val="18"/>
                <w:szCs w:val="18"/>
                <w:lang w:val="es-ES_tradnl"/>
              </w:rPr>
            </w:pPr>
            <w:r w:rsidRPr="0052418C">
              <w:rPr>
                <w:rFonts w:ascii="ITC Avant Garde" w:hAnsi="ITC Avant Garde" w:cs="Arial"/>
                <w:b/>
                <w:i/>
                <w:color w:val="FFFFFF" w:themeColor="background1"/>
                <w:sz w:val="18"/>
                <w:szCs w:val="18"/>
                <w:lang w:val="es-ES_tradnl"/>
              </w:rPr>
              <w:t>Capacidad</w:t>
            </w:r>
          </w:p>
        </w:tc>
      </w:tr>
      <w:tr w:rsidR="00DB5C96" w:rsidRPr="0052418C" w14:paraId="07728353" w14:textId="77777777" w:rsidTr="0036142B">
        <w:trPr>
          <w:trHeight w:val="451"/>
          <w:jc w:val="center"/>
        </w:trPr>
        <w:tc>
          <w:tcPr>
            <w:tcW w:w="2194" w:type="dxa"/>
            <w:vMerge/>
            <w:tcBorders>
              <w:left w:val="single" w:sz="4" w:space="0" w:color="auto"/>
              <w:bottom w:val="single" w:sz="4" w:space="0" w:color="auto"/>
              <w:right w:val="single" w:sz="4" w:space="0" w:color="auto"/>
            </w:tcBorders>
            <w:shd w:val="clear" w:color="auto" w:fill="0070C0"/>
            <w:vAlign w:val="center"/>
            <w:hideMark/>
          </w:tcPr>
          <w:p w14:paraId="0FB4F60B" w14:textId="7A146B79" w:rsidR="00DB5C96" w:rsidRPr="0052418C" w:rsidRDefault="00DB5C96" w:rsidP="0052418C">
            <w:pPr>
              <w:tabs>
                <w:tab w:val="left" w:pos="-720"/>
              </w:tabs>
              <w:suppressAutoHyphens/>
              <w:spacing w:after="0" w:line="276" w:lineRule="auto"/>
              <w:ind w:hanging="11"/>
              <w:rPr>
                <w:rFonts w:ascii="ITC Avant Garde" w:hAnsi="ITC Avant Garde" w:cs="Arial"/>
                <w:i/>
                <w:iCs/>
                <w:sz w:val="18"/>
                <w:szCs w:val="18"/>
                <w:lang w:val="es-ES_tradnl" w:eastAsia="es-ES"/>
              </w:rPr>
            </w:pPr>
          </w:p>
        </w:tc>
        <w:tc>
          <w:tcPr>
            <w:tcW w:w="2484" w:type="dxa"/>
            <w:vMerge/>
            <w:tcBorders>
              <w:left w:val="single" w:sz="4" w:space="0" w:color="auto"/>
              <w:bottom w:val="single" w:sz="4" w:space="0" w:color="auto"/>
              <w:right w:val="single" w:sz="4" w:space="0" w:color="auto"/>
            </w:tcBorders>
            <w:shd w:val="clear" w:color="auto" w:fill="0070C0"/>
            <w:vAlign w:val="center"/>
            <w:hideMark/>
          </w:tcPr>
          <w:p w14:paraId="2C4FAB7C" w14:textId="77777777" w:rsidR="00DB5C96" w:rsidRPr="0052418C" w:rsidRDefault="00DB5C96" w:rsidP="0052418C">
            <w:pPr>
              <w:tabs>
                <w:tab w:val="left" w:pos="-720"/>
              </w:tabs>
              <w:suppressAutoHyphens/>
              <w:spacing w:after="0" w:line="276" w:lineRule="auto"/>
              <w:ind w:hanging="11"/>
              <w:rPr>
                <w:rFonts w:ascii="ITC Avant Garde" w:hAnsi="ITC Avant Garde" w:cs="Arial"/>
                <w:i/>
                <w:iCs/>
                <w:sz w:val="18"/>
                <w:szCs w:val="18"/>
                <w:lang w:val="es-ES_tradnl" w:eastAsia="es-ES"/>
              </w:rPr>
            </w:pPr>
          </w:p>
        </w:tc>
      </w:tr>
      <w:tr w:rsidR="00DB5C96" w:rsidRPr="0052418C" w14:paraId="3F542C72" w14:textId="77777777" w:rsidTr="0036142B">
        <w:trPr>
          <w:trHeight w:val="235"/>
          <w:jc w:val="center"/>
        </w:trPr>
        <w:tc>
          <w:tcPr>
            <w:tcW w:w="2194" w:type="dxa"/>
            <w:tcBorders>
              <w:top w:val="single" w:sz="4" w:space="0" w:color="auto"/>
              <w:left w:val="single" w:sz="4" w:space="0" w:color="auto"/>
              <w:bottom w:val="single" w:sz="4" w:space="0" w:color="auto"/>
              <w:right w:val="single" w:sz="4" w:space="0" w:color="auto"/>
            </w:tcBorders>
            <w:vAlign w:val="center"/>
            <w:hideMark/>
          </w:tcPr>
          <w:p w14:paraId="4F24C15F" w14:textId="30F9CC03" w:rsidR="00DB5C96" w:rsidRPr="0052418C" w:rsidRDefault="00DB5C96" w:rsidP="0052418C">
            <w:pPr>
              <w:tabs>
                <w:tab w:val="left" w:pos="-720"/>
              </w:tabs>
              <w:suppressAutoHyphens/>
              <w:spacing w:after="0" w:line="276" w:lineRule="auto"/>
              <w:ind w:hanging="11"/>
              <w:rPr>
                <w:rFonts w:ascii="ITC Avant Garde" w:hAnsi="ITC Avant Garde" w:cs="Arial"/>
                <w:i/>
                <w:sz w:val="18"/>
                <w:szCs w:val="18"/>
                <w:lang w:val="es-ES_tradnl"/>
              </w:rPr>
            </w:pPr>
            <w:r w:rsidRPr="0052418C">
              <w:rPr>
                <w:rFonts w:ascii="ITC Avant Garde" w:hAnsi="ITC Avant Garde" w:cs="Arial"/>
                <w:i/>
                <w:sz w:val="18"/>
                <w:szCs w:val="18"/>
                <w:lang w:val="es-ES_tradnl"/>
              </w:rPr>
              <w:t xml:space="preserve">Nx 64 </w:t>
            </w:r>
            <w:r w:rsidRPr="0052418C">
              <w:rPr>
                <w:rFonts w:ascii="ITC Avant Garde" w:hAnsi="ITC Avant Garde" w:cs="Arial"/>
                <w:i/>
                <w:iCs/>
                <w:sz w:val="18"/>
                <w:szCs w:val="18"/>
                <w:lang w:val="es-ES_tradnl" w:eastAsia="es-ES"/>
              </w:rPr>
              <w:t xml:space="preserve">Kbs </w:t>
            </w:r>
            <w:r w:rsidRPr="0052418C">
              <w:rPr>
                <w:rFonts w:ascii="ITC Avant Garde" w:hAnsi="ITC Avant Garde" w:cs="Arial"/>
                <w:i/>
                <w:sz w:val="18"/>
                <w:szCs w:val="18"/>
                <w:lang w:val="es-ES_tradnl"/>
              </w:rPr>
              <w:t>(N=1</w:t>
            </w:r>
            <w:r w:rsidRPr="0052418C">
              <w:rPr>
                <w:rFonts w:ascii="ITC Avant Garde" w:hAnsi="ITC Avant Garde" w:cs="Arial"/>
                <w:i/>
                <w:iCs/>
                <w:sz w:val="18"/>
                <w:szCs w:val="18"/>
                <w:lang w:val="es-ES_tradnl" w:eastAsia="es-ES"/>
              </w:rPr>
              <w:t>...</w:t>
            </w:r>
            <w:r w:rsidRPr="0052418C">
              <w:rPr>
                <w:rFonts w:ascii="ITC Avant Garde" w:hAnsi="ITC Avant Garde" w:cs="Arial"/>
                <w:i/>
                <w:sz w:val="18"/>
                <w:szCs w:val="18"/>
                <w:lang w:val="es-ES_tradnl"/>
              </w:rPr>
              <w:t>16)</w:t>
            </w:r>
          </w:p>
        </w:tc>
        <w:tc>
          <w:tcPr>
            <w:tcW w:w="2484" w:type="dxa"/>
            <w:tcBorders>
              <w:top w:val="single" w:sz="4" w:space="0" w:color="auto"/>
              <w:left w:val="single" w:sz="4" w:space="0" w:color="auto"/>
              <w:bottom w:val="single" w:sz="4" w:space="0" w:color="auto"/>
              <w:right w:val="single" w:sz="4" w:space="0" w:color="auto"/>
            </w:tcBorders>
            <w:vAlign w:val="center"/>
            <w:hideMark/>
          </w:tcPr>
          <w:p w14:paraId="501B3885" w14:textId="77777777" w:rsidR="00DB5C96" w:rsidRPr="0052418C" w:rsidRDefault="00DB5C96" w:rsidP="0052418C">
            <w:pPr>
              <w:tabs>
                <w:tab w:val="left" w:pos="-720"/>
              </w:tabs>
              <w:suppressAutoHyphens/>
              <w:spacing w:after="0" w:line="276" w:lineRule="auto"/>
              <w:ind w:hanging="11"/>
              <w:rPr>
                <w:rFonts w:ascii="ITC Avant Garde" w:hAnsi="ITC Avant Garde" w:cs="Arial"/>
                <w:i/>
                <w:sz w:val="18"/>
                <w:szCs w:val="18"/>
                <w:lang w:val="es-ES_tradnl"/>
              </w:rPr>
            </w:pPr>
            <w:r w:rsidRPr="0052418C">
              <w:rPr>
                <w:rFonts w:ascii="ITC Avant Garde" w:hAnsi="ITC Avant Garde" w:cs="Arial"/>
                <w:i/>
                <w:iCs/>
                <w:sz w:val="18"/>
                <w:szCs w:val="18"/>
                <w:lang w:val="es-ES_tradnl" w:eastAsia="es-ES"/>
              </w:rPr>
              <w:t>64K bps</w:t>
            </w:r>
            <w:r w:rsidRPr="0052418C">
              <w:rPr>
                <w:rFonts w:ascii="ITC Avant Garde" w:hAnsi="ITC Avant Garde" w:cs="Arial"/>
                <w:i/>
                <w:sz w:val="18"/>
                <w:szCs w:val="18"/>
                <w:lang w:val="es-ES_tradnl"/>
              </w:rPr>
              <w:t xml:space="preserve"> a 1024 Kbps</w:t>
            </w:r>
            <w:r w:rsidRPr="0052418C">
              <w:rPr>
                <w:rFonts w:ascii="ITC Avant Garde" w:hAnsi="ITC Avant Garde" w:cs="Arial"/>
                <w:i/>
                <w:iCs/>
                <w:sz w:val="18"/>
                <w:szCs w:val="18"/>
                <w:lang w:val="es-ES_tradnl" w:eastAsia="es-ES"/>
              </w:rPr>
              <w:t xml:space="preserve"> </w:t>
            </w:r>
          </w:p>
        </w:tc>
      </w:tr>
      <w:tr w:rsidR="00DB5C96" w:rsidRPr="0052418C" w14:paraId="49CC7DA3" w14:textId="77777777" w:rsidTr="0036142B">
        <w:trPr>
          <w:trHeight w:val="267"/>
          <w:jc w:val="center"/>
        </w:trPr>
        <w:tc>
          <w:tcPr>
            <w:tcW w:w="2194" w:type="dxa"/>
            <w:tcBorders>
              <w:top w:val="single" w:sz="4" w:space="0" w:color="auto"/>
              <w:left w:val="single" w:sz="4" w:space="0" w:color="auto"/>
              <w:bottom w:val="single" w:sz="4" w:space="0" w:color="auto"/>
              <w:right w:val="single" w:sz="4" w:space="0" w:color="auto"/>
            </w:tcBorders>
            <w:vAlign w:val="center"/>
            <w:hideMark/>
          </w:tcPr>
          <w:p w14:paraId="1B39DAFF" w14:textId="77777777" w:rsidR="00DB5C96" w:rsidRPr="0052418C" w:rsidRDefault="00DB5C96" w:rsidP="0052418C">
            <w:pPr>
              <w:tabs>
                <w:tab w:val="left" w:pos="-720"/>
              </w:tabs>
              <w:suppressAutoHyphens/>
              <w:spacing w:after="0" w:line="276" w:lineRule="auto"/>
              <w:ind w:hanging="11"/>
              <w:rPr>
                <w:rFonts w:ascii="ITC Avant Garde" w:hAnsi="ITC Avant Garde" w:cs="Arial"/>
                <w:i/>
                <w:sz w:val="18"/>
                <w:szCs w:val="18"/>
                <w:lang w:val="es-ES_tradnl"/>
              </w:rPr>
            </w:pPr>
            <w:r w:rsidRPr="0052418C">
              <w:rPr>
                <w:rFonts w:ascii="ITC Avant Garde" w:hAnsi="ITC Avant Garde" w:cs="Arial"/>
                <w:i/>
                <w:sz w:val="18"/>
                <w:szCs w:val="18"/>
                <w:lang w:val="es-ES_tradnl"/>
              </w:rPr>
              <w:t>E1</w:t>
            </w:r>
            <w:r w:rsidRPr="0052418C">
              <w:rPr>
                <w:rFonts w:ascii="ITC Avant Garde" w:hAnsi="ITC Avant Garde" w:cs="Arial"/>
                <w:i/>
                <w:iCs/>
                <w:sz w:val="18"/>
                <w:szCs w:val="18"/>
                <w:lang w:val="es-ES_tradnl" w:eastAsia="es-ES"/>
              </w:rPr>
              <w:t xml:space="preserve"> </w:t>
            </w:r>
          </w:p>
        </w:tc>
        <w:tc>
          <w:tcPr>
            <w:tcW w:w="2484" w:type="dxa"/>
            <w:tcBorders>
              <w:top w:val="single" w:sz="4" w:space="0" w:color="auto"/>
              <w:left w:val="single" w:sz="4" w:space="0" w:color="auto"/>
              <w:bottom w:val="single" w:sz="4" w:space="0" w:color="auto"/>
              <w:right w:val="single" w:sz="4" w:space="0" w:color="auto"/>
            </w:tcBorders>
            <w:vAlign w:val="center"/>
            <w:hideMark/>
          </w:tcPr>
          <w:p w14:paraId="15932A5A" w14:textId="77777777" w:rsidR="00DB5C96" w:rsidRPr="0052418C" w:rsidRDefault="00DB5C96" w:rsidP="0052418C">
            <w:pPr>
              <w:tabs>
                <w:tab w:val="left" w:pos="-720"/>
              </w:tabs>
              <w:suppressAutoHyphens/>
              <w:spacing w:after="0" w:line="276" w:lineRule="auto"/>
              <w:ind w:hanging="11"/>
              <w:rPr>
                <w:rFonts w:ascii="ITC Avant Garde" w:hAnsi="ITC Avant Garde" w:cs="Arial"/>
                <w:i/>
                <w:sz w:val="18"/>
                <w:szCs w:val="18"/>
                <w:lang w:val="es-ES_tradnl"/>
              </w:rPr>
            </w:pPr>
            <w:r w:rsidRPr="0052418C">
              <w:rPr>
                <w:rFonts w:ascii="ITC Avant Garde" w:hAnsi="ITC Avant Garde" w:cs="Arial"/>
                <w:i/>
                <w:sz w:val="18"/>
                <w:szCs w:val="18"/>
                <w:lang w:val="es-ES_tradnl"/>
              </w:rPr>
              <w:t>2.048 Mbps</w:t>
            </w:r>
            <w:r w:rsidRPr="0052418C">
              <w:rPr>
                <w:rFonts w:ascii="ITC Avant Garde" w:hAnsi="ITC Avant Garde" w:cs="Arial"/>
                <w:i/>
                <w:iCs/>
                <w:sz w:val="18"/>
                <w:szCs w:val="18"/>
                <w:lang w:val="es-ES_tradnl" w:eastAsia="es-ES"/>
              </w:rPr>
              <w:t xml:space="preserve"> </w:t>
            </w:r>
          </w:p>
        </w:tc>
      </w:tr>
      <w:tr w:rsidR="00704A8A" w:rsidRPr="0052418C" w14:paraId="233DC57C" w14:textId="77777777" w:rsidTr="0036142B">
        <w:trPr>
          <w:trHeight w:val="281"/>
          <w:jc w:val="center"/>
        </w:trPr>
        <w:tc>
          <w:tcPr>
            <w:tcW w:w="2194" w:type="dxa"/>
            <w:tcBorders>
              <w:top w:val="single" w:sz="4" w:space="0" w:color="auto"/>
              <w:left w:val="single" w:sz="4" w:space="0" w:color="auto"/>
              <w:bottom w:val="single" w:sz="4" w:space="0" w:color="auto"/>
              <w:right w:val="single" w:sz="4" w:space="0" w:color="auto"/>
            </w:tcBorders>
            <w:hideMark/>
          </w:tcPr>
          <w:p w14:paraId="44FC9FDF" w14:textId="404B69D3" w:rsidR="00704A8A" w:rsidRPr="0052418C" w:rsidRDefault="00704A8A" w:rsidP="0052418C">
            <w:pPr>
              <w:tabs>
                <w:tab w:val="left" w:pos="-720"/>
              </w:tabs>
              <w:suppressAutoHyphens/>
              <w:spacing w:after="0" w:line="276" w:lineRule="auto"/>
              <w:ind w:hanging="11"/>
              <w:rPr>
                <w:rFonts w:ascii="ITC Avant Garde" w:hAnsi="ITC Avant Garde" w:cs="Arial"/>
                <w:i/>
                <w:sz w:val="18"/>
                <w:szCs w:val="18"/>
                <w:lang w:val="es-ES_tradnl"/>
              </w:rPr>
            </w:pPr>
            <w:r w:rsidRPr="0052418C">
              <w:rPr>
                <w:rFonts w:ascii="ITC Avant Garde" w:hAnsi="ITC Avant Garde" w:cs="Arial"/>
                <w:i/>
                <w:sz w:val="18"/>
                <w:szCs w:val="18"/>
                <w:lang w:val="es-ES_tradnl"/>
              </w:rPr>
              <w:t>Ethernet</w:t>
            </w:r>
          </w:p>
        </w:tc>
        <w:tc>
          <w:tcPr>
            <w:tcW w:w="2484" w:type="dxa"/>
            <w:tcBorders>
              <w:top w:val="single" w:sz="4" w:space="0" w:color="auto"/>
              <w:left w:val="single" w:sz="4" w:space="0" w:color="auto"/>
              <w:bottom w:val="single" w:sz="4" w:space="0" w:color="auto"/>
              <w:right w:val="single" w:sz="4" w:space="0" w:color="auto"/>
            </w:tcBorders>
            <w:vAlign w:val="center"/>
            <w:hideMark/>
          </w:tcPr>
          <w:p w14:paraId="2A8DF6B2" w14:textId="0AD4D0D4" w:rsidR="00704A8A" w:rsidRPr="0052418C" w:rsidRDefault="00704A8A" w:rsidP="0052418C">
            <w:pPr>
              <w:tabs>
                <w:tab w:val="left" w:pos="-720"/>
              </w:tabs>
              <w:suppressAutoHyphens/>
              <w:spacing w:after="0" w:line="276" w:lineRule="auto"/>
              <w:ind w:hanging="11"/>
              <w:rPr>
                <w:rFonts w:ascii="ITC Avant Garde" w:hAnsi="ITC Avant Garde" w:cs="Arial"/>
                <w:b/>
                <w:i/>
                <w:sz w:val="18"/>
                <w:szCs w:val="18"/>
                <w:lang w:val="es-ES_tradnl"/>
              </w:rPr>
            </w:pPr>
            <w:r w:rsidRPr="0052418C">
              <w:rPr>
                <w:rFonts w:ascii="ITC Avant Garde" w:hAnsi="ITC Avant Garde" w:cs="Arial"/>
                <w:b/>
                <w:i/>
                <w:sz w:val="18"/>
                <w:szCs w:val="18"/>
                <w:lang w:val="en-US"/>
              </w:rPr>
              <w:t xml:space="preserve">1 Mbps a 100 Gbps </w:t>
            </w:r>
          </w:p>
        </w:tc>
      </w:tr>
    </w:tbl>
    <w:p w14:paraId="744D8EC8" w14:textId="77777777" w:rsidR="00DB5C96" w:rsidRPr="0052418C" w:rsidRDefault="00DB5C96" w:rsidP="0052418C">
      <w:pPr>
        <w:pStyle w:val="IFTnormal"/>
        <w:spacing w:after="0"/>
        <w:ind w:left="567" w:right="616"/>
        <w:rPr>
          <w:rFonts w:cs="Arial"/>
          <w:i/>
          <w:sz w:val="18"/>
          <w:szCs w:val="18"/>
        </w:rPr>
      </w:pPr>
    </w:p>
    <w:p w14:paraId="4DF4AA58" w14:textId="273E2735" w:rsidR="006849FE" w:rsidRPr="00A24979" w:rsidRDefault="006849FE" w:rsidP="0052418C">
      <w:pPr>
        <w:autoSpaceDE w:val="0"/>
        <w:autoSpaceDN w:val="0"/>
        <w:spacing w:after="0" w:line="276" w:lineRule="auto"/>
        <w:ind w:left="6372" w:firstLine="0"/>
        <w:rPr>
          <w:rFonts w:ascii="ITC Avant Garde" w:hAnsi="ITC Avant Garde" w:cs="Arial"/>
          <w:iCs/>
          <w:sz w:val="18"/>
          <w:szCs w:val="18"/>
        </w:rPr>
      </w:pPr>
      <w:r w:rsidRPr="00A24979">
        <w:rPr>
          <w:rFonts w:ascii="ITC Avant Garde" w:hAnsi="ITC Avant Garde" w:cs="Arial"/>
          <w:iCs/>
          <w:sz w:val="18"/>
          <w:szCs w:val="18"/>
        </w:rPr>
        <w:t>(énfasis añadido)</w:t>
      </w:r>
    </w:p>
    <w:p w14:paraId="140CCF2B" w14:textId="77777777" w:rsidR="006849FE" w:rsidRPr="0052418C" w:rsidRDefault="006849FE" w:rsidP="0052418C">
      <w:pPr>
        <w:autoSpaceDE w:val="0"/>
        <w:autoSpaceDN w:val="0"/>
        <w:adjustRightInd w:val="0"/>
        <w:spacing w:after="0" w:line="276" w:lineRule="auto"/>
        <w:ind w:left="0" w:right="0" w:firstLine="0"/>
        <w:rPr>
          <w:rFonts w:ascii="ITC Avant Garde" w:hAnsi="ITC Avant Garde"/>
          <w:color w:val="auto"/>
        </w:rPr>
      </w:pPr>
    </w:p>
    <w:p w14:paraId="201573BA" w14:textId="50648868" w:rsidR="006849FE" w:rsidRPr="0052418C" w:rsidRDefault="000217C2" w:rsidP="0052418C">
      <w:pPr>
        <w:autoSpaceDE w:val="0"/>
        <w:autoSpaceDN w:val="0"/>
        <w:spacing w:after="0" w:line="276" w:lineRule="auto"/>
        <w:ind w:right="49"/>
        <w:rPr>
          <w:rFonts w:ascii="ITC Avant Garde" w:hAnsi="ITC Avant Garde"/>
          <w:color w:val="auto"/>
        </w:rPr>
      </w:pPr>
      <w:r>
        <w:rPr>
          <w:rFonts w:ascii="ITC Avant Garde" w:hAnsi="ITC Avant Garde"/>
          <w:color w:val="auto"/>
        </w:rPr>
        <w:t>Asimismo,</w:t>
      </w:r>
      <w:r w:rsidR="00A9280F">
        <w:rPr>
          <w:rFonts w:ascii="ITC Avant Garde" w:hAnsi="ITC Avant Garde"/>
          <w:color w:val="auto"/>
        </w:rPr>
        <w:t xml:space="preserve"> </w:t>
      </w:r>
      <w:r w:rsidR="00A9280F" w:rsidRPr="00A9280F">
        <w:rPr>
          <w:rFonts w:ascii="ITC Avant Garde" w:hAnsi="ITC Avant Garde"/>
          <w:color w:val="auto"/>
        </w:rPr>
        <w:t xml:space="preserve">se eliminó la precisión referente a que la </w:t>
      </w:r>
      <w:r w:rsidR="00A9280F" w:rsidRPr="0052418C">
        <w:rPr>
          <w:rFonts w:ascii="ITC Avant Garde" w:hAnsi="ITC Avant Garde"/>
          <w:color w:val="auto"/>
        </w:rPr>
        <w:t xml:space="preserve">Empresa Mayorista (en lo sucesivo, la “EM”) </w:t>
      </w:r>
      <w:r w:rsidR="00A9280F" w:rsidRPr="00A9280F">
        <w:rPr>
          <w:rFonts w:ascii="ITC Avant Garde" w:hAnsi="ITC Avant Garde"/>
          <w:color w:val="auto"/>
        </w:rPr>
        <w:t xml:space="preserve">ofrecerá los servicios TDM en todos los sitios </w:t>
      </w:r>
      <w:r w:rsidR="00C126F0">
        <w:rPr>
          <w:rFonts w:ascii="ITC Avant Garde" w:hAnsi="ITC Avant Garde"/>
          <w:color w:val="auto"/>
        </w:rPr>
        <w:t>“</w:t>
      </w:r>
      <w:r w:rsidR="00A9280F" w:rsidRPr="00C126F0">
        <w:rPr>
          <w:rFonts w:ascii="ITC Avant Garde" w:hAnsi="ITC Avant Garde"/>
          <w:i/>
          <w:iCs/>
          <w:color w:val="auto"/>
        </w:rPr>
        <w:t>hasta agotar la capacidad disponible</w:t>
      </w:r>
      <w:r w:rsidR="00A9280F" w:rsidRPr="00A9280F">
        <w:rPr>
          <w:rFonts w:ascii="ITC Avant Garde" w:hAnsi="ITC Avant Garde"/>
          <w:color w:val="auto"/>
        </w:rPr>
        <w:t xml:space="preserve"> </w:t>
      </w:r>
      <w:r w:rsidR="00A9280F" w:rsidRPr="00C126F0">
        <w:rPr>
          <w:rFonts w:ascii="ITC Avant Garde" w:hAnsi="ITC Avant Garde"/>
          <w:i/>
          <w:iCs/>
          <w:color w:val="auto"/>
        </w:rPr>
        <w:t>siempre y cuando cuenten con infraestructura existente y sea técnicamente factible</w:t>
      </w:r>
      <w:r w:rsidR="00C126F0">
        <w:rPr>
          <w:rFonts w:ascii="ITC Avant Garde" w:hAnsi="ITC Avant Garde"/>
          <w:i/>
          <w:iCs/>
          <w:color w:val="auto"/>
        </w:rPr>
        <w:t>”,</w:t>
      </w:r>
      <w:r w:rsidR="00A9280F" w:rsidRPr="00A9280F">
        <w:rPr>
          <w:rFonts w:ascii="ITC Avant Garde" w:hAnsi="ITC Avant Garde"/>
          <w:color w:val="auto"/>
        </w:rPr>
        <w:t xml:space="preserve"> </w:t>
      </w:r>
      <w:r w:rsidR="00C126F0">
        <w:rPr>
          <w:rFonts w:ascii="ITC Avant Garde" w:hAnsi="ITC Avant Garde"/>
          <w:color w:val="auto"/>
        </w:rPr>
        <w:t xml:space="preserve">lo anterior a efecto de evitar criterios discrecionales que </w:t>
      </w:r>
      <w:r w:rsidR="00C126F0" w:rsidRPr="009800E9">
        <w:rPr>
          <w:rFonts w:ascii="ITC Avant Garde" w:hAnsi="ITC Avant Garde"/>
          <w:color w:val="auto"/>
        </w:rPr>
        <w:t>generaría</w:t>
      </w:r>
      <w:r w:rsidR="00C126F0">
        <w:rPr>
          <w:rFonts w:ascii="ITC Avant Garde" w:hAnsi="ITC Avant Garde"/>
          <w:color w:val="auto"/>
        </w:rPr>
        <w:t>n</w:t>
      </w:r>
      <w:r w:rsidR="00C126F0" w:rsidRPr="009800E9">
        <w:rPr>
          <w:rFonts w:ascii="ITC Avant Garde" w:hAnsi="ITC Avant Garde"/>
          <w:color w:val="auto"/>
        </w:rPr>
        <w:t xml:space="preserve"> un estado de incertidumbre al desconocer por parte de los CS y AS que requieran el servicio: i) los sitios en los que se cuenta con enlaces dedicados TDM, ii) la capacidad disponible y iii) los factores que serán evaluados para determinar que sea técnicamente factible la prestación del servicio</w:t>
      </w:r>
      <w:r w:rsidR="006849FE" w:rsidRPr="0052418C">
        <w:rPr>
          <w:rFonts w:ascii="ITC Avant Garde" w:hAnsi="ITC Avant Garde"/>
          <w:color w:val="auto"/>
        </w:rPr>
        <w:t xml:space="preserve">. </w:t>
      </w:r>
    </w:p>
    <w:p w14:paraId="0870D3AC" w14:textId="104EF2FE" w:rsidR="0054780E" w:rsidRPr="0052418C" w:rsidRDefault="0054780E" w:rsidP="00906151">
      <w:pPr>
        <w:autoSpaceDE w:val="0"/>
        <w:autoSpaceDN w:val="0"/>
        <w:adjustRightInd w:val="0"/>
        <w:spacing w:after="0" w:line="276" w:lineRule="auto"/>
        <w:ind w:left="0" w:right="0" w:firstLine="0"/>
        <w:rPr>
          <w:rFonts w:cs="Arial"/>
          <w:u w:val="single"/>
        </w:rPr>
      </w:pPr>
    </w:p>
    <w:p w14:paraId="5EEAB327" w14:textId="6B753257" w:rsidR="007D2EF2" w:rsidRPr="0052418C" w:rsidRDefault="000B1076" w:rsidP="0052418C">
      <w:pPr>
        <w:pStyle w:val="IFTnormal"/>
        <w:spacing w:after="0"/>
        <w:ind w:left="0"/>
        <w:rPr>
          <w:rFonts w:cs="Arial"/>
          <w:b/>
          <w:u w:val="single"/>
        </w:rPr>
      </w:pPr>
      <w:r w:rsidRPr="0052418C">
        <w:rPr>
          <w:rFonts w:cs="Arial"/>
          <w:b/>
          <w:u w:val="single"/>
        </w:rPr>
        <w:t xml:space="preserve">2.2 </w:t>
      </w:r>
      <w:r w:rsidR="00DA60CB" w:rsidRPr="0052418C">
        <w:rPr>
          <w:rFonts w:cs="Arial"/>
          <w:b/>
          <w:u w:val="single"/>
        </w:rPr>
        <w:t>Pronóstico de Servicios</w:t>
      </w:r>
      <w:r w:rsidR="003700FE" w:rsidRPr="0052418C">
        <w:rPr>
          <w:rFonts w:cs="Arial"/>
          <w:b/>
          <w:u w:val="single"/>
        </w:rPr>
        <w:t>.</w:t>
      </w:r>
    </w:p>
    <w:p w14:paraId="6530B072" w14:textId="0D306A04" w:rsidR="00F21B78" w:rsidRPr="0052418C" w:rsidRDefault="00EE193B" w:rsidP="0052418C">
      <w:pPr>
        <w:pStyle w:val="IFTnormal"/>
        <w:spacing w:after="0"/>
        <w:ind w:left="0"/>
        <w:rPr>
          <w:rFonts w:cs="Arial"/>
          <w:b/>
        </w:rPr>
      </w:pPr>
      <w:r w:rsidRPr="0052418C">
        <w:rPr>
          <w:rFonts w:cs="Arial"/>
          <w:b/>
        </w:rPr>
        <w:t>MEGA CABLE</w:t>
      </w:r>
      <w:r w:rsidR="00B55741" w:rsidRPr="0052418C">
        <w:rPr>
          <w:rFonts w:cs="Arial"/>
          <w:b/>
        </w:rPr>
        <w:t>:</w:t>
      </w:r>
      <w:r w:rsidR="005E5437" w:rsidRPr="0052418C">
        <w:rPr>
          <w:rFonts w:cs="Arial"/>
          <w:b/>
        </w:rPr>
        <w:t xml:space="preserve"> </w:t>
      </w:r>
    </w:p>
    <w:p w14:paraId="13F00E07" w14:textId="2E9F88A2" w:rsidR="004865BD" w:rsidRPr="0052418C" w:rsidRDefault="008D6C4F" w:rsidP="0052418C">
      <w:pPr>
        <w:pStyle w:val="IFTnormal"/>
        <w:spacing w:after="0"/>
        <w:ind w:left="0"/>
        <w:rPr>
          <w:rFonts w:cs="Arial"/>
        </w:rPr>
      </w:pPr>
      <w:r w:rsidRPr="0052418C">
        <w:rPr>
          <w:rFonts w:cs="Arial"/>
        </w:rPr>
        <w:t>Prop</w:t>
      </w:r>
      <w:r w:rsidR="00D73D68" w:rsidRPr="0052418C">
        <w:rPr>
          <w:rFonts w:cs="Arial"/>
        </w:rPr>
        <w:t>uso</w:t>
      </w:r>
      <w:r w:rsidRPr="0052418C">
        <w:rPr>
          <w:rFonts w:cs="Arial"/>
        </w:rPr>
        <w:t xml:space="preserve"> </w:t>
      </w:r>
      <w:r w:rsidR="000853A0" w:rsidRPr="0052418C">
        <w:rPr>
          <w:rFonts w:cs="Arial"/>
        </w:rPr>
        <w:t>que las fechas para presentar pronóstico</w:t>
      </w:r>
      <w:r w:rsidR="00D73D68" w:rsidRPr="0052418C">
        <w:rPr>
          <w:rFonts w:cs="Arial"/>
        </w:rPr>
        <w:t>s</w:t>
      </w:r>
      <w:r w:rsidR="000853A0" w:rsidRPr="0052418C">
        <w:rPr>
          <w:rFonts w:cs="Arial"/>
        </w:rPr>
        <w:t xml:space="preserve"> sean bimestrales, en lugar del esquema de pronósticos semestrales y ratificación bimestral; </w:t>
      </w:r>
      <w:r w:rsidR="00D73D68" w:rsidRPr="0052418C">
        <w:rPr>
          <w:rFonts w:cs="Arial"/>
        </w:rPr>
        <w:t xml:space="preserve">manifestó que </w:t>
      </w:r>
      <w:r w:rsidR="000853A0" w:rsidRPr="0052418C">
        <w:rPr>
          <w:rFonts w:cs="Arial"/>
        </w:rPr>
        <w:t xml:space="preserve">considera que dichos plazos permiten a los </w:t>
      </w:r>
      <w:r w:rsidR="002C47D0" w:rsidRPr="0052418C">
        <w:rPr>
          <w:rFonts w:cs="Arial"/>
        </w:rPr>
        <w:t>CS</w:t>
      </w:r>
      <w:r w:rsidR="00215EBA" w:rsidRPr="0052418C">
        <w:rPr>
          <w:rFonts w:cs="Arial"/>
        </w:rPr>
        <w:t xml:space="preserve"> </w:t>
      </w:r>
      <w:r w:rsidR="000853A0" w:rsidRPr="0052418C">
        <w:rPr>
          <w:rFonts w:cs="Arial"/>
        </w:rPr>
        <w:t>tengan un mejor y más eficiente manejo de sus pronósticos de servicios.</w:t>
      </w:r>
    </w:p>
    <w:p w14:paraId="7B56D3EB" w14:textId="77777777" w:rsidR="002B604C" w:rsidRPr="0052418C" w:rsidRDefault="002B604C" w:rsidP="0052418C">
      <w:pPr>
        <w:autoSpaceDE w:val="0"/>
        <w:autoSpaceDN w:val="0"/>
        <w:adjustRightInd w:val="0"/>
        <w:spacing w:after="0" w:line="276" w:lineRule="auto"/>
        <w:ind w:left="0" w:right="0" w:firstLine="0"/>
        <w:rPr>
          <w:rFonts w:ascii="ITC Avant Garde" w:hAnsi="ITC Avant Garde" w:cs="Arial"/>
          <w:color w:val="auto"/>
        </w:rPr>
      </w:pPr>
    </w:p>
    <w:p w14:paraId="0C3E2D1C" w14:textId="4E151BF2" w:rsidR="00F21B78" w:rsidRPr="0052418C" w:rsidRDefault="007E5D95" w:rsidP="0052418C">
      <w:pPr>
        <w:autoSpaceDE w:val="0"/>
        <w:autoSpaceDN w:val="0"/>
        <w:adjustRightInd w:val="0"/>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AXTEL:</w:t>
      </w:r>
    </w:p>
    <w:p w14:paraId="000BB304" w14:textId="6B64FD37" w:rsidR="00F347C1" w:rsidRPr="0052418C" w:rsidRDefault="00B46ED8" w:rsidP="0052418C">
      <w:pPr>
        <w:autoSpaceDE w:val="0"/>
        <w:autoSpaceDN w:val="0"/>
        <w:adjustRightInd w:val="0"/>
        <w:spacing w:after="0" w:line="276" w:lineRule="auto"/>
        <w:ind w:left="0" w:right="0" w:firstLine="0"/>
        <w:rPr>
          <w:rFonts w:ascii="ITC Avant Garde" w:hAnsi="ITC Avant Garde" w:cs="Arial"/>
          <w:color w:val="auto"/>
        </w:rPr>
      </w:pPr>
      <w:r w:rsidRPr="0052418C">
        <w:rPr>
          <w:rFonts w:ascii="ITC Avant Garde" w:hAnsi="ITC Avant Garde" w:cs="Arial"/>
          <w:color w:val="auto"/>
        </w:rPr>
        <w:t>Señaló</w:t>
      </w:r>
      <w:r w:rsidR="0059242C" w:rsidRPr="0052418C">
        <w:rPr>
          <w:rFonts w:ascii="ITC Avant Garde" w:hAnsi="ITC Avant Garde" w:cs="Arial"/>
          <w:color w:val="auto"/>
        </w:rPr>
        <w:t xml:space="preserve"> que</w:t>
      </w:r>
      <w:r w:rsidR="00D8762B" w:rsidRPr="0052418C">
        <w:rPr>
          <w:rFonts w:ascii="ITC Avant Garde" w:hAnsi="ITC Avant Garde" w:cs="Arial"/>
          <w:color w:val="auto"/>
        </w:rPr>
        <w:t xml:space="preserve"> las ofertas establecieron</w:t>
      </w:r>
      <w:r w:rsidR="0059242C" w:rsidRPr="0052418C">
        <w:rPr>
          <w:rFonts w:ascii="ITC Avant Garde" w:hAnsi="ITC Avant Garde" w:cs="Arial"/>
          <w:color w:val="auto"/>
        </w:rPr>
        <w:t xml:space="preserve"> la obligación de presentar pronósticos de demanda de los servicios y una ratificación bimestral de éstos</w:t>
      </w:r>
      <w:r w:rsidR="00241833" w:rsidRPr="0052418C">
        <w:rPr>
          <w:rFonts w:ascii="ITC Avant Garde" w:hAnsi="ITC Avant Garde" w:cs="Arial"/>
          <w:color w:val="auto"/>
        </w:rPr>
        <w:t>. Asimismo, c</w:t>
      </w:r>
      <w:r w:rsidR="00BC4CF1" w:rsidRPr="0052418C">
        <w:rPr>
          <w:rFonts w:ascii="ITC Avant Garde" w:hAnsi="ITC Avant Garde" w:cs="Arial"/>
          <w:color w:val="auto"/>
        </w:rPr>
        <w:t>onsider</w:t>
      </w:r>
      <w:r w:rsidRPr="0052418C">
        <w:rPr>
          <w:rFonts w:ascii="ITC Avant Garde" w:hAnsi="ITC Avant Garde" w:cs="Arial"/>
          <w:color w:val="auto"/>
        </w:rPr>
        <w:t>ó</w:t>
      </w:r>
      <w:r w:rsidR="00BC4CF1" w:rsidRPr="0052418C">
        <w:rPr>
          <w:rFonts w:ascii="ITC Avant Garde" w:hAnsi="ITC Avant Garde" w:cs="Arial"/>
          <w:color w:val="auto"/>
        </w:rPr>
        <w:t xml:space="preserve"> que los servicios contratados no deben estar sujetos o condicionados a un pronóstico de servicios</w:t>
      </w:r>
      <w:r w:rsidR="00F347C1" w:rsidRPr="0052418C">
        <w:rPr>
          <w:rFonts w:ascii="ITC Avant Garde" w:hAnsi="ITC Avant Garde" w:cs="Arial"/>
          <w:color w:val="auto"/>
        </w:rPr>
        <w:t xml:space="preserve"> por l</w:t>
      </w:r>
      <w:r w:rsidR="003068F9" w:rsidRPr="0052418C">
        <w:rPr>
          <w:rFonts w:ascii="ITC Avant Garde" w:hAnsi="ITC Avant Garde" w:cs="Arial"/>
          <w:color w:val="auto"/>
        </w:rPr>
        <w:t>as</w:t>
      </w:r>
      <w:r w:rsidR="00F347C1" w:rsidRPr="0052418C">
        <w:rPr>
          <w:rFonts w:ascii="ITC Avant Garde" w:hAnsi="ITC Avant Garde" w:cs="Arial"/>
          <w:color w:val="auto"/>
        </w:rPr>
        <w:t xml:space="preserve"> siguiente</w:t>
      </w:r>
      <w:r w:rsidR="003068F9" w:rsidRPr="0052418C">
        <w:rPr>
          <w:rFonts w:ascii="ITC Avant Garde" w:hAnsi="ITC Avant Garde" w:cs="Arial"/>
          <w:color w:val="auto"/>
        </w:rPr>
        <w:t>s razones</w:t>
      </w:r>
      <w:r w:rsidR="00F347C1" w:rsidRPr="0052418C">
        <w:rPr>
          <w:rFonts w:ascii="ITC Avant Garde" w:hAnsi="ITC Avant Garde" w:cs="Arial"/>
          <w:color w:val="auto"/>
        </w:rPr>
        <w:t>:</w:t>
      </w:r>
    </w:p>
    <w:p w14:paraId="5BDF4BC3" w14:textId="77777777" w:rsidR="00F347C1" w:rsidRPr="0052418C" w:rsidRDefault="00F347C1" w:rsidP="0052418C">
      <w:pPr>
        <w:autoSpaceDE w:val="0"/>
        <w:autoSpaceDN w:val="0"/>
        <w:adjustRightInd w:val="0"/>
        <w:spacing w:after="0" w:line="276" w:lineRule="auto"/>
        <w:ind w:left="567" w:right="0" w:firstLine="0"/>
        <w:rPr>
          <w:rFonts w:ascii="ITC Avant Garde" w:hAnsi="ITC Avant Garde" w:cs="Arial"/>
          <w:color w:val="auto"/>
        </w:rPr>
      </w:pPr>
    </w:p>
    <w:p w14:paraId="5543CE18" w14:textId="62A98CDF" w:rsidR="003068F9" w:rsidRPr="0052418C" w:rsidRDefault="003E6193" w:rsidP="0052418C">
      <w:pPr>
        <w:pStyle w:val="Prrafodelista"/>
        <w:numPr>
          <w:ilvl w:val="0"/>
          <w:numId w:val="8"/>
        </w:numPr>
        <w:autoSpaceDE w:val="0"/>
        <w:autoSpaceDN w:val="0"/>
        <w:adjustRightInd w:val="0"/>
        <w:spacing w:after="0" w:line="276" w:lineRule="auto"/>
        <w:ind w:left="567" w:right="0" w:hanging="425"/>
        <w:rPr>
          <w:rFonts w:ascii="ITC Avant Garde" w:hAnsi="ITC Avant Garde" w:cs="Arial"/>
          <w:color w:val="auto"/>
        </w:rPr>
      </w:pPr>
      <w:r w:rsidRPr="0052418C">
        <w:rPr>
          <w:rFonts w:ascii="ITC Avant Garde" w:hAnsi="ITC Avant Garde" w:cs="Arial"/>
          <w:color w:val="auto"/>
        </w:rPr>
        <w:t>La demanda de los concesionarios solicitante comparada a la demanda interna del AEP es marginal, por lo que para el AEP es indistinto contar o no contar con un pronóstico</w:t>
      </w:r>
      <w:r w:rsidR="007711FC" w:rsidRPr="0052418C">
        <w:rPr>
          <w:rFonts w:ascii="ITC Avant Garde" w:hAnsi="ITC Avant Garde" w:cs="Arial"/>
          <w:color w:val="auto"/>
        </w:rPr>
        <w:t>.</w:t>
      </w:r>
    </w:p>
    <w:p w14:paraId="28038498" w14:textId="1C531D25" w:rsidR="00C44723" w:rsidRPr="0052418C" w:rsidRDefault="00C44723" w:rsidP="0052418C">
      <w:pPr>
        <w:pStyle w:val="Prrafodelista"/>
        <w:autoSpaceDE w:val="0"/>
        <w:autoSpaceDN w:val="0"/>
        <w:adjustRightInd w:val="0"/>
        <w:spacing w:after="0" w:line="276" w:lineRule="auto"/>
        <w:ind w:left="567" w:right="0" w:firstLine="0"/>
        <w:rPr>
          <w:rFonts w:ascii="ITC Avant Garde" w:hAnsi="ITC Avant Garde" w:cs="Arial"/>
          <w:color w:val="auto"/>
        </w:rPr>
      </w:pPr>
    </w:p>
    <w:p w14:paraId="0672938C" w14:textId="36A9C031" w:rsidR="00153F75" w:rsidRPr="0052418C" w:rsidRDefault="003E6193" w:rsidP="0052418C">
      <w:pPr>
        <w:pStyle w:val="Prrafodelista"/>
        <w:numPr>
          <w:ilvl w:val="0"/>
          <w:numId w:val="8"/>
        </w:numPr>
        <w:autoSpaceDE w:val="0"/>
        <w:autoSpaceDN w:val="0"/>
        <w:adjustRightInd w:val="0"/>
        <w:spacing w:after="0" w:line="276" w:lineRule="auto"/>
        <w:ind w:left="567" w:right="0" w:hanging="425"/>
        <w:rPr>
          <w:rFonts w:ascii="ITC Avant Garde" w:hAnsi="ITC Avant Garde" w:cs="Arial"/>
          <w:color w:val="auto"/>
        </w:rPr>
      </w:pPr>
      <w:r w:rsidRPr="0052418C">
        <w:rPr>
          <w:rFonts w:ascii="ITC Avant Garde" w:hAnsi="ITC Avant Garde" w:cs="Arial"/>
          <w:color w:val="auto"/>
        </w:rPr>
        <w:t>A diferencia de los agentes económicos que conforma el mismo grupo de interés económico los concesionarios carecen de datos históricos con los cuales poder tener el nivel de confianza solicitado por el AEP</w:t>
      </w:r>
      <w:r w:rsidR="006C79F2" w:rsidRPr="0052418C">
        <w:rPr>
          <w:rFonts w:ascii="ITC Avant Garde" w:hAnsi="ITC Avant Garde" w:cs="Arial"/>
          <w:color w:val="auto"/>
        </w:rPr>
        <w:t>.</w:t>
      </w:r>
    </w:p>
    <w:p w14:paraId="7717DB9F" w14:textId="77777777" w:rsidR="00153F75" w:rsidRPr="0052418C" w:rsidRDefault="00153F75" w:rsidP="0052418C">
      <w:pPr>
        <w:pStyle w:val="Prrafodelista"/>
        <w:spacing w:after="0" w:line="276" w:lineRule="auto"/>
        <w:rPr>
          <w:rFonts w:ascii="ITC Avant Garde" w:hAnsi="ITC Avant Garde" w:cs="Arial"/>
          <w:color w:val="auto"/>
        </w:rPr>
      </w:pPr>
    </w:p>
    <w:p w14:paraId="766C5B90" w14:textId="5D3FB40F" w:rsidR="00CF33E5" w:rsidRPr="0052418C" w:rsidRDefault="003E6193" w:rsidP="0052418C">
      <w:pPr>
        <w:pStyle w:val="Prrafodelista"/>
        <w:numPr>
          <w:ilvl w:val="0"/>
          <w:numId w:val="8"/>
        </w:numPr>
        <w:autoSpaceDE w:val="0"/>
        <w:autoSpaceDN w:val="0"/>
        <w:adjustRightInd w:val="0"/>
        <w:spacing w:after="0" w:line="276" w:lineRule="auto"/>
        <w:ind w:left="567" w:right="0" w:hanging="425"/>
        <w:rPr>
          <w:rFonts w:ascii="ITC Avant Garde" w:hAnsi="ITC Avant Garde" w:cs="Arial"/>
          <w:color w:val="auto"/>
        </w:rPr>
      </w:pPr>
      <w:r w:rsidRPr="0052418C">
        <w:rPr>
          <w:rFonts w:ascii="ITC Avant Garde" w:hAnsi="ITC Avant Garde" w:cs="Arial"/>
          <w:color w:val="auto"/>
        </w:rPr>
        <w:t>No es práctico para servicios en desarrollo Ethernet. Si bien la tecnología Ethernet no es nueva en la Oferta de Enlaces, es un producto que aún no ha madurado</w:t>
      </w:r>
      <w:r w:rsidR="00D3738C" w:rsidRPr="0052418C">
        <w:rPr>
          <w:rFonts w:ascii="ITC Avant Garde" w:hAnsi="ITC Avant Garde" w:cs="Arial"/>
          <w:color w:val="auto"/>
        </w:rPr>
        <w:t>.</w:t>
      </w:r>
    </w:p>
    <w:p w14:paraId="29BB204C" w14:textId="77777777" w:rsidR="00CD7852" w:rsidRPr="0052418C" w:rsidRDefault="00CD7852" w:rsidP="0052418C">
      <w:pPr>
        <w:pStyle w:val="Prrafodelista"/>
        <w:autoSpaceDE w:val="0"/>
        <w:autoSpaceDN w:val="0"/>
        <w:adjustRightInd w:val="0"/>
        <w:spacing w:after="0" w:line="276" w:lineRule="auto"/>
        <w:ind w:left="567" w:right="0" w:hanging="425"/>
        <w:rPr>
          <w:rFonts w:ascii="ITC Avant Garde" w:hAnsi="ITC Avant Garde" w:cs="Arial"/>
          <w:color w:val="auto"/>
        </w:rPr>
      </w:pPr>
    </w:p>
    <w:p w14:paraId="6D68C371" w14:textId="2ABCBA0C" w:rsidR="002121D8" w:rsidRPr="0052418C" w:rsidRDefault="00D3738C" w:rsidP="0052418C">
      <w:pPr>
        <w:autoSpaceDE w:val="0"/>
        <w:autoSpaceDN w:val="0"/>
        <w:adjustRightInd w:val="0"/>
        <w:spacing w:after="0" w:line="276" w:lineRule="auto"/>
        <w:ind w:right="0"/>
        <w:rPr>
          <w:rFonts w:ascii="ITC Avant Garde" w:hAnsi="ITC Avant Garde" w:cs="Arial"/>
          <w:color w:val="auto"/>
        </w:rPr>
      </w:pPr>
      <w:r w:rsidRPr="0052418C">
        <w:rPr>
          <w:rFonts w:ascii="ITC Avant Garde" w:hAnsi="ITC Avant Garde" w:cs="Arial"/>
          <w:color w:val="auto"/>
        </w:rPr>
        <w:t xml:space="preserve">Bajo tales argumentos, </w:t>
      </w:r>
      <w:r w:rsidR="00CD7852" w:rsidRPr="0052418C">
        <w:rPr>
          <w:rFonts w:ascii="ITC Avant Garde" w:hAnsi="ITC Avant Garde" w:cs="Arial"/>
          <w:color w:val="auto"/>
        </w:rPr>
        <w:t>Axtel s</w:t>
      </w:r>
      <w:r w:rsidR="00377693" w:rsidRPr="0052418C">
        <w:rPr>
          <w:rFonts w:ascii="ITC Avant Garde" w:hAnsi="ITC Avant Garde" w:cs="Arial"/>
          <w:color w:val="auto"/>
        </w:rPr>
        <w:t>olicit</w:t>
      </w:r>
      <w:r w:rsidR="00EB0E08" w:rsidRPr="0052418C">
        <w:rPr>
          <w:rFonts w:ascii="ITC Avant Garde" w:hAnsi="ITC Avant Garde" w:cs="Arial"/>
          <w:color w:val="auto"/>
        </w:rPr>
        <w:t>ó</w:t>
      </w:r>
      <w:r w:rsidR="00377693" w:rsidRPr="0052418C">
        <w:rPr>
          <w:rFonts w:ascii="ITC Avant Garde" w:hAnsi="ITC Avant Garde" w:cs="Arial"/>
          <w:color w:val="auto"/>
        </w:rPr>
        <w:t xml:space="preserve"> al </w:t>
      </w:r>
      <w:r w:rsidR="00CD7852" w:rsidRPr="0052418C">
        <w:rPr>
          <w:rFonts w:ascii="ITC Avant Garde" w:hAnsi="ITC Avant Garde" w:cs="Arial"/>
          <w:color w:val="auto"/>
        </w:rPr>
        <w:t xml:space="preserve">Instituto </w:t>
      </w:r>
      <w:r w:rsidR="00377693" w:rsidRPr="0052418C">
        <w:rPr>
          <w:rFonts w:ascii="ITC Avant Garde" w:hAnsi="ITC Avant Garde" w:cs="Arial"/>
          <w:color w:val="auto"/>
        </w:rPr>
        <w:t xml:space="preserve">garantizar que </w:t>
      </w:r>
      <w:r w:rsidR="00FC27D2" w:rsidRPr="0052418C">
        <w:rPr>
          <w:rFonts w:ascii="ITC Avant Garde" w:hAnsi="ITC Avant Garde" w:cs="Arial"/>
          <w:color w:val="auto"/>
        </w:rPr>
        <w:t xml:space="preserve">se </w:t>
      </w:r>
      <w:r w:rsidR="00377693" w:rsidRPr="0052418C">
        <w:rPr>
          <w:rFonts w:ascii="ITC Avant Garde" w:hAnsi="ITC Avant Garde" w:cs="Arial"/>
          <w:color w:val="auto"/>
        </w:rPr>
        <w:t>elimine</w:t>
      </w:r>
      <w:r w:rsidR="00FC27D2" w:rsidRPr="0052418C">
        <w:rPr>
          <w:rFonts w:ascii="ITC Avant Garde" w:hAnsi="ITC Avant Garde" w:cs="Arial"/>
          <w:color w:val="auto"/>
        </w:rPr>
        <w:t>n</w:t>
      </w:r>
      <w:r w:rsidR="00896A23" w:rsidRPr="0052418C">
        <w:rPr>
          <w:rFonts w:ascii="ITC Avant Garde" w:hAnsi="ITC Avant Garde" w:cs="Arial"/>
          <w:color w:val="auto"/>
        </w:rPr>
        <w:t>,</w:t>
      </w:r>
      <w:r w:rsidR="002121D8" w:rsidRPr="0052418C">
        <w:rPr>
          <w:rFonts w:ascii="ITC Avant Garde" w:hAnsi="ITC Avant Garde" w:cs="Arial"/>
          <w:color w:val="auto"/>
        </w:rPr>
        <w:t xml:space="preserve"> los siguientes aspectos:</w:t>
      </w:r>
    </w:p>
    <w:p w14:paraId="1C307AC5" w14:textId="77777777" w:rsidR="002121D8" w:rsidRPr="0052418C" w:rsidRDefault="002121D8" w:rsidP="0052418C">
      <w:pPr>
        <w:autoSpaceDE w:val="0"/>
        <w:autoSpaceDN w:val="0"/>
        <w:adjustRightInd w:val="0"/>
        <w:spacing w:after="0" w:line="276" w:lineRule="auto"/>
        <w:ind w:right="0"/>
        <w:rPr>
          <w:rFonts w:ascii="ITC Avant Garde" w:hAnsi="ITC Avant Garde" w:cs="Arial"/>
          <w:color w:val="auto"/>
        </w:rPr>
      </w:pPr>
    </w:p>
    <w:p w14:paraId="14A1F07D" w14:textId="3E913CB8" w:rsidR="003068F9" w:rsidRPr="0052418C" w:rsidRDefault="002121D8" w:rsidP="0052418C">
      <w:pPr>
        <w:pStyle w:val="Prrafodelista"/>
        <w:numPr>
          <w:ilvl w:val="0"/>
          <w:numId w:val="78"/>
        </w:numPr>
        <w:autoSpaceDE w:val="0"/>
        <w:autoSpaceDN w:val="0"/>
        <w:adjustRightInd w:val="0"/>
        <w:spacing w:after="0" w:line="276" w:lineRule="auto"/>
        <w:ind w:right="0"/>
        <w:rPr>
          <w:rFonts w:ascii="ITC Avant Garde" w:hAnsi="ITC Avant Garde" w:cs="Arial"/>
          <w:color w:val="auto"/>
        </w:rPr>
      </w:pPr>
      <w:r w:rsidRPr="0052418C">
        <w:rPr>
          <w:rFonts w:ascii="ITC Avant Garde" w:hAnsi="ITC Avant Garde" w:cs="Arial"/>
          <w:color w:val="auto"/>
        </w:rPr>
        <w:t xml:space="preserve">La condición </w:t>
      </w:r>
      <w:r w:rsidR="0056616D" w:rsidRPr="0052418C">
        <w:rPr>
          <w:rFonts w:ascii="ITC Avant Garde" w:hAnsi="ITC Avant Garde" w:cs="Arial"/>
          <w:color w:val="auto"/>
        </w:rPr>
        <w:t xml:space="preserve">relativa a que </w:t>
      </w:r>
      <w:r w:rsidR="00896A23" w:rsidRPr="0052418C">
        <w:rPr>
          <w:rFonts w:ascii="ITC Avant Garde" w:hAnsi="ITC Avant Garde" w:cs="Arial"/>
          <w:color w:val="auto"/>
        </w:rPr>
        <w:t xml:space="preserve">en caso de contratar un porcentaje menor al 50% de lo pronosticado, se haga </w:t>
      </w:r>
      <w:r w:rsidR="00A57100" w:rsidRPr="0052418C">
        <w:rPr>
          <w:rFonts w:ascii="ITC Avant Garde" w:hAnsi="ITC Avant Garde" w:cs="Arial"/>
          <w:color w:val="auto"/>
        </w:rPr>
        <w:t xml:space="preserve">del </w:t>
      </w:r>
      <w:r w:rsidR="00896A23" w:rsidRPr="0052418C">
        <w:rPr>
          <w:rFonts w:ascii="ITC Avant Garde" w:hAnsi="ITC Avant Garde" w:cs="Arial"/>
          <w:color w:val="auto"/>
        </w:rPr>
        <w:t>conocimiento del Instituto y</w:t>
      </w:r>
      <w:r w:rsidR="00A57100" w:rsidRPr="0052418C">
        <w:rPr>
          <w:rFonts w:ascii="ITC Avant Garde" w:hAnsi="ITC Avant Garde" w:cs="Arial"/>
          <w:color w:val="auto"/>
        </w:rPr>
        <w:t xml:space="preserve"> se </w:t>
      </w:r>
      <w:r w:rsidR="00896A23" w:rsidRPr="0052418C">
        <w:rPr>
          <w:rFonts w:ascii="ITC Avant Garde" w:hAnsi="ITC Avant Garde" w:cs="Arial"/>
          <w:color w:val="auto"/>
        </w:rPr>
        <w:t>modifi</w:t>
      </w:r>
      <w:r w:rsidR="00A57100" w:rsidRPr="0052418C">
        <w:rPr>
          <w:rFonts w:ascii="ITC Avant Garde" w:hAnsi="ITC Avant Garde" w:cs="Arial"/>
          <w:color w:val="auto"/>
        </w:rPr>
        <w:t>que</w:t>
      </w:r>
      <w:r w:rsidR="00896A23" w:rsidRPr="0052418C">
        <w:rPr>
          <w:rFonts w:ascii="ITC Avant Garde" w:hAnsi="ITC Avant Garde" w:cs="Arial"/>
          <w:color w:val="auto"/>
        </w:rPr>
        <w:t xml:space="preserve"> el próximo </w:t>
      </w:r>
      <w:r w:rsidR="009060A3" w:rsidRPr="0052418C">
        <w:rPr>
          <w:rFonts w:ascii="ITC Avant Garde" w:hAnsi="ITC Avant Garde" w:cs="Arial"/>
          <w:color w:val="auto"/>
        </w:rPr>
        <w:t>pronóstico</w:t>
      </w:r>
      <w:r w:rsidRPr="0052418C">
        <w:rPr>
          <w:rFonts w:ascii="ITC Avant Garde" w:hAnsi="ITC Avant Garde" w:cs="Arial"/>
          <w:color w:val="auto"/>
        </w:rPr>
        <w:t>, respecto de los servicios realmente contratados</w:t>
      </w:r>
      <w:r w:rsidR="009060A3" w:rsidRPr="0052418C">
        <w:rPr>
          <w:rFonts w:ascii="ITC Avant Garde" w:hAnsi="ITC Avant Garde" w:cs="Arial"/>
          <w:color w:val="auto"/>
        </w:rPr>
        <w:t>.</w:t>
      </w:r>
    </w:p>
    <w:p w14:paraId="4C88EA0B" w14:textId="125CFEA6" w:rsidR="008A5DB9" w:rsidRPr="0052418C" w:rsidRDefault="009060A3" w:rsidP="0052418C">
      <w:pPr>
        <w:pStyle w:val="Prrafodelista"/>
        <w:autoSpaceDE w:val="0"/>
        <w:autoSpaceDN w:val="0"/>
        <w:adjustRightInd w:val="0"/>
        <w:spacing w:after="0" w:line="276" w:lineRule="auto"/>
        <w:ind w:right="0" w:firstLine="0"/>
        <w:rPr>
          <w:rFonts w:ascii="ITC Avant Garde" w:hAnsi="ITC Avant Garde" w:cs="Arial"/>
          <w:color w:val="auto"/>
        </w:rPr>
      </w:pPr>
      <w:r w:rsidRPr="0052418C">
        <w:rPr>
          <w:rFonts w:ascii="ITC Avant Garde" w:hAnsi="ITC Avant Garde" w:cs="Arial"/>
          <w:color w:val="auto"/>
        </w:rPr>
        <w:t xml:space="preserve"> </w:t>
      </w:r>
    </w:p>
    <w:p w14:paraId="06377A32" w14:textId="45F72793" w:rsidR="005B0FC5" w:rsidRPr="0052418C" w:rsidRDefault="00F37EE4" w:rsidP="0052418C">
      <w:pPr>
        <w:pStyle w:val="Prrafodelista"/>
        <w:numPr>
          <w:ilvl w:val="0"/>
          <w:numId w:val="78"/>
        </w:numPr>
        <w:autoSpaceDE w:val="0"/>
        <w:autoSpaceDN w:val="0"/>
        <w:adjustRightInd w:val="0"/>
        <w:spacing w:after="0" w:line="276" w:lineRule="auto"/>
        <w:ind w:right="0"/>
        <w:rPr>
          <w:rFonts w:ascii="ITC Avant Garde" w:hAnsi="ITC Avant Garde" w:cs="Arial"/>
          <w:color w:val="auto"/>
        </w:rPr>
      </w:pPr>
      <w:r w:rsidRPr="0052418C">
        <w:rPr>
          <w:rFonts w:ascii="ITC Avant Garde" w:hAnsi="ITC Avant Garde" w:cs="Arial"/>
          <w:color w:val="auto"/>
        </w:rPr>
        <w:t>Se elimine l</w:t>
      </w:r>
      <w:r w:rsidR="00896A23" w:rsidRPr="0052418C">
        <w:rPr>
          <w:rFonts w:ascii="ITC Avant Garde" w:hAnsi="ITC Avant Garde" w:cs="Arial"/>
          <w:color w:val="auto"/>
        </w:rPr>
        <w:t xml:space="preserve">a </w:t>
      </w:r>
      <w:r w:rsidR="00A57100" w:rsidRPr="0052418C">
        <w:rPr>
          <w:rFonts w:ascii="ITC Avant Garde" w:hAnsi="ITC Avant Garde" w:cs="Arial"/>
          <w:color w:val="auto"/>
        </w:rPr>
        <w:t xml:space="preserve">presentación </w:t>
      </w:r>
      <w:r w:rsidR="00896A23" w:rsidRPr="0052418C">
        <w:rPr>
          <w:rFonts w:ascii="ITC Avant Garde" w:hAnsi="ITC Avant Garde" w:cs="Arial"/>
          <w:color w:val="auto"/>
        </w:rPr>
        <w:t>bimestral de las proyecciones</w:t>
      </w:r>
      <w:r w:rsidR="000A51B1" w:rsidRPr="0052418C">
        <w:rPr>
          <w:rFonts w:ascii="ITC Avant Garde" w:hAnsi="ITC Avant Garde" w:cs="Arial"/>
          <w:color w:val="auto"/>
        </w:rPr>
        <w:t>,</w:t>
      </w:r>
      <w:r w:rsidR="0069156E" w:rsidRPr="0052418C">
        <w:rPr>
          <w:rFonts w:ascii="ITC Avant Garde" w:hAnsi="ITC Avant Garde" w:cs="Arial"/>
          <w:color w:val="auto"/>
        </w:rPr>
        <w:t xml:space="preserve"> </w:t>
      </w:r>
      <w:r w:rsidR="000A51B1" w:rsidRPr="0052418C">
        <w:rPr>
          <w:rFonts w:ascii="ITC Avant Garde" w:hAnsi="ITC Avant Garde" w:cs="Arial"/>
          <w:color w:val="auto"/>
        </w:rPr>
        <w:t>pues</w:t>
      </w:r>
      <w:r w:rsidR="00896A23" w:rsidRPr="0052418C">
        <w:rPr>
          <w:rFonts w:ascii="ITC Avant Garde" w:hAnsi="ITC Avant Garde" w:cs="Arial"/>
          <w:color w:val="auto"/>
        </w:rPr>
        <w:t xml:space="preserve"> manifiesta que no</w:t>
      </w:r>
      <w:r w:rsidR="00A57100" w:rsidRPr="0052418C">
        <w:rPr>
          <w:rFonts w:ascii="ITC Avant Garde" w:hAnsi="ITC Avant Garde" w:cs="Arial"/>
          <w:color w:val="auto"/>
        </w:rPr>
        <w:t xml:space="preserve"> </w:t>
      </w:r>
      <w:r w:rsidR="000A51B1" w:rsidRPr="0052418C">
        <w:rPr>
          <w:rFonts w:ascii="ITC Avant Garde" w:hAnsi="ITC Avant Garde" w:cs="Arial"/>
          <w:color w:val="auto"/>
        </w:rPr>
        <w:t xml:space="preserve">genera </w:t>
      </w:r>
      <w:r w:rsidR="00A57100" w:rsidRPr="0052418C">
        <w:rPr>
          <w:rFonts w:ascii="ITC Avant Garde" w:hAnsi="ITC Avant Garde" w:cs="Arial"/>
          <w:color w:val="auto"/>
        </w:rPr>
        <w:t>un valor agregado en la prestación del servicio al usuario final</w:t>
      </w:r>
      <w:r w:rsidR="00896A23" w:rsidRPr="0052418C">
        <w:rPr>
          <w:rFonts w:ascii="ITC Avant Garde" w:hAnsi="ITC Avant Garde" w:cs="Arial"/>
          <w:color w:val="auto"/>
        </w:rPr>
        <w:t xml:space="preserve">. </w:t>
      </w:r>
    </w:p>
    <w:p w14:paraId="08E060E8" w14:textId="77777777" w:rsidR="0056616D" w:rsidRPr="0052418C" w:rsidRDefault="0056616D" w:rsidP="0052418C">
      <w:pPr>
        <w:pStyle w:val="Prrafodelista"/>
        <w:spacing w:after="0" w:line="276" w:lineRule="auto"/>
        <w:rPr>
          <w:rFonts w:ascii="ITC Avant Garde" w:hAnsi="ITC Avant Garde" w:cs="Arial"/>
          <w:color w:val="auto"/>
        </w:rPr>
      </w:pPr>
    </w:p>
    <w:p w14:paraId="3B5074B6" w14:textId="6FEB8C7F" w:rsidR="005B0FC5" w:rsidRPr="0052418C" w:rsidRDefault="005B0FC5" w:rsidP="0052418C">
      <w:pPr>
        <w:pStyle w:val="Prrafodelista"/>
        <w:numPr>
          <w:ilvl w:val="0"/>
          <w:numId w:val="78"/>
        </w:numPr>
        <w:autoSpaceDE w:val="0"/>
        <w:autoSpaceDN w:val="0"/>
        <w:adjustRightInd w:val="0"/>
        <w:spacing w:after="0" w:line="276" w:lineRule="auto"/>
        <w:ind w:right="0"/>
        <w:rPr>
          <w:rFonts w:ascii="ITC Avant Garde" w:hAnsi="ITC Avant Garde" w:cs="Arial"/>
          <w:color w:val="auto"/>
        </w:rPr>
      </w:pPr>
      <w:r w:rsidRPr="0052418C">
        <w:rPr>
          <w:rFonts w:ascii="ITC Avant Garde" w:hAnsi="ITC Avant Garde" w:cs="Arial"/>
          <w:color w:val="auto"/>
        </w:rPr>
        <w:t>L</w:t>
      </w:r>
      <w:r w:rsidR="00896A23" w:rsidRPr="0052418C">
        <w:rPr>
          <w:rFonts w:ascii="ITC Avant Garde" w:hAnsi="ITC Avant Garde" w:cs="Arial"/>
          <w:color w:val="auto"/>
        </w:rPr>
        <w:t xml:space="preserve">a condición que en caso de no presentar los pronósticos </w:t>
      </w:r>
      <w:r w:rsidR="00416DDB" w:rsidRPr="0052418C">
        <w:rPr>
          <w:rFonts w:ascii="ITC Avant Garde" w:hAnsi="ITC Avant Garde" w:cs="Arial"/>
          <w:color w:val="auto"/>
        </w:rPr>
        <w:t>se deberá acordar los tiempos entre las partes</w:t>
      </w:r>
      <w:r w:rsidRPr="0052418C">
        <w:rPr>
          <w:rFonts w:ascii="ITC Avant Garde" w:hAnsi="ITC Avant Garde" w:cs="Arial"/>
          <w:color w:val="auto"/>
        </w:rPr>
        <w:t>.</w:t>
      </w:r>
    </w:p>
    <w:p w14:paraId="6921A735" w14:textId="77777777" w:rsidR="005B0FC5" w:rsidRPr="0052418C" w:rsidRDefault="005B0FC5" w:rsidP="0052418C">
      <w:pPr>
        <w:autoSpaceDE w:val="0"/>
        <w:autoSpaceDN w:val="0"/>
        <w:adjustRightInd w:val="0"/>
        <w:spacing w:after="0" w:line="276" w:lineRule="auto"/>
        <w:ind w:left="0" w:right="0" w:firstLine="0"/>
        <w:rPr>
          <w:rFonts w:ascii="ITC Avant Garde" w:hAnsi="ITC Avant Garde" w:cs="Arial"/>
          <w:color w:val="auto"/>
        </w:rPr>
      </w:pPr>
    </w:p>
    <w:p w14:paraId="6B39F871" w14:textId="592CF714" w:rsidR="00CD7852" w:rsidRPr="0052418C" w:rsidRDefault="00F37EE4" w:rsidP="0052418C">
      <w:pPr>
        <w:pStyle w:val="Prrafodelista"/>
        <w:numPr>
          <w:ilvl w:val="0"/>
          <w:numId w:val="78"/>
        </w:numPr>
        <w:autoSpaceDE w:val="0"/>
        <w:autoSpaceDN w:val="0"/>
        <w:adjustRightInd w:val="0"/>
        <w:spacing w:after="0" w:line="276" w:lineRule="auto"/>
        <w:ind w:right="0"/>
        <w:rPr>
          <w:rFonts w:ascii="ITC Avant Garde" w:hAnsi="ITC Avant Garde" w:cs="Arial"/>
          <w:color w:val="auto"/>
        </w:rPr>
      </w:pPr>
      <w:r w:rsidRPr="0052418C">
        <w:rPr>
          <w:rFonts w:ascii="ITC Avant Garde" w:hAnsi="ITC Avant Garde" w:cs="Arial"/>
          <w:color w:val="auto"/>
        </w:rPr>
        <w:t>Se elimine d</w:t>
      </w:r>
      <w:r w:rsidR="00416DDB" w:rsidRPr="0052418C">
        <w:rPr>
          <w:rFonts w:ascii="ITC Avant Garde" w:hAnsi="ITC Avant Garde" w:cs="Arial"/>
          <w:color w:val="auto"/>
        </w:rPr>
        <w:t xml:space="preserve">el formato de </w:t>
      </w:r>
      <w:r w:rsidR="00372124" w:rsidRPr="0052418C">
        <w:rPr>
          <w:rFonts w:ascii="ITC Avant Garde" w:hAnsi="ITC Avant Garde" w:cs="Arial"/>
          <w:color w:val="auto"/>
        </w:rPr>
        <w:t>pronóstico,</w:t>
      </w:r>
      <w:r w:rsidR="00416DDB" w:rsidRPr="0052418C">
        <w:rPr>
          <w:rFonts w:ascii="ITC Avant Garde" w:hAnsi="ITC Avant Garde" w:cs="Arial"/>
          <w:color w:val="auto"/>
        </w:rPr>
        <w:t xml:space="preserve"> el incluir tanto la localidad como el mes de contratación, </w:t>
      </w:r>
      <w:r w:rsidRPr="0052418C">
        <w:rPr>
          <w:rFonts w:ascii="ITC Avant Garde" w:hAnsi="ITC Avant Garde" w:cs="Arial"/>
          <w:color w:val="auto"/>
        </w:rPr>
        <w:t>y</w:t>
      </w:r>
      <w:r w:rsidR="00131B6A" w:rsidRPr="0052418C">
        <w:rPr>
          <w:rFonts w:ascii="ITC Avant Garde" w:hAnsi="ITC Avant Garde" w:cs="Arial"/>
          <w:color w:val="auto"/>
        </w:rPr>
        <w:t xml:space="preserve"> </w:t>
      </w:r>
      <w:r w:rsidR="00416DDB" w:rsidRPr="0052418C">
        <w:rPr>
          <w:rFonts w:ascii="ITC Avant Garde" w:hAnsi="ITC Avant Garde" w:cs="Arial"/>
          <w:color w:val="auto"/>
        </w:rPr>
        <w:t xml:space="preserve">únicamente se debe considerar </w:t>
      </w:r>
      <w:r w:rsidR="005D6204" w:rsidRPr="0052418C">
        <w:rPr>
          <w:rFonts w:ascii="ITC Avant Garde" w:hAnsi="ITC Avant Garde" w:cs="Arial"/>
          <w:color w:val="auto"/>
        </w:rPr>
        <w:t>los volúmenes</w:t>
      </w:r>
      <w:r w:rsidR="00416DDB" w:rsidRPr="0052418C">
        <w:rPr>
          <w:rFonts w:ascii="ITC Avant Garde" w:hAnsi="ITC Avant Garde" w:cs="Arial"/>
          <w:color w:val="auto"/>
        </w:rPr>
        <w:t xml:space="preserve"> de contratación, el ancho de banda y la tecnología</w:t>
      </w:r>
      <w:r w:rsidR="009060A3" w:rsidRPr="0052418C">
        <w:rPr>
          <w:rFonts w:ascii="ITC Avant Garde" w:hAnsi="ITC Avant Garde" w:cs="Arial"/>
          <w:color w:val="auto"/>
        </w:rPr>
        <w:t>.</w:t>
      </w:r>
      <w:r w:rsidR="00416DDB" w:rsidRPr="0052418C">
        <w:rPr>
          <w:rFonts w:ascii="ITC Avant Garde" w:hAnsi="ITC Avant Garde" w:cs="Arial"/>
          <w:color w:val="auto"/>
        </w:rPr>
        <w:t xml:space="preserve"> </w:t>
      </w:r>
    </w:p>
    <w:p w14:paraId="29FCE6D0" w14:textId="77777777" w:rsidR="00377693" w:rsidRPr="0052418C" w:rsidRDefault="00377693" w:rsidP="0052418C">
      <w:pPr>
        <w:autoSpaceDE w:val="0"/>
        <w:autoSpaceDN w:val="0"/>
        <w:adjustRightInd w:val="0"/>
        <w:spacing w:after="0" w:line="276" w:lineRule="auto"/>
        <w:ind w:left="567" w:right="0" w:firstLine="0"/>
        <w:rPr>
          <w:rFonts w:ascii="ITC Avant Garde" w:hAnsi="ITC Avant Garde" w:cs="Arial"/>
          <w:color w:val="auto"/>
        </w:rPr>
      </w:pPr>
    </w:p>
    <w:p w14:paraId="26FEBB66" w14:textId="11ED141A" w:rsidR="002B604C" w:rsidRPr="0052418C" w:rsidRDefault="007E5D95" w:rsidP="0052418C">
      <w:pPr>
        <w:autoSpaceDE w:val="0"/>
        <w:autoSpaceDN w:val="0"/>
        <w:adjustRightInd w:val="0"/>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GRUPO</w:t>
      </w:r>
      <w:r w:rsidR="00CD7852" w:rsidRPr="0052418C">
        <w:rPr>
          <w:rFonts w:ascii="ITC Avant Garde" w:hAnsi="ITC Avant Garde" w:cs="Arial"/>
          <w:b/>
          <w:color w:val="auto"/>
        </w:rPr>
        <w:t xml:space="preserve"> AT&amp;T</w:t>
      </w:r>
      <w:r w:rsidR="00A90392" w:rsidRPr="0052418C">
        <w:rPr>
          <w:rFonts w:ascii="ITC Avant Garde" w:hAnsi="ITC Avant Garde" w:cs="Arial"/>
          <w:b/>
          <w:color w:val="auto"/>
        </w:rPr>
        <w:t>:</w:t>
      </w:r>
      <w:r w:rsidR="0068614A" w:rsidRPr="0052418C">
        <w:rPr>
          <w:rFonts w:ascii="ITC Avant Garde" w:hAnsi="ITC Avant Garde" w:cs="Arial"/>
          <w:b/>
          <w:color w:val="auto"/>
        </w:rPr>
        <w:t xml:space="preserve"> </w:t>
      </w:r>
    </w:p>
    <w:p w14:paraId="48CE6043" w14:textId="4D3BFD9D" w:rsidR="002230D9" w:rsidRPr="0052418C" w:rsidRDefault="00B72AD6" w:rsidP="0052418C">
      <w:pPr>
        <w:autoSpaceDE w:val="0"/>
        <w:autoSpaceDN w:val="0"/>
        <w:adjustRightInd w:val="0"/>
        <w:spacing w:after="0" w:line="276" w:lineRule="auto"/>
        <w:ind w:left="0" w:right="0" w:firstLine="0"/>
        <w:rPr>
          <w:rFonts w:ascii="ITC Avant Garde" w:hAnsi="ITC Avant Garde" w:cs="Arial"/>
          <w:color w:val="auto"/>
        </w:rPr>
      </w:pPr>
      <w:r w:rsidRPr="0052418C">
        <w:rPr>
          <w:rFonts w:ascii="ITC Avant Garde" w:hAnsi="ITC Avant Garde" w:cs="Arial"/>
          <w:color w:val="auto"/>
        </w:rPr>
        <w:t>Manifest</w:t>
      </w:r>
      <w:r w:rsidR="00EB0E08" w:rsidRPr="0052418C">
        <w:rPr>
          <w:rFonts w:ascii="ITC Avant Garde" w:hAnsi="ITC Avant Garde" w:cs="Arial"/>
          <w:color w:val="auto"/>
        </w:rPr>
        <w:t>ó</w:t>
      </w:r>
      <w:r w:rsidRPr="0052418C">
        <w:rPr>
          <w:rFonts w:ascii="ITC Avant Garde" w:hAnsi="ITC Avant Garde" w:cs="Arial"/>
          <w:color w:val="auto"/>
        </w:rPr>
        <w:t xml:space="preserve"> que</w:t>
      </w:r>
      <w:r w:rsidR="00663692" w:rsidRPr="0052418C">
        <w:rPr>
          <w:rFonts w:ascii="ITC Avant Garde" w:hAnsi="ITC Avant Garde" w:cs="Arial"/>
          <w:color w:val="auto"/>
        </w:rPr>
        <w:t xml:space="preserve"> este tipo de enlaces </w:t>
      </w:r>
      <w:r w:rsidR="0012357A" w:rsidRPr="0052418C">
        <w:rPr>
          <w:rFonts w:ascii="ITC Avant Garde" w:hAnsi="ITC Avant Garde" w:cs="Arial"/>
          <w:color w:val="auto"/>
        </w:rPr>
        <w:t>se requieren para aplicaciones específicas, señal</w:t>
      </w:r>
      <w:r w:rsidR="0093309F">
        <w:rPr>
          <w:rFonts w:ascii="ITC Avant Garde" w:hAnsi="ITC Avant Garde" w:cs="Arial"/>
          <w:color w:val="auto"/>
        </w:rPr>
        <w:t>ó</w:t>
      </w:r>
      <w:r w:rsidR="0012357A" w:rsidRPr="0052418C">
        <w:rPr>
          <w:rFonts w:ascii="ITC Avant Garde" w:hAnsi="ITC Avant Garde" w:cs="Arial"/>
          <w:color w:val="auto"/>
        </w:rPr>
        <w:t xml:space="preserve"> que </w:t>
      </w:r>
      <w:r w:rsidR="0096666B" w:rsidRPr="0052418C">
        <w:rPr>
          <w:rFonts w:ascii="ITC Avant Garde" w:hAnsi="ITC Avant Garde" w:cs="Arial"/>
          <w:color w:val="auto"/>
        </w:rPr>
        <w:t xml:space="preserve">es muy complicado conocer los requerimientos con más de seis meses de anticipación, </w:t>
      </w:r>
      <w:r w:rsidR="005E5437" w:rsidRPr="0052418C">
        <w:rPr>
          <w:rFonts w:ascii="ITC Avant Garde" w:hAnsi="ITC Avant Garde" w:cs="Arial"/>
          <w:color w:val="auto"/>
        </w:rPr>
        <w:t>sin embargo,</w:t>
      </w:r>
      <w:r w:rsidR="0096666B" w:rsidRPr="0052418C">
        <w:rPr>
          <w:rFonts w:ascii="ITC Avant Garde" w:hAnsi="ITC Avant Garde" w:cs="Arial"/>
          <w:color w:val="auto"/>
        </w:rPr>
        <w:t xml:space="preserve"> es posible </w:t>
      </w:r>
      <w:r w:rsidR="00C44723" w:rsidRPr="0052418C">
        <w:rPr>
          <w:rFonts w:ascii="ITC Avant Garde" w:hAnsi="ITC Avant Garde" w:cs="Arial"/>
          <w:color w:val="auto"/>
        </w:rPr>
        <w:t>la</w:t>
      </w:r>
      <w:r w:rsidR="005E5437" w:rsidRPr="0052418C">
        <w:rPr>
          <w:rFonts w:ascii="ITC Avant Garde" w:hAnsi="ITC Avant Garde" w:cs="Arial"/>
          <w:color w:val="auto"/>
        </w:rPr>
        <w:t xml:space="preserve"> </w:t>
      </w:r>
      <w:r w:rsidR="0096666B" w:rsidRPr="0052418C">
        <w:rPr>
          <w:rFonts w:ascii="ITC Avant Garde" w:hAnsi="ITC Avant Garde" w:cs="Arial"/>
          <w:color w:val="auto"/>
        </w:rPr>
        <w:t xml:space="preserve">entrega </w:t>
      </w:r>
      <w:r w:rsidR="005E5437" w:rsidRPr="0052418C">
        <w:rPr>
          <w:rFonts w:ascii="ITC Avant Garde" w:hAnsi="ITC Avant Garde" w:cs="Arial"/>
          <w:color w:val="auto"/>
        </w:rPr>
        <w:t xml:space="preserve">del </w:t>
      </w:r>
      <w:r w:rsidR="0096666B" w:rsidRPr="0052418C">
        <w:rPr>
          <w:rFonts w:ascii="ITC Avant Garde" w:hAnsi="ITC Avant Garde" w:cs="Arial"/>
          <w:color w:val="auto"/>
        </w:rPr>
        <w:t xml:space="preserve">pronóstico </w:t>
      </w:r>
      <w:r w:rsidR="005E5437" w:rsidRPr="0052418C">
        <w:rPr>
          <w:rFonts w:ascii="ITC Avant Garde" w:hAnsi="ITC Avant Garde" w:cs="Arial"/>
          <w:color w:val="auto"/>
        </w:rPr>
        <w:t xml:space="preserve">de forma </w:t>
      </w:r>
      <w:r w:rsidR="0096666B" w:rsidRPr="0052418C">
        <w:rPr>
          <w:rFonts w:ascii="ITC Avant Garde" w:hAnsi="ITC Avant Garde" w:cs="Arial"/>
          <w:color w:val="auto"/>
        </w:rPr>
        <w:t>semestral</w:t>
      </w:r>
      <w:r w:rsidR="00C44723" w:rsidRPr="0052418C">
        <w:rPr>
          <w:rFonts w:ascii="ITC Avant Garde" w:hAnsi="ITC Avant Garde" w:cs="Arial"/>
          <w:color w:val="auto"/>
        </w:rPr>
        <w:t>,</w:t>
      </w:r>
      <w:r w:rsidR="0096666B" w:rsidRPr="0052418C">
        <w:rPr>
          <w:rFonts w:ascii="ITC Avant Garde" w:hAnsi="ITC Avant Garde" w:cs="Arial"/>
          <w:color w:val="auto"/>
        </w:rPr>
        <w:t xml:space="preserve"> </w:t>
      </w:r>
      <w:r w:rsidR="005E5437" w:rsidRPr="0052418C">
        <w:rPr>
          <w:rFonts w:ascii="ITC Avant Garde" w:hAnsi="ITC Avant Garde" w:cs="Arial"/>
          <w:color w:val="auto"/>
        </w:rPr>
        <w:t>pero</w:t>
      </w:r>
      <w:r w:rsidR="0096666B" w:rsidRPr="0052418C">
        <w:rPr>
          <w:rFonts w:ascii="ITC Avant Garde" w:hAnsi="ITC Avant Garde" w:cs="Arial"/>
          <w:color w:val="auto"/>
        </w:rPr>
        <w:t xml:space="preserve"> </w:t>
      </w:r>
      <w:r w:rsidR="002230D9" w:rsidRPr="0052418C">
        <w:rPr>
          <w:rFonts w:ascii="ITC Avant Garde" w:hAnsi="ITC Avant Garde" w:cs="Arial"/>
          <w:color w:val="auto"/>
        </w:rPr>
        <w:t>no tiene sentido que 3 meses después se deba entregar otro pronóstico cuando no se tiene información detallada de lo que ocurrirá 5 meses después</w:t>
      </w:r>
      <w:r w:rsidRPr="0052418C">
        <w:rPr>
          <w:rFonts w:ascii="ITC Avant Garde" w:hAnsi="ITC Avant Garde" w:cs="Arial"/>
          <w:color w:val="auto"/>
        </w:rPr>
        <w:t>.</w:t>
      </w:r>
      <w:r w:rsidR="002230D9" w:rsidRPr="0052418C">
        <w:rPr>
          <w:rFonts w:ascii="ITC Avant Garde" w:hAnsi="ITC Avant Garde" w:cs="Arial"/>
          <w:color w:val="auto"/>
        </w:rPr>
        <w:t xml:space="preserve"> </w:t>
      </w:r>
    </w:p>
    <w:p w14:paraId="304FC48E" w14:textId="77777777" w:rsidR="002230D9" w:rsidRPr="0052418C" w:rsidRDefault="002230D9" w:rsidP="0052418C">
      <w:pPr>
        <w:autoSpaceDE w:val="0"/>
        <w:autoSpaceDN w:val="0"/>
        <w:adjustRightInd w:val="0"/>
        <w:spacing w:after="0" w:line="276" w:lineRule="auto"/>
        <w:ind w:left="0" w:right="0" w:firstLine="0"/>
        <w:rPr>
          <w:rFonts w:ascii="ITC Avant Garde" w:hAnsi="ITC Avant Garde" w:cs="Arial"/>
          <w:color w:val="auto"/>
        </w:rPr>
      </w:pPr>
    </w:p>
    <w:p w14:paraId="7F3449BC" w14:textId="44846F6F" w:rsidR="00AE7807" w:rsidRPr="0052418C" w:rsidRDefault="00AE7807" w:rsidP="0052418C">
      <w:pPr>
        <w:pStyle w:val="Textocomentario"/>
        <w:spacing w:after="0" w:line="276" w:lineRule="auto"/>
        <w:jc w:val="both"/>
        <w:rPr>
          <w:rFonts w:ascii="ITC Avant Garde" w:eastAsia="Avant Garde" w:hAnsi="ITC Avant Garde" w:cs="Arial"/>
          <w:sz w:val="22"/>
          <w:szCs w:val="22"/>
          <w:lang w:eastAsia="es-MX"/>
        </w:rPr>
      </w:pPr>
      <w:r w:rsidRPr="0052418C">
        <w:rPr>
          <w:rFonts w:ascii="ITC Avant Garde" w:eastAsia="Avant Garde" w:hAnsi="ITC Avant Garde" w:cs="Arial"/>
          <w:sz w:val="22"/>
          <w:szCs w:val="22"/>
          <w:lang w:eastAsia="es-MX"/>
        </w:rPr>
        <w:t>Por otro lado,</w:t>
      </w:r>
      <w:r w:rsidR="00E90584" w:rsidRPr="0052418C">
        <w:rPr>
          <w:rFonts w:ascii="ITC Avant Garde" w:eastAsia="Avant Garde" w:hAnsi="ITC Avant Garde" w:cs="Arial"/>
          <w:sz w:val="22"/>
          <w:szCs w:val="22"/>
          <w:lang w:eastAsia="es-MX"/>
        </w:rPr>
        <w:t xml:space="preserve"> sugir</w:t>
      </w:r>
      <w:r w:rsidR="00BF1DBB" w:rsidRPr="0052418C">
        <w:rPr>
          <w:rFonts w:ascii="ITC Avant Garde" w:eastAsia="Avant Garde" w:hAnsi="ITC Avant Garde" w:cs="Arial"/>
          <w:sz w:val="22"/>
          <w:szCs w:val="22"/>
          <w:lang w:eastAsia="es-MX"/>
        </w:rPr>
        <w:t>ió</w:t>
      </w:r>
      <w:r w:rsidR="00E90584" w:rsidRPr="0052418C">
        <w:rPr>
          <w:rFonts w:ascii="ITC Avant Garde" w:eastAsia="Avant Garde" w:hAnsi="ITC Avant Garde" w:cs="Arial"/>
          <w:sz w:val="22"/>
          <w:szCs w:val="22"/>
          <w:lang w:eastAsia="es-MX"/>
        </w:rPr>
        <w:t xml:space="preserve"> eliminar</w:t>
      </w:r>
      <w:r w:rsidR="00615DD1" w:rsidRPr="0052418C">
        <w:rPr>
          <w:rFonts w:ascii="ITC Avant Garde" w:eastAsia="Avant Garde" w:hAnsi="ITC Avant Garde" w:cs="Arial"/>
          <w:sz w:val="22"/>
          <w:szCs w:val="22"/>
          <w:lang w:eastAsia="es-MX"/>
        </w:rPr>
        <w:t xml:space="preserve"> el</w:t>
      </w:r>
      <w:r w:rsidR="00E90584" w:rsidRPr="0052418C">
        <w:rPr>
          <w:rFonts w:ascii="ITC Avant Garde" w:eastAsia="Avant Garde" w:hAnsi="ITC Avant Garde" w:cs="Arial"/>
          <w:sz w:val="22"/>
          <w:szCs w:val="22"/>
          <w:lang w:eastAsia="es-MX"/>
        </w:rPr>
        <w:t xml:space="preserve"> párrafo</w:t>
      </w:r>
      <w:r w:rsidRPr="0052418C">
        <w:rPr>
          <w:rFonts w:ascii="ITC Avant Garde" w:eastAsia="Avant Garde" w:hAnsi="ITC Avant Garde" w:cs="Arial"/>
          <w:sz w:val="22"/>
          <w:szCs w:val="22"/>
          <w:lang w:eastAsia="es-MX"/>
        </w:rPr>
        <w:t xml:space="preserve"> </w:t>
      </w:r>
      <w:r w:rsidR="000F7B76" w:rsidRPr="0052418C">
        <w:rPr>
          <w:rFonts w:ascii="ITC Avant Garde" w:eastAsia="Avant Garde" w:hAnsi="ITC Avant Garde" w:cs="Arial"/>
          <w:sz w:val="22"/>
          <w:szCs w:val="22"/>
          <w:lang w:eastAsia="es-MX"/>
        </w:rPr>
        <w:t xml:space="preserve">relativo </w:t>
      </w:r>
      <w:r w:rsidRPr="0052418C">
        <w:rPr>
          <w:rFonts w:ascii="ITC Avant Garde" w:eastAsia="Avant Garde" w:hAnsi="ITC Avant Garde" w:cs="Arial"/>
          <w:sz w:val="22"/>
          <w:szCs w:val="22"/>
          <w:lang w:eastAsia="es-MX"/>
        </w:rPr>
        <w:t xml:space="preserve">a que en caso de que no exista un pronóstico de servicios los plazos serán acordados </w:t>
      </w:r>
      <w:r w:rsidR="00E90584" w:rsidRPr="0052418C">
        <w:rPr>
          <w:rFonts w:ascii="ITC Avant Garde" w:eastAsia="Avant Garde" w:hAnsi="ITC Avant Garde" w:cs="Arial"/>
          <w:sz w:val="22"/>
          <w:szCs w:val="22"/>
          <w:lang w:eastAsia="es-MX"/>
        </w:rPr>
        <w:t>entre</w:t>
      </w:r>
      <w:r w:rsidRPr="0052418C">
        <w:rPr>
          <w:rFonts w:ascii="ITC Avant Garde" w:eastAsia="Avant Garde" w:hAnsi="ITC Avant Garde" w:cs="Arial"/>
          <w:sz w:val="22"/>
          <w:szCs w:val="22"/>
          <w:lang w:eastAsia="es-MX"/>
        </w:rPr>
        <w:t xml:space="preserve"> las partes,</w:t>
      </w:r>
      <w:r w:rsidR="00E90584" w:rsidRPr="0052418C">
        <w:rPr>
          <w:rFonts w:ascii="ITC Avant Garde" w:eastAsia="Avant Garde" w:hAnsi="ITC Avant Garde" w:cs="Arial"/>
          <w:sz w:val="22"/>
          <w:szCs w:val="22"/>
          <w:lang w:eastAsia="es-MX"/>
        </w:rPr>
        <w:t xml:space="preserve"> porque por un lado los plazos de entrega siempre podrán ser acotados por las partes sin necesidad de indicarlo y, por otra parte, se presta confusión porque parece invalidar los plazos máximos de entrega para enlaces sin </w:t>
      </w:r>
      <w:r w:rsidR="00BD1663" w:rsidRPr="0052418C">
        <w:rPr>
          <w:rFonts w:ascii="ITC Avant Garde" w:eastAsia="Avant Garde" w:hAnsi="ITC Avant Garde" w:cs="Arial"/>
          <w:sz w:val="22"/>
          <w:szCs w:val="22"/>
          <w:lang w:eastAsia="es-MX"/>
        </w:rPr>
        <w:t>pronóstico</w:t>
      </w:r>
      <w:r w:rsidRPr="0052418C">
        <w:rPr>
          <w:rFonts w:ascii="ITC Avant Garde" w:eastAsia="Avant Garde" w:hAnsi="ITC Avant Garde" w:cs="Arial"/>
          <w:sz w:val="22"/>
          <w:szCs w:val="22"/>
          <w:lang w:eastAsia="es-MX"/>
        </w:rPr>
        <w:t>.</w:t>
      </w:r>
    </w:p>
    <w:p w14:paraId="13FD9C73" w14:textId="77777777" w:rsidR="00EE344E" w:rsidRPr="0052418C" w:rsidRDefault="00EE344E" w:rsidP="0052418C">
      <w:pPr>
        <w:pStyle w:val="Textocomentario"/>
        <w:spacing w:after="0" w:line="276" w:lineRule="auto"/>
        <w:jc w:val="both"/>
        <w:rPr>
          <w:rFonts w:ascii="ITC Avant Garde" w:eastAsia="Avant Garde" w:hAnsi="ITC Avant Garde" w:cs="Arial"/>
          <w:sz w:val="22"/>
          <w:szCs w:val="22"/>
          <w:lang w:eastAsia="es-MX"/>
        </w:rPr>
      </w:pPr>
    </w:p>
    <w:p w14:paraId="036791AB" w14:textId="7853B813" w:rsidR="00FE04B3" w:rsidRPr="0052418C" w:rsidRDefault="00FE04B3" w:rsidP="0052418C">
      <w:pPr>
        <w:autoSpaceDE w:val="0"/>
        <w:autoSpaceDN w:val="0"/>
        <w:adjustRightInd w:val="0"/>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A8132B" w:rsidRPr="0052418C">
        <w:rPr>
          <w:rFonts w:ascii="ITC Avant Garde" w:hAnsi="ITC Avant Garde" w:cs="Arial"/>
          <w:b/>
          <w:color w:val="auto"/>
        </w:rPr>
        <w:t>:</w:t>
      </w:r>
    </w:p>
    <w:p w14:paraId="4900BA9C" w14:textId="775E17CC" w:rsidR="00F37EE4" w:rsidRPr="0052418C" w:rsidRDefault="008931EC" w:rsidP="0052418C">
      <w:pPr>
        <w:autoSpaceDE w:val="0"/>
        <w:autoSpaceDN w:val="0"/>
        <w:adjustRightInd w:val="0"/>
        <w:spacing w:line="276" w:lineRule="auto"/>
        <w:rPr>
          <w:rFonts w:ascii="ITC Avant Garde" w:hAnsi="ITC Avant Garde"/>
        </w:rPr>
      </w:pPr>
      <w:r w:rsidRPr="0052418C">
        <w:rPr>
          <w:rFonts w:ascii="ITC Avant Garde" w:hAnsi="ITC Avant Garde"/>
          <w:color w:val="auto"/>
        </w:rPr>
        <w:t xml:space="preserve">Los pronósticos son necesarios para la planeación del crecimiento de las redes </w:t>
      </w:r>
      <w:r w:rsidR="00187D8B" w:rsidRPr="0052418C">
        <w:rPr>
          <w:rFonts w:ascii="ITC Avant Garde" w:hAnsi="ITC Avant Garde"/>
          <w:color w:val="auto"/>
        </w:rPr>
        <w:t>y</w:t>
      </w:r>
      <w:r w:rsidRPr="0052418C">
        <w:rPr>
          <w:rFonts w:ascii="ITC Avant Garde" w:hAnsi="ITC Avant Garde"/>
          <w:color w:val="auto"/>
        </w:rPr>
        <w:t xml:space="preserve"> son acordes a las mejores prácticas internacionales </w:t>
      </w:r>
      <w:r w:rsidR="00187D8B" w:rsidRPr="0052418C">
        <w:rPr>
          <w:rFonts w:ascii="ITC Avant Garde" w:hAnsi="ITC Avant Garde"/>
          <w:color w:val="auto"/>
        </w:rPr>
        <w:t xml:space="preserve">pues permiten evitar </w:t>
      </w:r>
      <w:r w:rsidRPr="0052418C">
        <w:rPr>
          <w:rFonts w:ascii="ITC Avant Garde" w:hAnsi="ITC Avant Garde"/>
          <w:color w:val="auto"/>
        </w:rPr>
        <w:t>retrasos en</w:t>
      </w:r>
      <w:r w:rsidR="00187D8B" w:rsidRPr="0052418C">
        <w:rPr>
          <w:rFonts w:ascii="ITC Avant Garde" w:hAnsi="ITC Avant Garde"/>
          <w:color w:val="auto"/>
        </w:rPr>
        <w:t xml:space="preserve"> la entrega de los servicios y/o</w:t>
      </w:r>
      <w:r w:rsidRPr="0052418C">
        <w:rPr>
          <w:rFonts w:ascii="ITC Avant Garde" w:hAnsi="ITC Avant Garde"/>
          <w:color w:val="auto"/>
        </w:rPr>
        <w:t xml:space="preserve"> congestionamiento de las redes. </w:t>
      </w:r>
      <w:r w:rsidR="00F37EE4" w:rsidRPr="0052418C">
        <w:rPr>
          <w:rFonts w:ascii="ITC Avant Garde" w:hAnsi="ITC Avant Garde"/>
          <w:color w:val="auto"/>
        </w:rPr>
        <w:t xml:space="preserve">Por ello, se considera necesaria la entrega de estos, los cuales deberán permitir tener conocimiento respecto de la demanda de servicios y las capacidades necesarias en las distintas ciudades, conforme a los requerimientos establecidos en el Anexo </w:t>
      </w:r>
      <w:r w:rsidR="00F37EE4" w:rsidRPr="0052418C">
        <w:rPr>
          <w:rFonts w:ascii="ITC Avant Garde" w:hAnsi="ITC Avant Garde"/>
          <w:color w:val="auto"/>
        </w:rPr>
        <w:lastRenderedPageBreak/>
        <w:t>“H” de la ORE EM 2022.</w:t>
      </w:r>
      <w:r w:rsidR="00F37EE4" w:rsidRPr="0052418C">
        <w:rPr>
          <w:rFonts w:ascii="ITC Avant Garde" w:hAnsi="ITC Avant Garde"/>
        </w:rPr>
        <w:t xml:space="preserve"> </w:t>
      </w:r>
      <w:r w:rsidR="00F37EE4" w:rsidRPr="0052418C">
        <w:rPr>
          <w:rFonts w:ascii="ITC Avant Garde" w:hAnsi="ITC Avant Garde"/>
          <w:color w:val="auto"/>
        </w:rPr>
        <w:t>Cabe señalar que la presentación de pronósticos es acorde a lo establecido en la Medida Decimoquinta de las Medidas Fijas.</w:t>
      </w:r>
    </w:p>
    <w:p w14:paraId="77167DE7" w14:textId="77777777" w:rsidR="008931EC" w:rsidRPr="0052418C" w:rsidRDefault="008931EC" w:rsidP="0052418C">
      <w:pPr>
        <w:autoSpaceDE w:val="0"/>
        <w:autoSpaceDN w:val="0"/>
        <w:adjustRightInd w:val="0"/>
        <w:spacing w:after="0" w:line="276" w:lineRule="auto"/>
        <w:rPr>
          <w:rFonts w:ascii="ITC Avant Garde" w:hAnsi="ITC Avant Garde" w:cs="Arial"/>
        </w:rPr>
      </w:pPr>
    </w:p>
    <w:p w14:paraId="6E56F827" w14:textId="3BEEE540" w:rsidR="008931EC" w:rsidRPr="0052418C" w:rsidRDefault="006037D3" w:rsidP="0052418C">
      <w:pPr>
        <w:autoSpaceDE w:val="0"/>
        <w:autoSpaceDN w:val="0"/>
        <w:adjustRightInd w:val="0"/>
        <w:spacing w:after="0" w:line="276" w:lineRule="auto"/>
        <w:rPr>
          <w:rFonts w:ascii="ITC Avant Garde" w:hAnsi="ITC Avant Garde" w:cs="Arial"/>
        </w:rPr>
      </w:pPr>
      <w:r w:rsidRPr="0052418C">
        <w:rPr>
          <w:rFonts w:ascii="ITC Avant Garde" w:hAnsi="ITC Avant Garde" w:cs="Arial"/>
        </w:rPr>
        <w:t>Asimismo</w:t>
      </w:r>
      <w:r w:rsidR="00D255B8" w:rsidRPr="0052418C">
        <w:rPr>
          <w:rFonts w:ascii="ITC Avant Garde" w:hAnsi="ITC Avant Garde" w:cs="Arial"/>
        </w:rPr>
        <w:t>,</w:t>
      </w:r>
      <w:r w:rsidR="008931EC" w:rsidRPr="0052418C">
        <w:rPr>
          <w:rFonts w:ascii="ITC Avant Garde" w:hAnsi="ITC Avant Garde" w:cs="Arial"/>
        </w:rPr>
        <w:t xml:space="preserve"> por lo que respecta a lo señalado por Axtel en </w:t>
      </w:r>
      <w:r w:rsidR="00C44723" w:rsidRPr="0052418C">
        <w:rPr>
          <w:rFonts w:ascii="ITC Avant Garde" w:hAnsi="ITC Avant Garde" w:cs="Arial"/>
        </w:rPr>
        <w:t xml:space="preserve">el </w:t>
      </w:r>
      <w:r w:rsidR="008931EC" w:rsidRPr="0052418C">
        <w:rPr>
          <w:rFonts w:ascii="ITC Avant Garde" w:hAnsi="ITC Avant Garde" w:cs="Arial"/>
        </w:rPr>
        <w:t>sentido de eliminar</w:t>
      </w:r>
      <w:r w:rsidR="0084153F" w:rsidRPr="0052418C">
        <w:rPr>
          <w:rFonts w:ascii="ITC Avant Garde" w:hAnsi="ITC Avant Garde" w:cs="Arial"/>
        </w:rPr>
        <w:t xml:space="preserve"> los p</w:t>
      </w:r>
      <w:r w:rsidR="005F074A" w:rsidRPr="0052418C">
        <w:rPr>
          <w:rFonts w:ascii="ITC Avant Garde" w:hAnsi="ITC Avant Garde" w:cs="Arial"/>
        </w:rPr>
        <w:t>u</w:t>
      </w:r>
      <w:r w:rsidR="0084153F" w:rsidRPr="0052418C">
        <w:rPr>
          <w:rFonts w:ascii="ITC Avant Garde" w:hAnsi="ITC Avant Garde" w:cs="Arial"/>
        </w:rPr>
        <w:t>ntos señalados como son</w:t>
      </w:r>
      <w:r w:rsidR="00C44723" w:rsidRPr="0052418C">
        <w:rPr>
          <w:rFonts w:ascii="ITC Avant Garde" w:hAnsi="ITC Avant Garde" w:cs="Arial"/>
        </w:rPr>
        <w:t>,</w:t>
      </w:r>
      <w:r w:rsidR="008931EC" w:rsidRPr="0052418C">
        <w:rPr>
          <w:rFonts w:ascii="ITC Avant Garde" w:hAnsi="ITC Avant Garde" w:cs="Arial"/>
        </w:rPr>
        <w:t xml:space="preserve"> </w:t>
      </w:r>
      <w:r w:rsidRPr="0052418C">
        <w:rPr>
          <w:rFonts w:ascii="ITC Avant Garde" w:hAnsi="ITC Avant Garde" w:cs="Arial"/>
          <w:color w:val="auto"/>
        </w:rPr>
        <w:t>el que al</w:t>
      </w:r>
      <w:r w:rsidR="008931EC" w:rsidRPr="0052418C">
        <w:rPr>
          <w:rFonts w:ascii="ITC Avant Garde" w:hAnsi="ITC Avant Garde" w:cs="Arial"/>
          <w:color w:val="auto"/>
        </w:rPr>
        <w:t xml:space="preserve"> contratar un porcentaje menor al 50% de lo pronosticado, se haga </w:t>
      </w:r>
      <w:r w:rsidR="00721ADB" w:rsidRPr="0052418C">
        <w:rPr>
          <w:rFonts w:ascii="ITC Avant Garde" w:hAnsi="ITC Avant Garde" w:cs="Arial"/>
          <w:color w:val="auto"/>
        </w:rPr>
        <w:t xml:space="preserve">del </w:t>
      </w:r>
      <w:r w:rsidR="008931EC" w:rsidRPr="0052418C">
        <w:rPr>
          <w:rFonts w:ascii="ITC Avant Garde" w:hAnsi="ITC Avant Garde" w:cs="Arial"/>
          <w:color w:val="auto"/>
        </w:rPr>
        <w:t xml:space="preserve">conocimiento del Instituto y </w:t>
      </w:r>
      <w:r w:rsidR="00D255B8" w:rsidRPr="0052418C">
        <w:rPr>
          <w:rFonts w:ascii="ITC Avant Garde" w:hAnsi="ITC Avant Garde" w:cs="Arial"/>
          <w:color w:val="auto"/>
        </w:rPr>
        <w:t xml:space="preserve">con base en ello </w:t>
      </w:r>
      <w:r w:rsidR="008931EC" w:rsidRPr="0052418C">
        <w:rPr>
          <w:rFonts w:ascii="ITC Avant Garde" w:hAnsi="ITC Avant Garde" w:cs="Arial"/>
          <w:color w:val="auto"/>
        </w:rPr>
        <w:t>modificar el próximo pronóstico</w:t>
      </w:r>
      <w:r w:rsidR="008931EC" w:rsidRPr="0052418C">
        <w:rPr>
          <w:rFonts w:ascii="ITC Avant Garde" w:hAnsi="ITC Avant Garde" w:cs="Arial"/>
        </w:rPr>
        <w:t xml:space="preserve">, </w:t>
      </w:r>
      <w:r w:rsidRPr="0052418C">
        <w:rPr>
          <w:rFonts w:ascii="ITC Avant Garde" w:hAnsi="ITC Avant Garde" w:cs="Arial"/>
        </w:rPr>
        <w:t xml:space="preserve">el </w:t>
      </w:r>
      <w:r w:rsidR="008931EC" w:rsidRPr="0052418C">
        <w:rPr>
          <w:rFonts w:ascii="ITC Avant Garde" w:hAnsi="ITC Avant Garde" w:cs="Arial"/>
          <w:color w:val="auto"/>
        </w:rPr>
        <w:t xml:space="preserve">que se elimine la condición </w:t>
      </w:r>
      <w:r w:rsidR="008931EC" w:rsidRPr="0052418C">
        <w:rPr>
          <w:rFonts w:ascii="ITC Avant Garde" w:hAnsi="ITC Avant Garde" w:cs="Arial"/>
        </w:rPr>
        <w:t xml:space="preserve">de </w:t>
      </w:r>
      <w:r w:rsidR="008931EC" w:rsidRPr="0052418C">
        <w:rPr>
          <w:rFonts w:ascii="ITC Avant Garde" w:hAnsi="ITC Avant Garde" w:cs="Arial"/>
          <w:color w:val="auto"/>
        </w:rPr>
        <w:t xml:space="preserve">que en caso de no presentar los pronósticos se deberán acordar los tiempos entre las partes y </w:t>
      </w:r>
      <w:r w:rsidR="008931EC" w:rsidRPr="0052418C">
        <w:rPr>
          <w:rFonts w:ascii="ITC Avant Garde" w:hAnsi="ITC Avant Garde" w:cs="Arial"/>
        </w:rPr>
        <w:t>eliminar de</w:t>
      </w:r>
      <w:r w:rsidR="008931EC" w:rsidRPr="0052418C">
        <w:rPr>
          <w:rFonts w:ascii="ITC Avant Garde" w:hAnsi="ITC Avant Garde" w:cs="Arial"/>
          <w:color w:val="auto"/>
        </w:rPr>
        <w:t>l formato de pron</w:t>
      </w:r>
      <w:r w:rsidR="00CA729B" w:rsidRPr="0052418C">
        <w:rPr>
          <w:rFonts w:ascii="ITC Avant Garde" w:hAnsi="ITC Avant Garde" w:cs="Arial"/>
          <w:color w:val="auto"/>
        </w:rPr>
        <w:t>ó</w:t>
      </w:r>
      <w:r w:rsidR="008931EC" w:rsidRPr="0052418C">
        <w:rPr>
          <w:rFonts w:ascii="ITC Avant Garde" w:hAnsi="ITC Avant Garde" w:cs="Arial"/>
          <w:color w:val="auto"/>
        </w:rPr>
        <w:t xml:space="preserve">stico el incluir tanto la localidad como el mes de contratación, </w:t>
      </w:r>
      <w:r w:rsidR="008931EC" w:rsidRPr="0052418C">
        <w:rPr>
          <w:rFonts w:ascii="ITC Avant Garde" w:hAnsi="ITC Avant Garde" w:cs="Arial"/>
        </w:rPr>
        <w:t>se señala que</w:t>
      </w:r>
      <w:r w:rsidR="008931EC" w:rsidRPr="0052418C">
        <w:rPr>
          <w:rFonts w:ascii="ITC Avant Garde" w:hAnsi="ITC Avant Garde" w:cs="Arial"/>
          <w:color w:val="auto"/>
        </w:rPr>
        <w:t xml:space="preserve"> </w:t>
      </w:r>
      <w:r w:rsidR="00EE51E9" w:rsidRPr="0052418C">
        <w:rPr>
          <w:rFonts w:ascii="ITC Avant Garde" w:hAnsi="ITC Avant Garde" w:cs="Arial"/>
        </w:rPr>
        <w:t>dichas condiciones establecen el procedimiento para la consideración</w:t>
      </w:r>
      <w:r w:rsidR="008931EC" w:rsidRPr="0052418C">
        <w:rPr>
          <w:rFonts w:ascii="ITC Avant Garde" w:hAnsi="ITC Avant Garde" w:cs="Arial"/>
        </w:rPr>
        <w:t xml:space="preserve"> de la </w:t>
      </w:r>
      <w:r w:rsidR="00EE51E9" w:rsidRPr="0052418C">
        <w:rPr>
          <w:rFonts w:ascii="ITC Avant Garde" w:hAnsi="ITC Avant Garde" w:cs="Arial"/>
        </w:rPr>
        <w:t xml:space="preserve">entrega </w:t>
      </w:r>
      <w:r w:rsidR="008931EC" w:rsidRPr="0052418C">
        <w:rPr>
          <w:rFonts w:ascii="ITC Avant Garde" w:hAnsi="ITC Avant Garde" w:cs="Arial"/>
        </w:rPr>
        <w:t xml:space="preserve">de </w:t>
      </w:r>
      <w:r w:rsidR="00EE51E9" w:rsidRPr="0052418C">
        <w:rPr>
          <w:rFonts w:ascii="ITC Avant Garde" w:hAnsi="ITC Avant Garde" w:cs="Arial"/>
        </w:rPr>
        <w:t xml:space="preserve">pronósticos </w:t>
      </w:r>
      <w:r w:rsidR="008931EC" w:rsidRPr="0052418C">
        <w:rPr>
          <w:rFonts w:ascii="ITC Avant Garde" w:hAnsi="ITC Avant Garde" w:cs="Arial"/>
        </w:rPr>
        <w:t xml:space="preserve">por lo que </w:t>
      </w:r>
      <w:r w:rsidR="00DE4C8F" w:rsidRPr="0052418C">
        <w:rPr>
          <w:rFonts w:ascii="ITC Avant Garde" w:hAnsi="ITC Avant Garde" w:cs="Arial"/>
        </w:rPr>
        <w:t>es necesaria su conservación.</w:t>
      </w:r>
    </w:p>
    <w:p w14:paraId="197AEDD3" w14:textId="77777777" w:rsidR="008931EC" w:rsidRPr="0052418C" w:rsidRDefault="008931EC" w:rsidP="0052418C">
      <w:pPr>
        <w:autoSpaceDE w:val="0"/>
        <w:autoSpaceDN w:val="0"/>
        <w:adjustRightInd w:val="0"/>
        <w:spacing w:after="0" w:line="276" w:lineRule="auto"/>
        <w:rPr>
          <w:rFonts w:ascii="ITC Avant Garde" w:hAnsi="ITC Avant Garde" w:cs="Arial"/>
        </w:rPr>
      </w:pPr>
    </w:p>
    <w:p w14:paraId="7F75A1B0" w14:textId="5CDB9CFA" w:rsidR="00704A8A" w:rsidRPr="0052418C" w:rsidRDefault="008931EC" w:rsidP="0052418C">
      <w:pPr>
        <w:autoSpaceDE w:val="0"/>
        <w:autoSpaceDN w:val="0"/>
        <w:adjustRightInd w:val="0"/>
        <w:spacing w:after="0" w:line="276" w:lineRule="auto"/>
        <w:ind w:left="0" w:right="0" w:firstLine="0"/>
        <w:rPr>
          <w:rFonts w:ascii="ITC Avant Garde" w:hAnsi="ITC Avant Garde" w:cs="Arial"/>
          <w:color w:val="auto"/>
        </w:rPr>
      </w:pPr>
      <w:r w:rsidRPr="0052418C">
        <w:rPr>
          <w:rFonts w:ascii="ITC Avant Garde" w:hAnsi="ITC Avant Garde" w:cs="Arial"/>
        </w:rPr>
        <w:t xml:space="preserve">Por otro lado, con relación a la solicitud de </w:t>
      </w:r>
      <w:r w:rsidR="00D41506" w:rsidRPr="0052418C">
        <w:rPr>
          <w:rFonts w:ascii="ITC Avant Garde" w:hAnsi="ITC Avant Garde" w:cs="Arial"/>
        </w:rPr>
        <w:t>Axtel y AT&amp;T de</w:t>
      </w:r>
      <w:r w:rsidRPr="0052418C">
        <w:rPr>
          <w:rFonts w:ascii="ITC Avant Garde" w:hAnsi="ITC Avant Garde" w:cs="Arial"/>
        </w:rPr>
        <w:t xml:space="preserve"> eliminar o modificar las ratificaciones de los pronósticos sobre bases bimestrales, se </w:t>
      </w:r>
      <w:r w:rsidR="00D41506" w:rsidRPr="0052418C">
        <w:rPr>
          <w:rFonts w:ascii="ITC Avant Garde" w:hAnsi="ITC Avant Garde" w:cs="Arial"/>
        </w:rPr>
        <w:t>eliminó la obligación de ratificar los pronósticos bimestralmente, al considerarse una fase adicional e innecesaria</w:t>
      </w:r>
      <w:r w:rsidRPr="0052418C">
        <w:rPr>
          <w:rFonts w:ascii="ITC Avant Garde" w:hAnsi="ITC Avant Garde" w:cs="Arial"/>
        </w:rPr>
        <w:t>.</w:t>
      </w:r>
    </w:p>
    <w:p w14:paraId="686A3C17" w14:textId="77777777" w:rsidR="00704A8A" w:rsidRPr="0052418C" w:rsidRDefault="00704A8A" w:rsidP="0052418C">
      <w:pPr>
        <w:autoSpaceDE w:val="0"/>
        <w:autoSpaceDN w:val="0"/>
        <w:adjustRightInd w:val="0"/>
        <w:spacing w:after="0" w:line="276" w:lineRule="auto"/>
        <w:ind w:left="0" w:right="0" w:firstLine="0"/>
        <w:rPr>
          <w:rFonts w:ascii="ITC Avant Garde" w:hAnsi="ITC Avant Garde" w:cs="Arial"/>
          <w:color w:val="auto"/>
        </w:rPr>
      </w:pPr>
    </w:p>
    <w:p w14:paraId="1C0282A8" w14:textId="702202CD" w:rsidR="008931EC" w:rsidRPr="0052418C" w:rsidRDefault="00D41506" w:rsidP="0052418C">
      <w:pPr>
        <w:autoSpaceDE w:val="0"/>
        <w:autoSpaceDN w:val="0"/>
        <w:adjustRightInd w:val="0"/>
        <w:spacing w:after="0" w:line="276" w:lineRule="auto"/>
        <w:ind w:left="0" w:right="0" w:firstLine="0"/>
        <w:rPr>
          <w:rFonts w:ascii="ITC Avant Garde" w:hAnsi="ITC Avant Garde" w:cs="Arial"/>
          <w:color w:val="auto"/>
        </w:rPr>
      </w:pPr>
      <w:r w:rsidRPr="0052418C">
        <w:rPr>
          <w:rFonts w:ascii="ITC Avant Garde" w:hAnsi="ITC Avant Garde" w:cs="Arial"/>
          <w:color w:val="auto"/>
        </w:rPr>
        <w:t>Cabe señalar que</w:t>
      </w:r>
      <w:r w:rsidR="000F58E0" w:rsidRPr="0052418C">
        <w:rPr>
          <w:rFonts w:ascii="ITC Avant Garde" w:hAnsi="ITC Avant Garde" w:cs="Arial"/>
          <w:color w:val="auto"/>
        </w:rPr>
        <w:t xml:space="preserve">, </w:t>
      </w:r>
      <w:r w:rsidR="008931EC" w:rsidRPr="0052418C">
        <w:rPr>
          <w:rFonts w:ascii="ITC Avant Garde" w:hAnsi="ITC Avant Garde" w:cs="Arial"/>
          <w:color w:val="auto"/>
        </w:rPr>
        <w:t xml:space="preserve">la </w:t>
      </w:r>
      <w:r w:rsidR="000F58E0" w:rsidRPr="0052418C">
        <w:rPr>
          <w:rFonts w:ascii="ITC Avant Garde" w:hAnsi="ITC Avant Garde" w:cs="Arial"/>
          <w:color w:val="auto"/>
        </w:rPr>
        <w:t>presentación de</w:t>
      </w:r>
      <w:r w:rsidR="008931EC" w:rsidRPr="0052418C">
        <w:rPr>
          <w:rFonts w:ascii="ITC Avant Garde" w:hAnsi="ITC Avant Garde" w:cs="Arial"/>
          <w:color w:val="auto"/>
        </w:rPr>
        <w:t xml:space="preserve"> pronósticos </w:t>
      </w:r>
      <w:r w:rsidR="005D12D7" w:rsidRPr="0052418C">
        <w:rPr>
          <w:rFonts w:ascii="ITC Avant Garde" w:hAnsi="ITC Avant Garde" w:cs="Arial"/>
          <w:color w:val="auto"/>
        </w:rPr>
        <w:t>es acorde</w:t>
      </w:r>
      <w:r w:rsidR="00A90392" w:rsidRPr="0052418C">
        <w:rPr>
          <w:rFonts w:ascii="ITC Avant Garde" w:hAnsi="ITC Avant Garde" w:cs="Arial"/>
          <w:color w:val="auto"/>
        </w:rPr>
        <w:t xml:space="preserve"> a lo</w:t>
      </w:r>
      <w:r w:rsidR="008931EC" w:rsidRPr="0052418C">
        <w:rPr>
          <w:rFonts w:ascii="ITC Avant Garde" w:hAnsi="ITC Avant Garde" w:cs="Arial"/>
          <w:color w:val="auto"/>
        </w:rPr>
        <w:t xml:space="preserve"> establecido en la Medida Decimoquinta de las Medidas Fijas, en el entendido de que </w:t>
      </w:r>
      <w:r w:rsidR="005D12D7" w:rsidRPr="0052418C">
        <w:rPr>
          <w:rFonts w:ascii="ITC Avant Garde" w:hAnsi="ITC Avant Garde" w:cs="Arial"/>
          <w:color w:val="auto"/>
        </w:rPr>
        <w:t xml:space="preserve">la </w:t>
      </w:r>
      <w:r w:rsidR="008931EC" w:rsidRPr="0052418C">
        <w:rPr>
          <w:rFonts w:ascii="ITC Avant Garde" w:hAnsi="ITC Avant Garde" w:cs="Arial"/>
          <w:color w:val="auto"/>
        </w:rPr>
        <w:t>proyección de demanda de servicios no im</w:t>
      </w:r>
      <w:r w:rsidR="005D12D7" w:rsidRPr="0052418C">
        <w:rPr>
          <w:rFonts w:ascii="ITC Avant Garde" w:hAnsi="ITC Avant Garde" w:cs="Arial"/>
          <w:color w:val="auto"/>
        </w:rPr>
        <w:t>pi</w:t>
      </w:r>
      <w:r w:rsidR="008931EC" w:rsidRPr="0052418C">
        <w:rPr>
          <w:rFonts w:ascii="ITC Avant Garde" w:hAnsi="ITC Avant Garde" w:cs="Arial"/>
          <w:color w:val="auto"/>
        </w:rPr>
        <w:t>d</w:t>
      </w:r>
      <w:r w:rsidR="005D12D7" w:rsidRPr="0052418C">
        <w:rPr>
          <w:rFonts w:ascii="ITC Avant Garde" w:hAnsi="ITC Avant Garde" w:cs="Arial"/>
          <w:color w:val="auto"/>
        </w:rPr>
        <w:t>e</w:t>
      </w:r>
      <w:r w:rsidR="008931EC" w:rsidRPr="0052418C">
        <w:rPr>
          <w:rFonts w:ascii="ITC Avant Garde" w:hAnsi="ITC Avant Garde" w:cs="Arial"/>
          <w:color w:val="auto"/>
        </w:rPr>
        <w:t xml:space="preserve"> que los CS</w:t>
      </w:r>
      <w:r w:rsidR="005D12D7" w:rsidRPr="0052418C">
        <w:rPr>
          <w:rFonts w:ascii="ITC Avant Garde" w:hAnsi="ITC Avant Garde" w:cs="Arial"/>
          <w:color w:val="auto"/>
        </w:rPr>
        <w:t xml:space="preserve"> y AS</w:t>
      </w:r>
      <w:r w:rsidR="008931EC" w:rsidRPr="0052418C">
        <w:rPr>
          <w:rFonts w:ascii="ITC Avant Garde" w:hAnsi="ITC Avant Garde" w:cs="Arial"/>
          <w:color w:val="auto"/>
        </w:rPr>
        <w:t xml:space="preserve"> puedan requerir servicios en adición a los comprendidos en las mencionadas proyecciones, ni se entenderá como un compromiso de compra por parte de</w:t>
      </w:r>
      <w:r w:rsidR="000858BC">
        <w:rPr>
          <w:rFonts w:ascii="ITC Avant Garde" w:hAnsi="ITC Avant Garde" w:cs="Arial"/>
          <w:color w:val="auto"/>
        </w:rPr>
        <w:t xml:space="preserve"> </w:t>
      </w:r>
      <w:r w:rsidR="008931EC" w:rsidRPr="0052418C">
        <w:rPr>
          <w:rFonts w:ascii="ITC Avant Garde" w:hAnsi="ITC Avant Garde" w:cs="Arial"/>
          <w:color w:val="auto"/>
        </w:rPr>
        <w:t>l</w:t>
      </w:r>
      <w:r w:rsidR="000858BC">
        <w:rPr>
          <w:rFonts w:ascii="ITC Avant Garde" w:hAnsi="ITC Avant Garde" w:cs="Arial"/>
          <w:color w:val="auto"/>
        </w:rPr>
        <w:t>os</w:t>
      </w:r>
      <w:r w:rsidR="008931EC" w:rsidRPr="0052418C">
        <w:rPr>
          <w:rFonts w:ascii="ITC Avant Garde" w:hAnsi="ITC Avant Garde" w:cs="Arial"/>
          <w:color w:val="auto"/>
        </w:rPr>
        <w:t xml:space="preserve"> CS</w:t>
      </w:r>
      <w:r w:rsidR="005D12D7" w:rsidRPr="0052418C">
        <w:rPr>
          <w:rFonts w:ascii="ITC Avant Garde" w:hAnsi="ITC Avant Garde" w:cs="Arial"/>
          <w:color w:val="auto"/>
        </w:rPr>
        <w:t xml:space="preserve"> o AS</w:t>
      </w:r>
      <w:r w:rsidR="008931EC" w:rsidRPr="0052418C">
        <w:rPr>
          <w:rFonts w:ascii="ITC Avant Garde" w:hAnsi="ITC Avant Garde" w:cs="Arial"/>
          <w:color w:val="auto"/>
        </w:rPr>
        <w:t>.</w:t>
      </w:r>
    </w:p>
    <w:p w14:paraId="275B3A0E" w14:textId="77777777" w:rsidR="000116CC" w:rsidRPr="0052418C" w:rsidRDefault="000116CC" w:rsidP="0052418C">
      <w:pPr>
        <w:autoSpaceDE w:val="0"/>
        <w:autoSpaceDN w:val="0"/>
        <w:adjustRightInd w:val="0"/>
        <w:spacing w:after="0" w:line="276" w:lineRule="auto"/>
        <w:ind w:left="0" w:right="0" w:firstLine="0"/>
        <w:rPr>
          <w:rFonts w:ascii="ITC Avant Garde" w:hAnsi="ITC Avant Garde" w:cs="Arial"/>
          <w:color w:val="auto"/>
        </w:rPr>
      </w:pPr>
    </w:p>
    <w:p w14:paraId="255035A8" w14:textId="0162C9F1" w:rsidR="00DA60CB" w:rsidRPr="0052418C" w:rsidRDefault="005D0EB9" w:rsidP="0052418C">
      <w:pPr>
        <w:spacing w:after="0" w:line="276" w:lineRule="auto"/>
        <w:ind w:left="0" w:right="0"/>
        <w:rPr>
          <w:rFonts w:ascii="ITC Avant Garde" w:eastAsia="Times New Roman" w:hAnsi="ITC Avant Garde" w:cs="Arial"/>
          <w:b/>
          <w:u w:val="single"/>
        </w:rPr>
      </w:pPr>
      <w:r w:rsidRPr="0052418C">
        <w:rPr>
          <w:rFonts w:ascii="ITC Avant Garde" w:eastAsia="Times New Roman" w:hAnsi="ITC Avant Garde" w:cs="Arial"/>
          <w:b/>
          <w:u w:val="single"/>
        </w:rPr>
        <w:t xml:space="preserve">2.3 </w:t>
      </w:r>
      <w:r w:rsidR="00DA60CB" w:rsidRPr="0052418C">
        <w:rPr>
          <w:rFonts w:ascii="ITC Avant Garde" w:eastAsia="Times New Roman" w:hAnsi="ITC Avant Garde" w:cs="Arial"/>
          <w:b/>
          <w:u w:val="single"/>
        </w:rPr>
        <w:t xml:space="preserve">Capacidad de </w:t>
      </w:r>
      <w:r w:rsidR="006A07A6" w:rsidRPr="0052418C">
        <w:rPr>
          <w:rFonts w:ascii="ITC Avant Garde" w:eastAsia="Times New Roman" w:hAnsi="ITC Avant Garde" w:cs="Arial"/>
          <w:b/>
          <w:u w:val="single"/>
        </w:rPr>
        <w:t xml:space="preserve">los </w:t>
      </w:r>
      <w:r w:rsidR="00DA60CB" w:rsidRPr="0052418C">
        <w:rPr>
          <w:rFonts w:ascii="ITC Avant Garde" w:eastAsia="Times New Roman" w:hAnsi="ITC Avant Garde" w:cs="Arial"/>
          <w:b/>
          <w:u w:val="single"/>
        </w:rPr>
        <w:t>Servicios</w:t>
      </w:r>
      <w:r w:rsidR="00376A5D" w:rsidRPr="0052418C">
        <w:rPr>
          <w:rFonts w:ascii="ITC Avant Garde" w:eastAsia="Times New Roman" w:hAnsi="ITC Avant Garde" w:cs="Arial"/>
          <w:b/>
          <w:u w:val="single"/>
        </w:rPr>
        <w:t>.</w:t>
      </w:r>
    </w:p>
    <w:p w14:paraId="11272EEC" w14:textId="1F6F31E3" w:rsidR="000853A0" w:rsidRPr="0052418C" w:rsidRDefault="00A578F3" w:rsidP="0052418C">
      <w:pPr>
        <w:spacing w:after="0" w:line="276" w:lineRule="auto"/>
        <w:ind w:left="0" w:right="0"/>
        <w:rPr>
          <w:rFonts w:ascii="ITC Avant Garde" w:eastAsia="Times New Roman" w:hAnsi="ITC Avant Garde" w:cs="Arial"/>
          <w:b/>
        </w:rPr>
      </w:pPr>
      <w:r w:rsidRPr="0052418C">
        <w:rPr>
          <w:rFonts w:ascii="ITC Avant Garde" w:eastAsia="Times New Roman" w:hAnsi="ITC Avant Garde" w:cs="Arial"/>
          <w:b/>
        </w:rPr>
        <w:t>MEGA CABLE:</w:t>
      </w:r>
    </w:p>
    <w:p w14:paraId="1A8210B8" w14:textId="59038473" w:rsidR="00BE083A" w:rsidRPr="0052418C" w:rsidRDefault="00A20C41" w:rsidP="0052418C">
      <w:pPr>
        <w:spacing w:after="0" w:line="276" w:lineRule="auto"/>
        <w:rPr>
          <w:rFonts w:ascii="ITC Avant Garde" w:hAnsi="ITC Avant Garde"/>
          <w:bCs/>
          <w:color w:val="auto"/>
        </w:rPr>
      </w:pPr>
      <w:r w:rsidRPr="0052418C">
        <w:rPr>
          <w:rFonts w:ascii="ITC Avant Garde" w:hAnsi="ITC Avant Garde"/>
          <w:bCs/>
          <w:color w:val="auto"/>
        </w:rPr>
        <w:t>Señaló que</w:t>
      </w:r>
      <w:r w:rsidR="00BE083A" w:rsidRPr="0052418C">
        <w:rPr>
          <w:rFonts w:ascii="ITC Avant Garde" w:hAnsi="ITC Avant Garde"/>
          <w:bCs/>
          <w:color w:val="auto"/>
        </w:rPr>
        <w:t xml:space="preserve"> se excluye de la ORE </w:t>
      </w:r>
      <w:r w:rsidR="00D41506" w:rsidRPr="0052418C">
        <w:rPr>
          <w:rFonts w:ascii="ITC Avant Garde" w:hAnsi="ITC Avant Garde"/>
          <w:bCs/>
          <w:color w:val="auto"/>
        </w:rPr>
        <w:t xml:space="preserve">EM </w:t>
      </w:r>
      <w:r w:rsidR="00BE083A" w:rsidRPr="0052418C">
        <w:rPr>
          <w:rFonts w:ascii="ITC Avant Garde" w:hAnsi="ITC Avant Garde"/>
          <w:bCs/>
          <w:color w:val="auto"/>
        </w:rPr>
        <w:t xml:space="preserve">2022 sin justificación </w:t>
      </w:r>
      <w:r w:rsidR="006037D3" w:rsidRPr="0052418C">
        <w:rPr>
          <w:rFonts w:ascii="ITC Avant Garde" w:hAnsi="ITC Avant Garde"/>
          <w:bCs/>
          <w:color w:val="auto"/>
        </w:rPr>
        <w:t xml:space="preserve">los </w:t>
      </w:r>
      <w:r w:rsidR="00BE083A" w:rsidRPr="0052418C">
        <w:rPr>
          <w:rFonts w:ascii="ITC Avant Garde" w:hAnsi="ITC Avant Garde"/>
          <w:bCs/>
          <w:color w:val="auto"/>
        </w:rPr>
        <w:t>enlaces locales de Hub de 100 Gbps.</w:t>
      </w:r>
    </w:p>
    <w:p w14:paraId="09777DA8" w14:textId="77777777" w:rsidR="00BE083A" w:rsidRPr="0052418C" w:rsidRDefault="00BE083A" w:rsidP="0052418C">
      <w:pPr>
        <w:autoSpaceDE w:val="0"/>
        <w:autoSpaceDN w:val="0"/>
        <w:adjustRightInd w:val="0"/>
        <w:spacing w:after="0" w:line="276" w:lineRule="auto"/>
        <w:ind w:left="0" w:right="0" w:firstLine="0"/>
        <w:rPr>
          <w:rFonts w:ascii="ITC Avant Garde" w:hAnsi="ITC Avant Garde" w:cs="Arial"/>
          <w:b/>
          <w:color w:val="auto"/>
        </w:rPr>
      </w:pPr>
    </w:p>
    <w:p w14:paraId="42A0876F" w14:textId="0A20F459" w:rsidR="00377693" w:rsidRPr="0052418C" w:rsidRDefault="00A578F3" w:rsidP="0052418C">
      <w:pPr>
        <w:autoSpaceDE w:val="0"/>
        <w:autoSpaceDN w:val="0"/>
        <w:adjustRightInd w:val="0"/>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AXTEL:</w:t>
      </w:r>
    </w:p>
    <w:p w14:paraId="6E614CCD" w14:textId="37BFAB47" w:rsidR="00507A10" w:rsidRPr="0052418C" w:rsidRDefault="00507A10" w:rsidP="0052418C">
      <w:pPr>
        <w:autoSpaceDE w:val="0"/>
        <w:autoSpaceDN w:val="0"/>
        <w:spacing w:after="0" w:line="276" w:lineRule="auto"/>
        <w:rPr>
          <w:rFonts w:ascii="ITC Avant Garde" w:hAnsi="ITC Avant Garde"/>
          <w:color w:val="auto"/>
        </w:rPr>
      </w:pPr>
      <w:r w:rsidRPr="0052418C">
        <w:rPr>
          <w:rFonts w:ascii="ITC Avant Garde" w:hAnsi="ITC Avant Garde"/>
          <w:bCs/>
          <w:color w:val="auto"/>
        </w:rPr>
        <w:t xml:space="preserve">Puntualizó que en la </w:t>
      </w:r>
      <w:r w:rsidR="00D41506" w:rsidRPr="0052418C">
        <w:rPr>
          <w:rFonts w:ascii="ITC Avant Garde" w:hAnsi="ITC Avant Garde"/>
          <w:bCs/>
          <w:color w:val="auto"/>
        </w:rPr>
        <w:t>“</w:t>
      </w:r>
      <w:r w:rsidR="00D41506" w:rsidRPr="00695D7E">
        <w:rPr>
          <w:rFonts w:ascii="ITC Avant Garde" w:hAnsi="ITC Avant Garde"/>
          <w:i/>
          <w:color w:val="auto"/>
        </w:rPr>
        <w:t>Oferta de Referencia para la prestación del Servicio Mayorista</w:t>
      </w:r>
      <w:r w:rsidR="00D41506" w:rsidRPr="008A63B6">
        <w:rPr>
          <w:rFonts w:ascii="ITC Avant Garde" w:hAnsi="ITC Avant Garde"/>
          <w:bCs/>
          <w:i/>
          <w:iCs/>
          <w:color w:val="auto"/>
        </w:rPr>
        <w:t xml:space="preserve"> </w:t>
      </w:r>
      <w:r w:rsidR="00D41506" w:rsidRPr="0052418C">
        <w:rPr>
          <w:rFonts w:ascii="ITC Avant Garde" w:hAnsi="ITC Avant Garde"/>
          <w:bCs/>
          <w:i/>
          <w:iCs/>
          <w:color w:val="auto"/>
        </w:rPr>
        <w:t>de Arrendamiento de Enlaces Dedicados Locales y de Interconexión</w:t>
      </w:r>
      <w:r w:rsidR="00D41506" w:rsidRPr="0052418C">
        <w:rPr>
          <w:rFonts w:ascii="ITC Avant Garde" w:hAnsi="ITC Avant Garde"/>
          <w:bCs/>
          <w:color w:val="auto"/>
        </w:rPr>
        <w:t xml:space="preserve">” </w:t>
      </w:r>
      <w:r w:rsidR="00D41506" w:rsidRPr="0052418C">
        <w:rPr>
          <w:rFonts w:ascii="ITC Avant Garde" w:hAnsi="ITC Avant Garde"/>
        </w:rPr>
        <w:t>(en lo sucesivo, la “ORE EM 2021”)</w:t>
      </w:r>
      <w:r w:rsidRPr="0052418C">
        <w:rPr>
          <w:rFonts w:ascii="ITC Avant Garde" w:hAnsi="ITC Avant Garde"/>
        </w:rPr>
        <w:t xml:space="preserve"> </w:t>
      </w:r>
      <w:r w:rsidRPr="0052418C">
        <w:rPr>
          <w:rFonts w:ascii="ITC Avant Garde" w:hAnsi="ITC Avant Garde"/>
          <w:color w:val="auto"/>
        </w:rPr>
        <w:t xml:space="preserve">existen las velocidades con tecnología ethernet de 70 Mbps, 90 Mbps, 300 Mbps, 350 Mbps, 400 Mbps, 550 Mbps, 600 Mbps, 750 Mbps, 2 Gbps, 4 Gbps, 6 Gbps y 8 Gbps, mismas que el AEP eliminó de su propuesta, siendo que Axtel contrata estas velocidades y requiere que se mantengan para sus clientes finales. Aunado a lo anterior, argumentó que para todas aquellas velocidades que </w:t>
      </w:r>
      <w:r w:rsidR="006037D3" w:rsidRPr="0052418C">
        <w:rPr>
          <w:rFonts w:ascii="ITC Avant Garde" w:hAnsi="ITC Avant Garde"/>
          <w:color w:val="auto"/>
        </w:rPr>
        <w:t xml:space="preserve">el </w:t>
      </w:r>
      <w:r w:rsidR="00EF0921" w:rsidRPr="0052418C">
        <w:rPr>
          <w:rFonts w:ascii="ITC Avant Garde" w:hAnsi="ITC Avant Garde"/>
          <w:color w:val="auto"/>
        </w:rPr>
        <w:t>Instituto</w:t>
      </w:r>
      <w:r w:rsidRPr="0052418C">
        <w:rPr>
          <w:rFonts w:ascii="ITC Avant Garde" w:hAnsi="ITC Avant Garde"/>
          <w:color w:val="auto"/>
        </w:rPr>
        <w:t xml:space="preserve"> decida no incluir en la Oferta </w:t>
      </w:r>
      <w:r w:rsidR="00D41506" w:rsidRPr="0052418C">
        <w:rPr>
          <w:rFonts w:ascii="ITC Avant Garde" w:hAnsi="ITC Avant Garde"/>
          <w:bCs/>
          <w:color w:val="auto"/>
        </w:rPr>
        <w:t>de P</w:t>
      </w:r>
      <w:r w:rsidRPr="0052418C">
        <w:rPr>
          <w:rFonts w:ascii="ITC Avant Garde" w:hAnsi="ITC Avant Garde"/>
          <w:color w:val="auto"/>
        </w:rPr>
        <w:t xml:space="preserve">ropuesta con tecnología TDM y con tecnología </w:t>
      </w:r>
      <w:r w:rsidR="006037D3" w:rsidRPr="0052418C">
        <w:rPr>
          <w:rFonts w:ascii="ITC Avant Garde" w:hAnsi="ITC Avant Garde"/>
          <w:color w:val="auto"/>
        </w:rPr>
        <w:t>E</w:t>
      </w:r>
      <w:r w:rsidRPr="0052418C">
        <w:rPr>
          <w:rFonts w:ascii="ITC Avant Garde" w:hAnsi="ITC Avant Garde"/>
          <w:color w:val="auto"/>
        </w:rPr>
        <w:t xml:space="preserve">thernet </w:t>
      </w:r>
      <w:r w:rsidR="00D41506" w:rsidRPr="0052418C">
        <w:rPr>
          <w:rFonts w:ascii="ITC Avant Garde" w:hAnsi="ITC Avant Garde"/>
          <w:bCs/>
          <w:color w:val="auto"/>
        </w:rPr>
        <w:t>se</w:t>
      </w:r>
      <w:r w:rsidRPr="0052418C">
        <w:rPr>
          <w:rFonts w:ascii="ITC Avant Garde" w:hAnsi="ITC Avant Garde"/>
          <w:color w:val="auto"/>
        </w:rPr>
        <w:t xml:space="preserve"> mantengan las tarifas de la ORE EM </w:t>
      </w:r>
      <w:r w:rsidR="00D41506" w:rsidRPr="0052418C">
        <w:rPr>
          <w:rFonts w:ascii="ITC Avant Garde" w:hAnsi="ITC Avant Garde"/>
          <w:bCs/>
          <w:color w:val="auto"/>
        </w:rPr>
        <w:t>2021</w:t>
      </w:r>
      <w:r w:rsidR="00CD5073" w:rsidRPr="0052418C">
        <w:rPr>
          <w:rFonts w:ascii="ITC Avant Garde" w:hAnsi="ITC Avant Garde"/>
          <w:bCs/>
          <w:color w:val="auto"/>
        </w:rPr>
        <w:t xml:space="preserve"> </w:t>
      </w:r>
      <w:r w:rsidRPr="0052418C">
        <w:rPr>
          <w:rFonts w:ascii="ITC Avant Garde" w:hAnsi="ITC Avant Garde"/>
          <w:color w:val="auto"/>
        </w:rPr>
        <w:t>debido a que cuenta con servicios en operación y al ser servicios vigentes.</w:t>
      </w:r>
    </w:p>
    <w:p w14:paraId="39572C91" w14:textId="77777777" w:rsidR="00507A10" w:rsidRPr="0052418C" w:rsidRDefault="00507A10" w:rsidP="0052418C">
      <w:pPr>
        <w:autoSpaceDE w:val="0"/>
        <w:autoSpaceDN w:val="0"/>
        <w:adjustRightInd w:val="0"/>
        <w:spacing w:after="0" w:line="276" w:lineRule="auto"/>
        <w:ind w:left="0" w:right="0" w:firstLine="0"/>
        <w:rPr>
          <w:rFonts w:ascii="ITC Avant Garde" w:hAnsi="ITC Avant Garde"/>
          <w:color w:val="auto"/>
        </w:rPr>
      </w:pPr>
    </w:p>
    <w:p w14:paraId="735FEC83" w14:textId="47775294" w:rsidR="00AB7663" w:rsidRPr="0052418C" w:rsidRDefault="00377693" w:rsidP="0052418C">
      <w:pPr>
        <w:autoSpaceDE w:val="0"/>
        <w:autoSpaceDN w:val="0"/>
        <w:adjustRightInd w:val="0"/>
        <w:spacing w:after="0" w:line="276" w:lineRule="auto"/>
        <w:ind w:left="0" w:right="0" w:firstLine="0"/>
        <w:rPr>
          <w:rFonts w:ascii="ITC Avant Garde" w:hAnsi="ITC Avant Garde" w:cs="Arial"/>
          <w:color w:val="auto"/>
        </w:rPr>
      </w:pPr>
      <w:r w:rsidRPr="0052418C">
        <w:rPr>
          <w:rFonts w:ascii="ITC Avant Garde" w:hAnsi="ITC Avant Garde" w:cs="Arial"/>
          <w:color w:val="auto"/>
        </w:rPr>
        <w:lastRenderedPageBreak/>
        <w:t>Axtel prop</w:t>
      </w:r>
      <w:r w:rsidR="005824D5" w:rsidRPr="0052418C">
        <w:rPr>
          <w:rFonts w:ascii="ITC Avant Garde" w:hAnsi="ITC Avant Garde" w:cs="Arial"/>
          <w:color w:val="auto"/>
        </w:rPr>
        <w:t>uso</w:t>
      </w:r>
      <w:r w:rsidRPr="0052418C">
        <w:rPr>
          <w:rFonts w:ascii="ITC Avant Garde" w:hAnsi="ITC Avant Garde" w:cs="Arial"/>
          <w:color w:val="auto"/>
        </w:rPr>
        <w:t xml:space="preserve"> incluir los servicios </w:t>
      </w:r>
      <w:r w:rsidR="00372124" w:rsidRPr="0052418C">
        <w:rPr>
          <w:rFonts w:ascii="ITC Avant Garde" w:hAnsi="ITC Avant Garde" w:cs="Arial"/>
          <w:color w:val="auto"/>
        </w:rPr>
        <w:t xml:space="preserve">de enlaces con un ancho de banda que permita cubrir las necesidades de los clientes que </w:t>
      </w:r>
      <w:r w:rsidR="00B01A81" w:rsidRPr="0052418C">
        <w:rPr>
          <w:rFonts w:ascii="ITC Avant Garde" w:hAnsi="ITC Avant Garde" w:cs="Arial"/>
          <w:color w:val="auto"/>
        </w:rPr>
        <w:t xml:space="preserve">usan </w:t>
      </w:r>
      <w:r w:rsidR="00372124" w:rsidRPr="0052418C">
        <w:rPr>
          <w:rFonts w:ascii="ITC Avant Garde" w:hAnsi="ITC Avant Garde" w:cs="Arial"/>
          <w:color w:val="auto"/>
        </w:rPr>
        <w:t>Nx64</w:t>
      </w:r>
      <w:r w:rsidR="00507A10" w:rsidRPr="0052418C">
        <w:rPr>
          <w:rFonts w:ascii="ITC Avant Garde" w:hAnsi="ITC Avant Garde" w:cs="Arial"/>
          <w:color w:val="auto"/>
        </w:rPr>
        <w:t>, esto es, incluir una velocidad de 500 Kbps en sustitución de los Nx64</w:t>
      </w:r>
      <w:r w:rsidR="004A4257" w:rsidRPr="0052418C">
        <w:rPr>
          <w:rFonts w:ascii="ITC Avant Garde" w:hAnsi="ITC Avant Garde" w:cs="Arial"/>
          <w:color w:val="auto"/>
        </w:rPr>
        <w:t xml:space="preserve"> hasta 512 kbps, así como considerar l</w:t>
      </w:r>
      <w:r w:rsidR="00507A10" w:rsidRPr="0052418C">
        <w:rPr>
          <w:rFonts w:ascii="ITC Avant Garde" w:hAnsi="ITC Avant Garde" w:cs="Arial"/>
          <w:color w:val="auto"/>
        </w:rPr>
        <w:t>a</w:t>
      </w:r>
      <w:r w:rsidR="004A4257" w:rsidRPr="0052418C">
        <w:rPr>
          <w:rFonts w:ascii="ITC Avant Garde" w:hAnsi="ITC Avant Garde" w:cs="Arial"/>
          <w:color w:val="auto"/>
        </w:rPr>
        <w:t>s</w:t>
      </w:r>
      <w:r w:rsidR="004A4257" w:rsidRPr="0052418C" w:rsidDel="00507A10">
        <w:rPr>
          <w:rFonts w:ascii="ITC Avant Garde" w:hAnsi="ITC Avant Garde" w:cs="Arial"/>
          <w:color w:val="auto"/>
        </w:rPr>
        <w:t xml:space="preserve"> </w:t>
      </w:r>
      <w:r w:rsidR="00507A10" w:rsidRPr="0052418C">
        <w:rPr>
          <w:rFonts w:ascii="ITC Avant Garde" w:hAnsi="ITC Avant Garde" w:cs="Arial"/>
          <w:color w:val="auto"/>
        </w:rPr>
        <w:t xml:space="preserve">tarifas </w:t>
      </w:r>
      <w:r w:rsidR="004A4257" w:rsidRPr="0052418C">
        <w:rPr>
          <w:rFonts w:ascii="ITC Avant Garde" w:hAnsi="ITC Avant Garde" w:cs="Arial"/>
          <w:color w:val="auto"/>
        </w:rPr>
        <w:t>de los anchos de banda de TDM,</w:t>
      </w:r>
      <w:r w:rsidR="00400E85" w:rsidRPr="0052418C">
        <w:rPr>
          <w:rFonts w:ascii="ITC Avant Garde" w:hAnsi="ITC Avant Garde" w:cs="Arial"/>
          <w:color w:val="auto"/>
        </w:rPr>
        <w:t xml:space="preserve"> </w:t>
      </w:r>
      <w:r w:rsidR="00400E85" w:rsidRPr="0052418C" w:rsidDel="00507A10">
        <w:rPr>
          <w:rFonts w:ascii="ITC Avant Garde" w:hAnsi="ITC Avant Garde" w:cs="Arial"/>
          <w:color w:val="auto"/>
        </w:rPr>
        <w:t xml:space="preserve">que </w:t>
      </w:r>
      <w:r w:rsidR="00507A10" w:rsidRPr="0052418C">
        <w:rPr>
          <w:rFonts w:ascii="ITC Avant Garde" w:hAnsi="ITC Avant Garde" w:cs="Arial"/>
          <w:color w:val="auto"/>
        </w:rPr>
        <w:t>podría estar sustituyendo</w:t>
      </w:r>
      <w:r w:rsidR="00AB7663" w:rsidRPr="0052418C">
        <w:rPr>
          <w:rFonts w:ascii="ITC Avant Garde" w:hAnsi="ITC Avant Garde" w:cs="Arial"/>
          <w:color w:val="auto"/>
        </w:rPr>
        <w:t>.</w:t>
      </w:r>
    </w:p>
    <w:p w14:paraId="35C5257F" w14:textId="77777777" w:rsidR="00AB7663" w:rsidRPr="0052418C" w:rsidRDefault="00AB7663" w:rsidP="0052418C">
      <w:pPr>
        <w:autoSpaceDE w:val="0"/>
        <w:autoSpaceDN w:val="0"/>
        <w:adjustRightInd w:val="0"/>
        <w:spacing w:after="0" w:line="276" w:lineRule="auto"/>
        <w:ind w:left="0" w:right="0" w:firstLine="0"/>
        <w:rPr>
          <w:rFonts w:ascii="ITC Avant Garde" w:hAnsi="ITC Avant Garde" w:cs="Arial"/>
          <w:color w:val="auto"/>
        </w:rPr>
      </w:pPr>
    </w:p>
    <w:p w14:paraId="225416BC" w14:textId="25551028" w:rsidR="007926DE" w:rsidRPr="0052418C" w:rsidRDefault="007926DE" w:rsidP="0052418C">
      <w:pPr>
        <w:spacing w:after="0" w:line="276" w:lineRule="auto"/>
        <w:ind w:left="0" w:right="0" w:firstLine="0"/>
        <w:rPr>
          <w:rFonts w:ascii="ITC Avant Garde" w:eastAsia="Times New Roman" w:hAnsi="ITC Avant Garde" w:cs="Arial"/>
          <w:b/>
          <w:color w:val="auto"/>
        </w:rPr>
      </w:pPr>
      <w:r w:rsidRPr="0052418C">
        <w:rPr>
          <w:rFonts w:ascii="ITC Avant Garde" w:eastAsia="Times New Roman" w:hAnsi="ITC Avant Garde" w:cs="Arial"/>
          <w:b/>
          <w:color w:val="auto"/>
        </w:rPr>
        <w:t>Consideraciones del Instituto</w:t>
      </w:r>
      <w:r w:rsidR="00326630" w:rsidRPr="0052418C">
        <w:rPr>
          <w:rFonts w:ascii="ITC Avant Garde" w:eastAsia="Times New Roman" w:hAnsi="ITC Avant Garde" w:cs="Arial"/>
          <w:b/>
          <w:color w:val="auto"/>
        </w:rPr>
        <w:t>:</w:t>
      </w:r>
    </w:p>
    <w:p w14:paraId="493061B0" w14:textId="6AE3612C" w:rsidR="00DD4C1C" w:rsidRPr="0052418C" w:rsidRDefault="006B6D00" w:rsidP="0052418C">
      <w:pPr>
        <w:spacing w:after="0" w:line="276" w:lineRule="auto"/>
        <w:ind w:left="0" w:right="0" w:firstLine="0"/>
        <w:rPr>
          <w:rFonts w:ascii="ITC Avant Garde" w:eastAsia="Times New Roman" w:hAnsi="ITC Avant Garde" w:cs="Arial"/>
          <w:color w:val="auto"/>
        </w:rPr>
      </w:pPr>
      <w:r w:rsidRPr="0052418C">
        <w:rPr>
          <w:rFonts w:ascii="ITC Avant Garde" w:eastAsia="Times New Roman" w:hAnsi="ITC Avant Garde" w:cs="Arial"/>
          <w:color w:val="auto"/>
        </w:rPr>
        <w:t>Al respecto,</w:t>
      </w:r>
      <w:r w:rsidR="00967377" w:rsidRPr="0052418C">
        <w:rPr>
          <w:rFonts w:ascii="ITC Avant Garde" w:eastAsia="Times New Roman" w:hAnsi="ITC Avant Garde" w:cs="Arial"/>
          <w:color w:val="auto"/>
        </w:rPr>
        <w:t xml:space="preserve"> l</w:t>
      </w:r>
      <w:r w:rsidR="007926DE" w:rsidRPr="0052418C">
        <w:rPr>
          <w:rFonts w:ascii="ITC Avant Garde" w:eastAsia="Times New Roman" w:hAnsi="ITC Avant Garde" w:cs="Arial"/>
          <w:color w:val="auto"/>
        </w:rPr>
        <w:t xml:space="preserve">a Medida Decimoquinta de las Medidas Fijas establece la obligación </w:t>
      </w:r>
      <w:r w:rsidR="00F970C3" w:rsidRPr="0052418C">
        <w:rPr>
          <w:rFonts w:ascii="ITC Avant Garde" w:eastAsia="Times New Roman" w:hAnsi="ITC Avant Garde" w:cs="Arial"/>
          <w:color w:val="auto"/>
        </w:rPr>
        <w:t>de proporcionar</w:t>
      </w:r>
      <w:r w:rsidR="007926DE" w:rsidRPr="0052418C">
        <w:rPr>
          <w:rFonts w:ascii="ITC Avant Garde" w:eastAsia="Times New Roman" w:hAnsi="ITC Avant Garde" w:cs="Arial"/>
          <w:color w:val="auto"/>
        </w:rPr>
        <w:t xml:space="preserve"> el Servicio Mayorista de Enlaces</w:t>
      </w:r>
      <w:r w:rsidR="00967377" w:rsidRPr="0052418C">
        <w:rPr>
          <w:rFonts w:ascii="ITC Avant Garde" w:eastAsia="Times New Roman" w:hAnsi="ITC Avant Garde" w:cs="Arial"/>
          <w:color w:val="auto"/>
        </w:rPr>
        <w:t xml:space="preserve"> Dedicados con velocidades Nx64</w:t>
      </w:r>
      <w:r w:rsidR="007926DE" w:rsidRPr="0052418C">
        <w:rPr>
          <w:rFonts w:ascii="ITC Avant Garde" w:eastAsia="Times New Roman" w:hAnsi="ITC Avant Garde" w:cs="Arial"/>
          <w:color w:val="auto"/>
        </w:rPr>
        <w:t>, E1, así como Ethernet en sus distintas capacidades, y cualquier otro que defina el Instituto</w:t>
      </w:r>
      <w:r w:rsidR="00DD4C1C" w:rsidRPr="0052418C">
        <w:rPr>
          <w:rFonts w:ascii="ITC Avant Garde" w:eastAsia="Times New Roman" w:hAnsi="ITC Avant Garde" w:cs="Arial"/>
          <w:color w:val="auto"/>
        </w:rPr>
        <w:t xml:space="preserve">, por lo que se modificó la </w:t>
      </w:r>
      <w:r w:rsidR="000F50CB" w:rsidRPr="0052418C">
        <w:rPr>
          <w:rFonts w:ascii="ITC Avant Garde" w:eastAsia="Times New Roman" w:hAnsi="ITC Avant Garde" w:cs="Arial"/>
          <w:color w:val="auto"/>
        </w:rPr>
        <w:t>ORE EM</w:t>
      </w:r>
      <w:r w:rsidR="00DD4C1C" w:rsidRPr="0052418C">
        <w:rPr>
          <w:rFonts w:ascii="ITC Avant Garde" w:eastAsia="Times New Roman" w:hAnsi="ITC Avant Garde" w:cs="Arial"/>
          <w:color w:val="auto"/>
        </w:rPr>
        <w:t xml:space="preserve"> </w:t>
      </w:r>
      <w:r w:rsidR="00E316F5" w:rsidRPr="0052418C">
        <w:rPr>
          <w:rFonts w:ascii="ITC Avant Garde" w:eastAsia="Times New Roman" w:hAnsi="ITC Avant Garde" w:cs="Arial"/>
          <w:color w:val="auto"/>
        </w:rPr>
        <w:t>2022</w:t>
      </w:r>
      <w:r w:rsidR="00DD4C1C" w:rsidRPr="0052418C">
        <w:rPr>
          <w:rFonts w:ascii="ITC Avant Garde" w:eastAsia="Times New Roman" w:hAnsi="ITC Avant Garde" w:cs="Arial"/>
          <w:color w:val="auto"/>
        </w:rPr>
        <w:t>, en el siguiente sentido:</w:t>
      </w:r>
    </w:p>
    <w:p w14:paraId="001B1BAB" w14:textId="77777777" w:rsidR="00326630" w:rsidRPr="0052418C" w:rsidRDefault="00326630" w:rsidP="0052418C">
      <w:pPr>
        <w:spacing w:after="0" w:line="276" w:lineRule="auto"/>
        <w:ind w:left="0" w:right="0" w:firstLine="0"/>
        <w:rPr>
          <w:rFonts w:ascii="ITC Avant Garde" w:eastAsia="Times New Roman" w:hAnsi="ITC Avant Garde" w:cs="Arial"/>
          <w:color w:val="auto"/>
        </w:rPr>
      </w:pPr>
    </w:p>
    <w:p w14:paraId="2B012F09" w14:textId="77777777" w:rsidR="00EE0E44" w:rsidRPr="0052418C" w:rsidRDefault="00EE0E44" w:rsidP="0052418C">
      <w:pPr>
        <w:autoSpaceDE w:val="0"/>
        <w:autoSpaceDN w:val="0"/>
        <w:spacing w:after="0" w:line="276" w:lineRule="auto"/>
        <w:ind w:left="567" w:right="616"/>
        <w:rPr>
          <w:rFonts w:ascii="ITC Avant Garde" w:hAnsi="ITC Avant Garde" w:cs="Arial"/>
          <w:i/>
          <w:sz w:val="18"/>
          <w:szCs w:val="18"/>
        </w:rPr>
      </w:pPr>
      <w:r w:rsidRPr="0052418C">
        <w:rPr>
          <w:rFonts w:ascii="ITC Avant Garde" w:hAnsi="ITC Avant Garde" w:cs="Arial"/>
          <w:b/>
          <w:bCs/>
          <w:i/>
          <w:sz w:val="18"/>
          <w:szCs w:val="18"/>
        </w:rPr>
        <w:t>“2.3 Capacidad de los Servicios.</w:t>
      </w:r>
    </w:p>
    <w:p w14:paraId="677643C9" w14:textId="77777777" w:rsidR="00EE0E44" w:rsidRPr="0052418C" w:rsidRDefault="00EE0E44" w:rsidP="0052418C">
      <w:pPr>
        <w:autoSpaceDE w:val="0"/>
        <w:autoSpaceDN w:val="0"/>
        <w:spacing w:after="0" w:line="276" w:lineRule="auto"/>
        <w:ind w:left="567" w:right="616"/>
        <w:rPr>
          <w:rFonts w:ascii="ITC Avant Garde" w:hAnsi="ITC Avant Garde" w:cs="Arial"/>
          <w:i/>
          <w:sz w:val="18"/>
          <w:szCs w:val="18"/>
        </w:rPr>
      </w:pPr>
      <w:r w:rsidRPr="0052418C">
        <w:rPr>
          <w:rFonts w:ascii="ITC Avant Garde" w:hAnsi="ITC Avant Garde" w:cs="Arial"/>
          <w:i/>
          <w:sz w:val="18"/>
          <w:szCs w:val="18"/>
        </w:rPr>
        <w:t> </w:t>
      </w:r>
    </w:p>
    <w:p w14:paraId="6014C9DE" w14:textId="1D103AFE" w:rsidR="00331010" w:rsidRPr="0052418C" w:rsidRDefault="00331010" w:rsidP="0052418C">
      <w:pPr>
        <w:autoSpaceDE w:val="0"/>
        <w:autoSpaceDN w:val="0"/>
        <w:spacing w:after="0" w:line="276" w:lineRule="auto"/>
        <w:ind w:left="567" w:right="616"/>
        <w:rPr>
          <w:rFonts w:ascii="ITC Avant Garde" w:hAnsi="ITC Avant Garde" w:cs="Arial"/>
          <w:i/>
          <w:sz w:val="18"/>
          <w:szCs w:val="18"/>
        </w:rPr>
      </w:pPr>
      <w:r w:rsidRPr="0052418C">
        <w:rPr>
          <w:rFonts w:ascii="ITC Avant Garde" w:hAnsi="ITC Avant Garde" w:cs="Arial"/>
          <w:i/>
          <w:sz w:val="18"/>
          <w:szCs w:val="18"/>
        </w:rPr>
        <w:t>Los servicios mayoristas de Arrendamiento de Enlaces Dedicados Locales, serán ofrecidos en las siguientes velocidades de transmisión:</w:t>
      </w:r>
    </w:p>
    <w:p w14:paraId="235B0A4C" w14:textId="0CEC8655" w:rsidR="00331010" w:rsidRPr="0052418C" w:rsidRDefault="00331010" w:rsidP="0052418C">
      <w:pPr>
        <w:autoSpaceDE w:val="0"/>
        <w:autoSpaceDN w:val="0"/>
        <w:spacing w:after="0" w:line="276" w:lineRule="auto"/>
        <w:ind w:left="567" w:right="616"/>
        <w:rPr>
          <w:rFonts w:ascii="ITC Avant Garde" w:hAnsi="ITC Avant Garde" w:cs="Arial"/>
          <w:i/>
          <w:sz w:val="18"/>
          <w:szCs w:val="18"/>
        </w:rPr>
      </w:pPr>
    </w:p>
    <w:tbl>
      <w:tblPr>
        <w:tblW w:w="51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76"/>
        <w:gridCol w:w="2427"/>
      </w:tblGrid>
      <w:tr w:rsidR="00CF5C64" w:rsidRPr="0052418C" w14:paraId="0D92CA82" w14:textId="77777777" w:rsidTr="00A24979">
        <w:trPr>
          <w:trHeight w:val="512"/>
          <w:jc w:val="center"/>
        </w:trPr>
        <w:tc>
          <w:tcPr>
            <w:tcW w:w="2676" w:type="dxa"/>
            <w:vMerge w:val="restart"/>
            <w:tcBorders>
              <w:top w:val="single" w:sz="4" w:space="0" w:color="auto"/>
              <w:left w:val="single" w:sz="4" w:space="0" w:color="auto"/>
              <w:right w:val="single" w:sz="4" w:space="0" w:color="auto"/>
            </w:tcBorders>
            <w:shd w:val="clear" w:color="auto" w:fill="0070C0"/>
            <w:vAlign w:val="center"/>
            <w:hideMark/>
          </w:tcPr>
          <w:p w14:paraId="3A4B1DF4" w14:textId="6EC8F08E" w:rsidR="00A24979" w:rsidRDefault="00CF5C64" w:rsidP="00A24979">
            <w:pPr>
              <w:tabs>
                <w:tab w:val="left" w:pos="-720"/>
              </w:tabs>
              <w:suppressAutoHyphens/>
              <w:spacing w:after="0" w:line="276" w:lineRule="auto"/>
              <w:ind w:hanging="11"/>
              <w:rPr>
                <w:rFonts w:ascii="ITC Avant Garde" w:hAnsi="ITC Avant Garde" w:cs="Arial"/>
                <w:b/>
                <w:color w:val="FFFFFF" w:themeColor="background1"/>
                <w:sz w:val="18"/>
                <w:szCs w:val="18"/>
                <w:lang w:val="es-ES_tradnl"/>
              </w:rPr>
            </w:pPr>
            <w:r w:rsidRPr="0052418C">
              <w:rPr>
                <w:rFonts w:ascii="ITC Avant Garde" w:hAnsi="ITC Avant Garde" w:cs="Arial"/>
                <w:b/>
                <w:color w:val="FFFFFF" w:themeColor="background1"/>
                <w:sz w:val="18"/>
                <w:szCs w:val="18"/>
                <w:lang w:val="es-ES_tradnl"/>
              </w:rPr>
              <w:t>Denominación</w:t>
            </w:r>
            <w:r w:rsidRPr="0052418C">
              <w:rPr>
                <w:rFonts w:ascii="ITC Avant Garde" w:hAnsi="ITC Avant Garde" w:cs="Arial"/>
                <w:b/>
                <w:bCs/>
                <w:color w:val="FFFFFF" w:themeColor="background1"/>
                <w:sz w:val="18"/>
                <w:szCs w:val="18"/>
                <w:lang w:val="es-ES_tradnl" w:eastAsia="es-ES"/>
              </w:rPr>
              <w:t xml:space="preserve"> </w:t>
            </w:r>
          </w:p>
          <w:p w14:paraId="0C86A554" w14:textId="09591A1A" w:rsidR="00A24979" w:rsidRPr="00A24979" w:rsidRDefault="00A24979" w:rsidP="00A24979">
            <w:pPr>
              <w:rPr>
                <w:rFonts w:ascii="ITC Avant Garde" w:hAnsi="ITC Avant Garde" w:cs="Arial"/>
                <w:sz w:val="18"/>
                <w:szCs w:val="18"/>
                <w:lang w:val="es-ES_tradnl"/>
              </w:rPr>
            </w:pPr>
          </w:p>
        </w:tc>
        <w:tc>
          <w:tcPr>
            <w:tcW w:w="2427" w:type="dxa"/>
            <w:vMerge w:val="restart"/>
            <w:tcBorders>
              <w:top w:val="single" w:sz="4" w:space="0" w:color="auto"/>
              <w:left w:val="single" w:sz="4" w:space="0" w:color="auto"/>
              <w:right w:val="single" w:sz="4" w:space="0" w:color="auto"/>
            </w:tcBorders>
            <w:shd w:val="clear" w:color="auto" w:fill="0070C0"/>
            <w:vAlign w:val="center"/>
            <w:hideMark/>
          </w:tcPr>
          <w:p w14:paraId="24814077" w14:textId="77777777" w:rsidR="00CF5C64" w:rsidRPr="0052418C" w:rsidRDefault="00CF5C64" w:rsidP="0052418C">
            <w:pPr>
              <w:tabs>
                <w:tab w:val="left" w:pos="-720"/>
              </w:tabs>
              <w:suppressAutoHyphens/>
              <w:spacing w:after="0" w:line="276" w:lineRule="auto"/>
              <w:ind w:hanging="11"/>
              <w:rPr>
                <w:rFonts w:ascii="ITC Avant Garde" w:hAnsi="ITC Avant Garde" w:cs="Arial"/>
                <w:color w:val="FFFFFF" w:themeColor="background1"/>
                <w:sz w:val="18"/>
                <w:szCs w:val="18"/>
                <w:lang w:val="es-ES_tradnl"/>
              </w:rPr>
            </w:pPr>
            <w:r w:rsidRPr="0052418C">
              <w:rPr>
                <w:rFonts w:ascii="ITC Avant Garde" w:hAnsi="ITC Avant Garde" w:cs="Arial"/>
                <w:b/>
                <w:color w:val="FFFFFF" w:themeColor="background1"/>
                <w:sz w:val="18"/>
                <w:szCs w:val="18"/>
                <w:lang w:val="es-ES_tradnl"/>
              </w:rPr>
              <w:t>Capacidad</w:t>
            </w:r>
          </w:p>
        </w:tc>
      </w:tr>
      <w:tr w:rsidR="00CF5C64" w:rsidRPr="0052418C" w14:paraId="7F2F1400" w14:textId="77777777" w:rsidTr="00A24979">
        <w:trPr>
          <w:trHeight w:val="451"/>
          <w:jc w:val="center"/>
        </w:trPr>
        <w:tc>
          <w:tcPr>
            <w:tcW w:w="2676" w:type="dxa"/>
            <w:vMerge/>
            <w:tcBorders>
              <w:left w:val="single" w:sz="4" w:space="0" w:color="auto"/>
              <w:bottom w:val="single" w:sz="4" w:space="0" w:color="auto"/>
              <w:right w:val="single" w:sz="4" w:space="0" w:color="auto"/>
            </w:tcBorders>
            <w:shd w:val="clear" w:color="auto" w:fill="0070C0"/>
            <w:vAlign w:val="center"/>
            <w:hideMark/>
          </w:tcPr>
          <w:p w14:paraId="536F9652" w14:textId="77777777" w:rsidR="00CF5C64" w:rsidRPr="0052418C" w:rsidRDefault="00CF5C64" w:rsidP="0052418C">
            <w:pPr>
              <w:tabs>
                <w:tab w:val="left" w:pos="-720"/>
              </w:tabs>
              <w:suppressAutoHyphens/>
              <w:spacing w:after="0" w:line="276" w:lineRule="auto"/>
              <w:ind w:hanging="11"/>
              <w:rPr>
                <w:rFonts w:ascii="ITC Avant Garde" w:hAnsi="ITC Avant Garde" w:cs="Arial"/>
                <w:i/>
                <w:iCs/>
                <w:sz w:val="18"/>
                <w:szCs w:val="18"/>
                <w:lang w:val="es-ES_tradnl" w:eastAsia="es-ES"/>
              </w:rPr>
            </w:pPr>
          </w:p>
        </w:tc>
        <w:tc>
          <w:tcPr>
            <w:tcW w:w="2427" w:type="dxa"/>
            <w:vMerge/>
            <w:tcBorders>
              <w:left w:val="single" w:sz="4" w:space="0" w:color="auto"/>
              <w:bottom w:val="single" w:sz="4" w:space="0" w:color="auto"/>
              <w:right w:val="single" w:sz="4" w:space="0" w:color="auto"/>
            </w:tcBorders>
            <w:shd w:val="clear" w:color="auto" w:fill="0070C0"/>
            <w:vAlign w:val="center"/>
            <w:hideMark/>
          </w:tcPr>
          <w:p w14:paraId="7AE6B15C" w14:textId="77777777" w:rsidR="00CF5C64" w:rsidRPr="0052418C" w:rsidRDefault="00CF5C64" w:rsidP="0052418C">
            <w:pPr>
              <w:tabs>
                <w:tab w:val="left" w:pos="-720"/>
              </w:tabs>
              <w:suppressAutoHyphens/>
              <w:spacing w:after="0" w:line="276" w:lineRule="auto"/>
              <w:ind w:hanging="11"/>
              <w:rPr>
                <w:rFonts w:ascii="ITC Avant Garde" w:hAnsi="ITC Avant Garde" w:cs="Arial"/>
                <w:i/>
                <w:iCs/>
                <w:sz w:val="18"/>
                <w:szCs w:val="18"/>
                <w:lang w:val="es-ES_tradnl" w:eastAsia="es-ES"/>
              </w:rPr>
            </w:pPr>
          </w:p>
        </w:tc>
      </w:tr>
      <w:tr w:rsidR="00CF5C64" w:rsidRPr="0052418C" w14:paraId="4E399580" w14:textId="77777777" w:rsidTr="00A24979">
        <w:trPr>
          <w:trHeight w:val="235"/>
          <w:jc w:val="center"/>
        </w:trPr>
        <w:tc>
          <w:tcPr>
            <w:tcW w:w="2676" w:type="dxa"/>
            <w:tcBorders>
              <w:top w:val="single" w:sz="4" w:space="0" w:color="auto"/>
              <w:left w:val="single" w:sz="4" w:space="0" w:color="auto"/>
              <w:bottom w:val="single" w:sz="4" w:space="0" w:color="auto"/>
              <w:right w:val="single" w:sz="4" w:space="0" w:color="auto"/>
            </w:tcBorders>
            <w:vAlign w:val="center"/>
            <w:hideMark/>
          </w:tcPr>
          <w:p w14:paraId="4C1F2E53" w14:textId="77777777" w:rsidR="00CF5C64" w:rsidRPr="0052418C" w:rsidRDefault="00CF5C64" w:rsidP="0052418C">
            <w:pPr>
              <w:tabs>
                <w:tab w:val="left" w:pos="-720"/>
              </w:tabs>
              <w:suppressAutoHyphens/>
              <w:spacing w:after="0" w:line="276" w:lineRule="auto"/>
              <w:ind w:hanging="11"/>
              <w:rPr>
                <w:rFonts w:ascii="ITC Avant Garde" w:hAnsi="ITC Avant Garde" w:cs="Arial"/>
                <w:i/>
                <w:sz w:val="18"/>
                <w:szCs w:val="18"/>
                <w:lang w:val="es-ES_tradnl"/>
              </w:rPr>
            </w:pPr>
            <w:r w:rsidRPr="0052418C">
              <w:rPr>
                <w:rFonts w:ascii="ITC Avant Garde" w:hAnsi="ITC Avant Garde" w:cs="Arial"/>
                <w:i/>
                <w:sz w:val="18"/>
                <w:szCs w:val="18"/>
                <w:lang w:val="es-ES_tradnl"/>
              </w:rPr>
              <w:t xml:space="preserve">Nx 64 </w:t>
            </w:r>
            <w:r w:rsidRPr="0052418C">
              <w:rPr>
                <w:rFonts w:ascii="ITC Avant Garde" w:hAnsi="ITC Avant Garde" w:cs="Arial"/>
                <w:i/>
                <w:iCs/>
                <w:sz w:val="18"/>
                <w:szCs w:val="18"/>
                <w:lang w:val="es-ES_tradnl" w:eastAsia="es-ES"/>
              </w:rPr>
              <w:t xml:space="preserve">Kbs </w:t>
            </w:r>
            <w:r w:rsidRPr="0052418C">
              <w:rPr>
                <w:rFonts w:ascii="ITC Avant Garde" w:hAnsi="ITC Avant Garde" w:cs="Arial"/>
                <w:i/>
                <w:sz w:val="18"/>
                <w:szCs w:val="18"/>
                <w:lang w:val="es-ES_tradnl"/>
              </w:rPr>
              <w:t>(N=1</w:t>
            </w:r>
            <w:r w:rsidRPr="0052418C">
              <w:rPr>
                <w:rFonts w:ascii="ITC Avant Garde" w:hAnsi="ITC Avant Garde" w:cs="Arial"/>
                <w:i/>
                <w:iCs/>
                <w:sz w:val="18"/>
                <w:szCs w:val="18"/>
                <w:lang w:val="es-ES_tradnl" w:eastAsia="es-ES"/>
              </w:rPr>
              <w:t>...</w:t>
            </w:r>
            <w:r w:rsidRPr="0052418C">
              <w:rPr>
                <w:rFonts w:ascii="ITC Avant Garde" w:hAnsi="ITC Avant Garde" w:cs="Arial"/>
                <w:i/>
                <w:sz w:val="18"/>
                <w:szCs w:val="18"/>
                <w:lang w:val="es-ES_tradnl"/>
              </w:rPr>
              <w:t>16)</w:t>
            </w:r>
          </w:p>
        </w:tc>
        <w:tc>
          <w:tcPr>
            <w:tcW w:w="2427" w:type="dxa"/>
            <w:tcBorders>
              <w:top w:val="single" w:sz="4" w:space="0" w:color="auto"/>
              <w:left w:val="single" w:sz="4" w:space="0" w:color="auto"/>
              <w:bottom w:val="single" w:sz="4" w:space="0" w:color="auto"/>
              <w:right w:val="single" w:sz="4" w:space="0" w:color="auto"/>
            </w:tcBorders>
            <w:vAlign w:val="center"/>
            <w:hideMark/>
          </w:tcPr>
          <w:p w14:paraId="6340F666" w14:textId="77777777" w:rsidR="00CF5C64" w:rsidRPr="0052418C" w:rsidRDefault="00CF5C64" w:rsidP="0052418C">
            <w:pPr>
              <w:tabs>
                <w:tab w:val="left" w:pos="-720"/>
              </w:tabs>
              <w:suppressAutoHyphens/>
              <w:spacing w:after="0" w:line="276" w:lineRule="auto"/>
              <w:ind w:hanging="11"/>
              <w:rPr>
                <w:rFonts w:ascii="ITC Avant Garde" w:hAnsi="ITC Avant Garde" w:cs="Arial"/>
                <w:i/>
                <w:sz w:val="18"/>
                <w:szCs w:val="18"/>
                <w:lang w:val="es-ES_tradnl"/>
              </w:rPr>
            </w:pPr>
            <w:r w:rsidRPr="0052418C">
              <w:rPr>
                <w:rFonts w:ascii="ITC Avant Garde" w:hAnsi="ITC Avant Garde" w:cs="Arial"/>
                <w:i/>
                <w:iCs/>
                <w:sz w:val="18"/>
                <w:szCs w:val="18"/>
                <w:lang w:val="es-ES_tradnl" w:eastAsia="es-ES"/>
              </w:rPr>
              <w:t>64K bps</w:t>
            </w:r>
            <w:r w:rsidRPr="0052418C">
              <w:rPr>
                <w:rFonts w:ascii="ITC Avant Garde" w:hAnsi="ITC Avant Garde" w:cs="Arial"/>
                <w:i/>
                <w:sz w:val="18"/>
                <w:szCs w:val="18"/>
                <w:lang w:val="es-ES_tradnl"/>
              </w:rPr>
              <w:t xml:space="preserve"> a 1024 Kbps</w:t>
            </w:r>
            <w:r w:rsidRPr="0052418C">
              <w:rPr>
                <w:rFonts w:ascii="ITC Avant Garde" w:hAnsi="ITC Avant Garde" w:cs="Arial"/>
                <w:i/>
                <w:iCs/>
                <w:sz w:val="18"/>
                <w:szCs w:val="18"/>
                <w:lang w:val="es-ES_tradnl" w:eastAsia="es-ES"/>
              </w:rPr>
              <w:t xml:space="preserve"> </w:t>
            </w:r>
          </w:p>
        </w:tc>
      </w:tr>
      <w:tr w:rsidR="00CF5C64" w:rsidRPr="0052418C" w14:paraId="4DB8CFD5" w14:textId="77777777" w:rsidTr="00A24979">
        <w:trPr>
          <w:trHeight w:val="267"/>
          <w:jc w:val="center"/>
        </w:trPr>
        <w:tc>
          <w:tcPr>
            <w:tcW w:w="2676" w:type="dxa"/>
            <w:tcBorders>
              <w:top w:val="single" w:sz="4" w:space="0" w:color="auto"/>
              <w:left w:val="single" w:sz="4" w:space="0" w:color="auto"/>
              <w:bottom w:val="single" w:sz="4" w:space="0" w:color="auto"/>
              <w:right w:val="single" w:sz="4" w:space="0" w:color="auto"/>
            </w:tcBorders>
            <w:vAlign w:val="center"/>
            <w:hideMark/>
          </w:tcPr>
          <w:p w14:paraId="12291F4D" w14:textId="77777777" w:rsidR="00CF5C64" w:rsidRPr="0052418C" w:rsidRDefault="00CF5C64" w:rsidP="0052418C">
            <w:pPr>
              <w:tabs>
                <w:tab w:val="left" w:pos="-720"/>
              </w:tabs>
              <w:suppressAutoHyphens/>
              <w:spacing w:after="0" w:line="276" w:lineRule="auto"/>
              <w:ind w:hanging="11"/>
              <w:rPr>
                <w:rFonts w:ascii="ITC Avant Garde" w:hAnsi="ITC Avant Garde" w:cs="Arial"/>
                <w:i/>
                <w:sz w:val="18"/>
                <w:szCs w:val="18"/>
                <w:lang w:val="es-ES_tradnl"/>
              </w:rPr>
            </w:pPr>
            <w:r w:rsidRPr="0052418C">
              <w:rPr>
                <w:rFonts w:ascii="ITC Avant Garde" w:hAnsi="ITC Avant Garde" w:cs="Arial"/>
                <w:i/>
                <w:sz w:val="18"/>
                <w:szCs w:val="18"/>
                <w:lang w:val="es-ES_tradnl"/>
              </w:rPr>
              <w:t>E1</w:t>
            </w:r>
            <w:r w:rsidRPr="0052418C">
              <w:rPr>
                <w:rFonts w:ascii="ITC Avant Garde" w:hAnsi="ITC Avant Garde" w:cs="Arial"/>
                <w:i/>
                <w:iCs/>
                <w:sz w:val="18"/>
                <w:szCs w:val="18"/>
                <w:lang w:val="es-ES_tradnl" w:eastAsia="es-ES"/>
              </w:rPr>
              <w:t xml:space="preserve"> </w:t>
            </w:r>
          </w:p>
        </w:tc>
        <w:tc>
          <w:tcPr>
            <w:tcW w:w="2427" w:type="dxa"/>
            <w:tcBorders>
              <w:top w:val="single" w:sz="4" w:space="0" w:color="auto"/>
              <w:left w:val="single" w:sz="4" w:space="0" w:color="auto"/>
              <w:bottom w:val="single" w:sz="4" w:space="0" w:color="auto"/>
              <w:right w:val="single" w:sz="4" w:space="0" w:color="auto"/>
            </w:tcBorders>
            <w:vAlign w:val="center"/>
            <w:hideMark/>
          </w:tcPr>
          <w:p w14:paraId="4EA2919B" w14:textId="77777777" w:rsidR="00CF5C64" w:rsidRPr="0052418C" w:rsidRDefault="00CF5C64" w:rsidP="0052418C">
            <w:pPr>
              <w:tabs>
                <w:tab w:val="left" w:pos="-720"/>
              </w:tabs>
              <w:suppressAutoHyphens/>
              <w:spacing w:after="0" w:line="276" w:lineRule="auto"/>
              <w:ind w:hanging="11"/>
              <w:rPr>
                <w:rFonts w:ascii="ITC Avant Garde" w:hAnsi="ITC Avant Garde" w:cs="Arial"/>
                <w:i/>
                <w:sz w:val="18"/>
                <w:szCs w:val="18"/>
                <w:lang w:val="es-ES_tradnl"/>
              </w:rPr>
            </w:pPr>
            <w:r w:rsidRPr="0052418C">
              <w:rPr>
                <w:rFonts w:ascii="ITC Avant Garde" w:hAnsi="ITC Avant Garde" w:cs="Arial"/>
                <w:i/>
                <w:sz w:val="18"/>
                <w:szCs w:val="18"/>
                <w:lang w:val="es-ES_tradnl"/>
              </w:rPr>
              <w:t>2.048 Mbps</w:t>
            </w:r>
            <w:r w:rsidRPr="0052418C">
              <w:rPr>
                <w:rFonts w:ascii="ITC Avant Garde" w:hAnsi="ITC Avant Garde" w:cs="Arial"/>
                <w:i/>
                <w:iCs/>
                <w:sz w:val="18"/>
                <w:szCs w:val="18"/>
                <w:lang w:val="es-ES_tradnl" w:eastAsia="es-ES"/>
              </w:rPr>
              <w:t xml:space="preserve"> </w:t>
            </w:r>
          </w:p>
        </w:tc>
      </w:tr>
      <w:tr w:rsidR="0039532D" w:rsidRPr="0052418C" w14:paraId="326E1916" w14:textId="77777777" w:rsidTr="00A24979">
        <w:trPr>
          <w:trHeight w:val="281"/>
          <w:jc w:val="center"/>
        </w:trPr>
        <w:tc>
          <w:tcPr>
            <w:tcW w:w="2676" w:type="dxa"/>
            <w:tcBorders>
              <w:top w:val="single" w:sz="4" w:space="0" w:color="auto"/>
              <w:left w:val="single" w:sz="4" w:space="0" w:color="auto"/>
              <w:bottom w:val="single" w:sz="4" w:space="0" w:color="auto"/>
              <w:right w:val="single" w:sz="4" w:space="0" w:color="auto"/>
            </w:tcBorders>
          </w:tcPr>
          <w:p w14:paraId="460A0721" w14:textId="02A192E1" w:rsidR="0039532D" w:rsidRPr="0052418C" w:rsidRDefault="0039532D" w:rsidP="0052418C">
            <w:pPr>
              <w:tabs>
                <w:tab w:val="left" w:pos="-720"/>
              </w:tabs>
              <w:suppressAutoHyphens/>
              <w:spacing w:after="0" w:line="276" w:lineRule="auto"/>
              <w:ind w:hanging="11"/>
              <w:rPr>
                <w:rFonts w:ascii="ITC Avant Garde" w:hAnsi="ITC Avant Garde" w:cs="Arial"/>
                <w:i/>
                <w:sz w:val="18"/>
                <w:szCs w:val="18"/>
                <w:lang w:val="es-ES_tradnl"/>
              </w:rPr>
            </w:pPr>
            <w:r w:rsidRPr="0052418C">
              <w:rPr>
                <w:rFonts w:ascii="ITC Avant Garde" w:hAnsi="ITC Avant Garde" w:cs="Arial"/>
                <w:i/>
                <w:sz w:val="18"/>
                <w:szCs w:val="18"/>
                <w:lang w:val="es-ES_tradnl"/>
              </w:rPr>
              <w:t>Ethernet</w:t>
            </w:r>
          </w:p>
        </w:tc>
        <w:tc>
          <w:tcPr>
            <w:tcW w:w="2427" w:type="dxa"/>
            <w:tcBorders>
              <w:top w:val="single" w:sz="4" w:space="0" w:color="auto"/>
              <w:left w:val="single" w:sz="4" w:space="0" w:color="auto"/>
              <w:bottom w:val="single" w:sz="4" w:space="0" w:color="auto"/>
              <w:right w:val="single" w:sz="4" w:space="0" w:color="auto"/>
            </w:tcBorders>
            <w:vAlign w:val="center"/>
          </w:tcPr>
          <w:p w14:paraId="09C05449" w14:textId="238B5269" w:rsidR="0039532D" w:rsidRPr="0052418C" w:rsidRDefault="0039532D" w:rsidP="0052418C">
            <w:pPr>
              <w:tabs>
                <w:tab w:val="left" w:pos="-720"/>
              </w:tabs>
              <w:suppressAutoHyphens/>
              <w:spacing w:after="0" w:line="276" w:lineRule="auto"/>
              <w:ind w:hanging="11"/>
              <w:rPr>
                <w:rFonts w:ascii="ITC Avant Garde" w:hAnsi="ITC Avant Garde" w:cs="Arial"/>
                <w:i/>
                <w:sz w:val="18"/>
                <w:szCs w:val="18"/>
                <w:lang w:val="es-ES_tradnl"/>
              </w:rPr>
            </w:pPr>
            <w:r w:rsidRPr="0052418C">
              <w:rPr>
                <w:rFonts w:ascii="ITC Avant Garde" w:hAnsi="ITC Avant Garde" w:cs="Arial"/>
                <w:sz w:val="18"/>
                <w:szCs w:val="18"/>
                <w:lang w:val="en-US"/>
              </w:rPr>
              <w:t xml:space="preserve">1 Mbps a 100 Gbps </w:t>
            </w:r>
          </w:p>
        </w:tc>
      </w:tr>
    </w:tbl>
    <w:p w14:paraId="68EA210D" w14:textId="77777777" w:rsidR="00CF5C64" w:rsidRPr="0052418C" w:rsidRDefault="00CF5C64" w:rsidP="0052418C">
      <w:pPr>
        <w:autoSpaceDE w:val="0"/>
        <w:autoSpaceDN w:val="0"/>
        <w:spacing w:after="0" w:line="276" w:lineRule="auto"/>
        <w:ind w:left="567" w:right="616"/>
        <w:rPr>
          <w:rFonts w:ascii="ITC Avant Garde" w:hAnsi="ITC Avant Garde" w:cs="Arial"/>
          <w:i/>
          <w:sz w:val="18"/>
          <w:szCs w:val="18"/>
        </w:rPr>
      </w:pPr>
    </w:p>
    <w:p w14:paraId="3B716A4D" w14:textId="77777777" w:rsidR="00EE0E44" w:rsidRPr="0052418C" w:rsidRDefault="00EE0E44" w:rsidP="0052418C">
      <w:pPr>
        <w:autoSpaceDE w:val="0"/>
        <w:autoSpaceDN w:val="0"/>
        <w:adjustRightInd w:val="0"/>
        <w:spacing w:after="0" w:line="276" w:lineRule="auto"/>
        <w:ind w:left="567" w:right="616"/>
        <w:jc w:val="right"/>
        <w:rPr>
          <w:rFonts w:ascii="ITC Avant Garde" w:hAnsi="ITC Avant Garde" w:cs="Arial"/>
          <w:i/>
          <w:sz w:val="18"/>
          <w:szCs w:val="18"/>
        </w:rPr>
      </w:pPr>
      <w:r w:rsidRPr="0052418C">
        <w:rPr>
          <w:rFonts w:ascii="ITC Avant Garde" w:hAnsi="ITC Avant Garde" w:cs="Arial"/>
          <w:i/>
          <w:sz w:val="18"/>
          <w:szCs w:val="18"/>
        </w:rPr>
        <w:t>[…]”</w:t>
      </w:r>
    </w:p>
    <w:p w14:paraId="1B41FF4A" w14:textId="51BC017B" w:rsidR="0039532D" w:rsidRPr="0052418C" w:rsidRDefault="0039532D" w:rsidP="0052418C">
      <w:pPr>
        <w:spacing w:after="0" w:line="276" w:lineRule="auto"/>
        <w:ind w:right="49"/>
        <w:rPr>
          <w:rFonts w:ascii="ITC Avant Garde" w:eastAsia="Times New Roman" w:hAnsi="ITC Avant Garde" w:cs="Times New Roman"/>
          <w:color w:val="auto"/>
        </w:rPr>
      </w:pPr>
      <w:bookmarkStart w:id="3" w:name="_Hlk92874417"/>
      <w:r w:rsidRPr="0052418C">
        <w:rPr>
          <w:rFonts w:ascii="ITC Avant Garde" w:eastAsia="Times New Roman" w:hAnsi="ITC Avant Garde" w:cs="Times New Roman"/>
          <w:color w:val="auto"/>
        </w:rPr>
        <w:t>Asimismo, respecto al comentario de mantener las tarifas de las t</w:t>
      </w:r>
      <w:r w:rsidRPr="0052418C">
        <w:rPr>
          <w:rFonts w:ascii="ITC Avant Garde" w:hAnsi="ITC Avant Garde"/>
          <w:color w:val="auto"/>
        </w:rPr>
        <w:t xml:space="preserve">ecnologías TDM, en dado caso que no se contemplen en la Oferta, se señala que si bien </w:t>
      </w:r>
      <w:r w:rsidR="00CD5073" w:rsidRPr="0052418C">
        <w:rPr>
          <w:rFonts w:ascii="ITC Avant Garde" w:hAnsi="ITC Avant Garde"/>
          <w:color w:val="auto"/>
        </w:rPr>
        <w:t>Red Nacional</w:t>
      </w:r>
      <w:r w:rsidRPr="0052418C">
        <w:rPr>
          <w:rFonts w:ascii="ITC Avant Garde" w:hAnsi="ITC Avant Garde"/>
          <w:color w:val="auto"/>
        </w:rPr>
        <w:t xml:space="preserve"> no se encuentra obligado a la prestación de los enlaces STM-1 y sus múltiplos, se </w:t>
      </w:r>
      <w:r w:rsidR="006037D3" w:rsidRPr="0052418C">
        <w:rPr>
          <w:rFonts w:ascii="ITC Avant Garde" w:hAnsi="ITC Avant Garde"/>
          <w:color w:val="auto"/>
        </w:rPr>
        <w:t xml:space="preserve">deben </w:t>
      </w:r>
      <w:r w:rsidRPr="0052418C">
        <w:rPr>
          <w:rFonts w:ascii="ITC Avant Garde" w:hAnsi="ITC Avant Garde"/>
          <w:color w:val="auto"/>
        </w:rPr>
        <w:t xml:space="preserve">determinar las tarifas aplicables a dichos servicios hasta que se concluya con </w:t>
      </w:r>
      <w:r w:rsidR="006037D3" w:rsidRPr="0052418C">
        <w:rPr>
          <w:rFonts w:ascii="ITC Avant Garde" w:hAnsi="ITC Avant Garde"/>
          <w:color w:val="auto"/>
        </w:rPr>
        <w:t>su</w:t>
      </w:r>
      <w:r w:rsidRPr="0052418C">
        <w:rPr>
          <w:rFonts w:ascii="ITC Avant Garde" w:hAnsi="ITC Avant Garde"/>
          <w:color w:val="auto"/>
        </w:rPr>
        <w:t xml:space="preserve"> prestación, por lo que en la ORE </w:t>
      </w:r>
      <w:r w:rsidR="006037D3" w:rsidRPr="0052418C">
        <w:rPr>
          <w:rFonts w:ascii="ITC Avant Garde" w:hAnsi="ITC Avant Garde"/>
          <w:color w:val="auto"/>
        </w:rPr>
        <w:t>E</w:t>
      </w:r>
      <w:r w:rsidRPr="0052418C">
        <w:rPr>
          <w:rFonts w:ascii="ITC Avant Garde" w:hAnsi="ITC Avant Garde"/>
          <w:color w:val="auto"/>
        </w:rPr>
        <w:t>M 2022 se adicionaron las tarifas aplicables.</w:t>
      </w:r>
    </w:p>
    <w:p w14:paraId="3A1CA896" w14:textId="77777777" w:rsidR="0039532D" w:rsidRPr="0052418C" w:rsidRDefault="0039532D" w:rsidP="0052418C">
      <w:pPr>
        <w:spacing w:after="0" w:line="276" w:lineRule="auto"/>
        <w:ind w:left="0" w:right="0"/>
        <w:rPr>
          <w:rFonts w:ascii="ITC Avant Garde" w:eastAsia="Times New Roman" w:hAnsi="ITC Avant Garde" w:cs="Arial"/>
          <w:b/>
          <w:u w:val="single"/>
        </w:rPr>
      </w:pPr>
    </w:p>
    <w:p w14:paraId="02367D14" w14:textId="0031847E" w:rsidR="000732C3" w:rsidRPr="0052418C" w:rsidRDefault="00D82005" w:rsidP="000732C3">
      <w:pPr>
        <w:spacing w:after="0" w:line="276" w:lineRule="auto"/>
        <w:ind w:left="0" w:right="0"/>
        <w:rPr>
          <w:rFonts w:ascii="ITC Avant Garde" w:eastAsia="Times New Roman" w:hAnsi="ITC Avant Garde" w:cs="Arial"/>
          <w:b/>
          <w:u w:val="single"/>
        </w:rPr>
      </w:pPr>
      <w:r w:rsidRPr="0052418C">
        <w:rPr>
          <w:rFonts w:ascii="ITC Avant Garde" w:eastAsia="Times New Roman" w:hAnsi="ITC Avant Garde" w:cs="Arial"/>
          <w:b/>
          <w:u w:val="single"/>
        </w:rPr>
        <w:t xml:space="preserve">2.3.1 </w:t>
      </w:r>
      <w:r w:rsidR="00CD5073" w:rsidRPr="0052418C">
        <w:rPr>
          <w:rFonts w:ascii="ITC Avant Garde" w:eastAsia="Times New Roman" w:hAnsi="ITC Avant Garde" w:cs="Arial"/>
          <w:b/>
          <w:u w:val="single"/>
        </w:rPr>
        <w:t>HUB, Servicio de conexión 1 Gigabit Ethernet</w:t>
      </w:r>
      <w:r w:rsidR="000732C3">
        <w:rPr>
          <w:rFonts w:ascii="ITC Avant Garde" w:eastAsia="Times New Roman" w:hAnsi="ITC Avant Garde" w:cs="Arial"/>
          <w:b/>
          <w:u w:val="single"/>
        </w:rPr>
        <w:t xml:space="preserve">, </w:t>
      </w:r>
      <w:r w:rsidR="000732C3" w:rsidRPr="0052418C">
        <w:rPr>
          <w:rFonts w:ascii="ITC Avant Garde" w:eastAsia="Times New Roman" w:hAnsi="ITC Avant Garde" w:cs="Arial"/>
          <w:b/>
          <w:u w:val="single"/>
        </w:rPr>
        <w:t>2.3.2 HUB, Servicio de conexión 10 Gigabit Ethernet</w:t>
      </w:r>
      <w:r w:rsidR="000732C3">
        <w:rPr>
          <w:rFonts w:ascii="ITC Avant Garde" w:eastAsia="Times New Roman" w:hAnsi="ITC Avant Garde" w:cs="Arial"/>
          <w:b/>
          <w:u w:val="single"/>
        </w:rPr>
        <w:t>.</w:t>
      </w:r>
    </w:p>
    <w:p w14:paraId="1A548E5D" w14:textId="2EC56711" w:rsidR="00D82005" w:rsidRPr="0052418C" w:rsidRDefault="00D82005" w:rsidP="0052418C">
      <w:pPr>
        <w:spacing w:after="0" w:line="276" w:lineRule="auto"/>
        <w:ind w:left="0" w:right="0"/>
        <w:rPr>
          <w:rFonts w:ascii="ITC Avant Garde" w:eastAsia="Times New Roman" w:hAnsi="ITC Avant Garde" w:cs="Arial"/>
          <w:b/>
          <w:u w:val="single"/>
        </w:rPr>
      </w:pPr>
    </w:p>
    <w:p w14:paraId="4863B3BF" w14:textId="2FEBC303" w:rsidR="00E316F5" w:rsidRPr="0052418C" w:rsidRDefault="00E316F5" w:rsidP="0052418C">
      <w:pPr>
        <w:spacing w:after="0" w:line="276" w:lineRule="auto"/>
        <w:ind w:left="0" w:right="0"/>
        <w:rPr>
          <w:rFonts w:ascii="ITC Avant Garde" w:hAnsi="ITC Avant Garde" w:cs="Arial"/>
          <w:b/>
          <w:bCs/>
          <w:color w:val="auto"/>
        </w:rPr>
      </w:pPr>
      <w:r w:rsidRPr="0052418C">
        <w:rPr>
          <w:rFonts w:ascii="ITC Avant Garde" w:hAnsi="ITC Avant Garde" w:cs="Arial"/>
          <w:b/>
          <w:bCs/>
          <w:color w:val="auto"/>
        </w:rPr>
        <w:t>AXTEL:</w:t>
      </w:r>
    </w:p>
    <w:p w14:paraId="328BED88" w14:textId="1FCA4BA9" w:rsidR="00464654" w:rsidRDefault="00D82005" w:rsidP="0052418C">
      <w:pPr>
        <w:spacing w:after="0" w:line="276" w:lineRule="auto"/>
        <w:ind w:left="0" w:right="0"/>
        <w:rPr>
          <w:rFonts w:ascii="ITC Avant Garde" w:hAnsi="ITC Avant Garde" w:cs="Arial"/>
          <w:color w:val="auto"/>
        </w:rPr>
      </w:pPr>
      <w:r w:rsidRPr="0052418C">
        <w:rPr>
          <w:rFonts w:ascii="ITC Avant Garde" w:hAnsi="ITC Avant Garde" w:cs="Arial"/>
          <w:color w:val="auto"/>
        </w:rPr>
        <w:t xml:space="preserve">Axtel </w:t>
      </w:r>
      <w:r w:rsidR="0096272A" w:rsidRPr="0052418C">
        <w:rPr>
          <w:rFonts w:ascii="ITC Avant Garde" w:hAnsi="ITC Avant Garde" w:cs="Arial"/>
          <w:color w:val="auto"/>
        </w:rPr>
        <w:t>manifestó</w:t>
      </w:r>
      <w:r w:rsidRPr="0052418C">
        <w:rPr>
          <w:rFonts w:ascii="ITC Avant Garde" w:hAnsi="ITC Avant Garde" w:cs="Arial"/>
          <w:color w:val="auto"/>
        </w:rPr>
        <w:t xml:space="preserve"> </w:t>
      </w:r>
      <w:bookmarkEnd w:id="3"/>
      <w:r w:rsidRPr="0052418C">
        <w:rPr>
          <w:rFonts w:ascii="ITC Avant Garde" w:hAnsi="ITC Avant Garde" w:cs="Arial"/>
          <w:color w:val="auto"/>
        </w:rPr>
        <w:t xml:space="preserve">que en la </w:t>
      </w:r>
      <w:r w:rsidR="003A3E97" w:rsidRPr="0052418C">
        <w:rPr>
          <w:rFonts w:ascii="ITC Avant Garde" w:hAnsi="ITC Avant Garde" w:cs="Arial"/>
          <w:color w:val="auto"/>
        </w:rPr>
        <w:t>P</w:t>
      </w:r>
      <w:r w:rsidRPr="0052418C">
        <w:rPr>
          <w:rFonts w:ascii="ITC Avant Garde" w:hAnsi="ITC Avant Garde" w:cs="Arial"/>
          <w:color w:val="auto"/>
        </w:rPr>
        <w:t xml:space="preserve">ropuesta </w:t>
      </w:r>
      <w:r w:rsidR="003A3E97" w:rsidRPr="0052418C">
        <w:rPr>
          <w:rFonts w:ascii="ITC Avant Garde" w:hAnsi="ITC Avant Garde" w:cs="Arial"/>
          <w:color w:val="auto"/>
        </w:rPr>
        <w:t>de Oferta</w:t>
      </w:r>
      <w:r w:rsidRPr="0052418C">
        <w:rPr>
          <w:rFonts w:ascii="ITC Avant Garde" w:hAnsi="ITC Avant Garde" w:cs="Arial"/>
          <w:color w:val="auto"/>
        </w:rPr>
        <w:t xml:space="preserve"> del AEP se disimula un nuevo servicio denominado “servicio de conexión” mediante la contratación de un enlace HUB´s de 1 Gbps, limitando la contratación del enlace exclusivamente en las coubicaciones de</w:t>
      </w:r>
      <w:r w:rsidR="000858BC">
        <w:rPr>
          <w:rFonts w:ascii="ITC Avant Garde" w:hAnsi="ITC Avant Garde" w:cs="Arial"/>
          <w:color w:val="auto"/>
        </w:rPr>
        <w:t xml:space="preserve"> </w:t>
      </w:r>
      <w:r w:rsidRPr="0052418C">
        <w:rPr>
          <w:rFonts w:ascii="ITC Avant Garde" w:hAnsi="ITC Avant Garde" w:cs="Arial"/>
          <w:color w:val="auto"/>
        </w:rPr>
        <w:t>l</w:t>
      </w:r>
      <w:r w:rsidR="000858BC">
        <w:rPr>
          <w:rFonts w:ascii="ITC Avant Garde" w:hAnsi="ITC Avant Garde" w:cs="Arial"/>
          <w:color w:val="auto"/>
        </w:rPr>
        <w:t>os</w:t>
      </w:r>
      <w:r w:rsidRPr="0052418C">
        <w:rPr>
          <w:rFonts w:ascii="ITC Avant Garde" w:hAnsi="ITC Avant Garde" w:cs="Arial"/>
          <w:color w:val="auto"/>
        </w:rPr>
        <w:t xml:space="preserve"> CS, ignorando que existen puntos de presencia propios de</w:t>
      </w:r>
      <w:r w:rsidR="000858BC">
        <w:rPr>
          <w:rFonts w:ascii="ITC Avant Garde" w:hAnsi="ITC Avant Garde" w:cs="Arial"/>
          <w:color w:val="auto"/>
        </w:rPr>
        <w:t xml:space="preserve"> </w:t>
      </w:r>
      <w:r w:rsidRPr="0052418C">
        <w:rPr>
          <w:rFonts w:ascii="ITC Avant Garde" w:hAnsi="ITC Avant Garde" w:cs="Arial"/>
          <w:color w:val="auto"/>
        </w:rPr>
        <w:t>l</w:t>
      </w:r>
      <w:r w:rsidR="000858BC">
        <w:rPr>
          <w:rFonts w:ascii="ITC Avant Garde" w:hAnsi="ITC Avant Garde" w:cs="Arial"/>
          <w:color w:val="auto"/>
        </w:rPr>
        <w:t>os</w:t>
      </w:r>
      <w:r w:rsidRPr="0052418C">
        <w:rPr>
          <w:rFonts w:ascii="ITC Avant Garde" w:hAnsi="ITC Avant Garde" w:cs="Arial"/>
          <w:color w:val="auto"/>
        </w:rPr>
        <w:t xml:space="preserve"> CS donde también solicita enlaces dedicados ethernet, asimismo el AEP propone limitar la capacidad del enlace.</w:t>
      </w:r>
      <w:r w:rsidR="003A3E97" w:rsidRPr="0052418C">
        <w:rPr>
          <w:rFonts w:ascii="ITC Avant Garde" w:hAnsi="ITC Avant Garde" w:cs="Arial"/>
          <w:color w:val="auto"/>
        </w:rPr>
        <w:t xml:space="preserve"> Por lo anterior, </w:t>
      </w:r>
      <w:r w:rsidRPr="0052418C">
        <w:rPr>
          <w:rFonts w:ascii="ITC Avant Garde" w:hAnsi="ITC Avant Garde" w:cs="Arial"/>
          <w:color w:val="auto"/>
        </w:rPr>
        <w:t>Axtel propuso que el AEP no limite el uso de la capacidad contratada</w:t>
      </w:r>
      <w:r w:rsidR="00E316F5" w:rsidRPr="0052418C">
        <w:rPr>
          <w:rFonts w:ascii="ITC Avant Garde" w:hAnsi="ITC Avant Garde" w:cs="Arial"/>
          <w:color w:val="auto"/>
        </w:rPr>
        <w:t>.</w:t>
      </w:r>
      <w:r w:rsidRPr="0052418C">
        <w:rPr>
          <w:rFonts w:ascii="ITC Avant Garde" w:hAnsi="ITC Avant Garde" w:cs="Arial"/>
          <w:color w:val="auto"/>
        </w:rPr>
        <w:t xml:space="preserve">  </w:t>
      </w:r>
    </w:p>
    <w:p w14:paraId="523CE520" w14:textId="052EECB9" w:rsidR="000732C3" w:rsidRDefault="000732C3" w:rsidP="0052418C">
      <w:pPr>
        <w:spacing w:after="0" w:line="276" w:lineRule="auto"/>
        <w:ind w:left="0" w:right="0"/>
        <w:rPr>
          <w:rFonts w:ascii="ITC Avant Garde" w:hAnsi="ITC Avant Garde" w:cs="Arial"/>
          <w:color w:val="auto"/>
        </w:rPr>
      </w:pPr>
    </w:p>
    <w:p w14:paraId="416AA4D6" w14:textId="039F8F74" w:rsidR="000732C3" w:rsidRPr="0052418C" w:rsidRDefault="000732C3" w:rsidP="000732C3">
      <w:pPr>
        <w:spacing w:after="0" w:line="276" w:lineRule="auto"/>
        <w:ind w:left="0" w:right="0"/>
        <w:rPr>
          <w:rFonts w:ascii="ITC Avant Garde" w:hAnsi="ITC Avant Garde" w:cs="Arial"/>
          <w:b/>
          <w:color w:val="auto"/>
          <w:u w:val="single"/>
        </w:rPr>
      </w:pPr>
      <w:r>
        <w:rPr>
          <w:rFonts w:ascii="ITC Avant Garde" w:hAnsi="ITC Avant Garde" w:cs="Arial"/>
          <w:color w:val="auto"/>
        </w:rPr>
        <w:lastRenderedPageBreak/>
        <w:t>Asimismo</w:t>
      </w:r>
      <w:r w:rsidR="00EA1113">
        <w:rPr>
          <w:rFonts w:ascii="ITC Avant Garde" w:hAnsi="ITC Avant Garde" w:cs="Arial"/>
          <w:color w:val="auto"/>
        </w:rPr>
        <w:t>,</w:t>
      </w:r>
      <w:r w:rsidRPr="0052418C">
        <w:rPr>
          <w:rFonts w:ascii="ITC Avant Garde" w:hAnsi="ITC Avant Garde" w:cs="Arial"/>
          <w:color w:val="auto"/>
        </w:rPr>
        <w:t xml:space="preserve"> señaló que en la Propuesta de Oferta del AEP se disimula un nuevo servicio denominado “servicio de conexión” mediante la contratación de un enlace HUB´s de 10 Gbps, pretendiendo autorregularse al otorgar solamente el 30% de su capacidad. Por lo anterior, Axtel propuso que el AEP no limite el uso de la capacidad contratada  </w:t>
      </w:r>
    </w:p>
    <w:p w14:paraId="54A5ADD1" w14:textId="77777777" w:rsidR="00D82005" w:rsidRPr="0052418C" w:rsidRDefault="00D82005" w:rsidP="0052418C">
      <w:pPr>
        <w:autoSpaceDE w:val="0"/>
        <w:autoSpaceDN w:val="0"/>
        <w:adjustRightInd w:val="0"/>
        <w:spacing w:after="0" w:line="276" w:lineRule="auto"/>
        <w:ind w:left="0" w:right="0" w:firstLine="0"/>
        <w:rPr>
          <w:rFonts w:ascii="ITC Avant Garde" w:hAnsi="ITC Avant Garde" w:cs="Arial"/>
          <w:b/>
          <w:color w:val="auto"/>
        </w:rPr>
      </w:pPr>
    </w:p>
    <w:p w14:paraId="4685EC77" w14:textId="3FC6BAFD" w:rsidR="00D82005" w:rsidRPr="0052418C" w:rsidRDefault="00D82005" w:rsidP="0052418C">
      <w:pPr>
        <w:autoSpaceDE w:val="0"/>
        <w:autoSpaceDN w:val="0"/>
        <w:adjustRightInd w:val="0"/>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p>
    <w:p w14:paraId="6898AED0" w14:textId="4DB738C8" w:rsidR="000732C3" w:rsidRPr="00655DC9" w:rsidRDefault="0096272A" w:rsidP="001D0822">
      <w:pPr>
        <w:spacing w:line="276" w:lineRule="auto"/>
        <w:rPr>
          <w:rFonts w:ascii="ITC Avant Garde" w:hAnsi="ITC Avant Garde" w:cs="Arial"/>
          <w:bCs/>
          <w:color w:val="auto"/>
        </w:rPr>
      </w:pPr>
      <w:r w:rsidRPr="0052418C">
        <w:rPr>
          <w:rFonts w:ascii="ITC Avant Garde" w:hAnsi="ITC Avant Garde" w:cs="Arial"/>
          <w:bCs/>
          <w:color w:val="auto"/>
        </w:rPr>
        <w:t>Al respecto, se señala que</w:t>
      </w:r>
      <w:r w:rsidR="00F95A64" w:rsidRPr="0052418C">
        <w:rPr>
          <w:rFonts w:ascii="ITC Avant Garde" w:hAnsi="ITC Avant Garde" w:cs="Arial"/>
          <w:bCs/>
          <w:color w:val="auto"/>
        </w:rPr>
        <w:t xml:space="preserve">, de conformidad a las mejores prácticas internacionales y a las condiciones ofrecidas por distintos proveedores a nivel internacional que ofertan </w:t>
      </w:r>
      <w:r w:rsidR="004218A0" w:rsidRPr="0052418C">
        <w:rPr>
          <w:rFonts w:ascii="ITC Avant Garde" w:hAnsi="ITC Avant Garde" w:cs="Arial"/>
          <w:bCs/>
          <w:color w:val="auto"/>
        </w:rPr>
        <w:t xml:space="preserve">el </w:t>
      </w:r>
      <w:r w:rsidR="00F95A64" w:rsidRPr="0052418C">
        <w:rPr>
          <w:rFonts w:ascii="ITC Avant Garde" w:hAnsi="ITC Avant Garde" w:cs="Arial"/>
          <w:bCs/>
          <w:color w:val="auto"/>
        </w:rPr>
        <w:t>servicio análogo a</w:t>
      </w:r>
      <w:r w:rsidR="004218A0" w:rsidRPr="0052418C">
        <w:rPr>
          <w:rFonts w:ascii="ITC Avant Garde" w:hAnsi="ITC Avant Garde" w:cs="Arial"/>
          <w:bCs/>
          <w:color w:val="auto"/>
        </w:rPr>
        <w:t>l</w:t>
      </w:r>
      <w:r w:rsidR="00F95A64" w:rsidRPr="0052418C">
        <w:rPr>
          <w:rFonts w:ascii="ITC Avant Garde" w:hAnsi="ITC Avant Garde" w:cs="Arial"/>
          <w:bCs/>
          <w:color w:val="auto"/>
        </w:rPr>
        <w:t xml:space="preserve"> servicio HUB 1 G</w:t>
      </w:r>
      <w:r w:rsidR="00D90699">
        <w:rPr>
          <w:rFonts w:ascii="ITC Avant Garde" w:hAnsi="ITC Avant Garde" w:cs="Arial"/>
          <w:bCs/>
          <w:color w:val="auto"/>
        </w:rPr>
        <w:t>bps y HUB 10 Gbps</w:t>
      </w:r>
      <w:r w:rsidR="00F95A64" w:rsidRPr="0052418C">
        <w:rPr>
          <w:rFonts w:ascii="ITC Avant Garde" w:hAnsi="ITC Avant Garde" w:cs="Arial"/>
          <w:bCs/>
          <w:color w:val="auto"/>
        </w:rPr>
        <w:t xml:space="preserve"> de Red Nacional, se observa que es una práctica común el establecimiento de límites en cuanto al número de circuitos, o EVC (Ethernet Virtual Connectivity</w:t>
      </w:r>
      <w:r w:rsidR="00D90699">
        <w:rPr>
          <w:rFonts w:ascii="ITC Avant Garde" w:hAnsi="ITC Avant Garde" w:cs="Arial"/>
          <w:bCs/>
          <w:color w:val="auto"/>
        </w:rPr>
        <w:t xml:space="preserve">). </w:t>
      </w:r>
      <w:r w:rsidR="000732C3" w:rsidRPr="00655DC9">
        <w:rPr>
          <w:rFonts w:ascii="ITC Avant Garde" w:hAnsi="ITC Avant Garde" w:cs="Arial"/>
          <w:bCs/>
          <w:color w:val="auto"/>
        </w:rPr>
        <w:t>En tal sentido, para los servicios HUB de la Oferta, no resultaría lógico considerar que es técnicamente posible realizar la entrega indefinida de múltiples servicios a través de un mismo puerto Ethernet considerando únicamente el ancho de banda del servicio, resultado necesario el establecimiento de un parámetro que se encuentre conforme a las características técnicas de los equipos con los cuales se aprovisiona el servicio y que permita asegurar los parámetros de calidad de los servicios proporcionados.</w:t>
      </w:r>
      <w:r w:rsidR="00D90699">
        <w:rPr>
          <w:rFonts w:ascii="ITC Avant Garde" w:hAnsi="ITC Avant Garde" w:cs="Arial"/>
          <w:bCs/>
          <w:color w:val="auto"/>
        </w:rPr>
        <w:t xml:space="preserve"> </w:t>
      </w:r>
    </w:p>
    <w:p w14:paraId="7AE0041F" w14:textId="77777777" w:rsidR="007D47D7" w:rsidRPr="0052418C" w:rsidRDefault="007D47D7" w:rsidP="0052418C">
      <w:pPr>
        <w:spacing w:after="0" w:line="276" w:lineRule="auto"/>
        <w:ind w:left="0" w:right="0"/>
        <w:rPr>
          <w:rFonts w:ascii="ITC Avant Garde" w:hAnsi="ITC Avant Garde" w:cs="Arial"/>
          <w:b/>
          <w:color w:val="auto"/>
          <w:u w:val="single"/>
        </w:rPr>
      </w:pPr>
    </w:p>
    <w:p w14:paraId="0E83F430" w14:textId="206C6EB6" w:rsidR="00DA60CB" w:rsidRPr="0052418C" w:rsidRDefault="00BA7B20" w:rsidP="0052418C">
      <w:pPr>
        <w:spacing w:after="0" w:line="276" w:lineRule="auto"/>
        <w:ind w:left="0" w:right="0"/>
        <w:rPr>
          <w:rFonts w:ascii="ITC Avant Garde" w:hAnsi="ITC Avant Garde" w:cs="Arial"/>
          <w:bCs/>
          <w:u w:val="single"/>
        </w:rPr>
      </w:pPr>
      <w:r w:rsidRPr="0052418C">
        <w:rPr>
          <w:rFonts w:ascii="ITC Avant Garde" w:hAnsi="ITC Avant Garde" w:cs="Arial"/>
          <w:b/>
          <w:color w:val="auto"/>
          <w:u w:val="single"/>
        </w:rPr>
        <w:t xml:space="preserve">2.4 </w:t>
      </w:r>
      <w:r w:rsidR="00DA60CB" w:rsidRPr="0052418C">
        <w:rPr>
          <w:rFonts w:ascii="ITC Avant Garde" w:hAnsi="ITC Avant Garde" w:cs="Arial"/>
          <w:b/>
          <w:color w:val="auto"/>
          <w:u w:val="single"/>
        </w:rPr>
        <w:t>Plazos de Entrega de los Servicios</w:t>
      </w:r>
      <w:r w:rsidR="00025AA8" w:rsidRPr="0052418C">
        <w:rPr>
          <w:rFonts w:ascii="ITC Avant Garde" w:hAnsi="ITC Avant Garde" w:cs="Arial"/>
          <w:b/>
          <w:color w:val="auto"/>
          <w:u w:val="single"/>
        </w:rPr>
        <w:t>.</w:t>
      </w:r>
    </w:p>
    <w:p w14:paraId="0578B810" w14:textId="4E67CD76" w:rsidR="00B3181B" w:rsidRPr="0052418C" w:rsidRDefault="00F64AC2" w:rsidP="0052418C">
      <w:pPr>
        <w:spacing w:after="0" w:line="276" w:lineRule="auto"/>
        <w:ind w:left="0" w:right="0"/>
        <w:rPr>
          <w:rFonts w:ascii="ITC Avant Garde" w:hAnsi="ITC Avant Garde" w:cs="Arial"/>
          <w:b/>
          <w:color w:val="auto"/>
        </w:rPr>
      </w:pPr>
      <w:r w:rsidRPr="0052418C">
        <w:rPr>
          <w:rFonts w:ascii="ITC Avant Garde" w:hAnsi="ITC Avant Garde" w:cs="Arial"/>
          <w:b/>
          <w:color w:val="auto"/>
        </w:rPr>
        <w:t>2.4.1 P</w:t>
      </w:r>
      <w:r w:rsidR="00AD51EC" w:rsidRPr="0052418C">
        <w:rPr>
          <w:rFonts w:ascii="ITC Avant Garde" w:hAnsi="ITC Avant Garde" w:cs="Arial"/>
          <w:b/>
          <w:color w:val="auto"/>
        </w:rPr>
        <w:t>lazos</w:t>
      </w:r>
      <w:r w:rsidRPr="0052418C">
        <w:rPr>
          <w:rFonts w:ascii="ITC Avant Garde" w:hAnsi="ITC Avant Garde" w:cs="Arial"/>
          <w:b/>
          <w:color w:val="auto"/>
        </w:rPr>
        <w:t xml:space="preserve"> </w:t>
      </w:r>
      <w:r w:rsidR="00AD51EC" w:rsidRPr="0052418C">
        <w:rPr>
          <w:rFonts w:ascii="ITC Avant Garde" w:hAnsi="ITC Avant Garde" w:cs="Arial"/>
          <w:b/>
          <w:color w:val="auto"/>
        </w:rPr>
        <w:t>de</w:t>
      </w:r>
      <w:r w:rsidRPr="0052418C">
        <w:rPr>
          <w:rFonts w:ascii="ITC Avant Garde" w:hAnsi="ITC Avant Garde" w:cs="Arial"/>
          <w:b/>
          <w:color w:val="auto"/>
        </w:rPr>
        <w:t xml:space="preserve"> </w:t>
      </w:r>
      <w:r w:rsidR="00AD51EC" w:rsidRPr="0052418C">
        <w:rPr>
          <w:rFonts w:ascii="ITC Avant Garde" w:hAnsi="ITC Avant Garde" w:cs="Arial"/>
          <w:b/>
          <w:color w:val="auto"/>
        </w:rPr>
        <w:t>entrega</w:t>
      </w:r>
    </w:p>
    <w:p w14:paraId="0339EE98" w14:textId="3AEB2D64" w:rsidR="00EE0E44" w:rsidRPr="0052418C" w:rsidRDefault="00793782"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2.4.1.1</w:t>
      </w:r>
    </w:p>
    <w:p w14:paraId="363BA881" w14:textId="7291893F" w:rsidR="00263E28" w:rsidRPr="0052418C" w:rsidRDefault="00A578F3"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MEGA CABLE:</w:t>
      </w:r>
    </w:p>
    <w:p w14:paraId="6CBD91B2" w14:textId="68FBE3C2" w:rsidR="00BE083A" w:rsidRPr="0052418C" w:rsidRDefault="004E2539"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Señaló que</w:t>
      </w:r>
      <w:r w:rsidR="003839C6" w:rsidRPr="0052418C">
        <w:rPr>
          <w:rFonts w:ascii="ITC Avant Garde" w:hAnsi="ITC Avant Garde" w:cs="Arial"/>
          <w:color w:val="auto"/>
        </w:rPr>
        <w:t>,</w:t>
      </w:r>
      <w:r w:rsidRPr="0052418C">
        <w:rPr>
          <w:rFonts w:ascii="ITC Avant Garde" w:hAnsi="ITC Avant Garde" w:cs="Arial"/>
          <w:color w:val="auto"/>
        </w:rPr>
        <w:t xml:space="preserve"> </w:t>
      </w:r>
      <w:r w:rsidR="006037D3" w:rsidRPr="0052418C">
        <w:rPr>
          <w:rFonts w:ascii="ITC Avant Garde" w:hAnsi="ITC Avant Garde" w:cs="Arial"/>
          <w:color w:val="auto"/>
        </w:rPr>
        <w:t xml:space="preserve">la </w:t>
      </w:r>
      <w:r w:rsidR="00A9280F">
        <w:rPr>
          <w:rFonts w:ascii="ITC Avant Garde" w:hAnsi="ITC Avant Garde" w:cs="Arial"/>
          <w:color w:val="auto"/>
        </w:rPr>
        <w:t xml:space="preserve">EM </w:t>
      </w:r>
      <w:r w:rsidR="00BE083A" w:rsidRPr="0052418C">
        <w:rPr>
          <w:rFonts w:ascii="ITC Avant Garde" w:hAnsi="ITC Avant Garde" w:cs="Arial"/>
          <w:color w:val="auto"/>
        </w:rPr>
        <w:t>establece plazos de entrega, para solicitudes con pronóstico</w:t>
      </w:r>
      <w:r w:rsidR="00E04A96">
        <w:rPr>
          <w:rFonts w:ascii="ITC Avant Garde" w:hAnsi="ITC Avant Garde" w:cs="Arial"/>
          <w:color w:val="auto"/>
        </w:rPr>
        <w:t xml:space="preserve"> y fuera del pronóstico muy</w:t>
      </w:r>
      <w:r w:rsidR="00BE083A" w:rsidRPr="0052418C">
        <w:rPr>
          <w:rFonts w:ascii="ITC Avant Garde" w:hAnsi="ITC Avant Garde" w:cs="Arial"/>
          <w:color w:val="auto"/>
        </w:rPr>
        <w:t xml:space="preserve"> extensas y con parámetros de cumplimiento bajos</w:t>
      </w:r>
      <w:r w:rsidR="003839C6" w:rsidRPr="0052418C">
        <w:rPr>
          <w:rFonts w:ascii="ITC Avant Garde" w:hAnsi="ITC Avant Garde" w:cs="Arial"/>
          <w:color w:val="auto"/>
        </w:rPr>
        <w:t>,</w:t>
      </w:r>
      <w:r w:rsidR="00BE083A" w:rsidRPr="0052418C">
        <w:rPr>
          <w:rFonts w:ascii="ITC Avant Garde" w:hAnsi="ITC Avant Garde" w:cs="Arial"/>
          <w:color w:val="auto"/>
        </w:rPr>
        <w:t xml:space="preserve"> </w:t>
      </w:r>
      <w:r w:rsidR="00E04A96">
        <w:rPr>
          <w:rFonts w:ascii="ITC Avant Garde" w:hAnsi="ITC Avant Garde" w:cs="Arial"/>
          <w:color w:val="auto"/>
        </w:rPr>
        <w:t xml:space="preserve">menciona que </w:t>
      </w:r>
      <w:r w:rsidR="003839C6" w:rsidRPr="0052418C">
        <w:rPr>
          <w:rFonts w:ascii="ITC Avant Garde" w:hAnsi="ITC Avant Garde" w:cs="Arial"/>
          <w:color w:val="auto"/>
        </w:rPr>
        <w:t>d</w:t>
      </w:r>
      <w:r w:rsidR="00BE083A" w:rsidRPr="0052418C">
        <w:rPr>
          <w:rFonts w:ascii="ITC Avant Garde" w:hAnsi="ITC Avant Garde" w:cs="Arial"/>
          <w:color w:val="auto"/>
        </w:rPr>
        <w:t>ichos plazos de entrega son en la mayoría de los casos menores a los establecidos en la O</w:t>
      </w:r>
      <w:r w:rsidR="003839C6" w:rsidRPr="0052418C">
        <w:rPr>
          <w:rFonts w:ascii="ITC Avant Garde" w:hAnsi="ITC Avant Garde" w:cs="Arial"/>
          <w:color w:val="auto"/>
        </w:rPr>
        <w:t>RE EM</w:t>
      </w:r>
      <w:r w:rsidR="00BE083A" w:rsidRPr="0052418C">
        <w:rPr>
          <w:rFonts w:ascii="ITC Avant Garde" w:hAnsi="ITC Avant Garde" w:cs="Arial"/>
          <w:color w:val="auto"/>
        </w:rPr>
        <w:t xml:space="preserve"> 2021.</w:t>
      </w:r>
    </w:p>
    <w:p w14:paraId="677BB49D" w14:textId="244AE866" w:rsidR="00BE083A" w:rsidRPr="0052418C" w:rsidRDefault="00BE083A" w:rsidP="0052418C">
      <w:pPr>
        <w:spacing w:after="0" w:line="276" w:lineRule="auto"/>
        <w:ind w:left="0" w:right="0" w:firstLine="0"/>
        <w:rPr>
          <w:rFonts w:ascii="ITC Avant Garde" w:hAnsi="ITC Avant Garde" w:cs="Arial"/>
          <w:color w:val="auto"/>
        </w:rPr>
      </w:pPr>
    </w:p>
    <w:p w14:paraId="3A27CA48" w14:textId="1B99AD6D" w:rsidR="008B38B2" w:rsidRPr="00906151" w:rsidRDefault="00362D7F" w:rsidP="0052418C">
      <w:pPr>
        <w:spacing w:after="0" w:line="276" w:lineRule="auto"/>
        <w:ind w:left="0" w:right="0" w:firstLine="0"/>
        <w:rPr>
          <w:rFonts w:ascii="ITC Avant Garde" w:hAnsi="ITC Avant Garde" w:cs="Arial"/>
          <w:color w:val="auto"/>
        </w:rPr>
      </w:pPr>
      <w:r w:rsidRPr="00655DC9">
        <w:rPr>
          <w:rFonts w:ascii="ITC Avant Garde" w:hAnsi="ITC Avant Garde" w:cs="Arial"/>
          <w:color w:val="auto"/>
        </w:rPr>
        <w:t>Asimismo, consider</w:t>
      </w:r>
      <w:r w:rsidR="002A6202" w:rsidRPr="00655DC9">
        <w:rPr>
          <w:rFonts w:ascii="ITC Avant Garde" w:hAnsi="ITC Avant Garde" w:cs="Arial"/>
          <w:color w:val="auto"/>
        </w:rPr>
        <w:t>ó</w:t>
      </w:r>
      <w:r w:rsidRPr="00655DC9">
        <w:rPr>
          <w:rFonts w:ascii="ITC Avant Garde" w:hAnsi="ITC Avant Garde" w:cs="Arial"/>
          <w:color w:val="auto"/>
        </w:rPr>
        <w:t xml:space="preserve"> que es contrario a los objetivos de la regulación </w:t>
      </w:r>
      <w:r w:rsidR="002A6202" w:rsidRPr="00655DC9">
        <w:rPr>
          <w:rFonts w:ascii="ITC Avant Garde" w:hAnsi="ITC Avant Garde" w:cs="Arial"/>
          <w:color w:val="auto"/>
        </w:rPr>
        <w:t>de preponderancia y específicamente, para la promoción de la competencia, que</w:t>
      </w:r>
      <w:r w:rsidR="002A6202" w:rsidRPr="00906151">
        <w:rPr>
          <w:rFonts w:ascii="ITC Avant Garde" w:hAnsi="ITC Avant Garde" w:cs="Arial"/>
          <w:color w:val="auto"/>
        </w:rPr>
        <w:t xml:space="preserve"> la entrega de un enlace de la capacidad y tecnología que sea, se requieran plazos mayores a 25 días hábiles y de 18 días para los de interconexión. De igual forma señaló que</w:t>
      </w:r>
      <w:r w:rsidR="008B38B2" w:rsidRPr="00906151">
        <w:rPr>
          <w:rFonts w:ascii="ITC Avant Garde" w:hAnsi="ITC Avant Garde" w:cs="Arial"/>
          <w:color w:val="auto"/>
        </w:rPr>
        <w:t xml:space="preserve">, no </w:t>
      </w:r>
      <w:r w:rsidR="002A6202" w:rsidRPr="00906151">
        <w:rPr>
          <w:rFonts w:ascii="ITC Avant Garde" w:hAnsi="ITC Avant Garde" w:cs="Arial"/>
          <w:color w:val="auto"/>
        </w:rPr>
        <w:t>resulta</w:t>
      </w:r>
      <w:r w:rsidR="008B38B2" w:rsidRPr="00906151">
        <w:rPr>
          <w:rFonts w:ascii="ITC Avant Garde" w:hAnsi="ITC Avant Garde" w:cs="Arial"/>
          <w:color w:val="auto"/>
        </w:rPr>
        <w:t xml:space="preserve"> razonable </w:t>
      </w:r>
      <w:r w:rsidR="00655DC9" w:rsidRPr="00906151">
        <w:rPr>
          <w:rFonts w:ascii="ITC Avant Garde" w:hAnsi="ITC Avant Garde" w:cs="Arial"/>
          <w:color w:val="auto"/>
        </w:rPr>
        <w:t>que,</w:t>
      </w:r>
      <w:r w:rsidR="008B38B2" w:rsidRPr="00906151">
        <w:rPr>
          <w:rFonts w:ascii="ITC Avant Garde" w:hAnsi="ITC Avant Garde" w:cs="Arial"/>
          <w:color w:val="auto"/>
        </w:rPr>
        <w:t xml:space="preserve"> para enlaces dentro de pronóstico</w:t>
      </w:r>
      <w:r w:rsidR="00EA1113">
        <w:rPr>
          <w:rFonts w:ascii="ITC Avant Garde" w:hAnsi="ITC Avant Garde" w:cs="Arial"/>
          <w:color w:val="auto"/>
        </w:rPr>
        <w:t>,</w:t>
      </w:r>
      <w:r w:rsidR="008B38B2" w:rsidRPr="00906151">
        <w:rPr>
          <w:rFonts w:ascii="ITC Avant Garde" w:hAnsi="ITC Avant Garde" w:cs="Arial"/>
          <w:color w:val="auto"/>
        </w:rPr>
        <w:t xml:space="preserve"> el parámetro de calidad sea solamente 85% y para enlaces fuera de pronóstico solo 50%.</w:t>
      </w:r>
    </w:p>
    <w:p w14:paraId="10A7F27F" w14:textId="77777777" w:rsidR="008B38B2" w:rsidRPr="00906151" w:rsidRDefault="008B38B2" w:rsidP="0052418C">
      <w:pPr>
        <w:spacing w:after="0" w:line="276" w:lineRule="auto"/>
        <w:ind w:left="0" w:right="0" w:firstLine="0"/>
        <w:rPr>
          <w:rFonts w:ascii="ITC Avant Garde" w:hAnsi="ITC Avant Garde" w:cs="Arial"/>
          <w:color w:val="auto"/>
        </w:rPr>
      </w:pPr>
    </w:p>
    <w:p w14:paraId="68C256D0" w14:textId="37EB9443" w:rsidR="008B38B2" w:rsidRPr="00906151" w:rsidRDefault="00EA1113" w:rsidP="0052418C">
      <w:pPr>
        <w:spacing w:after="0" w:line="276" w:lineRule="auto"/>
        <w:ind w:left="0" w:right="0" w:firstLine="0"/>
        <w:rPr>
          <w:rFonts w:ascii="ITC Avant Garde" w:hAnsi="ITC Avant Garde" w:cs="Arial"/>
          <w:color w:val="auto"/>
        </w:rPr>
      </w:pPr>
      <w:r>
        <w:rPr>
          <w:rFonts w:ascii="ITC Avant Garde" w:hAnsi="ITC Avant Garde" w:cs="Arial"/>
          <w:color w:val="auto"/>
        </w:rPr>
        <w:t>De igual manera</w:t>
      </w:r>
      <w:r w:rsidR="008B38B2" w:rsidRPr="00906151">
        <w:rPr>
          <w:rFonts w:ascii="ITC Avant Garde" w:hAnsi="ITC Avant Garde" w:cs="Arial"/>
          <w:color w:val="auto"/>
        </w:rPr>
        <w:t xml:space="preserve">, </w:t>
      </w:r>
      <w:r w:rsidR="002A6202" w:rsidRPr="00906151">
        <w:rPr>
          <w:rFonts w:ascii="ITC Avant Garde" w:hAnsi="ITC Avant Garde" w:cs="Arial"/>
          <w:color w:val="auto"/>
        </w:rPr>
        <w:t>sugirió</w:t>
      </w:r>
      <w:r w:rsidR="008B38B2" w:rsidRPr="00906151">
        <w:rPr>
          <w:rFonts w:ascii="ITC Avant Garde" w:hAnsi="ITC Avant Garde" w:cs="Arial"/>
          <w:color w:val="auto"/>
        </w:rPr>
        <w:t xml:space="preserve"> reducir el tiempo de cumplimiento para el remanente de solicitudes fuera del plazo.</w:t>
      </w:r>
    </w:p>
    <w:p w14:paraId="200B2EA6" w14:textId="77777777" w:rsidR="008B38B2" w:rsidRPr="00906151" w:rsidRDefault="008B38B2" w:rsidP="0052418C">
      <w:pPr>
        <w:spacing w:after="0" w:line="276" w:lineRule="auto"/>
        <w:ind w:left="0" w:right="0" w:firstLine="0"/>
        <w:rPr>
          <w:rFonts w:ascii="ITC Avant Garde" w:hAnsi="ITC Avant Garde" w:cs="Arial"/>
          <w:color w:val="auto"/>
        </w:rPr>
      </w:pPr>
    </w:p>
    <w:p w14:paraId="7C6B15E7" w14:textId="1F19330D" w:rsidR="008B38B2" w:rsidRPr="0052418C" w:rsidRDefault="008B38B2" w:rsidP="0052418C">
      <w:pPr>
        <w:autoSpaceDE w:val="0"/>
        <w:autoSpaceDN w:val="0"/>
        <w:adjustRightInd w:val="0"/>
        <w:spacing w:after="0" w:line="276" w:lineRule="auto"/>
        <w:ind w:left="0" w:right="0" w:firstLine="0"/>
        <w:rPr>
          <w:rFonts w:ascii="ITC Avant Garde" w:eastAsiaTheme="minorHAnsi" w:hAnsi="ITC Avant Garde" w:cs="ITC Avant Garde"/>
          <w:lang w:eastAsia="en-US"/>
        </w:rPr>
      </w:pPr>
      <w:r w:rsidRPr="0052418C">
        <w:rPr>
          <w:rFonts w:ascii="ITC Avant Garde" w:eastAsiaTheme="minorHAnsi" w:hAnsi="ITC Avant Garde" w:cs="ITC Avant Garde"/>
          <w:lang w:eastAsia="en-US"/>
        </w:rPr>
        <w:lastRenderedPageBreak/>
        <w:t>Mega Cable señal</w:t>
      </w:r>
      <w:r w:rsidR="002A6202" w:rsidRPr="0052418C">
        <w:rPr>
          <w:rFonts w:ascii="ITC Avant Garde" w:eastAsiaTheme="minorHAnsi" w:hAnsi="ITC Avant Garde" w:cs="ITC Avant Garde"/>
          <w:lang w:eastAsia="en-US"/>
        </w:rPr>
        <w:t>ó</w:t>
      </w:r>
      <w:r w:rsidRPr="0052418C">
        <w:rPr>
          <w:rFonts w:ascii="ITC Avant Garde" w:eastAsiaTheme="minorHAnsi" w:hAnsi="ITC Avant Garde" w:cs="ITC Avant Garde"/>
          <w:lang w:eastAsia="en-US"/>
        </w:rPr>
        <w:t xml:space="preserve"> que, la Propuesta de Oferta no </w:t>
      </w:r>
      <w:r w:rsidR="00EA1113" w:rsidRPr="0052418C">
        <w:rPr>
          <w:rFonts w:ascii="ITC Avant Garde" w:eastAsiaTheme="minorHAnsi" w:hAnsi="ITC Avant Garde" w:cs="ITC Avant Garde"/>
          <w:lang w:eastAsia="en-US"/>
        </w:rPr>
        <w:t>específica</w:t>
      </w:r>
      <w:r w:rsidRPr="0052418C">
        <w:rPr>
          <w:rFonts w:ascii="ITC Avant Garde" w:eastAsiaTheme="minorHAnsi" w:hAnsi="ITC Avant Garde" w:cs="ITC Avant Garde"/>
          <w:lang w:eastAsia="en-US"/>
        </w:rPr>
        <w:t xml:space="preserve"> que dichos parámetros de cumplimiento también aplican a enlaces de interconexión. </w:t>
      </w:r>
    </w:p>
    <w:p w14:paraId="4A5FCCCC" w14:textId="77777777" w:rsidR="008B38B2" w:rsidRPr="0052418C" w:rsidRDefault="008B38B2" w:rsidP="0052418C">
      <w:pPr>
        <w:spacing w:after="0" w:line="276" w:lineRule="auto"/>
        <w:ind w:left="0" w:right="0" w:firstLine="0"/>
        <w:rPr>
          <w:rFonts w:ascii="ITC Avant Garde" w:hAnsi="ITC Avant Garde" w:cs="Arial"/>
          <w:color w:val="auto"/>
        </w:rPr>
      </w:pPr>
    </w:p>
    <w:p w14:paraId="30AFCA5C" w14:textId="18EE883F" w:rsidR="002706C5" w:rsidRDefault="008B38B2" w:rsidP="0052418C">
      <w:pPr>
        <w:spacing w:after="0" w:line="276" w:lineRule="auto"/>
        <w:ind w:left="0" w:right="0" w:firstLine="0"/>
        <w:rPr>
          <w:rFonts w:ascii="ITC Avant Garde" w:eastAsia="Times New Roman" w:hAnsi="ITC Avant Garde" w:cs="Times New Roman"/>
          <w:color w:val="auto"/>
        </w:rPr>
      </w:pPr>
      <w:r w:rsidRPr="00556649">
        <w:rPr>
          <w:rFonts w:ascii="ITC Avant Garde" w:hAnsi="ITC Avant Garde" w:cs="Arial"/>
          <w:color w:val="auto"/>
        </w:rPr>
        <w:t>Finalmente</w:t>
      </w:r>
      <w:r w:rsidR="003839C6" w:rsidRPr="00556649">
        <w:rPr>
          <w:rFonts w:ascii="ITC Avant Garde" w:hAnsi="ITC Avant Garde" w:cs="Arial"/>
          <w:color w:val="auto"/>
        </w:rPr>
        <w:t>, argument</w:t>
      </w:r>
      <w:r w:rsidR="002A6202" w:rsidRPr="00556649">
        <w:rPr>
          <w:rFonts w:ascii="ITC Avant Garde" w:hAnsi="ITC Avant Garde" w:cs="Arial"/>
          <w:color w:val="auto"/>
        </w:rPr>
        <w:t>ó</w:t>
      </w:r>
      <w:r w:rsidR="003839C6" w:rsidRPr="00556649">
        <w:rPr>
          <w:rFonts w:ascii="ITC Avant Garde" w:hAnsi="ITC Avant Garde" w:cs="Arial"/>
          <w:color w:val="auto"/>
        </w:rPr>
        <w:t xml:space="preserve"> que</w:t>
      </w:r>
      <w:r w:rsidR="00BE083A" w:rsidRPr="00556649">
        <w:rPr>
          <w:rFonts w:ascii="ITC Avant Garde" w:hAnsi="ITC Avant Garde" w:cs="Arial"/>
          <w:color w:val="auto"/>
        </w:rPr>
        <w:t xml:space="preserve"> </w:t>
      </w:r>
      <w:bookmarkStart w:id="4" w:name="_Hlk93319040"/>
      <w:r w:rsidR="006037D3" w:rsidRPr="00556649">
        <w:rPr>
          <w:rFonts w:ascii="ITC Avant Garde" w:hAnsi="ITC Avant Garde" w:cs="Arial"/>
        </w:rPr>
        <w:t>el AEP</w:t>
      </w:r>
      <w:r w:rsidR="00EF0921" w:rsidRPr="00556649">
        <w:rPr>
          <w:rFonts w:ascii="ITC Avant Garde" w:hAnsi="ITC Avant Garde"/>
          <w:bCs/>
          <w:color w:val="auto"/>
        </w:rPr>
        <w:t xml:space="preserve"> </w:t>
      </w:r>
      <w:bookmarkEnd w:id="4"/>
      <w:r w:rsidR="006037D3" w:rsidRPr="00556649">
        <w:rPr>
          <w:rFonts w:ascii="ITC Avant Garde" w:hAnsi="ITC Avant Garde"/>
          <w:bCs/>
          <w:color w:val="auto"/>
        </w:rPr>
        <w:t>es</w:t>
      </w:r>
      <w:r w:rsidR="00BE083A" w:rsidRPr="00556649">
        <w:rPr>
          <w:rFonts w:ascii="ITC Avant Garde" w:hAnsi="ITC Avant Garde" w:cs="Arial"/>
          <w:color w:val="auto"/>
        </w:rPr>
        <w:t xml:space="preserve"> omis</w:t>
      </w:r>
      <w:r w:rsidR="006037D3" w:rsidRPr="00556649">
        <w:rPr>
          <w:rFonts w:ascii="ITC Avant Garde" w:hAnsi="ITC Avant Garde" w:cs="Arial"/>
          <w:color w:val="auto"/>
        </w:rPr>
        <w:t>o</w:t>
      </w:r>
      <w:r w:rsidR="00BE083A" w:rsidRPr="00556649">
        <w:rPr>
          <w:rFonts w:ascii="ITC Avant Garde" w:hAnsi="ITC Avant Garde" w:cs="Arial"/>
          <w:color w:val="auto"/>
        </w:rPr>
        <w:t xml:space="preserve"> en señalar explícitamente que en caso de ofrecer comercialmente a usuarios finales enlaces con velocidades de transmisión mayores, deberán estar disponibles </w:t>
      </w:r>
      <w:r w:rsidR="002706C5" w:rsidRPr="00556649">
        <w:rPr>
          <w:rFonts w:ascii="ITC Avant Garde" w:hAnsi="ITC Avant Garde" w:cs="Arial"/>
          <w:color w:val="auto"/>
        </w:rPr>
        <w:t>dichas capacidades</w:t>
      </w:r>
      <w:r w:rsidR="00BE083A" w:rsidRPr="00556649">
        <w:rPr>
          <w:rFonts w:ascii="ITC Avant Garde" w:hAnsi="ITC Avant Garde" w:cs="Arial"/>
          <w:color w:val="auto"/>
        </w:rPr>
        <w:t xml:space="preserve"> al amparo de la </w:t>
      </w:r>
      <w:r w:rsidR="002706C5" w:rsidRPr="00556649">
        <w:rPr>
          <w:rFonts w:ascii="ITC Avant Garde" w:eastAsia="Times New Roman" w:hAnsi="ITC Avant Garde" w:cs="Times New Roman"/>
          <w:color w:val="auto"/>
        </w:rPr>
        <w:t>ORE EM 2022.</w:t>
      </w:r>
    </w:p>
    <w:p w14:paraId="67EBBBAF" w14:textId="77777777" w:rsidR="002706C5" w:rsidRPr="00556649" w:rsidRDefault="002706C5" w:rsidP="0052418C">
      <w:pPr>
        <w:spacing w:after="0" w:line="276" w:lineRule="auto"/>
        <w:ind w:left="0" w:right="0" w:firstLine="0"/>
        <w:rPr>
          <w:rFonts w:ascii="ITC Avant Garde" w:eastAsia="Times New Roman" w:hAnsi="ITC Avant Garde" w:cs="Times New Roman"/>
          <w:color w:val="auto"/>
        </w:rPr>
      </w:pPr>
    </w:p>
    <w:p w14:paraId="0254D0A3" w14:textId="1E0EAAB0" w:rsidR="00032BD2" w:rsidRPr="0052418C" w:rsidRDefault="00A578F3" w:rsidP="0052418C">
      <w:pPr>
        <w:autoSpaceDE w:val="0"/>
        <w:autoSpaceDN w:val="0"/>
        <w:adjustRightInd w:val="0"/>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AXTEL:</w:t>
      </w:r>
    </w:p>
    <w:p w14:paraId="2542EE7E" w14:textId="7C68FEC7" w:rsidR="00D82005" w:rsidRPr="0052418C" w:rsidRDefault="00D82005" w:rsidP="0052418C">
      <w:pPr>
        <w:autoSpaceDE w:val="0"/>
        <w:autoSpaceDN w:val="0"/>
        <w:adjustRightInd w:val="0"/>
        <w:spacing w:after="0" w:line="276" w:lineRule="auto"/>
        <w:ind w:left="0" w:right="0" w:firstLine="0"/>
        <w:rPr>
          <w:rFonts w:ascii="ITC Avant Garde" w:hAnsi="ITC Avant Garde"/>
          <w:color w:val="auto"/>
        </w:rPr>
      </w:pPr>
      <w:r w:rsidRPr="0052418C">
        <w:rPr>
          <w:rFonts w:ascii="ITC Avant Garde" w:hAnsi="ITC Avant Garde"/>
          <w:color w:val="auto"/>
        </w:rPr>
        <w:t>Solicitó</w:t>
      </w:r>
      <w:r w:rsidR="002706C5">
        <w:rPr>
          <w:rFonts w:ascii="ITC Avant Garde" w:hAnsi="ITC Avant Garde"/>
          <w:color w:val="auto"/>
        </w:rPr>
        <w:t xml:space="preserve">, </w:t>
      </w:r>
      <w:r w:rsidRPr="0052418C">
        <w:rPr>
          <w:rFonts w:ascii="ITC Avant Garde" w:hAnsi="ITC Avant Garde"/>
          <w:color w:val="auto"/>
        </w:rPr>
        <w:t xml:space="preserve">obligar al AEP a mejorar los tiempos de provisión de los servicios, ya que los plazos de entrega propuestos son excesivos, </w:t>
      </w:r>
      <w:r w:rsidR="00D42321" w:rsidRPr="0052418C">
        <w:rPr>
          <w:rFonts w:ascii="ITC Avant Garde" w:hAnsi="ITC Avant Garde"/>
          <w:color w:val="auto"/>
        </w:rPr>
        <w:t xml:space="preserve">lo que va en contra de los </w:t>
      </w:r>
      <w:r w:rsidRPr="0052418C">
        <w:rPr>
          <w:rFonts w:ascii="ITC Avant Garde" w:hAnsi="ITC Avant Garde"/>
          <w:color w:val="auto"/>
        </w:rPr>
        <w:t xml:space="preserve">plazos definidos en la ORE </w:t>
      </w:r>
      <w:r w:rsidR="003839C6" w:rsidRPr="0052418C">
        <w:rPr>
          <w:rFonts w:ascii="ITC Avant Garde" w:hAnsi="ITC Avant Garde"/>
          <w:color w:val="auto"/>
        </w:rPr>
        <w:t>EM</w:t>
      </w:r>
      <w:r w:rsidRPr="0052418C">
        <w:rPr>
          <w:rFonts w:ascii="ITC Avant Garde" w:hAnsi="ITC Avant Garde"/>
          <w:color w:val="auto"/>
        </w:rPr>
        <w:t xml:space="preserve"> 2021 conforme a la medida Cuadragésima Primera de las medidas fijas.</w:t>
      </w:r>
    </w:p>
    <w:p w14:paraId="13C4216E" w14:textId="77777777" w:rsidR="00D82005" w:rsidRPr="0052418C" w:rsidRDefault="00D82005" w:rsidP="0052418C">
      <w:pPr>
        <w:autoSpaceDE w:val="0"/>
        <w:autoSpaceDN w:val="0"/>
        <w:adjustRightInd w:val="0"/>
        <w:spacing w:after="0" w:line="276" w:lineRule="auto"/>
        <w:ind w:left="0" w:right="0" w:firstLine="0"/>
        <w:rPr>
          <w:rFonts w:ascii="ITC Avant Garde" w:hAnsi="ITC Avant Garde"/>
          <w:color w:val="auto"/>
        </w:rPr>
      </w:pPr>
    </w:p>
    <w:p w14:paraId="664341A4" w14:textId="49EA5F26" w:rsidR="00D82005" w:rsidRPr="0052418C" w:rsidRDefault="00D82005" w:rsidP="0052418C">
      <w:pPr>
        <w:spacing w:after="0" w:line="276" w:lineRule="auto"/>
        <w:ind w:left="0" w:right="0" w:firstLine="0"/>
        <w:contextualSpacing/>
        <w:rPr>
          <w:rFonts w:ascii="ITC Avant Garde" w:hAnsi="ITC Avant Garde"/>
          <w:color w:val="auto"/>
        </w:rPr>
      </w:pPr>
      <w:r w:rsidRPr="0052418C">
        <w:rPr>
          <w:rFonts w:ascii="ITC Avant Garde" w:hAnsi="ITC Avant Garde"/>
          <w:color w:val="auto"/>
        </w:rPr>
        <w:t xml:space="preserve">Señaló que los tiempos de la EM no pueden ser en ningún momento mayores a los de la División Mayorista (en lo sucesivo, la “DM”) si esta le contrata los tramos locales a la EM y ya lo tiene considerado en sus tiempos. Argumentó que, las nuevas ofertas deben proponer mejoras a la oferta vigente, por lo que en ningún caso debe admitir plazos de provisión mayores que los existentes en la ORE </w:t>
      </w:r>
      <w:r w:rsidR="003839C6" w:rsidRPr="0052418C">
        <w:rPr>
          <w:rFonts w:ascii="ITC Avant Garde" w:hAnsi="ITC Avant Garde"/>
          <w:color w:val="auto"/>
        </w:rPr>
        <w:t>EM</w:t>
      </w:r>
      <w:r w:rsidRPr="0052418C">
        <w:rPr>
          <w:rFonts w:ascii="ITC Avant Garde" w:hAnsi="ITC Avant Garde"/>
          <w:color w:val="auto"/>
        </w:rPr>
        <w:t xml:space="preserve"> </w:t>
      </w:r>
      <w:r w:rsidR="00D42321" w:rsidRPr="0052418C">
        <w:rPr>
          <w:rFonts w:ascii="ITC Avant Garde" w:hAnsi="ITC Avant Garde"/>
          <w:color w:val="auto"/>
        </w:rPr>
        <w:t>2021</w:t>
      </w:r>
      <w:r w:rsidRPr="0052418C">
        <w:rPr>
          <w:rFonts w:ascii="ITC Avant Garde" w:hAnsi="ITC Avant Garde"/>
          <w:color w:val="auto"/>
        </w:rPr>
        <w:t>, al contrario, se debe promover el mejorar los plazos de entrega vigente para ser competitivos a nivel de industria y trasladar este beneficio hacia los clientes finales.</w:t>
      </w:r>
    </w:p>
    <w:p w14:paraId="3D3A11C3" w14:textId="77777777" w:rsidR="00D82005" w:rsidRPr="0052418C" w:rsidRDefault="00D82005" w:rsidP="0052418C">
      <w:pPr>
        <w:spacing w:after="0" w:line="276" w:lineRule="auto"/>
        <w:ind w:left="0" w:right="0" w:firstLine="0"/>
        <w:contextualSpacing/>
        <w:rPr>
          <w:rFonts w:ascii="ITC Avant Garde" w:hAnsi="ITC Avant Garde"/>
          <w:color w:val="auto"/>
        </w:rPr>
      </w:pPr>
    </w:p>
    <w:p w14:paraId="77C82FDE" w14:textId="4D8B364D" w:rsidR="00D82005" w:rsidRPr="0052418C" w:rsidRDefault="00D82005" w:rsidP="0052418C">
      <w:pPr>
        <w:spacing w:after="0" w:line="276" w:lineRule="auto"/>
        <w:ind w:left="0" w:right="0" w:firstLine="0"/>
        <w:contextualSpacing/>
        <w:rPr>
          <w:rFonts w:ascii="ITC Avant Garde" w:hAnsi="ITC Avant Garde"/>
          <w:color w:val="auto"/>
        </w:rPr>
      </w:pPr>
      <w:r w:rsidRPr="0052418C">
        <w:rPr>
          <w:rFonts w:ascii="ITC Avant Garde" w:hAnsi="ITC Avant Garde"/>
          <w:color w:val="auto"/>
        </w:rPr>
        <w:t>Por otro lado, añadió que los plazos de provisión deben estar en función de la infraestructura ya instalada y equipada en la central por lo que no hay justificación en los plazos propuestos de 6</w:t>
      </w:r>
      <w:r w:rsidR="00D42321" w:rsidRPr="0052418C">
        <w:rPr>
          <w:rFonts w:ascii="ITC Avant Garde" w:hAnsi="ITC Avant Garde"/>
          <w:color w:val="auto"/>
        </w:rPr>
        <w:t>0</w:t>
      </w:r>
      <w:r w:rsidRPr="0052418C">
        <w:rPr>
          <w:rFonts w:ascii="ITC Avant Garde" w:hAnsi="ITC Avant Garde"/>
          <w:color w:val="auto"/>
        </w:rPr>
        <w:t xml:space="preserve"> días hábiles para la </w:t>
      </w:r>
      <w:r w:rsidR="00D42321" w:rsidRPr="0052418C">
        <w:rPr>
          <w:rFonts w:ascii="ITC Avant Garde" w:hAnsi="ITC Avant Garde"/>
          <w:color w:val="auto"/>
        </w:rPr>
        <w:t>E</w:t>
      </w:r>
      <w:r w:rsidRPr="0052418C">
        <w:rPr>
          <w:rFonts w:ascii="ITC Avant Garde" w:hAnsi="ITC Avant Garde"/>
          <w:color w:val="auto"/>
        </w:rPr>
        <w:t xml:space="preserve">M. </w:t>
      </w:r>
    </w:p>
    <w:p w14:paraId="55E1432B" w14:textId="77777777" w:rsidR="00D82005" w:rsidRPr="0052418C" w:rsidRDefault="00D82005" w:rsidP="0052418C">
      <w:pPr>
        <w:spacing w:after="0" w:line="276" w:lineRule="auto"/>
        <w:ind w:left="0" w:right="0" w:firstLine="0"/>
        <w:rPr>
          <w:rFonts w:ascii="ITC Avant Garde" w:eastAsia="Times New Roman" w:hAnsi="ITC Avant Garde" w:cs="Times New Roman"/>
          <w:b/>
          <w:color w:val="auto"/>
        </w:rPr>
      </w:pPr>
    </w:p>
    <w:p w14:paraId="3DDABBA3" w14:textId="635BDC55" w:rsidR="00D82005" w:rsidRPr="0052418C" w:rsidRDefault="00D82005" w:rsidP="0052418C">
      <w:pPr>
        <w:spacing w:after="0" w:line="276" w:lineRule="auto"/>
        <w:ind w:left="0" w:right="0" w:firstLine="0"/>
        <w:rPr>
          <w:rFonts w:ascii="ITC Avant Garde" w:eastAsia="Times New Roman" w:hAnsi="ITC Avant Garde" w:cs="Times New Roman"/>
          <w:i/>
          <w:color w:val="auto"/>
        </w:rPr>
      </w:pPr>
      <w:r w:rsidRPr="0052418C">
        <w:rPr>
          <w:rFonts w:ascii="ITC Avant Garde" w:eastAsia="Times New Roman" w:hAnsi="ITC Avant Garde" w:cs="Times New Roman"/>
          <w:color w:val="auto"/>
        </w:rPr>
        <w:t xml:space="preserve">Asimismo, solicitó al Instituto mejorar los plazos de entrega más allá de los plazos vigentes, es inconcebible que el mercado en general demanda agilizar tiempos, procesos y atención en cualquier industria, y el AEP </w:t>
      </w:r>
      <w:r w:rsidR="0082100F">
        <w:rPr>
          <w:rFonts w:ascii="ITC Avant Garde" w:eastAsia="Times New Roman" w:hAnsi="ITC Avant Garde" w:cs="Times New Roman"/>
          <w:color w:val="auto"/>
        </w:rPr>
        <w:t xml:space="preserve">se mantenga </w:t>
      </w:r>
      <w:r w:rsidRPr="0052418C">
        <w:rPr>
          <w:rFonts w:ascii="ITC Avant Garde" w:eastAsia="Times New Roman" w:hAnsi="ITC Avant Garde" w:cs="Times New Roman"/>
          <w:color w:val="auto"/>
        </w:rPr>
        <w:t>con prácticas añejas cuando es claro que debe evolucionar.</w:t>
      </w:r>
    </w:p>
    <w:p w14:paraId="6BAB4A01" w14:textId="77777777" w:rsidR="00D82005" w:rsidRPr="0052418C" w:rsidRDefault="00D82005" w:rsidP="0052418C">
      <w:pPr>
        <w:spacing w:after="0" w:line="276" w:lineRule="auto"/>
        <w:ind w:left="0" w:right="0" w:firstLine="0"/>
        <w:rPr>
          <w:rFonts w:ascii="ITC Avant Garde" w:eastAsia="Times New Roman" w:hAnsi="ITC Avant Garde" w:cs="Arial"/>
          <w:color w:val="auto"/>
        </w:rPr>
      </w:pPr>
    </w:p>
    <w:p w14:paraId="5B3CAE37" w14:textId="55CB3737" w:rsidR="009E5933" w:rsidRPr="0052418C" w:rsidRDefault="00D82005" w:rsidP="0052418C">
      <w:pPr>
        <w:spacing w:after="0" w:line="276" w:lineRule="auto"/>
        <w:ind w:left="0" w:right="0" w:firstLine="0"/>
        <w:rPr>
          <w:rFonts w:ascii="ITC Avant Garde" w:eastAsia="Times New Roman" w:hAnsi="ITC Avant Garde" w:cs="Arial"/>
          <w:i/>
          <w:color w:val="auto"/>
        </w:rPr>
      </w:pPr>
      <w:r w:rsidRPr="0052418C">
        <w:rPr>
          <w:rFonts w:ascii="ITC Avant Garde" w:eastAsia="Times New Roman" w:hAnsi="ITC Avant Garde" w:cs="Arial"/>
          <w:color w:val="auto"/>
        </w:rPr>
        <w:t>Finalmente, solicit</w:t>
      </w:r>
      <w:r w:rsidR="00D42321" w:rsidRPr="0052418C">
        <w:rPr>
          <w:rFonts w:ascii="ITC Avant Garde" w:eastAsia="Times New Roman" w:hAnsi="ITC Avant Garde" w:cs="Arial"/>
          <w:color w:val="auto"/>
        </w:rPr>
        <w:t>ó</w:t>
      </w:r>
      <w:r w:rsidRPr="0052418C">
        <w:rPr>
          <w:rFonts w:ascii="ITC Avant Garde" w:eastAsia="Times New Roman" w:hAnsi="ITC Avant Garde" w:cs="Arial"/>
          <w:color w:val="auto"/>
        </w:rPr>
        <w:t xml:space="preserve"> </w:t>
      </w:r>
      <w:r w:rsidR="009E5933" w:rsidRPr="0052418C">
        <w:rPr>
          <w:rFonts w:ascii="ITC Avant Garde" w:eastAsia="Times New Roman" w:hAnsi="ITC Avant Garde" w:cs="Arial"/>
          <w:color w:val="auto"/>
        </w:rPr>
        <w:t xml:space="preserve">al Instituto que transparente y publique el procedimiento, así como los elementos valorados que está empleando el Instituto para asegurar que </w:t>
      </w:r>
      <w:r w:rsidR="0094337A" w:rsidRPr="0052418C">
        <w:rPr>
          <w:rFonts w:ascii="ITC Avant Garde" w:eastAsia="Times New Roman" w:hAnsi="ITC Avant Garde" w:cs="Arial"/>
          <w:color w:val="auto"/>
        </w:rPr>
        <w:t xml:space="preserve">se </w:t>
      </w:r>
      <w:r w:rsidR="009E5933" w:rsidRPr="0052418C">
        <w:rPr>
          <w:rFonts w:ascii="ITC Avant Garde" w:eastAsia="Times New Roman" w:hAnsi="ITC Avant Garde" w:cs="Arial"/>
          <w:color w:val="auto"/>
        </w:rPr>
        <w:t>está cumpliendo la obligación de igualar la calidad de servicio de los clientes mayoristas respecto a la de los cliente</w:t>
      </w:r>
      <w:r w:rsidR="00F34F69" w:rsidRPr="0052418C">
        <w:rPr>
          <w:rFonts w:ascii="ITC Avant Garde" w:eastAsia="Times New Roman" w:hAnsi="ITC Avant Garde" w:cs="Arial"/>
          <w:color w:val="auto"/>
        </w:rPr>
        <w:t>s propios como se define en la Medida Sexagésima S</w:t>
      </w:r>
      <w:r w:rsidR="009E5933" w:rsidRPr="0052418C">
        <w:rPr>
          <w:rFonts w:ascii="ITC Avant Garde" w:eastAsia="Times New Roman" w:hAnsi="ITC Avant Garde" w:cs="Arial"/>
          <w:color w:val="auto"/>
        </w:rPr>
        <w:t>exta.</w:t>
      </w:r>
    </w:p>
    <w:p w14:paraId="41F458D6" w14:textId="77777777" w:rsidR="00025AA8" w:rsidRPr="0052418C" w:rsidRDefault="00025AA8" w:rsidP="0052418C">
      <w:pPr>
        <w:spacing w:after="0" w:line="276" w:lineRule="auto"/>
        <w:ind w:left="0" w:right="0" w:firstLine="0"/>
        <w:rPr>
          <w:rFonts w:ascii="ITC Avant Garde" w:eastAsia="Times New Roman" w:hAnsi="ITC Avant Garde" w:cs="Arial"/>
          <w:b/>
          <w:color w:val="auto"/>
        </w:rPr>
      </w:pPr>
    </w:p>
    <w:p w14:paraId="5600CFF3" w14:textId="4085BEB3" w:rsidR="00032BD2" w:rsidRPr="0052418C" w:rsidRDefault="00AC225D" w:rsidP="0052418C">
      <w:pPr>
        <w:spacing w:after="0" w:line="276" w:lineRule="auto"/>
        <w:ind w:left="0" w:right="0" w:firstLine="0"/>
        <w:rPr>
          <w:rFonts w:ascii="ITC Avant Garde" w:eastAsia="Times New Roman" w:hAnsi="ITC Avant Garde" w:cs="Arial"/>
          <w:b/>
          <w:color w:val="auto"/>
        </w:rPr>
      </w:pPr>
      <w:r w:rsidRPr="0052418C">
        <w:rPr>
          <w:rFonts w:ascii="ITC Avant Garde" w:eastAsia="Times New Roman" w:hAnsi="ITC Avant Garde" w:cs="Arial"/>
          <w:b/>
          <w:color w:val="auto"/>
        </w:rPr>
        <w:t>GRUPO</w:t>
      </w:r>
      <w:r w:rsidR="00CD7852" w:rsidRPr="0052418C">
        <w:rPr>
          <w:rFonts w:ascii="ITC Avant Garde" w:eastAsia="Times New Roman" w:hAnsi="ITC Avant Garde" w:cs="Arial"/>
          <w:b/>
          <w:color w:val="auto"/>
        </w:rPr>
        <w:t xml:space="preserve"> AT&amp;T</w:t>
      </w:r>
      <w:r w:rsidR="00A72576" w:rsidRPr="0052418C">
        <w:rPr>
          <w:rFonts w:ascii="ITC Avant Garde" w:eastAsia="Times New Roman" w:hAnsi="ITC Avant Garde" w:cs="Arial"/>
          <w:b/>
          <w:color w:val="auto"/>
        </w:rPr>
        <w:t>:</w:t>
      </w:r>
      <w:r w:rsidR="004714D1" w:rsidRPr="0052418C">
        <w:rPr>
          <w:rFonts w:ascii="ITC Avant Garde" w:eastAsia="Times New Roman" w:hAnsi="ITC Avant Garde" w:cs="Arial"/>
          <w:b/>
          <w:color w:val="auto"/>
        </w:rPr>
        <w:t xml:space="preserve"> </w:t>
      </w:r>
    </w:p>
    <w:p w14:paraId="78367EAE" w14:textId="094253EF" w:rsidR="00893FFD" w:rsidRPr="0052418C" w:rsidRDefault="00BC6184" w:rsidP="0052418C">
      <w:pPr>
        <w:spacing w:after="0" w:line="276" w:lineRule="auto"/>
        <w:ind w:left="0" w:right="0" w:firstLine="0"/>
        <w:rPr>
          <w:rFonts w:ascii="ITC Avant Garde" w:eastAsia="Times New Roman" w:hAnsi="ITC Avant Garde" w:cs="Arial"/>
          <w:color w:val="auto"/>
        </w:rPr>
      </w:pPr>
      <w:r w:rsidRPr="0052418C">
        <w:rPr>
          <w:rFonts w:ascii="ITC Avant Garde" w:eastAsia="Times New Roman" w:hAnsi="ITC Avant Garde" w:cs="Arial"/>
          <w:color w:val="auto"/>
        </w:rPr>
        <w:lastRenderedPageBreak/>
        <w:t>S</w:t>
      </w:r>
      <w:r w:rsidR="00893FFD" w:rsidRPr="0052418C">
        <w:rPr>
          <w:rFonts w:ascii="ITC Avant Garde" w:eastAsia="Times New Roman" w:hAnsi="ITC Avant Garde" w:cs="Arial"/>
          <w:color w:val="auto"/>
        </w:rPr>
        <w:t>ugir</w:t>
      </w:r>
      <w:r w:rsidR="00120C84" w:rsidRPr="0052418C">
        <w:rPr>
          <w:rFonts w:ascii="ITC Avant Garde" w:eastAsia="Times New Roman" w:hAnsi="ITC Avant Garde" w:cs="Arial"/>
          <w:color w:val="auto"/>
        </w:rPr>
        <w:t>ió</w:t>
      </w:r>
      <w:r w:rsidR="00893FFD" w:rsidRPr="0052418C">
        <w:rPr>
          <w:rFonts w:ascii="ITC Avant Garde" w:eastAsia="Times New Roman" w:hAnsi="ITC Avant Garde" w:cs="Arial"/>
          <w:color w:val="auto"/>
        </w:rPr>
        <w:t xml:space="preserve"> que l</w:t>
      </w:r>
      <w:r w:rsidRPr="0052418C">
        <w:rPr>
          <w:rFonts w:ascii="ITC Avant Garde" w:eastAsia="Times New Roman" w:hAnsi="ITC Avant Garde" w:cs="Arial"/>
          <w:color w:val="auto"/>
        </w:rPr>
        <w:t xml:space="preserve">os plazos de entrega se midan </w:t>
      </w:r>
      <w:r w:rsidR="00893FFD" w:rsidRPr="0052418C">
        <w:rPr>
          <w:rFonts w:ascii="ITC Avant Garde" w:eastAsia="Times New Roman" w:hAnsi="ITC Avant Garde" w:cs="Arial"/>
          <w:color w:val="auto"/>
        </w:rPr>
        <w:t xml:space="preserve">por trimestre calendario (enero a marzo; abril a junio; julio a septiembre y octubre a diciembre), </w:t>
      </w:r>
      <w:r w:rsidR="009A04AF" w:rsidRPr="0052418C">
        <w:rPr>
          <w:rFonts w:ascii="ITC Avant Garde" w:eastAsia="Times New Roman" w:hAnsi="ITC Avant Garde" w:cs="Arial"/>
          <w:color w:val="auto"/>
        </w:rPr>
        <w:t xml:space="preserve">los cuales </w:t>
      </w:r>
      <w:r w:rsidR="00893FFD" w:rsidRPr="0052418C">
        <w:rPr>
          <w:rFonts w:ascii="ITC Avant Garde" w:eastAsia="Times New Roman" w:hAnsi="ITC Avant Garde" w:cs="Arial"/>
          <w:color w:val="auto"/>
        </w:rPr>
        <w:t>no podrán excederse en:</w:t>
      </w:r>
    </w:p>
    <w:p w14:paraId="5DA6DE82" w14:textId="77777777" w:rsidR="00893FFD" w:rsidRPr="0052418C" w:rsidRDefault="00893FFD" w:rsidP="0052418C">
      <w:pPr>
        <w:spacing w:after="0" w:line="276" w:lineRule="auto"/>
        <w:ind w:left="0" w:right="0" w:firstLine="0"/>
        <w:rPr>
          <w:rFonts w:ascii="ITC Avant Garde" w:eastAsia="Times New Roman" w:hAnsi="ITC Avant Garde" w:cs="Arial"/>
          <w:color w:val="auto"/>
        </w:rPr>
      </w:pPr>
    </w:p>
    <w:p w14:paraId="65B30075" w14:textId="77777777" w:rsidR="00893FFD" w:rsidRPr="0052418C" w:rsidRDefault="00893FFD" w:rsidP="0052418C">
      <w:pPr>
        <w:pStyle w:val="Prrafodelista"/>
        <w:numPr>
          <w:ilvl w:val="0"/>
          <w:numId w:val="10"/>
        </w:numPr>
        <w:spacing w:after="0" w:line="276" w:lineRule="auto"/>
        <w:ind w:left="567" w:right="0" w:hanging="567"/>
        <w:rPr>
          <w:rFonts w:ascii="ITC Avant Garde" w:eastAsia="Times New Roman" w:hAnsi="ITC Avant Garde" w:cs="Arial"/>
          <w:color w:val="auto"/>
        </w:rPr>
      </w:pPr>
      <w:r w:rsidRPr="0052418C">
        <w:rPr>
          <w:rFonts w:ascii="ITC Avant Garde" w:eastAsia="Times New Roman" w:hAnsi="ITC Avant Garde" w:cs="Arial"/>
          <w:color w:val="auto"/>
        </w:rPr>
        <w:t>El 85% (ochenta y cinco por ciento) de las solicitudes que se realicen dentro de pronóstico y el restante en el doble del plazo señalado hasta llegar al 100% (cien por ciento).</w:t>
      </w:r>
    </w:p>
    <w:p w14:paraId="1F25838A" w14:textId="77777777" w:rsidR="006035CD" w:rsidRPr="0052418C" w:rsidRDefault="006035CD" w:rsidP="0052418C">
      <w:pPr>
        <w:pStyle w:val="Prrafodelista"/>
        <w:spacing w:after="0" w:line="276" w:lineRule="auto"/>
        <w:ind w:left="567" w:right="0" w:hanging="567"/>
        <w:rPr>
          <w:rFonts w:ascii="ITC Avant Garde" w:eastAsia="Times New Roman" w:hAnsi="ITC Avant Garde" w:cs="Arial"/>
          <w:color w:val="auto"/>
        </w:rPr>
      </w:pPr>
    </w:p>
    <w:p w14:paraId="7D340259" w14:textId="77777777" w:rsidR="009926A9" w:rsidRPr="0052418C" w:rsidRDefault="006035CD" w:rsidP="0052418C">
      <w:pPr>
        <w:pStyle w:val="Prrafodelista"/>
        <w:numPr>
          <w:ilvl w:val="0"/>
          <w:numId w:val="10"/>
        </w:numPr>
        <w:spacing w:after="0" w:line="276" w:lineRule="auto"/>
        <w:ind w:left="567" w:right="0" w:hanging="567"/>
        <w:rPr>
          <w:rFonts w:ascii="ITC Avant Garde" w:eastAsia="Times New Roman" w:hAnsi="ITC Avant Garde" w:cs="Arial"/>
          <w:color w:val="auto"/>
        </w:rPr>
      </w:pPr>
      <w:r w:rsidRPr="0052418C">
        <w:rPr>
          <w:rFonts w:ascii="ITC Avant Garde" w:eastAsia="Times New Roman" w:hAnsi="ITC Avant Garde" w:cs="Arial"/>
          <w:color w:val="auto"/>
        </w:rPr>
        <w:t>El 20% (veinte por ciento) de las solicitudes que se realicen fuera de pronóstico y el doble del plazo señalado para el remanente de solicitudes hasta llegar al 100% (cien por ciento).</w:t>
      </w:r>
    </w:p>
    <w:p w14:paraId="4F4AF988" w14:textId="77777777" w:rsidR="009926A9" w:rsidRPr="0052418C" w:rsidRDefault="009926A9" w:rsidP="0052418C">
      <w:pPr>
        <w:pStyle w:val="Prrafodelista"/>
        <w:spacing w:after="0" w:line="276" w:lineRule="auto"/>
        <w:rPr>
          <w:rFonts w:ascii="ITC Avant Garde" w:eastAsia="Times New Roman" w:hAnsi="ITC Avant Garde" w:cs="Arial"/>
          <w:color w:val="auto"/>
        </w:rPr>
      </w:pPr>
    </w:p>
    <w:p w14:paraId="6534617F" w14:textId="08399C67" w:rsidR="00B35A27" w:rsidRPr="0052418C" w:rsidRDefault="002E0CA6" w:rsidP="0052418C">
      <w:pPr>
        <w:spacing w:after="0" w:line="276" w:lineRule="auto"/>
        <w:ind w:right="0"/>
        <w:rPr>
          <w:rFonts w:ascii="ITC Avant Garde" w:eastAsia="Times New Roman" w:hAnsi="ITC Avant Garde" w:cs="Arial"/>
          <w:color w:val="auto"/>
        </w:rPr>
      </w:pPr>
      <w:r w:rsidRPr="0052418C">
        <w:rPr>
          <w:rFonts w:ascii="ITC Avant Garde" w:eastAsia="Times New Roman" w:hAnsi="ITC Avant Garde" w:cs="Arial"/>
          <w:color w:val="auto"/>
        </w:rPr>
        <w:t>S</w:t>
      </w:r>
      <w:r w:rsidR="004D34CE" w:rsidRPr="0052418C">
        <w:rPr>
          <w:rFonts w:ascii="ITC Avant Garde" w:eastAsia="Times New Roman" w:hAnsi="ITC Avant Garde" w:cs="Arial"/>
          <w:color w:val="auto"/>
        </w:rPr>
        <w:t>ugir</w:t>
      </w:r>
      <w:r w:rsidR="00120C84" w:rsidRPr="0052418C">
        <w:rPr>
          <w:rFonts w:ascii="ITC Avant Garde" w:eastAsia="Times New Roman" w:hAnsi="ITC Avant Garde" w:cs="Arial"/>
          <w:color w:val="auto"/>
        </w:rPr>
        <w:t>ió</w:t>
      </w:r>
      <w:r w:rsidR="004D34CE" w:rsidRPr="0052418C">
        <w:rPr>
          <w:rFonts w:ascii="ITC Avant Garde" w:eastAsia="Times New Roman" w:hAnsi="ITC Avant Garde" w:cs="Arial"/>
          <w:color w:val="auto"/>
        </w:rPr>
        <w:t xml:space="preserve"> que se deben de mantener los plazos actuales y la velocidad de 100 Gbps. </w:t>
      </w:r>
      <w:r w:rsidR="00F3410E" w:rsidRPr="0052418C">
        <w:rPr>
          <w:rFonts w:ascii="ITC Avant Garde" w:eastAsia="Times New Roman" w:hAnsi="ITC Avant Garde" w:cs="Arial"/>
          <w:color w:val="auto"/>
        </w:rPr>
        <w:t>Asimismo,</w:t>
      </w:r>
      <w:r w:rsidR="004D34CE" w:rsidRPr="0052418C">
        <w:rPr>
          <w:rFonts w:ascii="ITC Avant Garde" w:eastAsia="Times New Roman" w:hAnsi="ITC Avant Garde" w:cs="Arial"/>
          <w:color w:val="auto"/>
        </w:rPr>
        <w:t xml:space="preserve"> </w:t>
      </w:r>
      <w:r w:rsidR="007C344C" w:rsidRPr="0052418C">
        <w:rPr>
          <w:rFonts w:ascii="ITC Avant Garde" w:eastAsia="Times New Roman" w:hAnsi="ITC Avant Garde" w:cs="Arial"/>
          <w:color w:val="auto"/>
        </w:rPr>
        <w:t xml:space="preserve">señaló </w:t>
      </w:r>
      <w:r w:rsidR="001B6472" w:rsidRPr="0052418C">
        <w:rPr>
          <w:rFonts w:ascii="ITC Avant Garde" w:eastAsia="Times New Roman" w:hAnsi="ITC Avant Garde" w:cs="Arial"/>
          <w:color w:val="auto"/>
        </w:rPr>
        <w:t xml:space="preserve">que </w:t>
      </w:r>
      <w:r w:rsidR="004D34CE" w:rsidRPr="0052418C">
        <w:rPr>
          <w:rFonts w:ascii="ITC Avant Garde" w:eastAsia="Times New Roman" w:hAnsi="ITC Avant Garde" w:cs="Arial"/>
          <w:color w:val="auto"/>
        </w:rPr>
        <w:t xml:space="preserve">los plazos </w:t>
      </w:r>
      <w:r w:rsidR="001B6472" w:rsidRPr="0052418C">
        <w:rPr>
          <w:rFonts w:ascii="ITC Avant Garde" w:eastAsia="Times New Roman" w:hAnsi="ITC Avant Garde" w:cs="Arial"/>
          <w:color w:val="auto"/>
        </w:rPr>
        <w:t>con</w:t>
      </w:r>
      <w:r w:rsidR="004D34CE" w:rsidRPr="0052418C">
        <w:rPr>
          <w:rFonts w:ascii="ITC Avant Garde" w:eastAsia="Times New Roman" w:hAnsi="ITC Avant Garde" w:cs="Arial"/>
          <w:color w:val="auto"/>
        </w:rPr>
        <w:t xml:space="preserve"> pronósticos resultan excesivos, esto tomando en cuenta la cantidad de motivos por los que</w:t>
      </w:r>
      <w:r w:rsidR="001B6472" w:rsidRPr="0052418C">
        <w:rPr>
          <w:rFonts w:ascii="ITC Avant Garde" w:eastAsia="Times New Roman" w:hAnsi="ITC Avant Garde" w:cs="Arial"/>
          <w:color w:val="auto"/>
        </w:rPr>
        <w:t xml:space="preserve"> </w:t>
      </w:r>
      <w:r w:rsidR="004D34CE" w:rsidRPr="0052418C">
        <w:rPr>
          <w:rFonts w:ascii="ITC Avant Garde" w:eastAsia="Times New Roman" w:hAnsi="ITC Avant Garde" w:cs="Arial"/>
          <w:color w:val="auto"/>
        </w:rPr>
        <w:t>Red Nacional puede detener el reloj y que no tiene que cumplirlo en el 100% de los casos</w:t>
      </w:r>
      <w:r w:rsidR="00B35A27" w:rsidRPr="0052418C">
        <w:rPr>
          <w:rFonts w:ascii="ITC Avant Garde" w:eastAsia="Times New Roman" w:hAnsi="ITC Avant Garde" w:cs="Arial"/>
          <w:color w:val="auto"/>
        </w:rPr>
        <w:t>.</w:t>
      </w:r>
    </w:p>
    <w:p w14:paraId="3720EFF5" w14:textId="1340383E" w:rsidR="00B35A27" w:rsidRPr="0052418C" w:rsidRDefault="00B35A27" w:rsidP="0052418C">
      <w:pPr>
        <w:spacing w:after="0" w:line="276" w:lineRule="auto"/>
        <w:ind w:right="0"/>
        <w:rPr>
          <w:rFonts w:ascii="ITC Avant Garde" w:eastAsia="Times New Roman" w:hAnsi="ITC Avant Garde" w:cs="Arial"/>
          <w:color w:val="auto"/>
        </w:rPr>
      </w:pPr>
    </w:p>
    <w:p w14:paraId="21BA5999" w14:textId="5438D097" w:rsidR="00407C05" w:rsidRPr="0052418C" w:rsidRDefault="00407C05" w:rsidP="0052418C">
      <w:pPr>
        <w:spacing w:after="0" w:line="276" w:lineRule="auto"/>
        <w:ind w:right="0"/>
        <w:rPr>
          <w:rFonts w:ascii="ITC Avant Garde" w:eastAsia="Times New Roman" w:hAnsi="ITC Avant Garde" w:cs="Arial"/>
          <w:b/>
          <w:bCs/>
          <w:color w:val="auto"/>
        </w:rPr>
      </w:pPr>
      <w:r w:rsidRPr="0052418C">
        <w:rPr>
          <w:rFonts w:ascii="ITC Avant Garde" w:eastAsia="Times New Roman" w:hAnsi="ITC Avant Garde" w:cs="Arial"/>
          <w:b/>
          <w:bCs/>
          <w:color w:val="auto"/>
        </w:rPr>
        <w:t>PEGASO</w:t>
      </w:r>
    </w:p>
    <w:p w14:paraId="2ECBF186" w14:textId="0318E890" w:rsidR="007124DF" w:rsidRPr="0052418C" w:rsidRDefault="00FD1F41" w:rsidP="0052418C">
      <w:pPr>
        <w:spacing w:after="0" w:line="276" w:lineRule="auto"/>
        <w:ind w:right="0"/>
        <w:rPr>
          <w:rFonts w:ascii="ITC Avant Garde" w:eastAsia="Times New Roman" w:hAnsi="ITC Avant Garde" w:cs="Arial"/>
          <w:color w:val="auto"/>
        </w:rPr>
      </w:pPr>
      <w:r w:rsidRPr="0052418C">
        <w:rPr>
          <w:rFonts w:ascii="ITC Avant Garde" w:eastAsia="Times New Roman" w:hAnsi="ITC Avant Garde" w:cs="Arial"/>
          <w:color w:val="auto"/>
        </w:rPr>
        <w:t>Señaló, que el AEP empeora los plazos de provisión de todo tipo de Enlaces, como son los enlaces TDM, pasando de 13, 21 o 60 días, según la capacidad, a 60 días, y para los Ethernet, pasando de los 25 días de las condiciones vigentes, a 60 días.</w:t>
      </w:r>
    </w:p>
    <w:p w14:paraId="575A0BB6" w14:textId="77777777" w:rsidR="00FD1F41" w:rsidRPr="0052418C" w:rsidRDefault="00FD1F41" w:rsidP="0052418C">
      <w:pPr>
        <w:spacing w:after="0" w:line="276" w:lineRule="auto"/>
        <w:ind w:right="0"/>
        <w:rPr>
          <w:rFonts w:ascii="ITC Avant Garde" w:eastAsia="Times New Roman" w:hAnsi="ITC Avant Garde" w:cs="Arial"/>
          <w:color w:val="auto"/>
          <w:highlight w:val="yellow"/>
        </w:rPr>
      </w:pPr>
    </w:p>
    <w:p w14:paraId="73BB3A0D" w14:textId="10022F15" w:rsidR="007124DF" w:rsidRPr="0052418C" w:rsidRDefault="00FD1F41" w:rsidP="0052418C">
      <w:pPr>
        <w:spacing w:after="0" w:line="276" w:lineRule="auto"/>
        <w:ind w:right="0"/>
        <w:rPr>
          <w:rFonts w:ascii="ITC Avant Garde" w:eastAsia="Times New Roman" w:hAnsi="ITC Avant Garde" w:cs="Arial"/>
          <w:color w:val="auto"/>
        </w:rPr>
      </w:pPr>
      <w:r w:rsidRPr="0052418C">
        <w:rPr>
          <w:rFonts w:ascii="ITC Avant Garde" w:eastAsia="Times New Roman" w:hAnsi="ITC Avant Garde" w:cs="Arial"/>
          <w:color w:val="auto"/>
        </w:rPr>
        <w:t>Asimismo, argumentó que p</w:t>
      </w:r>
      <w:r w:rsidR="007124DF" w:rsidRPr="0052418C">
        <w:rPr>
          <w:rFonts w:ascii="ITC Avant Garde" w:eastAsia="Times New Roman" w:hAnsi="ITC Avant Garde" w:cs="Arial"/>
          <w:color w:val="auto"/>
        </w:rPr>
        <w:t>ara el empeoramiento de los plazos de provisión bajo tecnología Ethernet señal</w:t>
      </w:r>
      <w:r w:rsidRPr="0052418C">
        <w:rPr>
          <w:rFonts w:ascii="ITC Avant Garde" w:eastAsia="Times New Roman" w:hAnsi="ITC Avant Garde" w:cs="Arial"/>
          <w:color w:val="auto"/>
        </w:rPr>
        <w:t>ó</w:t>
      </w:r>
      <w:r w:rsidR="007124DF" w:rsidRPr="0052418C">
        <w:rPr>
          <w:rFonts w:ascii="ITC Avant Garde" w:eastAsia="Times New Roman" w:hAnsi="ITC Avant Garde" w:cs="Arial"/>
          <w:color w:val="auto"/>
        </w:rPr>
        <w:t xml:space="preserve"> que no hay una explicación coherente por parte del AEP</w:t>
      </w:r>
      <w:r w:rsidR="00C91A66" w:rsidRPr="0052418C">
        <w:rPr>
          <w:rFonts w:ascii="ITC Avant Garde" w:eastAsia="Times New Roman" w:hAnsi="ITC Avant Garde" w:cs="Arial"/>
          <w:color w:val="auto"/>
        </w:rPr>
        <w:t>. Manifestó</w:t>
      </w:r>
      <w:r w:rsidR="007124DF" w:rsidRPr="0052418C">
        <w:rPr>
          <w:rFonts w:ascii="ITC Avant Garde" w:eastAsia="Times New Roman" w:hAnsi="ITC Avant Garde" w:cs="Arial"/>
          <w:color w:val="auto"/>
        </w:rPr>
        <w:t xml:space="preserve"> que existen numerosas etapas para la provisión del servicio, que deben igualarse los tiempos máximos de los enlaces dedicados y los de interconexión y a que se necesitan los pronósticos por parte de los CS, mezclando conceptos de distinta naturaleza.</w:t>
      </w:r>
    </w:p>
    <w:p w14:paraId="51744ED5" w14:textId="77777777" w:rsidR="00407C05" w:rsidRPr="0052418C" w:rsidRDefault="00407C05" w:rsidP="0052418C">
      <w:pPr>
        <w:spacing w:after="0" w:line="276" w:lineRule="auto"/>
        <w:ind w:right="0"/>
        <w:rPr>
          <w:rFonts w:ascii="ITC Avant Garde" w:eastAsia="Times New Roman" w:hAnsi="ITC Avant Garde" w:cs="Arial"/>
          <w:color w:val="auto"/>
        </w:rPr>
      </w:pPr>
    </w:p>
    <w:p w14:paraId="6E66DC08" w14:textId="0597059A" w:rsidR="00BB48FC" w:rsidRPr="0052418C" w:rsidRDefault="00DF1E3B" w:rsidP="0052418C">
      <w:pPr>
        <w:autoSpaceDE w:val="0"/>
        <w:autoSpaceDN w:val="0"/>
        <w:adjustRightInd w:val="0"/>
        <w:spacing w:after="0" w:line="276" w:lineRule="auto"/>
        <w:ind w:left="0" w:right="0" w:firstLine="0"/>
        <w:rPr>
          <w:rFonts w:ascii="ITC Avant Garde" w:hAnsi="ITC Avant Garde" w:cs="Arial"/>
          <w:color w:val="auto"/>
        </w:rPr>
      </w:pPr>
      <w:r w:rsidRPr="0052418C">
        <w:rPr>
          <w:rFonts w:ascii="ITC Avant Garde" w:hAnsi="ITC Avant Garde" w:cs="Arial"/>
          <w:b/>
          <w:color w:val="auto"/>
        </w:rPr>
        <w:t>Consideraciones del Instituto</w:t>
      </w:r>
      <w:r w:rsidR="00EE344E" w:rsidRPr="0052418C">
        <w:rPr>
          <w:rFonts w:ascii="ITC Avant Garde" w:hAnsi="ITC Avant Garde" w:cs="Arial"/>
          <w:b/>
          <w:color w:val="auto"/>
        </w:rPr>
        <w:t>:</w:t>
      </w:r>
    </w:p>
    <w:p w14:paraId="7114A272" w14:textId="09052358" w:rsidR="00B943CD" w:rsidRPr="0052418C" w:rsidRDefault="00B943CD" w:rsidP="0052418C">
      <w:pPr>
        <w:spacing w:after="0" w:line="276" w:lineRule="auto"/>
        <w:ind w:left="0" w:right="0"/>
        <w:rPr>
          <w:rFonts w:ascii="ITC Avant Garde" w:hAnsi="ITC Avant Garde" w:cs="Arial"/>
          <w:color w:val="auto"/>
        </w:rPr>
      </w:pPr>
      <w:r w:rsidRPr="0052418C">
        <w:rPr>
          <w:rFonts w:ascii="ITC Avant Garde" w:hAnsi="ITC Avant Garde" w:cs="Arial"/>
          <w:color w:val="auto"/>
        </w:rPr>
        <w:t>Al respecto,</w:t>
      </w:r>
      <w:r w:rsidR="000C0DEE" w:rsidRPr="0052418C">
        <w:rPr>
          <w:rFonts w:ascii="ITC Avant Garde" w:hAnsi="ITC Avant Garde" w:cs="Arial"/>
          <w:color w:val="auto"/>
        </w:rPr>
        <w:t xml:space="preserve"> </w:t>
      </w:r>
      <w:r w:rsidR="00C91A66" w:rsidRPr="0052418C">
        <w:rPr>
          <w:rFonts w:ascii="ITC Avant Garde" w:hAnsi="ITC Avant Garde"/>
          <w:color w:val="auto"/>
        </w:rPr>
        <w:t>conforme</w:t>
      </w:r>
      <w:r w:rsidR="00E67837" w:rsidRPr="0052418C">
        <w:rPr>
          <w:rFonts w:ascii="ITC Avant Garde" w:hAnsi="ITC Avant Garde"/>
          <w:color w:val="auto"/>
        </w:rPr>
        <w:t xml:space="preserve"> a</w:t>
      </w:r>
      <w:r w:rsidR="00C91A66" w:rsidRPr="0052418C">
        <w:rPr>
          <w:rFonts w:ascii="ITC Avant Garde" w:hAnsi="ITC Avant Garde"/>
          <w:color w:val="auto"/>
        </w:rPr>
        <w:t xml:space="preserve"> lo establecido</w:t>
      </w:r>
      <w:r w:rsidR="00E67837" w:rsidRPr="0052418C">
        <w:rPr>
          <w:rFonts w:ascii="ITC Avant Garde" w:hAnsi="ITC Avant Garde"/>
          <w:color w:val="auto"/>
        </w:rPr>
        <w:t xml:space="preserve"> en la</w:t>
      </w:r>
      <w:r w:rsidR="00C91A66" w:rsidRPr="0052418C">
        <w:rPr>
          <w:rFonts w:ascii="ITC Avant Garde" w:hAnsi="ITC Avant Garde"/>
          <w:color w:val="auto"/>
        </w:rPr>
        <w:t xml:space="preserve"> Medida Cuadragésima Primera</w:t>
      </w:r>
      <w:r w:rsidR="00C91A66" w:rsidRPr="0052418C" w:rsidDel="00B365D9">
        <w:rPr>
          <w:rFonts w:ascii="ITC Avant Garde" w:hAnsi="ITC Avant Garde"/>
          <w:color w:val="auto"/>
        </w:rPr>
        <w:t xml:space="preserve"> </w:t>
      </w:r>
      <w:r w:rsidR="00C91A66" w:rsidRPr="0052418C">
        <w:rPr>
          <w:rFonts w:ascii="ITC Avant Garde" w:hAnsi="ITC Avant Garde"/>
          <w:color w:val="auto"/>
        </w:rPr>
        <w:t>de las Medidas Fijas, en donde se establece que Red Nacional deberá reflejar, al menos las condiciones de la Oferta vigente, se modificaron los plazos de entrega, en los siguientes términos:</w:t>
      </w:r>
    </w:p>
    <w:p w14:paraId="3FA8E5F3" w14:textId="77777777" w:rsidR="00B943CD" w:rsidRPr="0052418C" w:rsidRDefault="00B943CD" w:rsidP="0052418C">
      <w:pPr>
        <w:spacing w:after="0" w:line="276" w:lineRule="auto"/>
        <w:ind w:left="0" w:right="0"/>
        <w:rPr>
          <w:rFonts w:ascii="ITC Avant Garde" w:hAnsi="ITC Avant Garde" w:cs="Arial"/>
          <w:color w:val="auto"/>
        </w:rPr>
      </w:pPr>
    </w:p>
    <w:p w14:paraId="3F0F57D3" w14:textId="26CE9BD2" w:rsidR="0046599A" w:rsidRPr="0052418C" w:rsidRDefault="0046599A" w:rsidP="0052418C">
      <w:pPr>
        <w:autoSpaceDE w:val="0"/>
        <w:autoSpaceDN w:val="0"/>
        <w:spacing w:after="0" w:line="276" w:lineRule="auto"/>
        <w:ind w:left="426" w:right="709"/>
        <w:rPr>
          <w:rFonts w:ascii="ITC Avant Garde" w:hAnsi="ITC Avant Garde" w:cs="Arial"/>
          <w:i/>
          <w:sz w:val="18"/>
          <w:szCs w:val="18"/>
        </w:rPr>
      </w:pPr>
      <w:r w:rsidRPr="0052418C">
        <w:rPr>
          <w:rFonts w:ascii="ITC Avant Garde" w:hAnsi="ITC Avant Garde" w:cs="Arial"/>
          <w:b/>
          <w:i/>
          <w:sz w:val="18"/>
          <w:szCs w:val="18"/>
        </w:rPr>
        <w:t>“2.4.1 Plazos de entrega</w:t>
      </w:r>
    </w:p>
    <w:p w14:paraId="4AA921CD" w14:textId="77777777" w:rsidR="0046599A" w:rsidRPr="0052418C" w:rsidRDefault="0046599A" w:rsidP="0052418C">
      <w:pPr>
        <w:autoSpaceDE w:val="0"/>
        <w:autoSpaceDN w:val="0"/>
        <w:spacing w:after="0" w:line="276" w:lineRule="auto"/>
        <w:ind w:left="426" w:right="709"/>
        <w:rPr>
          <w:rFonts w:ascii="ITC Avant Garde" w:hAnsi="ITC Avant Garde" w:cs="Arial"/>
          <w:i/>
          <w:sz w:val="18"/>
          <w:szCs w:val="18"/>
        </w:rPr>
      </w:pPr>
      <w:r w:rsidRPr="0052418C">
        <w:rPr>
          <w:rFonts w:ascii="ITC Avant Garde" w:hAnsi="ITC Avant Garde" w:cs="Arial"/>
          <w:i/>
          <w:sz w:val="18"/>
          <w:szCs w:val="18"/>
        </w:rPr>
        <w:t>2.4.1.1 Los plazos de entrega para los Servicios de enlaces dedicados locales y de enlaces de Interconexión indicados en la tabla del presente numeral, no podrán excederse en:</w:t>
      </w:r>
    </w:p>
    <w:p w14:paraId="5582A1BE" w14:textId="77777777" w:rsidR="0046599A" w:rsidRPr="0052418C" w:rsidRDefault="0046599A" w:rsidP="0052418C">
      <w:pPr>
        <w:autoSpaceDE w:val="0"/>
        <w:autoSpaceDN w:val="0"/>
        <w:spacing w:after="0" w:line="276" w:lineRule="auto"/>
        <w:ind w:left="426" w:right="709"/>
        <w:rPr>
          <w:rFonts w:ascii="ITC Avant Garde" w:hAnsi="ITC Avant Garde" w:cs="Arial"/>
          <w:i/>
          <w:color w:val="000000" w:themeColor="text1"/>
          <w:sz w:val="18"/>
          <w:szCs w:val="18"/>
        </w:rPr>
      </w:pPr>
    </w:p>
    <w:p w14:paraId="0F83E1EC" w14:textId="77777777" w:rsidR="0046599A" w:rsidRPr="0052418C" w:rsidRDefault="0046599A" w:rsidP="0052418C">
      <w:pPr>
        <w:autoSpaceDE w:val="0"/>
        <w:autoSpaceDN w:val="0"/>
        <w:spacing w:after="0" w:line="276" w:lineRule="auto"/>
        <w:ind w:left="426" w:right="709"/>
        <w:rPr>
          <w:rFonts w:ascii="ITC Avant Garde" w:hAnsi="ITC Avant Garde" w:cs="Arial"/>
          <w:i/>
          <w:sz w:val="18"/>
          <w:szCs w:val="18"/>
        </w:rPr>
      </w:pPr>
      <w:r w:rsidRPr="0052418C">
        <w:rPr>
          <w:rFonts w:ascii="ITC Avant Garde" w:hAnsi="ITC Avant Garde" w:cs="Arial"/>
          <w:i/>
          <w:sz w:val="18"/>
          <w:szCs w:val="18"/>
        </w:rPr>
        <w:t>El 85% (ochenta y cinco por ciento) de las solicitudes que se realicen dentro de pronóstico y el restante en el doble del plazo señalado hasta llegar al 100% (cien por ciento).</w:t>
      </w:r>
    </w:p>
    <w:p w14:paraId="517EE3CA" w14:textId="1FD91C56" w:rsidR="0046599A" w:rsidRPr="0052418C" w:rsidRDefault="0046599A" w:rsidP="0052418C">
      <w:pPr>
        <w:autoSpaceDE w:val="0"/>
        <w:autoSpaceDN w:val="0"/>
        <w:spacing w:after="0" w:line="276" w:lineRule="auto"/>
        <w:ind w:left="426" w:right="709"/>
        <w:rPr>
          <w:rFonts w:ascii="ITC Avant Garde" w:hAnsi="ITC Avant Garde" w:cs="Arial"/>
          <w:i/>
          <w:sz w:val="18"/>
          <w:szCs w:val="18"/>
        </w:rPr>
      </w:pPr>
      <w:r w:rsidRPr="0052418C">
        <w:rPr>
          <w:rFonts w:ascii="ITC Avant Garde" w:hAnsi="ITC Avant Garde" w:cs="Arial"/>
          <w:i/>
          <w:sz w:val="18"/>
          <w:szCs w:val="18"/>
        </w:rPr>
        <w:lastRenderedPageBreak/>
        <w:t xml:space="preserve">El 50% (cincuenta por ciento) de las solicitudes que se realicen fuera de pronóstico y el doble del plazo señalado para el remanente de solicitudes hasta llegar al 100% (cien por ciento). </w:t>
      </w:r>
    </w:p>
    <w:p w14:paraId="6720C88F" w14:textId="77777777" w:rsidR="0046599A" w:rsidRPr="0052418C" w:rsidRDefault="0046599A" w:rsidP="0052418C">
      <w:pPr>
        <w:autoSpaceDE w:val="0"/>
        <w:autoSpaceDN w:val="0"/>
        <w:spacing w:after="0" w:line="276" w:lineRule="auto"/>
        <w:rPr>
          <w:rFonts w:ascii="ITC Avant Garde" w:hAnsi="ITC Avant Garde" w:cs="Arial"/>
        </w:rPr>
      </w:pPr>
    </w:p>
    <w:tbl>
      <w:tblPr>
        <w:tblW w:w="73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05"/>
        <w:gridCol w:w="2552"/>
        <w:gridCol w:w="2409"/>
      </w:tblGrid>
      <w:tr w:rsidR="00B033F0" w:rsidRPr="0052418C" w14:paraId="7D866CF1" w14:textId="77777777" w:rsidTr="00971200">
        <w:trPr>
          <w:trHeight w:val="512"/>
          <w:jc w:val="center"/>
        </w:trPr>
        <w:tc>
          <w:tcPr>
            <w:tcW w:w="2405" w:type="dxa"/>
            <w:vMerge w:val="restart"/>
            <w:tcBorders>
              <w:top w:val="single" w:sz="4" w:space="0" w:color="auto"/>
              <w:left w:val="single" w:sz="4" w:space="0" w:color="auto"/>
              <w:right w:val="single" w:sz="4" w:space="0" w:color="auto"/>
            </w:tcBorders>
            <w:shd w:val="clear" w:color="auto" w:fill="0070C0"/>
            <w:vAlign w:val="center"/>
            <w:hideMark/>
          </w:tcPr>
          <w:p w14:paraId="2CAF029E" w14:textId="77777777" w:rsidR="00B033F0" w:rsidRPr="0052418C" w:rsidRDefault="00B033F0" w:rsidP="0052418C">
            <w:pPr>
              <w:tabs>
                <w:tab w:val="left" w:pos="-720"/>
              </w:tabs>
              <w:suppressAutoHyphens/>
              <w:spacing w:after="0" w:line="276" w:lineRule="auto"/>
              <w:ind w:hanging="11"/>
              <w:jc w:val="center"/>
              <w:rPr>
                <w:rFonts w:ascii="ITC Avant Garde" w:hAnsi="ITC Avant Garde" w:cs="Arial"/>
                <w:i/>
                <w:color w:val="FFFFFF" w:themeColor="background1"/>
                <w:sz w:val="18"/>
                <w:szCs w:val="18"/>
                <w:lang w:val="es-ES_tradnl" w:eastAsia="es-ES"/>
              </w:rPr>
            </w:pPr>
            <w:r w:rsidRPr="0052418C">
              <w:rPr>
                <w:rFonts w:ascii="ITC Avant Garde" w:hAnsi="ITC Avant Garde" w:cs="Arial"/>
                <w:b/>
                <w:i/>
                <w:color w:val="FFFFFF" w:themeColor="background1"/>
                <w:sz w:val="18"/>
                <w:szCs w:val="18"/>
                <w:lang w:val="es-ES_tradnl"/>
              </w:rPr>
              <w:t>Denominación</w:t>
            </w:r>
          </w:p>
          <w:p w14:paraId="510424D7" w14:textId="656149E2" w:rsidR="00B033F0" w:rsidRPr="0052418C" w:rsidRDefault="00B033F0" w:rsidP="0052418C">
            <w:pPr>
              <w:autoSpaceDE w:val="0"/>
              <w:autoSpaceDN w:val="0"/>
              <w:adjustRightInd w:val="0"/>
              <w:spacing w:after="0" w:line="276" w:lineRule="auto"/>
              <w:jc w:val="center"/>
              <w:rPr>
                <w:rFonts w:ascii="ITC Avant Garde" w:hAnsi="ITC Avant Garde" w:cs="Arial"/>
                <w:i/>
                <w:color w:val="FFFFFF" w:themeColor="background1"/>
                <w:sz w:val="18"/>
                <w:szCs w:val="18"/>
                <w:lang w:val="es-ES_tradnl"/>
              </w:rPr>
            </w:pPr>
          </w:p>
        </w:tc>
        <w:tc>
          <w:tcPr>
            <w:tcW w:w="2552" w:type="dxa"/>
            <w:vMerge w:val="restart"/>
            <w:tcBorders>
              <w:top w:val="single" w:sz="4" w:space="0" w:color="auto"/>
              <w:left w:val="single" w:sz="4" w:space="0" w:color="auto"/>
              <w:right w:val="single" w:sz="4" w:space="0" w:color="auto"/>
            </w:tcBorders>
            <w:shd w:val="clear" w:color="auto" w:fill="0070C0"/>
            <w:vAlign w:val="center"/>
            <w:hideMark/>
          </w:tcPr>
          <w:p w14:paraId="270623D9" w14:textId="77777777" w:rsidR="00B033F0" w:rsidRPr="0052418C" w:rsidRDefault="00B033F0" w:rsidP="0052418C">
            <w:pPr>
              <w:autoSpaceDE w:val="0"/>
              <w:autoSpaceDN w:val="0"/>
              <w:adjustRightInd w:val="0"/>
              <w:spacing w:after="0" w:line="276" w:lineRule="auto"/>
              <w:jc w:val="center"/>
              <w:rPr>
                <w:rFonts w:ascii="ITC Avant Garde" w:hAnsi="ITC Avant Garde" w:cs="Arial"/>
                <w:i/>
                <w:color w:val="FFFFFF" w:themeColor="background1"/>
                <w:sz w:val="18"/>
                <w:szCs w:val="18"/>
                <w:lang w:val="es-ES_tradnl"/>
              </w:rPr>
            </w:pPr>
            <w:r w:rsidRPr="0052418C">
              <w:rPr>
                <w:rFonts w:ascii="ITC Avant Garde" w:hAnsi="ITC Avant Garde" w:cs="Arial"/>
                <w:b/>
                <w:i/>
                <w:color w:val="FFFFFF" w:themeColor="background1"/>
                <w:sz w:val="18"/>
                <w:szCs w:val="18"/>
                <w:lang w:val="es-ES_tradnl"/>
              </w:rPr>
              <w:t>Capacidad</w:t>
            </w:r>
          </w:p>
        </w:tc>
        <w:tc>
          <w:tcPr>
            <w:tcW w:w="2409" w:type="dxa"/>
            <w:tcBorders>
              <w:top w:val="single" w:sz="4" w:space="0" w:color="auto"/>
              <w:left w:val="single" w:sz="4" w:space="0" w:color="auto"/>
              <w:bottom w:val="single" w:sz="4" w:space="0" w:color="auto"/>
              <w:right w:val="single" w:sz="4" w:space="0" w:color="auto"/>
            </w:tcBorders>
            <w:shd w:val="clear" w:color="auto" w:fill="0070C0"/>
            <w:vAlign w:val="center"/>
          </w:tcPr>
          <w:p w14:paraId="319A0A35" w14:textId="77777777" w:rsidR="00B033F0" w:rsidRPr="0052418C" w:rsidRDefault="00B033F0" w:rsidP="0052418C">
            <w:pPr>
              <w:autoSpaceDE w:val="0"/>
              <w:autoSpaceDN w:val="0"/>
              <w:adjustRightInd w:val="0"/>
              <w:spacing w:after="0" w:line="276" w:lineRule="auto"/>
              <w:jc w:val="center"/>
              <w:rPr>
                <w:rFonts w:ascii="ITC Avant Garde" w:hAnsi="ITC Avant Garde" w:cs="Arial"/>
                <w:b/>
                <w:i/>
                <w:color w:val="FFFFFF" w:themeColor="background1"/>
                <w:sz w:val="18"/>
                <w:szCs w:val="18"/>
                <w:lang w:val="es-ES_tradnl"/>
              </w:rPr>
            </w:pPr>
            <w:r w:rsidRPr="0052418C">
              <w:rPr>
                <w:rFonts w:ascii="ITC Avant Garde" w:hAnsi="ITC Avant Garde" w:cs="Arial"/>
                <w:b/>
                <w:i/>
                <w:color w:val="FFFFFF" w:themeColor="background1"/>
                <w:sz w:val="18"/>
                <w:szCs w:val="18"/>
                <w:lang w:val="es-ES_tradnl"/>
              </w:rPr>
              <w:t xml:space="preserve">Plazos </w:t>
            </w:r>
            <w:r w:rsidRPr="0052418C">
              <w:rPr>
                <w:rFonts w:ascii="ITC Avant Garde" w:hAnsi="ITC Avant Garde" w:cs="Arial"/>
                <w:b/>
                <w:bCs/>
                <w:i/>
                <w:color w:val="FFFFFF" w:themeColor="background1"/>
                <w:sz w:val="18"/>
                <w:szCs w:val="18"/>
                <w:lang w:val="es-ES_tradnl" w:eastAsia="es-ES"/>
              </w:rPr>
              <w:t>Máximos</w:t>
            </w:r>
          </w:p>
        </w:tc>
      </w:tr>
      <w:tr w:rsidR="00B033F0" w:rsidRPr="0052418C" w14:paraId="12B6588F" w14:textId="77777777" w:rsidTr="00971200">
        <w:trPr>
          <w:trHeight w:val="296"/>
          <w:jc w:val="center"/>
        </w:trPr>
        <w:tc>
          <w:tcPr>
            <w:tcW w:w="2405" w:type="dxa"/>
            <w:vMerge/>
            <w:tcBorders>
              <w:left w:val="single" w:sz="4" w:space="0" w:color="auto"/>
              <w:bottom w:val="single" w:sz="4" w:space="0" w:color="auto"/>
              <w:right w:val="single" w:sz="4" w:space="0" w:color="auto"/>
            </w:tcBorders>
            <w:shd w:val="clear" w:color="auto" w:fill="0070C0"/>
            <w:vAlign w:val="center"/>
            <w:hideMark/>
          </w:tcPr>
          <w:p w14:paraId="290E43A7" w14:textId="77777777" w:rsidR="00B033F0" w:rsidRPr="0052418C" w:rsidRDefault="00B033F0" w:rsidP="0052418C">
            <w:pPr>
              <w:tabs>
                <w:tab w:val="left" w:pos="-720"/>
              </w:tabs>
              <w:suppressAutoHyphens/>
              <w:spacing w:after="0" w:line="276" w:lineRule="auto"/>
              <w:ind w:hanging="11"/>
              <w:rPr>
                <w:rFonts w:ascii="ITC Avant Garde" w:hAnsi="ITC Avant Garde" w:cs="Arial"/>
                <w:i/>
                <w:color w:val="FFFFFF" w:themeColor="background1"/>
                <w:sz w:val="18"/>
                <w:szCs w:val="18"/>
                <w:lang w:val="es-ES_tradnl"/>
              </w:rPr>
            </w:pPr>
          </w:p>
        </w:tc>
        <w:tc>
          <w:tcPr>
            <w:tcW w:w="2552" w:type="dxa"/>
            <w:vMerge/>
            <w:tcBorders>
              <w:left w:val="single" w:sz="4" w:space="0" w:color="auto"/>
              <w:bottom w:val="single" w:sz="4" w:space="0" w:color="auto"/>
              <w:right w:val="single" w:sz="4" w:space="0" w:color="auto"/>
            </w:tcBorders>
            <w:shd w:val="clear" w:color="auto" w:fill="0070C0"/>
            <w:vAlign w:val="center"/>
            <w:hideMark/>
          </w:tcPr>
          <w:p w14:paraId="234618F0" w14:textId="77777777" w:rsidR="00B033F0" w:rsidRPr="0052418C" w:rsidRDefault="00B033F0" w:rsidP="0052418C">
            <w:pPr>
              <w:tabs>
                <w:tab w:val="left" w:pos="-720"/>
              </w:tabs>
              <w:suppressAutoHyphens/>
              <w:spacing w:after="0" w:line="276" w:lineRule="auto"/>
              <w:ind w:hanging="11"/>
              <w:rPr>
                <w:rFonts w:ascii="ITC Avant Garde" w:hAnsi="ITC Avant Garde" w:cs="Arial"/>
                <w:i/>
                <w:color w:val="FFFFFF" w:themeColor="background1"/>
                <w:sz w:val="18"/>
                <w:szCs w:val="18"/>
                <w:lang w:val="es-ES_tradnl"/>
              </w:rPr>
            </w:pPr>
          </w:p>
        </w:tc>
        <w:tc>
          <w:tcPr>
            <w:tcW w:w="2409" w:type="dxa"/>
            <w:tcBorders>
              <w:top w:val="single" w:sz="4" w:space="0" w:color="auto"/>
              <w:right w:val="single" w:sz="4" w:space="0" w:color="auto"/>
            </w:tcBorders>
            <w:shd w:val="clear" w:color="auto" w:fill="0070C0"/>
            <w:vAlign w:val="center"/>
            <w:hideMark/>
          </w:tcPr>
          <w:p w14:paraId="53377CAA" w14:textId="4C37FE3A" w:rsidR="00B033F0" w:rsidRPr="0052418C" w:rsidRDefault="00B033F0" w:rsidP="0052418C">
            <w:pPr>
              <w:tabs>
                <w:tab w:val="left" w:pos="-720"/>
              </w:tabs>
              <w:suppressAutoHyphens/>
              <w:spacing w:after="0" w:line="276" w:lineRule="auto"/>
              <w:ind w:hanging="11"/>
              <w:rPr>
                <w:rFonts w:ascii="ITC Avant Garde" w:hAnsi="ITC Avant Garde" w:cs="Arial"/>
                <w:b/>
                <w:i/>
                <w:color w:val="FFFFFF" w:themeColor="background1"/>
                <w:sz w:val="18"/>
                <w:szCs w:val="18"/>
                <w:lang w:val="es-ES_tradnl"/>
              </w:rPr>
            </w:pPr>
            <w:r w:rsidRPr="0052418C">
              <w:rPr>
                <w:rFonts w:ascii="ITC Avant Garde" w:hAnsi="ITC Avant Garde" w:cs="Arial"/>
                <w:b/>
                <w:bCs/>
                <w:i/>
                <w:color w:val="FFFFFF" w:themeColor="background1"/>
                <w:sz w:val="18"/>
                <w:szCs w:val="18"/>
                <w:lang w:val="es-ES_tradnl" w:eastAsia="es-ES"/>
              </w:rPr>
              <w:t xml:space="preserve">Enlaces Dedicados </w:t>
            </w:r>
            <w:r w:rsidR="00221637" w:rsidRPr="0052418C">
              <w:rPr>
                <w:rFonts w:ascii="ITC Avant Garde" w:hAnsi="ITC Avant Garde" w:cs="Arial"/>
                <w:b/>
                <w:bCs/>
                <w:i/>
                <w:color w:val="FFFFFF" w:themeColor="background1"/>
                <w:sz w:val="18"/>
                <w:szCs w:val="18"/>
                <w:lang w:val="es-ES_tradnl" w:eastAsia="es-ES"/>
              </w:rPr>
              <w:t xml:space="preserve">Entre </w:t>
            </w:r>
            <w:r w:rsidR="00221637" w:rsidRPr="0052418C">
              <w:rPr>
                <w:rFonts w:ascii="ITC Avant Garde" w:hAnsi="ITC Avant Garde" w:cs="Arial"/>
                <w:b/>
                <w:i/>
                <w:color w:val="FFFFFF" w:themeColor="background1"/>
                <w:sz w:val="18"/>
                <w:szCs w:val="18"/>
                <w:lang w:val="es-ES_tradnl"/>
              </w:rPr>
              <w:t>Localidades/</w:t>
            </w:r>
            <w:r w:rsidR="00221637" w:rsidRPr="0052418C">
              <w:rPr>
                <w:rFonts w:ascii="ITC Avant Garde" w:hAnsi="ITC Avant Garde" w:cs="Arial"/>
                <w:b/>
                <w:bCs/>
                <w:i/>
                <w:color w:val="FFFFFF" w:themeColor="background1"/>
                <w:sz w:val="18"/>
                <w:szCs w:val="18"/>
                <w:lang w:val="es-ES_tradnl" w:eastAsia="es-ES"/>
              </w:rPr>
              <w:t>Larga Distancia</w:t>
            </w:r>
          </w:p>
        </w:tc>
      </w:tr>
      <w:tr w:rsidR="00B033F0" w:rsidRPr="0052418C" w14:paraId="7042B4DE" w14:textId="77777777" w:rsidTr="00971200">
        <w:trPr>
          <w:trHeight w:val="235"/>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8700E68" w14:textId="77777777" w:rsidR="00B033F0" w:rsidRPr="0052418C" w:rsidRDefault="00B033F0" w:rsidP="0052418C">
            <w:pPr>
              <w:tabs>
                <w:tab w:val="left" w:pos="-720"/>
              </w:tabs>
              <w:suppressAutoHyphens/>
              <w:spacing w:after="0" w:line="276" w:lineRule="auto"/>
              <w:ind w:hanging="11"/>
              <w:jc w:val="center"/>
              <w:rPr>
                <w:rFonts w:ascii="ITC Avant Garde" w:hAnsi="ITC Avant Garde" w:cs="Arial"/>
                <w:i/>
                <w:sz w:val="18"/>
                <w:szCs w:val="18"/>
                <w:lang w:val="es-ES_tradnl"/>
              </w:rPr>
            </w:pPr>
            <w:r w:rsidRPr="0052418C">
              <w:rPr>
                <w:rFonts w:ascii="ITC Avant Garde" w:hAnsi="ITC Avant Garde" w:cs="Arial"/>
                <w:i/>
                <w:sz w:val="18"/>
                <w:szCs w:val="18"/>
                <w:lang w:val="es-ES_tradnl"/>
              </w:rPr>
              <w:t xml:space="preserve">Nx 64 </w:t>
            </w:r>
            <w:r w:rsidRPr="0052418C">
              <w:rPr>
                <w:rFonts w:ascii="ITC Avant Garde" w:hAnsi="ITC Avant Garde" w:cs="Arial"/>
                <w:i/>
                <w:sz w:val="18"/>
                <w:szCs w:val="18"/>
                <w:lang w:val="es-ES_tradnl" w:eastAsia="es-ES"/>
              </w:rPr>
              <w:t xml:space="preserve">Kbs </w:t>
            </w:r>
            <w:r w:rsidRPr="0052418C">
              <w:rPr>
                <w:rFonts w:ascii="ITC Avant Garde" w:hAnsi="ITC Avant Garde" w:cs="Arial"/>
                <w:i/>
                <w:sz w:val="18"/>
                <w:szCs w:val="18"/>
                <w:lang w:val="es-ES_tradnl"/>
              </w:rPr>
              <w:t>(N=1</w:t>
            </w:r>
            <w:r w:rsidRPr="0052418C">
              <w:rPr>
                <w:rFonts w:ascii="ITC Avant Garde" w:hAnsi="ITC Avant Garde" w:cs="Arial"/>
                <w:i/>
                <w:sz w:val="18"/>
                <w:szCs w:val="18"/>
                <w:lang w:val="es-ES_tradnl" w:eastAsia="es-ES"/>
              </w:rPr>
              <w:t>...</w:t>
            </w:r>
            <w:r w:rsidRPr="0052418C">
              <w:rPr>
                <w:rFonts w:ascii="ITC Avant Garde" w:hAnsi="ITC Avant Garde" w:cs="Arial"/>
                <w:i/>
                <w:sz w:val="18"/>
                <w:szCs w:val="18"/>
                <w:lang w:val="es-ES_tradnl"/>
              </w:rPr>
              <w:t>16)</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E5AF47" w14:textId="77777777" w:rsidR="00B033F0" w:rsidRPr="0052418C" w:rsidRDefault="00B033F0" w:rsidP="0052418C">
            <w:pPr>
              <w:tabs>
                <w:tab w:val="left" w:pos="-720"/>
              </w:tabs>
              <w:suppressAutoHyphens/>
              <w:spacing w:after="0" w:line="276" w:lineRule="auto"/>
              <w:ind w:hanging="11"/>
              <w:jc w:val="center"/>
              <w:rPr>
                <w:rFonts w:ascii="ITC Avant Garde" w:hAnsi="ITC Avant Garde" w:cs="Arial"/>
                <w:i/>
                <w:sz w:val="18"/>
                <w:szCs w:val="18"/>
                <w:lang w:val="en-US"/>
              </w:rPr>
            </w:pPr>
            <w:r w:rsidRPr="0052418C">
              <w:rPr>
                <w:rFonts w:ascii="ITC Avant Garde" w:hAnsi="ITC Avant Garde" w:cs="Arial"/>
                <w:i/>
                <w:sz w:val="18"/>
                <w:szCs w:val="18"/>
                <w:lang w:val="es-ES_tradnl" w:eastAsia="es-ES"/>
              </w:rPr>
              <w:t>64K bps</w:t>
            </w:r>
            <w:r w:rsidRPr="0052418C">
              <w:rPr>
                <w:rFonts w:ascii="ITC Avant Garde" w:hAnsi="ITC Avant Garde" w:cs="Arial"/>
                <w:i/>
                <w:sz w:val="18"/>
                <w:szCs w:val="18"/>
                <w:lang w:val="es-ES_tradnl"/>
              </w:rPr>
              <w:t xml:space="preserve"> a 1024 Kbps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F822E9A" w14:textId="77777777" w:rsidR="00B033F0" w:rsidRPr="0052418C" w:rsidRDefault="00B033F0" w:rsidP="0052418C">
            <w:pPr>
              <w:tabs>
                <w:tab w:val="left" w:pos="-720"/>
              </w:tabs>
              <w:suppressAutoHyphens/>
              <w:spacing w:after="0" w:line="276" w:lineRule="auto"/>
              <w:ind w:hanging="11"/>
              <w:jc w:val="center"/>
              <w:rPr>
                <w:rFonts w:ascii="ITC Avant Garde" w:hAnsi="ITC Avant Garde" w:cs="Arial"/>
                <w:i/>
                <w:sz w:val="18"/>
                <w:szCs w:val="18"/>
              </w:rPr>
            </w:pPr>
            <w:r w:rsidRPr="0052418C">
              <w:rPr>
                <w:rFonts w:ascii="ITC Avant Garde" w:hAnsi="ITC Avant Garde" w:cs="Arial"/>
                <w:bCs/>
                <w:i/>
                <w:sz w:val="18"/>
                <w:szCs w:val="18"/>
                <w:lang w:eastAsia="es-ES"/>
              </w:rPr>
              <w:t>13</w:t>
            </w:r>
            <w:r w:rsidRPr="0052418C">
              <w:rPr>
                <w:rFonts w:ascii="ITC Avant Garde" w:hAnsi="ITC Avant Garde" w:cs="Arial"/>
                <w:i/>
                <w:sz w:val="18"/>
                <w:szCs w:val="18"/>
              </w:rPr>
              <w:t xml:space="preserve"> días hábiles</w:t>
            </w:r>
          </w:p>
        </w:tc>
      </w:tr>
      <w:tr w:rsidR="00B033F0" w:rsidRPr="0052418C" w14:paraId="25146F06" w14:textId="77777777" w:rsidTr="00971200">
        <w:trPr>
          <w:trHeight w:val="26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A218A48" w14:textId="77777777" w:rsidR="00B033F0" w:rsidRPr="0052418C" w:rsidRDefault="00B033F0" w:rsidP="0052418C">
            <w:pPr>
              <w:autoSpaceDE w:val="0"/>
              <w:autoSpaceDN w:val="0"/>
              <w:adjustRightInd w:val="0"/>
              <w:spacing w:after="0" w:line="276" w:lineRule="auto"/>
              <w:jc w:val="center"/>
              <w:rPr>
                <w:rFonts w:ascii="ITC Avant Garde" w:hAnsi="ITC Avant Garde" w:cs="Arial"/>
                <w:i/>
                <w:sz w:val="18"/>
                <w:szCs w:val="18"/>
                <w:lang w:val="en-US"/>
              </w:rPr>
            </w:pPr>
            <w:r w:rsidRPr="0052418C">
              <w:rPr>
                <w:rFonts w:ascii="ITC Avant Garde" w:hAnsi="ITC Avant Garde" w:cs="Arial"/>
                <w:i/>
                <w:sz w:val="18"/>
                <w:szCs w:val="18"/>
              </w:rPr>
              <w:t>E1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3C2B9B6" w14:textId="77777777" w:rsidR="00B033F0" w:rsidRPr="0052418C" w:rsidRDefault="00B033F0" w:rsidP="0052418C">
            <w:pPr>
              <w:autoSpaceDE w:val="0"/>
              <w:autoSpaceDN w:val="0"/>
              <w:adjustRightInd w:val="0"/>
              <w:spacing w:after="0" w:line="276" w:lineRule="auto"/>
              <w:jc w:val="center"/>
              <w:rPr>
                <w:rFonts w:ascii="ITC Avant Garde" w:hAnsi="ITC Avant Garde" w:cs="Arial"/>
                <w:i/>
                <w:sz w:val="18"/>
                <w:szCs w:val="18"/>
                <w:lang w:val="en-US"/>
              </w:rPr>
            </w:pPr>
            <w:r w:rsidRPr="0052418C">
              <w:rPr>
                <w:rFonts w:ascii="ITC Avant Garde" w:hAnsi="ITC Avant Garde" w:cs="Arial"/>
                <w:i/>
                <w:sz w:val="18"/>
                <w:szCs w:val="18"/>
              </w:rPr>
              <w:t>2.048 Mbps</w:t>
            </w:r>
          </w:p>
        </w:tc>
        <w:tc>
          <w:tcPr>
            <w:tcW w:w="2409" w:type="dxa"/>
            <w:tcBorders>
              <w:top w:val="single" w:sz="4" w:space="0" w:color="auto"/>
              <w:left w:val="single" w:sz="4" w:space="0" w:color="auto"/>
              <w:bottom w:val="single" w:sz="4" w:space="0" w:color="auto"/>
              <w:right w:val="single" w:sz="4" w:space="0" w:color="auto"/>
            </w:tcBorders>
            <w:hideMark/>
          </w:tcPr>
          <w:p w14:paraId="605B2E84" w14:textId="77777777" w:rsidR="00B033F0" w:rsidRPr="0052418C" w:rsidRDefault="00B033F0" w:rsidP="0052418C">
            <w:pPr>
              <w:autoSpaceDE w:val="0"/>
              <w:autoSpaceDN w:val="0"/>
              <w:adjustRightInd w:val="0"/>
              <w:spacing w:after="0" w:line="276" w:lineRule="auto"/>
              <w:jc w:val="center"/>
              <w:rPr>
                <w:rFonts w:ascii="ITC Avant Garde" w:hAnsi="ITC Avant Garde" w:cs="Arial"/>
                <w:i/>
                <w:sz w:val="18"/>
                <w:szCs w:val="18"/>
              </w:rPr>
            </w:pPr>
            <w:r w:rsidRPr="0052418C">
              <w:rPr>
                <w:rFonts w:ascii="ITC Avant Garde" w:hAnsi="ITC Avant Garde" w:cs="Arial"/>
                <w:bCs/>
                <w:i/>
                <w:sz w:val="18"/>
                <w:szCs w:val="18"/>
                <w:lang w:eastAsia="es-ES"/>
              </w:rPr>
              <w:t>13</w:t>
            </w:r>
            <w:r w:rsidRPr="0052418C">
              <w:rPr>
                <w:rFonts w:ascii="ITC Avant Garde" w:hAnsi="ITC Avant Garde" w:cs="Arial"/>
                <w:i/>
                <w:sz w:val="18"/>
                <w:szCs w:val="18"/>
              </w:rPr>
              <w:t xml:space="preserve"> días hábiles</w:t>
            </w:r>
          </w:p>
        </w:tc>
      </w:tr>
      <w:tr w:rsidR="00B033F0" w:rsidRPr="0052418C" w14:paraId="4600B605" w14:textId="77777777" w:rsidTr="00971200">
        <w:trPr>
          <w:trHeight w:val="26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5498C72" w14:textId="77777777" w:rsidR="00B033F0" w:rsidRPr="0052418C" w:rsidRDefault="00B033F0" w:rsidP="0052418C">
            <w:pPr>
              <w:autoSpaceDE w:val="0"/>
              <w:autoSpaceDN w:val="0"/>
              <w:adjustRightInd w:val="0"/>
              <w:spacing w:after="0" w:line="276" w:lineRule="auto"/>
              <w:jc w:val="center"/>
              <w:rPr>
                <w:rFonts w:ascii="ITC Avant Garde" w:hAnsi="ITC Avant Garde" w:cs="Arial"/>
                <w:i/>
                <w:sz w:val="18"/>
                <w:szCs w:val="18"/>
                <w:lang w:val="en-US"/>
              </w:rPr>
            </w:pPr>
            <w:r w:rsidRPr="0052418C">
              <w:rPr>
                <w:rFonts w:ascii="ITC Avant Garde" w:hAnsi="ITC Avant Garde" w:cs="Arial"/>
                <w:i/>
                <w:sz w:val="18"/>
                <w:szCs w:val="18"/>
                <w:lang w:val="es-ES_tradnl"/>
              </w:rPr>
              <w:t>Ethernet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9DCB2E" w14:textId="77777777" w:rsidR="00B033F0" w:rsidRPr="0052418C" w:rsidRDefault="00B033F0" w:rsidP="0052418C">
            <w:pPr>
              <w:autoSpaceDE w:val="0"/>
              <w:autoSpaceDN w:val="0"/>
              <w:adjustRightInd w:val="0"/>
              <w:spacing w:after="0" w:line="276" w:lineRule="auto"/>
              <w:jc w:val="center"/>
              <w:rPr>
                <w:rFonts w:ascii="ITC Avant Garde" w:hAnsi="ITC Avant Garde" w:cs="Arial"/>
                <w:i/>
                <w:sz w:val="18"/>
                <w:szCs w:val="18"/>
                <w:lang w:val="en-US"/>
              </w:rPr>
            </w:pPr>
            <w:r w:rsidRPr="0052418C">
              <w:rPr>
                <w:rFonts w:ascii="ITC Avant Garde" w:hAnsi="ITC Avant Garde" w:cs="Arial"/>
                <w:i/>
                <w:sz w:val="18"/>
                <w:szCs w:val="18"/>
                <w:lang w:val="en-US"/>
              </w:rPr>
              <w:t>1 Mbps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D886E6B" w14:textId="77777777" w:rsidR="00B033F0" w:rsidRPr="0052418C" w:rsidRDefault="00B033F0" w:rsidP="0052418C">
            <w:pPr>
              <w:autoSpaceDE w:val="0"/>
              <w:autoSpaceDN w:val="0"/>
              <w:adjustRightInd w:val="0"/>
              <w:spacing w:after="0" w:line="276" w:lineRule="auto"/>
              <w:jc w:val="center"/>
              <w:rPr>
                <w:rFonts w:ascii="ITC Avant Garde" w:hAnsi="ITC Avant Garde" w:cs="Arial"/>
                <w:i/>
                <w:sz w:val="18"/>
                <w:szCs w:val="18"/>
              </w:rPr>
            </w:pPr>
            <w:r w:rsidRPr="0052418C">
              <w:rPr>
                <w:rFonts w:ascii="ITC Avant Garde" w:hAnsi="ITC Avant Garde" w:cs="Arial"/>
                <w:i/>
                <w:sz w:val="18"/>
                <w:szCs w:val="18"/>
              </w:rPr>
              <w:t>25 días hábiles</w:t>
            </w:r>
          </w:p>
        </w:tc>
      </w:tr>
      <w:tr w:rsidR="00B033F0" w:rsidRPr="0052418C" w14:paraId="2310F171" w14:textId="77777777" w:rsidTr="00971200">
        <w:trPr>
          <w:trHeight w:val="267"/>
          <w:jc w:val="center"/>
        </w:trPr>
        <w:tc>
          <w:tcPr>
            <w:tcW w:w="2405" w:type="dxa"/>
            <w:tcBorders>
              <w:top w:val="single" w:sz="4" w:space="0" w:color="auto"/>
              <w:left w:val="single" w:sz="4" w:space="0" w:color="auto"/>
              <w:bottom w:val="single" w:sz="4" w:space="0" w:color="auto"/>
              <w:right w:val="single" w:sz="4" w:space="0" w:color="auto"/>
            </w:tcBorders>
          </w:tcPr>
          <w:p w14:paraId="2453ABAB" w14:textId="77777777" w:rsidR="00B033F0" w:rsidRPr="0052418C" w:rsidRDefault="00B033F0" w:rsidP="0052418C">
            <w:pPr>
              <w:autoSpaceDE w:val="0"/>
              <w:autoSpaceDN w:val="0"/>
              <w:adjustRightInd w:val="0"/>
              <w:spacing w:after="0" w:line="276" w:lineRule="auto"/>
              <w:jc w:val="center"/>
              <w:rPr>
                <w:rFonts w:ascii="ITC Avant Garde" w:hAnsi="ITC Avant Garde" w:cs="Arial"/>
                <w:i/>
                <w:sz w:val="18"/>
                <w:szCs w:val="18"/>
                <w:lang w:val="en-US"/>
              </w:rPr>
            </w:pPr>
            <w:r w:rsidRPr="0052418C">
              <w:rPr>
                <w:rFonts w:ascii="ITC Avant Garde" w:hAnsi="ITC Avant Garde" w:cs="Arial"/>
                <w:i/>
                <w:sz w:val="18"/>
                <w:szCs w:val="18"/>
                <w:lang w:val="en-US"/>
              </w:rPr>
              <w:t>Ethernet</w:t>
            </w:r>
          </w:p>
        </w:tc>
        <w:tc>
          <w:tcPr>
            <w:tcW w:w="2552" w:type="dxa"/>
            <w:tcBorders>
              <w:top w:val="single" w:sz="4" w:space="0" w:color="auto"/>
              <w:left w:val="single" w:sz="4" w:space="0" w:color="auto"/>
              <w:bottom w:val="single" w:sz="4" w:space="0" w:color="auto"/>
              <w:right w:val="single" w:sz="4" w:space="0" w:color="auto"/>
            </w:tcBorders>
            <w:vAlign w:val="center"/>
          </w:tcPr>
          <w:p w14:paraId="38ED8E65" w14:textId="77777777" w:rsidR="00B033F0" w:rsidRPr="0052418C" w:rsidRDefault="00B033F0" w:rsidP="0052418C">
            <w:pPr>
              <w:autoSpaceDE w:val="0"/>
              <w:autoSpaceDN w:val="0"/>
              <w:adjustRightInd w:val="0"/>
              <w:spacing w:after="0" w:line="276" w:lineRule="auto"/>
              <w:jc w:val="center"/>
              <w:rPr>
                <w:rFonts w:ascii="ITC Avant Garde" w:hAnsi="ITC Avant Garde" w:cs="Arial"/>
                <w:i/>
                <w:sz w:val="18"/>
                <w:szCs w:val="18"/>
                <w:lang w:val="en-US"/>
              </w:rPr>
            </w:pPr>
            <w:r w:rsidRPr="0052418C">
              <w:rPr>
                <w:rFonts w:ascii="ITC Avant Garde" w:hAnsi="ITC Avant Garde" w:cs="Arial"/>
                <w:i/>
                <w:sz w:val="18"/>
                <w:szCs w:val="18"/>
                <w:lang w:val="en-US"/>
              </w:rPr>
              <w:t>2 Mbps</w:t>
            </w:r>
          </w:p>
        </w:tc>
        <w:tc>
          <w:tcPr>
            <w:tcW w:w="2409" w:type="dxa"/>
            <w:tcBorders>
              <w:top w:val="single" w:sz="4" w:space="0" w:color="auto"/>
              <w:left w:val="single" w:sz="4" w:space="0" w:color="auto"/>
              <w:bottom w:val="single" w:sz="4" w:space="0" w:color="auto"/>
              <w:right w:val="single" w:sz="4" w:space="0" w:color="auto"/>
            </w:tcBorders>
            <w:vAlign w:val="center"/>
          </w:tcPr>
          <w:p w14:paraId="0C7C9947" w14:textId="77777777" w:rsidR="00B033F0" w:rsidRPr="0052418C" w:rsidRDefault="00B033F0" w:rsidP="0052418C">
            <w:pPr>
              <w:autoSpaceDE w:val="0"/>
              <w:autoSpaceDN w:val="0"/>
              <w:adjustRightInd w:val="0"/>
              <w:spacing w:after="0" w:line="276" w:lineRule="auto"/>
              <w:jc w:val="center"/>
              <w:rPr>
                <w:rFonts w:ascii="ITC Avant Garde" w:hAnsi="ITC Avant Garde" w:cs="Arial"/>
                <w:i/>
                <w:sz w:val="18"/>
                <w:szCs w:val="18"/>
              </w:rPr>
            </w:pPr>
            <w:r w:rsidRPr="0052418C">
              <w:rPr>
                <w:rFonts w:ascii="ITC Avant Garde" w:hAnsi="ITC Avant Garde" w:cs="Arial"/>
                <w:i/>
                <w:sz w:val="18"/>
                <w:szCs w:val="18"/>
              </w:rPr>
              <w:t>25 días hábiles</w:t>
            </w:r>
          </w:p>
        </w:tc>
      </w:tr>
      <w:tr w:rsidR="00B033F0" w:rsidRPr="0052418C" w14:paraId="7CAF027D" w14:textId="77777777" w:rsidTr="00971200">
        <w:trPr>
          <w:trHeight w:val="267"/>
          <w:jc w:val="center"/>
        </w:trPr>
        <w:tc>
          <w:tcPr>
            <w:tcW w:w="2405" w:type="dxa"/>
            <w:tcBorders>
              <w:top w:val="single" w:sz="4" w:space="0" w:color="auto"/>
              <w:left w:val="single" w:sz="4" w:space="0" w:color="auto"/>
              <w:bottom w:val="single" w:sz="4" w:space="0" w:color="auto"/>
              <w:right w:val="single" w:sz="4" w:space="0" w:color="auto"/>
            </w:tcBorders>
          </w:tcPr>
          <w:p w14:paraId="5C0B3BD0" w14:textId="77777777" w:rsidR="00B033F0" w:rsidRPr="0052418C" w:rsidRDefault="00B033F0" w:rsidP="0052418C">
            <w:pPr>
              <w:autoSpaceDE w:val="0"/>
              <w:autoSpaceDN w:val="0"/>
              <w:adjustRightInd w:val="0"/>
              <w:spacing w:after="0" w:line="276" w:lineRule="auto"/>
              <w:jc w:val="center"/>
              <w:rPr>
                <w:rFonts w:ascii="ITC Avant Garde" w:hAnsi="ITC Avant Garde" w:cs="Arial"/>
                <w:i/>
                <w:sz w:val="18"/>
                <w:szCs w:val="18"/>
                <w:lang w:val="en-US"/>
              </w:rPr>
            </w:pPr>
            <w:r w:rsidRPr="0052418C">
              <w:rPr>
                <w:rFonts w:ascii="ITC Avant Garde" w:hAnsi="ITC Avant Garde" w:cs="Arial"/>
                <w:i/>
                <w:sz w:val="18"/>
                <w:szCs w:val="18"/>
                <w:lang w:val="en-US"/>
              </w:rPr>
              <w:t>Ethernet</w:t>
            </w:r>
          </w:p>
        </w:tc>
        <w:tc>
          <w:tcPr>
            <w:tcW w:w="2552" w:type="dxa"/>
            <w:tcBorders>
              <w:top w:val="single" w:sz="4" w:space="0" w:color="auto"/>
              <w:left w:val="single" w:sz="4" w:space="0" w:color="auto"/>
              <w:bottom w:val="single" w:sz="4" w:space="0" w:color="auto"/>
              <w:right w:val="single" w:sz="4" w:space="0" w:color="auto"/>
            </w:tcBorders>
            <w:vAlign w:val="center"/>
          </w:tcPr>
          <w:p w14:paraId="36028A82" w14:textId="77777777" w:rsidR="00B033F0" w:rsidRPr="0052418C" w:rsidRDefault="00B033F0" w:rsidP="0052418C">
            <w:pPr>
              <w:autoSpaceDE w:val="0"/>
              <w:autoSpaceDN w:val="0"/>
              <w:adjustRightInd w:val="0"/>
              <w:spacing w:after="0" w:line="276" w:lineRule="auto"/>
              <w:jc w:val="center"/>
              <w:rPr>
                <w:rFonts w:ascii="ITC Avant Garde" w:hAnsi="ITC Avant Garde" w:cs="Arial"/>
                <w:i/>
                <w:sz w:val="18"/>
                <w:szCs w:val="18"/>
                <w:lang w:val="en-US"/>
              </w:rPr>
            </w:pPr>
            <w:r w:rsidRPr="0052418C">
              <w:rPr>
                <w:rFonts w:ascii="ITC Avant Garde" w:hAnsi="ITC Avant Garde" w:cs="Arial"/>
                <w:i/>
                <w:sz w:val="18"/>
                <w:szCs w:val="18"/>
                <w:lang w:val="en-US"/>
              </w:rPr>
              <w:t>4 Mbps</w:t>
            </w:r>
          </w:p>
        </w:tc>
        <w:tc>
          <w:tcPr>
            <w:tcW w:w="2409" w:type="dxa"/>
            <w:tcBorders>
              <w:top w:val="single" w:sz="4" w:space="0" w:color="auto"/>
              <w:left w:val="single" w:sz="4" w:space="0" w:color="auto"/>
              <w:bottom w:val="single" w:sz="4" w:space="0" w:color="auto"/>
              <w:right w:val="single" w:sz="4" w:space="0" w:color="auto"/>
            </w:tcBorders>
            <w:vAlign w:val="center"/>
          </w:tcPr>
          <w:p w14:paraId="1A885EF1" w14:textId="77777777" w:rsidR="00B033F0" w:rsidRPr="0052418C" w:rsidRDefault="00B033F0" w:rsidP="0052418C">
            <w:pPr>
              <w:autoSpaceDE w:val="0"/>
              <w:autoSpaceDN w:val="0"/>
              <w:adjustRightInd w:val="0"/>
              <w:spacing w:after="0" w:line="276" w:lineRule="auto"/>
              <w:jc w:val="center"/>
              <w:rPr>
                <w:rFonts w:ascii="ITC Avant Garde" w:hAnsi="ITC Avant Garde" w:cs="Arial"/>
                <w:i/>
                <w:sz w:val="18"/>
                <w:szCs w:val="18"/>
              </w:rPr>
            </w:pPr>
            <w:r w:rsidRPr="0052418C">
              <w:rPr>
                <w:rFonts w:ascii="ITC Avant Garde" w:hAnsi="ITC Avant Garde" w:cs="Arial"/>
                <w:i/>
                <w:sz w:val="18"/>
                <w:szCs w:val="18"/>
              </w:rPr>
              <w:t>25 días hábiles</w:t>
            </w:r>
          </w:p>
        </w:tc>
      </w:tr>
      <w:tr w:rsidR="00B033F0" w:rsidRPr="0052418C" w14:paraId="4156EDC3" w14:textId="77777777" w:rsidTr="00971200">
        <w:trPr>
          <w:trHeight w:val="267"/>
          <w:jc w:val="center"/>
        </w:trPr>
        <w:tc>
          <w:tcPr>
            <w:tcW w:w="2405" w:type="dxa"/>
            <w:tcBorders>
              <w:top w:val="single" w:sz="4" w:space="0" w:color="auto"/>
              <w:left w:val="single" w:sz="4" w:space="0" w:color="auto"/>
              <w:bottom w:val="single" w:sz="4" w:space="0" w:color="auto"/>
              <w:right w:val="single" w:sz="4" w:space="0" w:color="auto"/>
            </w:tcBorders>
          </w:tcPr>
          <w:p w14:paraId="60FF656D" w14:textId="77777777" w:rsidR="00B033F0" w:rsidRPr="0052418C" w:rsidRDefault="00B033F0" w:rsidP="0052418C">
            <w:pPr>
              <w:autoSpaceDE w:val="0"/>
              <w:autoSpaceDN w:val="0"/>
              <w:adjustRightInd w:val="0"/>
              <w:spacing w:after="0" w:line="276" w:lineRule="auto"/>
              <w:jc w:val="center"/>
              <w:rPr>
                <w:rFonts w:ascii="ITC Avant Garde" w:hAnsi="ITC Avant Garde" w:cs="Arial"/>
                <w:i/>
                <w:sz w:val="18"/>
                <w:szCs w:val="18"/>
                <w:lang w:val="en-US"/>
              </w:rPr>
            </w:pPr>
            <w:r w:rsidRPr="0052418C">
              <w:rPr>
                <w:rFonts w:ascii="ITC Avant Garde" w:hAnsi="ITC Avant Garde" w:cs="Arial"/>
                <w:i/>
                <w:sz w:val="18"/>
                <w:szCs w:val="18"/>
                <w:lang w:val="en-US"/>
              </w:rPr>
              <w:t>Ethernet</w:t>
            </w:r>
          </w:p>
        </w:tc>
        <w:tc>
          <w:tcPr>
            <w:tcW w:w="2552" w:type="dxa"/>
            <w:tcBorders>
              <w:top w:val="single" w:sz="4" w:space="0" w:color="auto"/>
              <w:left w:val="single" w:sz="4" w:space="0" w:color="auto"/>
              <w:bottom w:val="single" w:sz="4" w:space="0" w:color="auto"/>
              <w:right w:val="single" w:sz="4" w:space="0" w:color="auto"/>
            </w:tcBorders>
            <w:vAlign w:val="center"/>
          </w:tcPr>
          <w:p w14:paraId="40E2F5B7" w14:textId="77777777" w:rsidR="00B033F0" w:rsidRPr="0052418C" w:rsidRDefault="00B033F0" w:rsidP="0052418C">
            <w:pPr>
              <w:autoSpaceDE w:val="0"/>
              <w:autoSpaceDN w:val="0"/>
              <w:adjustRightInd w:val="0"/>
              <w:spacing w:after="0" w:line="276" w:lineRule="auto"/>
              <w:jc w:val="center"/>
              <w:rPr>
                <w:rFonts w:ascii="ITC Avant Garde" w:hAnsi="ITC Avant Garde" w:cs="Arial"/>
                <w:i/>
                <w:sz w:val="18"/>
                <w:szCs w:val="18"/>
                <w:lang w:val="en-US"/>
              </w:rPr>
            </w:pPr>
            <w:r w:rsidRPr="0052418C">
              <w:rPr>
                <w:rFonts w:ascii="ITC Avant Garde" w:hAnsi="ITC Avant Garde" w:cs="Arial"/>
                <w:i/>
                <w:sz w:val="18"/>
                <w:szCs w:val="18"/>
                <w:lang w:val="en-US"/>
              </w:rPr>
              <w:t>6 Mbps</w:t>
            </w:r>
          </w:p>
        </w:tc>
        <w:tc>
          <w:tcPr>
            <w:tcW w:w="2409" w:type="dxa"/>
            <w:tcBorders>
              <w:top w:val="single" w:sz="4" w:space="0" w:color="auto"/>
              <w:left w:val="single" w:sz="4" w:space="0" w:color="auto"/>
              <w:bottom w:val="single" w:sz="4" w:space="0" w:color="auto"/>
              <w:right w:val="single" w:sz="4" w:space="0" w:color="auto"/>
            </w:tcBorders>
            <w:vAlign w:val="center"/>
          </w:tcPr>
          <w:p w14:paraId="5DF955A1" w14:textId="77777777" w:rsidR="00B033F0" w:rsidRPr="0052418C" w:rsidRDefault="00B033F0" w:rsidP="0052418C">
            <w:pPr>
              <w:autoSpaceDE w:val="0"/>
              <w:autoSpaceDN w:val="0"/>
              <w:adjustRightInd w:val="0"/>
              <w:spacing w:after="0" w:line="276" w:lineRule="auto"/>
              <w:jc w:val="center"/>
              <w:rPr>
                <w:rFonts w:ascii="ITC Avant Garde" w:hAnsi="ITC Avant Garde" w:cs="Arial"/>
                <w:i/>
                <w:sz w:val="18"/>
                <w:szCs w:val="18"/>
              </w:rPr>
            </w:pPr>
            <w:r w:rsidRPr="0052418C">
              <w:rPr>
                <w:rFonts w:ascii="ITC Avant Garde" w:hAnsi="ITC Avant Garde" w:cs="Arial"/>
                <w:i/>
                <w:sz w:val="18"/>
                <w:szCs w:val="18"/>
              </w:rPr>
              <w:t>25 días hábiles</w:t>
            </w:r>
          </w:p>
        </w:tc>
      </w:tr>
      <w:tr w:rsidR="00B033F0" w:rsidRPr="0052418C" w14:paraId="3D8B1F0D" w14:textId="77777777" w:rsidTr="00971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2405" w:type="dxa"/>
            <w:vAlign w:val="center"/>
          </w:tcPr>
          <w:p w14:paraId="3EEC1760" w14:textId="77777777" w:rsidR="00B033F0" w:rsidRPr="0052418C" w:rsidRDefault="00B033F0" w:rsidP="0052418C">
            <w:pPr>
              <w:autoSpaceDE w:val="0"/>
              <w:autoSpaceDN w:val="0"/>
              <w:adjustRightInd w:val="0"/>
              <w:spacing w:after="0" w:line="276" w:lineRule="auto"/>
              <w:jc w:val="center"/>
              <w:rPr>
                <w:rFonts w:ascii="ITC Avant Garde" w:hAnsi="ITC Avant Garde" w:cs="Arial"/>
                <w:i/>
                <w:sz w:val="18"/>
                <w:szCs w:val="18"/>
                <w:lang w:val="en-US"/>
              </w:rPr>
            </w:pPr>
            <w:r w:rsidRPr="0052418C">
              <w:rPr>
                <w:rFonts w:ascii="ITC Avant Garde" w:hAnsi="ITC Avant Garde" w:cs="Arial"/>
                <w:i/>
                <w:sz w:val="18"/>
                <w:szCs w:val="18"/>
                <w:lang w:val="en-US"/>
              </w:rPr>
              <w:t>Ethernet</w:t>
            </w:r>
          </w:p>
        </w:tc>
        <w:tc>
          <w:tcPr>
            <w:tcW w:w="2552" w:type="dxa"/>
            <w:vAlign w:val="center"/>
          </w:tcPr>
          <w:p w14:paraId="024986EF" w14:textId="77777777" w:rsidR="00B033F0" w:rsidRPr="0052418C" w:rsidRDefault="00B033F0" w:rsidP="0052418C">
            <w:pPr>
              <w:autoSpaceDE w:val="0"/>
              <w:autoSpaceDN w:val="0"/>
              <w:adjustRightInd w:val="0"/>
              <w:spacing w:after="0" w:line="276" w:lineRule="auto"/>
              <w:jc w:val="center"/>
              <w:rPr>
                <w:rFonts w:ascii="ITC Avant Garde" w:hAnsi="ITC Avant Garde" w:cs="Arial"/>
                <w:i/>
                <w:sz w:val="18"/>
                <w:szCs w:val="18"/>
                <w:lang w:val="en-US"/>
              </w:rPr>
            </w:pPr>
            <w:r w:rsidRPr="0052418C">
              <w:rPr>
                <w:rFonts w:ascii="ITC Avant Garde" w:hAnsi="ITC Avant Garde" w:cs="Arial"/>
                <w:i/>
                <w:sz w:val="18"/>
                <w:szCs w:val="18"/>
                <w:lang w:val="en-US"/>
              </w:rPr>
              <w:t>8 Mbps a 100 Gbps</w:t>
            </w:r>
          </w:p>
        </w:tc>
        <w:tc>
          <w:tcPr>
            <w:tcW w:w="2409" w:type="dxa"/>
            <w:tcBorders>
              <w:top w:val="single" w:sz="6" w:space="0" w:color="000000"/>
              <w:left w:val="single" w:sz="6" w:space="0" w:color="000000"/>
              <w:bottom w:val="single" w:sz="6" w:space="0" w:color="000000"/>
              <w:right w:val="single" w:sz="6" w:space="0" w:color="000000"/>
            </w:tcBorders>
            <w:vAlign w:val="center"/>
          </w:tcPr>
          <w:p w14:paraId="59CA361F" w14:textId="5EAA1F99" w:rsidR="00B033F0" w:rsidRPr="0052418C" w:rsidRDefault="00B033F0" w:rsidP="0052418C">
            <w:pPr>
              <w:autoSpaceDE w:val="0"/>
              <w:autoSpaceDN w:val="0"/>
              <w:adjustRightInd w:val="0"/>
              <w:spacing w:after="0" w:line="276" w:lineRule="auto"/>
              <w:jc w:val="center"/>
              <w:rPr>
                <w:rFonts w:ascii="ITC Avant Garde" w:hAnsi="ITC Avant Garde" w:cs="Arial"/>
                <w:i/>
                <w:sz w:val="18"/>
                <w:szCs w:val="18"/>
              </w:rPr>
            </w:pPr>
            <w:r w:rsidRPr="0052418C">
              <w:rPr>
                <w:rFonts w:ascii="ITC Avant Garde" w:hAnsi="ITC Avant Garde" w:cs="Arial"/>
                <w:i/>
                <w:sz w:val="18"/>
                <w:szCs w:val="18"/>
              </w:rPr>
              <w:t>60 días hábiles</w:t>
            </w:r>
          </w:p>
        </w:tc>
      </w:tr>
    </w:tbl>
    <w:p w14:paraId="4C43B2DC" w14:textId="77777777" w:rsidR="00B943CD" w:rsidRPr="0052418C" w:rsidRDefault="00B943CD" w:rsidP="0052418C">
      <w:pPr>
        <w:autoSpaceDE w:val="0"/>
        <w:autoSpaceDN w:val="0"/>
        <w:spacing w:after="0" w:line="276" w:lineRule="auto"/>
        <w:ind w:left="567" w:right="616" w:hanging="283"/>
        <w:jc w:val="center"/>
        <w:rPr>
          <w:rFonts w:ascii="ITC Avant Garde" w:hAnsi="ITC Avant Garde" w:cs="Arial"/>
          <w:i/>
        </w:rPr>
      </w:pPr>
    </w:p>
    <w:p w14:paraId="456F40CA" w14:textId="7A3F8D1A" w:rsidR="00B033F0" w:rsidRPr="0052418C" w:rsidRDefault="00E50BDD" w:rsidP="0052418C">
      <w:pPr>
        <w:autoSpaceDE w:val="0"/>
        <w:autoSpaceDN w:val="0"/>
        <w:spacing w:after="0" w:line="276" w:lineRule="auto"/>
        <w:ind w:left="567" w:right="567"/>
        <w:rPr>
          <w:rFonts w:ascii="ITC Avant Garde" w:hAnsi="ITC Avant Garde" w:cs="Arial"/>
          <w:i/>
          <w:sz w:val="18"/>
          <w:szCs w:val="18"/>
        </w:rPr>
      </w:pPr>
      <w:r w:rsidRPr="0052418C">
        <w:rPr>
          <w:rFonts w:ascii="ITC Avant Garde" w:hAnsi="ITC Avant Garde" w:cs="Arial"/>
          <w:i/>
          <w:sz w:val="18"/>
          <w:szCs w:val="18"/>
        </w:rPr>
        <w:t>Para el caso del Servicio de Enlace de Transmisión de Interconexión y entre Coubicaciones de Interconexión, Red Nacional estará obligada a entregar bajo cualquier circunstancia dichos servicios en un plazo no mayor a quince días hábiles</w:t>
      </w:r>
      <w:r w:rsidR="00B033F0" w:rsidRPr="0052418C">
        <w:rPr>
          <w:rFonts w:ascii="ITC Avant Garde" w:hAnsi="ITC Avant Garde" w:cs="Arial"/>
          <w:i/>
          <w:sz w:val="18"/>
          <w:szCs w:val="18"/>
        </w:rPr>
        <w:t>.</w:t>
      </w:r>
    </w:p>
    <w:p w14:paraId="3411E319" w14:textId="1C0BDF8F" w:rsidR="00E50BDD" w:rsidRPr="0052418C" w:rsidRDefault="00E50BDD" w:rsidP="0052418C">
      <w:pPr>
        <w:autoSpaceDE w:val="0"/>
        <w:autoSpaceDN w:val="0"/>
        <w:spacing w:after="0" w:line="276" w:lineRule="auto"/>
        <w:ind w:left="567" w:right="567"/>
        <w:rPr>
          <w:rFonts w:ascii="ITC Avant Garde" w:hAnsi="ITC Avant Garde" w:cs="Arial"/>
          <w:i/>
          <w:sz w:val="18"/>
          <w:szCs w:val="18"/>
        </w:rPr>
      </w:pPr>
    </w:p>
    <w:tbl>
      <w:tblPr>
        <w:tblW w:w="65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11"/>
        <w:gridCol w:w="2409"/>
      </w:tblGrid>
      <w:tr w:rsidR="00E50BDD" w:rsidRPr="0052418C" w14:paraId="663CBE0A" w14:textId="77777777" w:rsidTr="0036142B">
        <w:trPr>
          <w:trHeight w:val="267"/>
          <w:jc w:val="center"/>
        </w:trPr>
        <w:tc>
          <w:tcPr>
            <w:tcW w:w="4111" w:type="dxa"/>
            <w:tcBorders>
              <w:top w:val="single" w:sz="4" w:space="0" w:color="auto"/>
              <w:left w:val="single" w:sz="4" w:space="0" w:color="auto"/>
              <w:bottom w:val="single" w:sz="4" w:space="0" w:color="auto"/>
              <w:right w:val="single" w:sz="4" w:space="0" w:color="auto"/>
            </w:tcBorders>
          </w:tcPr>
          <w:p w14:paraId="75EB14E8" w14:textId="07CFE9B7" w:rsidR="00E50BDD" w:rsidRPr="0052418C" w:rsidRDefault="00E50BDD" w:rsidP="0052418C">
            <w:pPr>
              <w:autoSpaceDE w:val="0"/>
              <w:autoSpaceDN w:val="0"/>
              <w:adjustRightInd w:val="0"/>
              <w:spacing w:after="0" w:line="276" w:lineRule="auto"/>
              <w:jc w:val="center"/>
              <w:rPr>
                <w:rFonts w:ascii="ITC Avant Garde" w:hAnsi="ITC Avant Garde" w:cs="Arial"/>
                <w:i/>
                <w:sz w:val="18"/>
                <w:szCs w:val="18"/>
              </w:rPr>
            </w:pPr>
            <w:r w:rsidRPr="0052418C">
              <w:rPr>
                <w:rFonts w:ascii="ITC Avant Garde" w:hAnsi="ITC Avant Garde" w:cs="Arial"/>
                <w:i/>
                <w:sz w:val="18"/>
                <w:szCs w:val="18"/>
              </w:rPr>
              <w:t>Enlace Dedicado de Interconexión Locales</w:t>
            </w:r>
          </w:p>
        </w:tc>
        <w:tc>
          <w:tcPr>
            <w:tcW w:w="2409" w:type="dxa"/>
            <w:tcBorders>
              <w:top w:val="single" w:sz="4" w:space="0" w:color="auto"/>
              <w:left w:val="single" w:sz="4" w:space="0" w:color="auto"/>
              <w:bottom w:val="single" w:sz="4" w:space="0" w:color="auto"/>
              <w:right w:val="single" w:sz="4" w:space="0" w:color="auto"/>
            </w:tcBorders>
            <w:vAlign w:val="center"/>
          </w:tcPr>
          <w:p w14:paraId="2180D374" w14:textId="0930D811" w:rsidR="00E50BDD" w:rsidRPr="0052418C" w:rsidRDefault="00E50BDD" w:rsidP="0052418C">
            <w:pPr>
              <w:autoSpaceDE w:val="0"/>
              <w:autoSpaceDN w:val="0"/>
              <w:adjustRightInd w:val="0"/>
              <w:spacing w:after="0" w:line="276" w:lineRule="auto"/>
              <w:jc w:val="center"/>
              <w:rPr>
                <w:rFonts w:ascii="ITC Avant Garde" w:hAnsi="ITC Avant Garde" w:cs="Arial"/>
                <w:i/>
                <w:sz w:val="18"/>
                <w:szCs w:val="18"/>
              </w:rPr>
            </w:pPr>
            <w:r w:rsidRPr="0052418C">
              <w:rPr>
                <w:rFonts w:ascii="ITC Avant Garde" w:hAnsi="ITC Avant Garde" w:cs="Arial"/>
                <w:i/>
                <w:sz w:val="18"/>
                <w:szCs w:val="18"/>
              </w:rPr>
              <w:t>15 días hábiles</w:t>
            </w:r>
          </w:p>
        </w:tc>
      </w:tr>
      <w:tr w:rsidR="00E50BDD" w:rsidRPr="0052418C" w14:paraId="387DD9C7" w14:textId="77777777" w:rsidTr="00361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4111" w:type="dxa"/>
            <w:vAlign w:val="center"/>
          </w:tcPr>
          <w:p w14:paraId="4353689D" w14:textId="6366B8F9" w:rsidR="00E50BDD" w:rsidRPr="0052418C" w:rsidRDefault="00E50BDD" w:rsidP="0052418C">
            <w:pPr>
              <w:autoSpaceDE w:val="0"/>
              <w:autoSpaceDN w:val="0"/>
              <w:adjustRightInd w:val="0"/>
              <w:spacing w:after="0" w:line="276" w:lineRule="auto"/>
              <w:jc w:val="center"/>
              <w:rPr>
                <w:rFonts w:ascii="ITC Avant Garde" w:hAnsi="ITC Avant Garde" w:cs="Arial"/>
                <w:i/>
                <w:sz w:val="18"/>
                <w:szCs w:val="18"/>
              </w:rPr>
            </w:pPr>
            <w:r w:rsidRPr="0052418C">
              <w:rPr>
                <w:rFonts w:ascii="ITC Avant Garde" w:hAnsi="ITC Avant Garde" w:cs="Arial"/>
                <w:i/>
                <w:sz w:val="18"/>
                <w:szCs w:val="18"/>
              </w:rPr>
              <w:t>Enlace Dedicado de Trasmisión entre coubicaciones gestionado y no gestionado</w:t>
            </w:r>
          </w:p>
        </w:tc>
        <w:tc>
          <w:tcPr>
            <w:tcW w:w="2409" w:type="dxa"/>
            <w:tcBorders>
              <w:top w:val="single" w:sz="6" w:space="0" w:color="000000"/>
              <w:left w:val="single" w:sz="6" w:space="0" w:color="000000"/>
              <w:bottom w:val="single" w:sz="6" w:space="0" w:color="000000"/>
              <w:right w:val="single" w:sz="6" w:space="0" w:color="000000"/>
            </w:tcBorders>
            <w:vAlign w:val="center"/>
          </w:tcPr>
          <w:p w14:paraId="659C4E89" w14:textId="24943FA8" w:rsidR="00E50BDD" w:rsidRPr="0052418C" w:rsidRDefault="00E50BDD" w:rsidP="0052418C">
            <w:pPr>
              <w:autoSpaceDE w:val="0"/>
              <w:autoSpaceDN w:val="0"/>
              <w:adjustRightInd w:val="0"/>
              <w:spacing w:after="0" w:line="276" w:lineRule="auto"/>
              <w:jc w:val="center"/>
              <w:rPr>
                <w:rFonts w:ascii="ITC Avant Garde" w:hAnsi="ITC Avant Garde" w:cs="Arial"/>
                <w:i/>
                <w:sz w:val="18"/>
                <w:szCs w:val="18"/>
              </w:rPr>
            </w:pPr>
            <w:r w:rsidRPr="0052418C">
              <w:rPr>
                <w:rFonts w:ascii="ITC Avant Garde" w:hAnsi="ITC Avant Garde" w:cs="Arial"/>
                <w:i/>
                <w:sz w:val="18"/>
                <w:szCs w:val="18"/>
              </w:rPr>
              <w:t>15 días hábiles</w:t>
            </w:r>
          </w:p>
        </w:tc>
      </w:tr>
    </w:tbl>
    <w:p w14:paraId="53777A7A" w14:textId="77777777" w:rsidR="00E50BDD" w:rsidRPr="0052418C" w:rsidRDefault="00E50BDD" w:rsidP="0052418C">
      <w:pPr>
        <w:autoSpaceDE w:val="0"/>
        <w:autoSpaceDN w:val="0"/>
        <w:spacing w:after="0" w:line="276" w:lineRule="auto"/>
        <w:ind w:left="567" w:right="567"/>
        <w:rPr>
          <w:rFonts w:ascii="ITC Avant Garde" w:hAnsi="ITC Avant Garde" w:cs="Arial"/>
          <w:i/>
          <w:sz w:val="18"/>
          <w:szCs w:val="18"/>
        </w:rPr>
      </w:pPr>
    </w:p>
    <w:p w14:paraId="7E7B7A01" w14:textId="196C6F74" w:rsidR="00061632" w:rsidRPr="0052418C" w:rsidRDefault="00C56BF6" w:rsidP="0052418C">
      <w:pPr>
        <w:autoSpaceDE w:val="0"/>
        <w:autoSpaceDN w:val="0"/>
        <w:adjustRightInd w:val="0"/>
        <w:spacing w:after="0" w:line="276" w:lineRule="auto"/>
        <w:ind w:left="0" w:right="0" w:firstLine="0"/>
        <w:rPr>
          <w:rFonts w:ascii="ITC Avant Garde" w:eastAsia="Times New Roman" w:hAnsi="ITC Avant Garde" w:cs="Arial"/>
          <w:color w:val="auto"/>
        </w:rPr>
      </w:pPr>
      <w:r w:rsidRPr="0052418C">
        <w:rPr>
          <w:rFonts w:ascii="ITC Avant Garde" w:hAnsi="ITC Avant Garde" w:cs="Arial"/>
          <w:color w:val="auto"/>
        </w:rPr>
        <w:t>Ahora bien</w:t>
      </w:r>
      <w:r w:rsidR="00AE2D65" w:rsidRPr="0052418C">
        <w:rPr>
          <w:rFonts w:ascii="ITC Avant Garde" w:hAnsi="ITC Avant Garde" w:cs="Arial"/>
          <w:color w:val="auto"/>
        </w:rPr>
        <w:t>,</w:t>
      </w:r>
      <w:r w:rsidRPr="0052418C">
        <w:rPr>
          <w:rFonts w:ascii="ITC Avant Garde" w:hAnsi="ITC Avant Garde" w:cs="Arial"/>
          <w:color w:val="auto"/>
        </w:rPr>
        <w:t xml:space="preserve"> con respecto a lo señalado por</w:t>
      </w:r>
      <w:r w:rsidR="00717446" w:rsidRPr="0052418C">
        <w:rPr>
          <w:rFonts w:ascii="ITC Avant Garde" w:hAnsi="ITC Avant Garde" w:cs="Arial"/>
          <w:color w:val="auto"/>
        </w:rPr>
        <w:t xml:space="preserve"> </w:t>
      </w:r>
      <w:r w:rsidR="00AE2D65" w:rsidRPr="0052418C">
        <w:rPr>
          <w:rFonts w:ascii="ITC Avant Garde" w:hAnsi="ITC Avant Garde" w:cs="Arial"/>
          <w:color w:val="auto"/>
        </w:rPr>
        <w:t xml:space="preserve">Grupo </w:t>
      </w:r>
      <w:r w:rsidR="00717446" w:rsidRPr="0052418C">
        <w:rPr>
          <w:rFonts w:ascii="ITC Avant Garde" w:hAnsi="ITC Avant Garde" w:cs="Arial"/>
          <w:color w:val="auto"/>
        </w:rPr>
        <w:t xml:space="preserve">AT&amp;T en el sentido de </w:t>
      </w:r>
      <w:r w:rsidR="00717446" w:rsidRPr="0052418C">
        <w:rPr>
          <w:rFonts w:ascii="ITC Avant Garde" w:eastAsia="Times New Roman" w:hAnsi="ITC Avant Garde" w:cs="Arial"/>
          <w:color w:val="auto"/>
        </w:rPr>
        <w:t>definir el periodo de medición para el cumplimiento de los porcentajes,</w:t>
      </w:r>
      <w:r w:rsidRPr="0052418C">
        <w:rPr>
          <w:rFonts w:ascii="ITC Avant Garde" w:hAnsi="ITC Avant Garde" w:cs="Arial"/>
          <w:color w:val="auto"/>
        </w:rPr>
        <w:t xml:space="preserve"> </w:t>
      </w:r>
      <w:r w:rsidR="00717446" w:rsidRPr="0052418C">
        <w:rPr>
          <w:rFonts w:ascii="ITC Avant Garde" w:hAnsi="ITC Avant Garde" w:cs="Arial"/>
          <w:color w:val="auto"/>
        </w:rPr>
        <w:t>así como</w:t>
      </w:r>
      <w:r w:rsidR="00126516" w:rsidRPr="0052418C">
        <w:rPr>
          <w:rFonts w:ascii="ITC Avant Garde" w:hAnsi="ITC Avant Garde" w:cs="Arial"/>
          <w:color w:val="auto"/>
        </w:rPr>
        <w:t xml:space="preserve"> respecto a la publicación</w:t>
      </w:r>
      <w:r w:rsidRPr="0052418C">
        <w:rPr>
          <w:rFonts w:ascii="ITC Avant Garde" w:hAnsi="ITC Avant Garde" w:cs="Arial"/>
          <w:color w:val="auto"/>
        </w:rPr>
        <w:t xml:space="preserve"> de </w:t>
      </w:r>
      <w:r w:rsidRPr="0052418C">
        <w:rPr>
          <w:rFonts w:ascii="ITC Avant Garde" w:eastAsia="Times New Roman" w:hAnsi="ITC Avant Garde" w:cs="Arial"/>
          <w:color w:val="auto"/>
        </w:rPr>
        <w:t xml:space="preserve">los elementos valorados que </w:t>
      </w:r>
      <w:r w:rsidR="00E50BDD" w:rsidRPr="0052418C">
        <w:rPr>
          <w:rFonts w:ascii="ITC Avant Garde" w:eastAsia="Times New Roman" w:hAnsi="ITC Avant Garde" w:cs="Arial"/>
          <w:color w:val="auto"/>
        </w:rPr>
        <w:t xml:space="preserve">se </w:t>
      </w:r>
      <w:r w:rsidR="00126516" w:rsidRPr="0052418C">
        <w:rPr>
          <w:rFonts w:ascii="ITC Avant Garde" w:eastAsia="Times New Roman" w:hAnsi="ITC Avant Garde" w:cs="Arial"/>
          <w:color w:val="auto"/>
        </w:rPr>
        <w:t>emplea</w:t>
      </w:r>
      <w:r w:rsidR="00E50BDD" w:rsidRPr="0052418C">
        <w:rPr>
          <w:rFonts w:ascii="ITC Avant Garde" w:eastAsia="Times New Roman" w:hAnsi="ITC Avant Garde" w:cs="Arial"/>
          <w:color w:val="auto"/>
        </w:rPr>
        <w:t>n</w:t>
      </w:r>
      <w:r w:rsidRPr="0052418C">
        <w:rPr>
          <w:rFonts w:ascii="ITC Avant Garde" w:eastAsia="Times New Roman" w:hAnsi="ITC Avant Garde" w:cs="Arial"/>
          <w:color w:val="auto"/>
        </w:rPr>
        <w:t xml:space="preserve"> para asegurar que </w:t>
      </w:r>
      <w:r w:rsidR="00C91A66" w:rsidRPr="0052418C">
        <w:rPr>
          <w:rFonts w:ascii="ITC Avant Garde" w:eastAsia="Times New Roman" w:hAnsi="ITC Avant Garde" w:cs="Arial"/>
          <w:color w:val="auto"/>
        </w:rPr>
        <w:t>la EM</w:t>
      </w:r>
      <w:r w:rsidR="00E50BDD" w:rsidRPr="0052418C">
        <w:rPr>
          <w:rFonts w:ascii="ITC Avant Garde" w:eastAsia="Times New Roman" w:hAnsi="ITC Avant Garde" w:cs="Arial"/>
          <w:color w:val="auto"/>
        </w:rPr>
        <w:t xml:space="preserve"> cumple</w:t>
      </w:r>
      <w:r w:rsidRPr="0052418C">
        <w:rPr>
          <w:rFonts w:ascii="ITC Avant Garde" w:eastAsia="Times New Roman" w:hAnsi="ITC Avant Garde" w:cs="Arial"/>
          <w:color w:val="auto"/>
        </w:rPr>
        <w:t xml:space="preserve"> </w:t>
      </w:r>
      <w:r w:rsidR="00126516" w:rsidRPr="0052418C">
        <w:rPr>
          <w:rFonts w:ascii="ITC Avant Garde" w:eastAsia="Times New Roman" w:hAnsi="ITC Avant Garde" w:cs="Arial"/>
          <w:color w:val="auto"/>
        </w:rPr>
        <w:t xml:space="preserve">con </w:t>
      </w:r>
      <w:r w:rsidRPr="0052418C">
        <w:rPr>
          <w:rFonts w:ascii="ITC Avant Garde" w:eastAsia="Times New Roman" w:hAnsi="ITC Avant Garde" w:cs="Arial"/>
          <w:color w:val="auto"/>
        </w:rPr>
        <w:t>la obligación de igualar la calidad de servicio de los clientes mayoristas respecto a la de los clientes propios</w:t>
      </w:r>
      <w:r w:rsidR="00E6759C" w:rsidRPr="0052418C">
        <w:rPr>
          <w:rFonts w:ascii="ITC Avant Garde" w:eastAsia="Times New Roman" w:hAnsi="ITC Avant Garde" w:cs="Arial"/>
          <w:color w:val="auto"/>
        </w:rPr>
        <w:t xml:space="preserve"> </w:t>
      </w:r>
      <w:r w:rsidR="00C91A66" w:rsidRPr="0052418C">
        <w:rPr>
          <w:rFonts w:ascii="ITC Avant Garde" w:eastAsia="Times New Roman" w:hAnsi="ITC Avant Garde" w:cs="Arial"/>
          <w:color w:val="auto"/>
        </w:rPr>
        <w:t xml:space="preserve">mencionados </w:t>
      </w:r>
      <w:r w:rsidR="00E6759C" w:rsidRPr="0052418C">
        <w:rPr>
          <w:rFonts w:ascii="ITC Avant Garde" w:eastAsia="Times New Roman" w:hAnsi="ITC Avant Garde" w:cs="Arial"/>
          <w:color w:val="auto"/>
        </w:rPr>
        <w:t>por Axtel</w:t>
      </w:r>
      <w:r w:rsidR="00717446" w:rsidRPr="0052418C">
        <w:rPr>
          <w:rFonts w:ascii="ITC Avant Garde" w:eastAsia="Times New Roman" w:hAnsi="ITC Avant Garde" w:cs="Arial"/>
          <w:color w:val="auto"/>
        </w:rPr>
        <w:t>,</w:t>
      </w:r>
      <w:r w:rsidRPr="0052418C">
        <w:rPr>
          <w:rFonts w:ascii="ITC Avant Garde" w:eastAsia="Times New Roman" w:hAnsi="ITC Avant Garde" w:cs="Arial"/>
          <w:color w:val="auto"/>
        </w:rPr>
        <w:t xml:space="preserve"> se </w:t>
      </w:r>
      <w:r w:rsidR="00E50BDD" w:rsidRPr="0052418C">
        <w:rPr>
          <w:rFonts w:ascii="ITC Avant Garde" w:eastAsia="Times New Roman" w:hAnsi="ITC Avant Garde" w:cs="Arial"/>
          <w:color w:val="auto"/>
        </w:rPr>
        <w:t>señal</w:t>
      </w:r>
      <w:r w:rsidR="00C91A66" w:rsidRPr="0052418C">
        <w:rPr>
          <w:rFonts w:ascii="ITC Avant Garde" w:eastAsia="Times New Roman" w:hAnsi="ITC Avant Garde" w:cs="Arial"/>
          <w:color w:val="auto"/>
        </w:rPr>
        <w:t>a</w:t>
      </w:r>
      <w:r w:rsidR="00E50BDD" w:rsidRPr="0052418C">
        <w:rPr>
          <w:rFonts w:ascii="ITC Avant Garde" w:eastAsia="Times New Roman" w:hAnsi="ITC Avant Garde" w:cs="Arial"/>
          <w:color w:val="auto"/>
        </w:rPr>
        <w:t xml:space="preserve"> </w:t>
      </w:r>
      <w:r w:rsidRPr="0052418C">
        <w:rPr>
          <w:rFonts w:ascii="ITC Avant Garde" w:eastAsia="Times New Roman" w:hAnsi="ITC Avant Garde" w:cs="Arial"/>
          <w:color w:val="auto"/>
        </w:rPr>
        <w:t xml:space="preserve">que </w:t>
      </w:r>
      <w:r w:rsidR="00D0652A" w:rsidRPr="0052418C">
        <w:rPr>
          <w:rFonts w:ascii="ITC Avant Garde" w:eastAsia="Times New Roman" w:hAnsi="ITC Avant Garde" w:cs="Arial"/>
          <w:color w:val="auto"/>
        </w:rPr>
        <w:t xml:space="preserve">los criterios para determinar </w:t>
      </w:r>
      <w:r w:rsidRPr="0052418C">
        <w:rPr>
          <w:rFonts w:ascii="ITC Avant Garde" w:eastAsia="Times New Roman" w:hAnsi="ITC Avant Garde" w:cs="Arial"/>
          <w:color w:val="auto"/>
        </w:rPr>
        <w:t xml:space="preserve">el cumplimiento de los </w:t>
      </w:r>
      <w:r w:rsidR="004907CB" w:rsidRPr="0052418C">
        <w:rPr>
          <w:rFonts w:ascii="ITC Avant Garde" w:eastAsia="Times New Roman" w:hAnsi="ITC Avant Garde" w:cs="Arial"/>
          <w:color w:val="auto"/>
        </w:rPr>
        <w:t>plazos de entrega</w:t>
      </w:r>
      <w:r w:rsidR="00666F84" w:rsidRPr="0052418C">
        <w:rPr>
          <w:rFonts w:ascii="ITC Avant Garde" w:eastAsia="Times New Roman" w:hAnsi="ITC Avant Garde" w:cs="Arial"/>
          <w:color w:val="auto"/>
        </w:rPr>
        <w:t xml:space="preserve"> y los elementos que se valoran para verificar el cumplimiento de obligaciones por parte de Red Nacional</w:t>
      </w:r>
      <w:r w:rsidR="00825AA8" w:rsidRPr="0052418C">
        <w:rPr>
          <w:rFonts w:ascii="ITC Avant Garde" w:eastAsia="Times New Roman" w:hAnsi="ITC Avant Garde" w:cs="Arial"/>
          <w:color w:val="auto"/>
        </w:rPr>
        <w:t xml:space="preserve"> excede el alcance de la </w:t>
      </w:r>
      <w:r w:rsidR="00C91A66" w:rsidRPr="0052418C">
        <w:rPr>
          <w:rFonts w:ascii="ITC Avant Garde" w:eastAsia="Times New Roman" w:hAnsi="ITC Avant Garde" w:cs="Arial"/>
          <w:color w:val="auto"/>
        </w:rPr>
        <w:t>O</w:t>
      </w:r>
      <w:r w:rsidR="00825AA8" w:rsidRPr="0052418C">
        <w:rPr>
          <w:rFonts w:ascii="ITC Avant Garde" w:eastAsia="Times New Roman" w:hAnsi="ITC Avant Garde" w:cs="Arial"/>
          <w:color w:val="auto"/>
        </w:rPr>
        <w:t>ferta</w:t>
      </w:r>
      <w:r w:rsidRPr="0052418C">
        <w:rPr>
          <w:rFonts w:ascii="ITC Avant Garde" w:eastAsia="Times New Roman" w:hAnsi="ITC Avant Garde" w:cs="Arial"/>
          <w:color w:val="auto"/>
        </w:rPr>
        <w:t xml:space="preserve"> de </w:t>
      </w:r>
      <w:r w:rsidR="00C91A66" w:rsidRPr="0052418C">
        <w:rPr>
          <w:rFonts w:ascii="ITC Avant Garde" w:eastAsia="Times New Roman" w:hAnsi="ITC Avant Garde" w:cs="Arial"/>
          <w:color w:val="auto"/>
        </w:rPr>
        <w:t>R</w:t>
      </w:r>
      <w:r w:rsidR="00825AA8" w:rsidRPr="0052418C">
        <w:rPr>
          <w:rFonts w:ascii="ITC Avant Garde" w:eastAsia="Times New Roman" w:hAnsi="ITC Avant Garde" w:cs="Arial"/>
          <w:color w:val="auto"/>
        </w:rPr>
        <w:t>eferencia</w:t>
      </w:r>
      <w:r w:rsidRPr="0052418C">
        <w:rPr>
          <w:rFonts w:ascii="ITC Avant Garde" w:eastAsia="Times New Roman" w:hAnsi="ITC Avant Garde" w:cs="Arial"/>
          <w:color w:val="auto"/>
        </w:rPr>
        <w:t>.</w:t>
      </w:r>
    </w:p>
    <w:p w14:paraId="08C3D123" w14:textId="77777777" w:rsidR="006037D3" w:rsidRPr="0052418C" w:rsidRDefault="006037D3" w:rsidP="0052418C">
      <w:pPr>
        <w:autoSpaceDE w:val="0"/>
        <w:autoSpaceDN w:val="0"/>
        <w:spacing w:after="0" w:line="276" w:lineRule="auto"/>
        <w:ind w:left="0" w:right="0"/>
        <w:rPr>
          <w:rFonts w:ascii="ITC Avant Garde" w:hAnsi="ITC Avant Garde" w:cs="Arial"/>
          <w:i/>
          <w:sz w:val="18"/>
          <w:szCs w:val="18"/>
        </w:rPr>
      </w:pPr>
    </w:p>
    <w:p w14:paraId="5340F3C7" w14:textId="5CDC7537" w:rsidR="00032BD2" w:rsidRPr="0052418C" w:rsidRDefault="00032BD2" w:rsidP="0052418C">
      <w:pPr>
        <w:spacing w:after="0" w:line="276" w:lineRule="auto"/>
        <w:ind w:left="0" w:right="0" w:firstLine="0"/>
        <w:rPr>
          <w:rFonts w:ascii="ITC Avant Garde" w:eastAsia="Times New Roman" w:hAnsi="ITC Avant Garde" w:cs="Arial"/>
          <w:b/>
          <w:color w:val="auto"/>
          <w:u w:val="single"/>
        </w:rPr>
      </w:pPr>
      <w:r w:rsidRPr="0052418C">
        <w:rPr>
          <w:rFonts w:ascii="ITC Avant Garde" w:eastAsia="Times New Roman" w:hAnsi="ITC Avant Garde" w:cs="Arial"/>
          <w:b/>
          <w:color w:val="auto"/>
          <w:u w:val="single"/>
        </w:rPr>
        <w:t>2.4.1.2</w:t>
      </w:r>
      <w:r w:rsidR="00385EBD" w:rsidRPr="0052418C">
        <w:rPr>
          <w:rFonts w:ascii="ITC Avant Garde" w:eastAsia="Times New Roman" w:hAnsi="ITC Avant Garde" w:cs="Arial"/>
          <w:b/>
          <w:color w:val="auto"/>
          <w:u w:val="single"/>
        </w:rPr>
        <w:t>.</w:t>
      </w:r>
      <w:r w:rsidR="00FE2077" w:rsidRPr="0052418C">
        <w:rPr>
          <w:rFonts w:ascii="ITC Avant Garde" w:eastAsia="Times New Roman" w:hAnsi="ITC Avant Garde" w:cs="Arial"/>
          <w:b/>
          <w:color w:val="auto"/>
          <w:u w:val="single"/>
        </w:rPr>
        <w:t xml:space="preserve"> </w:t>
      </w:r>
    </w:p>
    <w:p w14:paraId="7DD50CFB" w14:textId="4E51D112" w:rsidR="00FC4272" w:rsidRPr="0052418C" w:rsidRDefault="004E4856" w:rsidP="0052418C">
      <w:pPr>
        <w:spacing w:after="0" w:line="276" w:lineRule="auto"/>
        <w:ind w:left="0" w:right="0" w:firstLine="0"/>
        <w:rPr>
          <w:rFonts w:ascii="ITC Avant Garde" w:eastAsia="Times New Roman" w:hAnsi="ITC Avant Garde" w:cs="Arial"/>
          <w:b/>
          <w:color w:val="auto"/>
        </w:rPr>
      </w:pPr>
      <w:r w:rsidRPr="0052418C">
        <w:rPr>
          <w:rFonts w:ascii="ITC Avant Garde" w:eastAsia="Times New Roman" w:hAnsi="ITC Avant Garde" w:cs="Arial"/>
          <w:b/>
          <w:color w:val="auto"/>
        </w:rPr>
        <w:t>AXTEL:</w:t>
      </w:r>
    </w:p>
    <w:p w14:paraId="718869B9" w14:textId="4E4A4373" w:rsidR="00D42321" w:rsidRPr="0052418C" w:rsidRDefault="00D42321" w:rsidP="00556649">
      <w:pPr>
        <w:spacing w:after="0" w:line="276" w:lineRule="auto"/>
        <w:ind w:left="0" w:right="0"/>
        <w:rPr>
          <w:rFonts w:ascii="ITC Avant Garde" w:eastAsia="Times New Roman" w:hAnsi="ITC Avant Garde" w:cs="Arial"/>
          <w:i/>
          <w:color w:val="auto"/>
          <w:sz w:val="18"/>
          <w:szCs w:val="18"/>
        </w:rPr>
      </w:pPr>
      <w:r w:rsidRPr="0052418C">
        <w:rPr>
          <w:rFonts w:ascii="ITC Avant Garde" w:hAnsi="ITC Avant Garde" w:cs="Arial"/>
          <w:lang w:val="es-ES_tradnl"/>
        </w:rPr>
        <w:t xml:space="preserve">Axtel señaló que </w:t>
      </w:r>
      <w:r w:rsidR="00EF0921" w:rsidRPr="0052418C">
        <w:rPr>
          <w:rFonts w:ascii="ITC Avant Garde" w:hAnsi="ITC Avant Garde" w:cs="Arial"/>
        </w:rPr>
        <w:t>Red Nacional</w:t>
      </w:r>
      <w:r w:rsidR="00EF0921" w:rsidRPr="0052418C">
        <w:rPr>
          <w:rFonts w:ascii="ITC Avant Garde" w:hAnsi="ITC Avant Garde"/>
          <w:bCs/>
          <w:color w:val="auto"/>
        </w:rPr>
        <w:t xml:space="preserve"> </w:t>
      </w:r>
      <w:r w:rsidR="006037D3" w:rsidRPr="0052418C">
        <w:rPr>
          <w:rFonts w:ascii="ITC Avant Garde" w:hAnsi="ITC Avant Garde" w:cs="Arial"/>
          <w:lang w:val="es-ES_tradnl"/>
        </w:rPr>
        <w:t>aument</w:t>
      </w:r>
      <w:r w:rsidR="000F3B06" w:rsidRPr="0052418C">
        <w:rPr>
          <w:rFonts w:ascii="ITC Avant Garde" w:hAnsi="ITC Avant Garde" w:cs="Arial"/>
          <w:lang w:val="es-ES_tradnl"/>
        </w:rPr>
        <w:t>ó</w:t>
      </w:r>
      <w:r w:rsidRPr="0052418C">
        <w:rPr>
          <w:rFonts w:ascii="ITC Avant Garde" w:hAnsi="ITC Avant Garde" w:cs="Arial"/>
          <w:lang w:val="es-ES_tradnl"/>
        </w:rPr>
        <w:t xml:space="preserve"> los tiempos de entrega del servicio de </w:t>
      </w:r>
      <w:r w:rsidR="000F3B06" w:rsidRPr="0052418C">
        <w:rPr>
          <w:rFonts w:ascii="ITC Avant Garde" w:hAnsi="ITC Avant Garde" w:cs="Arial"/>
          <w:lang w:val="es-ES_tradnl"/>
        </w:rPr>
        <w:t>e</w:t>
      </w:r>
      <w:r w:rsidRPr="0052418C">
        <w:rPr>
          <w:rFonts w:ascii="ITC Avant Garde" w:hAnsi="ITC Avant Garde" w:cs="Arial"/>
          <w:lang w:val="es-ES_tradnl"/>
        </w:rPr>
        <w:t>nlaces dedicados locales en un punto donde previamente tenga contratado dicho servicio cuando se requiera la ampliación de los medios y de los tiempos de trasmisión</w:t>
      </w:r>
      <w:r w:rsidR="002706C5">
        <w:rPr>
          <w:rFonts w:ascii="ITC Avant Garde" w:hAnsi="ITC Avant Garde" w:cs="Arial"/>
          <w:lang w:val="es-ES_tradnl"/>
        </w:rPr>
        <w:t>.</w:t>
      </w:r>
      <w:r w:rsidRPr="0052418C">
        <w:rPr>
          <w:rFonts w:ascii="ITC Avant Garde" w:hAnsi="ITC Avant Garde" w:cs="Arial"/>
          <w:lang w:val="es-ES_tradnl"/>
        </w:rPr>
        <w:t xml:space="preserve"> </w:t>
      </w:r>
    </w:p>
    <w:p w14:paraId="4CB8836D" w14:textId="77777777" w:rsidR="000D2A52" w:rsidRPr="0052418C" w:rsidRDefault="000D2A52" w:rsidP="0052418C">
      <w:pPr>
        <w:spacing w:after="0" w:line="276" w:lineRule="auto"/>
        <w:ind w:left="0" w:right="0" w:firstLine="0"/>
        <w:rPr>
          <w:rFonts w:ascii="ITC Avant Garde" w:eastAsia="Times New Roman" w:hAnsi="ITC Avant Garde" w:cs="Arial"/>
          <w:color w:val="auto"/>
        </w:rPr>
      </w:pPr>
    </w:p>
    <w:p w14:paraId="5D96C1F1" w14:textId="634FAE7E" w:rsidR="000D2A52" w:rsidRPr="0052418C" w:rsidRDefault="000F3B06" w:rsidP="0052418C">
      <w:pPr>
        <w:spacing w:after="0" w:line="276" w:lineRule="auto"/>
        <w:ind w:left="0" w:right="0" w:firstLine="0"/>
        <w:rPr>
          <w:rFonts w:ascii="ITC Avant Garde" w:eastAsia="Times New Roman" w:hAnsi="ITC Avant Garde" w:cs="Arial"/>
          <w:color w:val="auto"/>
        </w:rPr>
      </w:pPr>
      <w:r w:rsidRPr="0052418C">
        <w:rPr>
          <w:rFonts w:ascii="ITC Avant Garde" w:eastAsia="Times New Roman" w:hAnsi="ITC Avant Garde" w:cs="Arial"/>
          <w:color w:val="auto"/>
        </w:rPr>
        <w:t>Por lo que, s</w:t>
      </w:r>
      <w:r w:rsidR="00D42321" w:rsidRPr="0052418C">
        <w:rPr>
          <w:rFonts w:ascii="ITC Avant Garde" w:eastAsia="Times New Roman" w:hAnsi="ITC Avant Garde" w:cs="Arial"/>
          <w:color w:val="auto"/>
        </w:rPr>
        <w:t xml:space="preserve">olicitó al Instituto, mantener la opción del 75% cuando se requiera la modificación del medio o del equipo de transmisión. De igual forma, </w:t>
      </w:r>
      <w:r w:rsidR="00842789" w:rsidRPr="0052418C">
        <w:rPr>
          <w:rFonts w:ascii="ITC Avant Garde" w:eastAsia="Times New Roman" w:hAnsi="ITC Avant Garde" w:cs="Arial"/>
          <w:color w:val="auto"/>
        </w:rPr>
        <w:t>solicit</w:t>
      </w:r>
      <w:r w:rsidR="00842789">
        <w:rPr>
          <w:rFonts w:ascii="ITC Avant Garde" w:eastAsia="Times New Roman" w:hAnsi="ITC Avant Garde" w:cs="Arial"/>
          <w:color w:val="auto"/>
        </w:rPr>
        <w:t>ó</w:t>
      </w:r>
      <w:r w:rsidR="00842789" w:rsidRPr="0052418C">
        <w:rPr>
          <w:rFonts w:ascii="ITC Avant Garde" w:eastAsia="Times New Roman" w:hAnsi="ITC Avant Garde" w:cs="Arial"/>
          <w:color w:val="auto"/>
        </w:rPr>
        <w:t xml:space="preserve"> </w:t>
      </w:r>
      <w:r w:rsidR="00D42321" w:rsidRPr="0052418C">
        <w:rPr>
          <w:rFonts w:ascii="ITC Avant Garde" w:eastAsia="Times New Roman" w:hAnsi="ITC Avant Garde" w:cs="Arial"/>
          <w:color w:val="auto"/>
        </w:rPr>
        <w:t>que el AEP informe a</w:t>
      </w:r>
      <w:r w:rsidR="000858BC">
        <w:rPr>
          <w:rFonts w:ascii="ITC Avant Garde" w:eastAsia="Times New Roman" w:hAnsi="ITC Avant Garde" w:cs="Arial"/>
          <w:color w:val="auto"/>
        </w:rPr>
        <w:t xml:space="preserve"> </w:t>
      </w:r>
      <w:r w:rsidR="00D42321" w:rsidRPr="0052418C">
        <w:rPr>
          <w:rFonts w:ascii="ITC Avant Garde" w:eastAsia="Times New Roman" w:hAnsi="ITC Avant Garde" w:cs="Arial"/>
          <w:color w:val="auto"/>
        </w:rPr>
        <w:t>l</w:t>
      </w:r>
      <w:r w:rsidR="000858BC">
        <w:rPr>
          <w:rFonts w:ascii="ITC Avant Garde" w:eastAsia="Times New Roman" w:hAnsi="ITC Avant Garde" w:cs="Arial"/>
          <w:color w:val="auto"/>
        </w:rPr>
        <w:t>os</w:t>
      </w:r>
      <w:r w:rsidR="00D42321" w:rsidRPr="0052418C">
        <w:rPr>
          <w:rFonts w:ascii="ITC Avant Garde" w:eastAsia="Times New Roman" w:hAnsi="ITC Avant Garde" w:cs="Arial"/>
          <w:color w:val="auto"/>
        </w:rPr>
        <w:t xml:space="preserve"> CS el detalle de las limitantes o los elementos faltantes que justifiquen el 100% del plazo en la entrega, así como </w:t>
      </w:r>
      <w:r w:rsidR="006037D3" w:rsidRPr="0052418C">
        <w:rPr>
          <w:rFonts w:ascii="ITC Avant Garde" w:eastAsia="Times New Roman" w:hAnsi="ITC Avant Garde" w:cs="Arial"/>
          <w:color w:val="auto"/>
        </w:rPr>
        <w:t>prever</w:t>
      </w:r>
      <w:r w:rsidR="00D42321" w:rsidRPr="0052418C">
        <w:rPr>
          <w:rFonts w:ascii="ITC Avant Garde" w:eastAsia="Times New Roman" w:hAnsi="ITC Avant Garde" w:cs="Arial"/>
          <w:color w:val="auto"/>
        </w:rPr>
        <w:t xml:space="preserve"> un mecanismo por el </w:t>
      </w:r>
      <w:r w:rsidR="00D42321" w:rsidRPr="0052418C">
        <w:rPr>
          <w:rFonts w:ascii="ITC Avant Garde" w:eastAsia="Times New Roman" w:hAnsi="ITC Avant Garde" w:cs="Arial"/>
          <w:color w:val="auto"/>
        </w:rPr>
        <w:lastRenderedPageBreak/>
        <w:t xml:space="preserve">cual </w:t>
      </w:r>
      <w:r w:rsidR="000858BC">
        <w:rPr>
          <w:rFonts w:ascii="ITC Avant Garde" w:eastAsia="Times New Roman" w:hAnsi="ITC Avant Garde" w:cs="Arial"/>
          <w:color w:val="auto"/>
        </w:rPr>
        <w:t>los</w:t>
      </w:r>
      <w:r w:rsidR="00D42321" w:rsidRPr="0052418C">
        <w:rPr>
          <w:rFonts w:ascii="ITC Avant Garde" w:eastAsia="Times New Roman" w:hAnsi="ITC Avant Garde" w:cs="Arial"/>
          <w:color w:val="auto"/>
        </w:rPr>
        <w:t xml:space="preserve"> CS pueda</w:t>
      </w:r>
      <w:r w:rsidR="0090040C">
        <w:rPr>
          <w:rFonts w:ascii="ITC Avant Garde" w:eastAsia="Times New Roman" w:hAnsi="ITC Avant Garde" w:cs="Arial"/>
          <w:color w:val="auto"/>
        </w:rPr>
        <w:t>n</w:t>
      </w:r>
      <w:r w:rsidR="00D42321" w:rsidRPr="0052418C">
        <w:rPr>
          <w:rFonts w:ascii="ITC Avant Garde" w:eastAsia="Times New Roman" w:hAnsi="ITC Avant Garde" w:cs="Arial"/>
          <w:color w:val="auto"/>
        </w:rPr>
        <w:t>, en caso de discrepancias, solicitar la intervención del Instituto para la evaluación del caso</w:t>
      </w:r>
      <w:r w:rsidR="00A8636C" w:rsidRPr="0052418C">
        <w:rPr>
          <w:rFonts w:ascii="ITC Avant Garde" w:eastAsia="Times New Roman" w:hAnsi="ITC Avant Garde" w:cs="Arial"/>
          <w:color w:val="auto"/>
        </w:rPr>
        <w:t>.</w:t>
      </w:r>
    </w:p>
    <w:p w14:paraId="7B9B101E" w14:textId="77777777" w:rsidR="000D2A52" w:rsidRPr="0052418C" w:rsidRDefault="000D2A52" w:rsidP="0052418C">
      <w:pPr>
        <w:spacing w:after="0" w:line="276" w:lineRule="auto"/>
        <w:ind w:left="0" w:right="0" w:firstLine="0"/>
        <w:rPr>
          <w:rFonts w:ascii="ITC Avant Garde" w:eastAsia="Times New Roman" w:hAnsi="ITC Avant Garde" w:cs="Arial"/>
          <w:color w:val="auto"/>
        </w:rPr>
      </w:pPr>
    </w:p>
    <w:p w14:paraId="06C63960" w14:textId="77777777" w:rsidR="008562D3" w:rsidRPr="0052418C" w:rsidRDefault="008562D3" w:rsidP="0052418C">
      <w:pPr>
        <w:autoSpaceDE w:val="0"/>
        <w:autoSpaceDN w:val="0"/>
        <w:adjustRightInd w:val="0"/>
        <w:spacing w:after="0" w:line="276" w:lineRule="auto"/>
        <w:ind w:left="0" w:right="0" w:firstLine="0"/>
        <w:rPr>
          <w:rFonts w:ascii="ITC Avant Garde" w:eastAsia="Times New Roman" w:hAnsi="ITC Avant Garde" w:cs="Arial"/>
          <w:color w:val="auto"/>
        </w:rPr>
      </w:pPr>
      <w:r w:rsidRPr="0052418C">
        <w:rPr>
          <w:rFonts w:ascii="ITC Avant Garde" w:hAnsi="ITC Avant Garde" w:cs="Arial"/>
          <w:b/>
          <w:color w:val="auto"/>
        </w:rPr>
        <w:t>Consideraciones del Instituto</w:t>
      </w:r>
      <w:r w:rsidR="00523D18" w:rsidRPr="0052418C">
        <w:rPr>
          <w:rFonts w:ascii="ITC Avant Garde" w:hAnsi="ITC Avant Garde" w:cs="Arial"/>
          <w:b/>
          <w:color w:val="auto"/>
        </w:rPr>
        <w:t>:</w:t>
      </w:r>
    </w:p>
    <w:p w14:paraId="1ECB69CE" w14:textId="113925A7" w:rsidR="00F52DCD" w:rsidRDefault="00C81FC1" w:rsidP="0052418C">
      <w:pPr>
        <w:spacing w:after="0" w:line="276" w:lineRule="auto"/>
        <w:ind w:left="0" w:right="0" w:firstLine="0"/>
        <w:rPr>
          <w:rFonts w:ascii="ITC Avant Garde" w:hAnsi="ITC Avant Garde" w:cs="Arial"/>
          <w:lang w:val="es-ES_tradnl"/>
        </w:rPr>
      </w:pPr>
      <w:r w:rsidRPr="0052418C">
        <w:rPr>
          <w:rFonts w:ascii="ITC Avant Garde" w:eastAsia="Times New Roman" w:hAnsi="ITC Avant Garde" w:cs="Arial"/>
          <w:color w:val="auto"/>
        </w:rPr>
        <w:t xml:space="preserve">Al respecto, </w:t>
      </w:r>
      <w:r w:rsidR="004D2977" w:rsidRPr="0052418C">
        <w:rPr>
          <w:rFonts w:ascii="ITC Avant Garde" w:hAnsi="ITC Avant Garde"/>
          <w:color w:val="auto"/>
        </w:rPr>
        <w:t xml:space="preserve">se modificaron los tiempos de entrega de los enlaces dedicados locales </w:t>
      </w:r>
      <w:r w:rsidR="004D2977" w:rsidRPr="0052418C">
        <w:rPr>
          <w:rFonts w:ascii="ITC Avant Garde" w:hAnsi="ITC Avant Garde" w:cs="Arial"/>
          <w:lang w:val="es-ES_tradnl"/>
        </w:rPr>
        <w:t>en un punto donde previamente tenga contratado dicho servicio</w:t>
      </w:r>
      <w:r w:rsidR="00F52DCD">
        <w:rPr>
          <w:rFonts w:ascii="ITC Avant Garde" w:hAnsi="ITC Avant Garde" w:cs="Arial"/>
          <w:lang w:val="es-ES_tradnl"/>
        </w:rPr>
        <w:t xml:space="preserve">, </w:t>
      </w:r>
      <w:r w:rsidR="0036057F">
        <w:rPr>
          <w:rFonts w:ascii="ITC Avant Garde" w:hAnsi="ITC Avant Garde" w:cs="Arial"/>
          <w:lang w:val="es-ES_tradnl"/>
        </w:rPr>
        <w:t>quedando como</w:t>
      </w:r>
      <w:r w:rsidR="00F52DCD">
        <w:rPr>
          <w:rFonts w:ascii="ITC Avant Garde" w:hAnsi="ITC Avant Garde" w:cs="Arial"/>
          <w:lang w:val="es-ES_tradnl"/>
        </w:rPr>
        <w:t xml:space="preserve"> sigu</w:t>
      </w:r>
      <w:r w:rsidR="0036057F">
        <w:rPr>
          <w:rFonts w:ascii="ITC Avant Garde" w:hAnsi="ITC Avant Garde" w:cs="Arial"/>
          <w:lang w:val="es-ES_tradnl"/>
        </w:rPr>
        <w:t>e</w:t>
      </w:r>
      <w:r w:rsidR="00F52DCD">
        <w:rPr>
          <w:rFonts w:ascii="ITC Avant Garde" w:hAnsi="ITC Avant Garde" w:cs="Arial"/>
          <w:lang w:val="es-ES_tradnl"/>
        </w:rPr>
        <w:t>:</w:t>
      </w:r>
    </w:p>
    <w:p w14:paraId="26C9FC16" w14:textId="77777777" w:rsidR="00F52DCD" w:rsidRDefault="00F52DCD" w:rsidP="0052418C">
      <w:pPr>
        <w:spacing w:after="0" w:line="276" w:lineRule="auto"/>
        <w:ind w:left="0" w:right="0" w:firstLine="0"/>
        <w:rPr>
          <w:rFonts w:ascii="ITC Avant Garde" w:hAnsi="ITC Avant Garde" w:cs="Arial"/>
          <w:lang w:val="es-ES_tradnl"/>
        </w:rPr>
      </w:pPr>
    </w:p>
    <w:p w14:paraId="686D246A" w14:textId="4002A0AA" w:rsidR="00F52DCD" w:rsidRDefault="00F52DCD" w:rsidP="00F52DCD">
      <w:pPr>
        <w:spacing w:after="0" w:line="276" w:lineRule="auto"/>
        <w:ind w:left="851" w:right="851" w:firstLine="0"/>
        <w:rPr>
          <w:rFonts w:ascii="ITC Avant Garde" w:eastAsia="Times New Roman" w:hAnsi="ITC Avant Garde" w:cs="Arial"/>
          <w:i/>
          <w:color w:val="auto"/>
          <w:sz w:val="18"/>
          <w:szCs w:val="18"/>
        </w:rPr>
      </w:pPr>
      <w:r w:rsidRPr="004C793F">
        <w:rPr>
          <w:rFonts w:ascii="ITC Avant Garde" w:eastAsia="Times New Roman" w:hAnsi="ITC Avant Garde" w:cs="Arial"/>
          <w:i/>
          <w:color w:val="auto"/>
          <w:sz w:val="18"/>
          <w:szCs w:val="18"/>
        </w:rPr>
        <w:t>“• El 50% (cincuenta por ciento) del plazo original de entrega (tabla del numeral 2.4.1.1) cuando no se requiera la modificación del medio y del equipo de transmisión.</w:t>
      </w:r>
    </w:p>
    <w:p w14:paraId="3CCBB709" w14:textId="3671BF35" w:rsidR="00F52DCD" w:rsidRDefault="00F52DCD" w:rsidP="00F52DCD">
      <w:pPr>
        <w:spacing w:after="0" w:line="276" w:lineRule="auto"/>
        <w:ind w:left="851" w:right="851" w:firstLine="0"/>
        <w:rPr>
          <w:rFonts w:ascii="ITC Avant Garde" w:eastAsia="Times New Roman" w:hAnsi="ITC Avant Garde" w:cs="Arial"/>
          <w:i/>
          <w:color w:val="auto"/>
          <w:sz w:val="18"/>
          <w:szCs w:val="18"/>
        </w:rPr>
      </w:pPr>
      <w:r w:rsidRPr="004C793F">
        <w:rPr>
          <w:rFonts w:ascii="ITC Avant Garde" w:eastAsia="Times New Roman" w:hAnsi="ITC Avant Garde" w:cs="Arial"/>
          <w:i/>
          <w:color w:val="auto"/>
          <w:sz w:val="18"/>
          <w:szCs w:val="18"/>
        </w:rPr>
        <w:t xml:space="preserve">• El </w:t>
      </w:r>
      <w:r>
        <w:rPr>
          <w:rFonts w:ascii="ITC Avant Garde" w:eastAsia="Times New Roman" w:hAnsi="ITC Avant Garde" w:cs="Arial"/>
          <w:i/>
          <w:color w:val="auto"/>
          <w:sz w:val="18"/>
          <w:szCs w:val="18"/>
        </w:rPr>
        <w:t>75</w:t>
      </w:r>
      <w:r w:rsidRPr="004C793F">
        <w:rPr>
          <w:rFonts w:ascii="ITC Avant Garde" w:eastAsia="Times New Roman" w:hAnsi="ITC Avant Garde" w:cs="Arial"/>
          <w:i/>
          <w:color w:val="auto"/>
          <w:sz w:val="18"/>
          <w:szCs w:val="18"/>
        </w:rPr>
        <w:t>% (</w:t>
      </w:r>
      <w:r>
        <w:rPr>
          <w:rFonts w:ascii="ITC Avant Garde" w:eastAsia="Times New Roman" w:hAnsi="ITC Avant Garde" w:cs="Arial"/>
          <w:i/>
          <w:color w:val="auto"/>
          <w:sz w:val="18"/>
          <w:szCs w:val="18"/>
        </w:rPr>
        <w:t>setenta y cinco</w:t>
      </w:r>
      <w:r w:rsidRPr="004C793F">
        <w:rPr>
          <w:rFonts w:ascii="ITC Avant Garde" w:eastAsia="Times New Roman" w:hAnsi="ITC Avant Garde" w:cs="Arial"/>
          <w:i/>
          <w:color w:val="auto"/>
          <w:sz w:val="18"/>
          <w:szCs w:val="18"/>
        </w:rPr>
        <w:t xml:space="preserve"> por ciento) del plazo original de entrega (tabla del numeral 2.4.1.1) cuando se requiera la modificación del medio </w:t>
      </w:r>
      <w:r>
        <w:rPr>
          <w:rFonts w:ascii="ITC Avant Garde" w:eastAsia="Times New Roman" w:hAnsi="ITC Avant Garde" w:cs="Arial"/>
          <w:i/>
          <w:color w:val="auto"/>
          <w:sz w:val="18"/>
          <w:szCs w:val="18"/>
        </w:rPr>
        <w:t>o</w:t>
      </w:r>
      <w:r w:rsidRPr="004C793F">
        <w:rPr>
          <w:rFonts w:ascii="ITC Avant Garde" w:eastAsia="Times New Roman" w:hAnsi="ITC Avant Garde" w:cs="Arial"/>
          <w:i/>
          <w:color w:val="auto"/>
          <w:sz w:val="18"/>
          <w:szCs w:val="18"/>
        </w:rPr>
        <w:t xml:space="preserve"> del equipo de transmisión.</w:t>
      </w:r>
    </w:p>
    <w:p w14:paraId="292FF00B" w14:textId="77777777" w:rsidR="00F52DCD" w:rsidRPr="00D42321" w:rsidRDefault="00F52DCD" w:rsidP="00F52DCD">
      <w:pPr>
        <w:spacing w:after="0" w:line="276" w:lineRule="auto"/>
        <w:ind w:left="851" w:right="851" w:firstLine="0"/>
        <w:rPr>
          <w:rFonts w:ascii="ITC Avant Garde" w:eastAsia="Times New Roman" w:hAnsi="ITC Avant Garde" w:cs="Arial"/>
          <w:i/>
          <w:color w:val="auto"/>
          <w:sz w:val="18"/>
          <w:szCs w:val="18"/>
        </w:rPr>
      </w:pPr>
      <w:r w:rsidRPr="004C793F">
        <w:rPr>
          <w:rFonts w:ascii="ITC Avant Garde" w:eastAsia="Times New Roman" w:hAnsi="ITC Avant Garde" w:cs="Arial"/>
          <w:i/>
          <w:color w:val="auto"/>
          <w:sz w:val="18"/>
          <w:szCs w:val="18"/>
        </w:rPr>
        <w:t xml:space="preserve">• </w:t>
      </w:r>
      <w:r w:rsidRPr="00D42321">
        <w:rPr>
          <w:rFonts w:ascii="ITC Avant Garde" w:eastAsia="Times New Roman" w:hAnsi="ITC Avant Garde" w:cs="Arial"/>
          <w:i/>
          <w:color w:val="auto"/>
          <w:sz w:val="18"/>
          <w:szCs w:val="18"/>
        </w:rPr>
        <w:t xml:space="preserve">El 100% (cien por ciento) cuando se requiera la ampliación de los medios </w:t>
      </w:r>
    </w:p>
    <w:p w14:paraId="2F18A7F8" w14:textId="77777777" w:rsidR="00F52DCD" w:rsidRPr="004C793F" w:rsidRDefault="00F52DCD" w:rsidP="00F52DCD">
      <w:pPr>
        <w:spacing w:after="0" w:line="276" w:lineRule="auto"/>
        <w:ind w:left="851" w:right="851" w:firstLine="0"/>
        <w:rPr>
          <w:rFonts w:ascii="ITC Avant Garde" w:eastAsia="Times New Roman" w:hAnsi="ITC Avant Garde" w:cs="Arial"/>
          <w:i/>
          <w:color w:val="auto"/>
          <w:sz w:val="18"/>
          <w:szCs w:val="18"/>
        </w:rPr>
      </w:pPr>
      <w:r w:rsidRPr="00D42321">
        <w:rPr>
          <w:rFonts w:ascii="ITC Avant Garde" w:eastAsia="Times New Roman" w:hAnsi="ITC Avant Garde" w:cs="Arial"/>
          <w:i/>
          <w:color w:val="auto"/>
          <w:sz w:val="18"/>
          <w:szCs w:val="18"/>
        </w:rPr>
        <w:t>y de los equipos de transmisión</w:t>
      </w:r>
      <w:r>
        <w:rPr>
          <w:rFonts w:ascii="ITC Avant Garde" w:eastAsia="Times New Roman" w:hAnsi="ITC Avant Garde" w:cs="Arial"/>
          <w:i/>
          <w:color w:val="auto"/>
          <w:sz w:val="18"/>
          <w:szCs w:val="18"/>
        </w:rPr>
        <w:t>.”</w:t>
      </w:r>
    </w:p>
    <w:p w14:paraId="2C57FB66" w14:textId="312E3207" w:rsidR="006037D3" w:rsidRPr="0052418C" w:rsidRDefault="006037D3" w:rsidP="00556649">
      <w:pPr>
        <w:spacing w:after="0" w:line="276" w:lineRule="auto"/>
        <w:ind w:left="0" w:right="0" w:firstLine="0"/>
        <w:rPr>
          <w:rFonts w:ascii="ITC Avant Garde" w:hAnsi="ITC Avant Garde" w:cs="Arial"/>
        </w:rPr>
      </w:pPr>
    </w:p>
    <w:p w14:paraId="57CC23D9" w14:textId="63C0057D" w:rsidR="002A00C4" w:rsidRPr="0052418C" w:rsidRDefault="00F46590" w:rsidP="0052418C">
      <w:pPr>
        <w:spacing w:after="0" w:line="276" w:lineRule="auto"/>
        <w:ind w:left="0" w:right="0" w:firstLine="0"/>
        <w:rPr>
          <w:rFonts w:ascii="ITC Avant Garde" w:hAnsi="ITC Avant Garde" w:cs="Arial"/>
          <w:b/>
          <w:bCs/>
          <w:lang w:val="es-ES"/>
        </w:rPr>
      </w:pPr>
      <w:r w:rsidRPr="0052418C">
        <w:rPr>
          <w:rFonts w:ascii="ITC Avant Garde" w:eastAsia="Times New Roman" w:hAnsi="ITC Avant Garde" w:cs="Arial"/>
          <w:color w:val="auto"/>
        </w:rPr>
        <w:t>R</w:t>
      </w:r>
      <w:r w:rsidR="00565459" w:rsidRPr="0052418C">
        <w:rPr>
          <w:rFonts w:ascii="ITC Avant Garde" w:eastAsia="Times New Roman" w:hAnsi="ITC Avant Garde" w:cs="Arial"/>
          <w:color w:val="auto"/>
        </w:rPr>
        <w:t xml:space="preserve">especto a la implementación de un formato mediante el cual </w:t>
      </w:r>
      <w:r w:rsidR="007F409D" w:rsidRPr="0052418C">
        <w:rPr>
          <w:rFonts w:ascii="ITC Avant Garde" w:eastAsia="Times New Roman" w:hAnsi="ITC Avant Garde" w:cs="Arial"/>
          <w:color w:val="auto"/>
        </w:rPr>
        <w:t xml:space="preserve">se </w:t>
      </w:r>
      <w:r w:rsidR="00565459" w:rsidRPr="0052418C">
        <w:rPr>
          <w:rFonts w:ascii="ITC Avant Garde" w:eastAsia="Times New Roman" w:hAnsi="ITC Avant Garde" w:cs="Arial"/>
          <w:color w:val="auto"/>
        </w:rPr>
        <w:t>informe al CS</w:t>
      </w:r>
      <w:r w:rsidR="00D563AA" w:rsidRPr="0052418C">
        <w:rPr>
          <w:rFonts w:ascii="ITC Avant Garde" w:eastAsia="Times New Roman" w:hAnsi="ITC Avant Garde" w:cs="Arial"/>
          <w:color w:val="auto"/>
        </w:rPr>
        <w:t xml:space="preserve"> </w:t>
      </w:r>
      <w:r w:rsidR="00565459" w:rsidRPr="0052418C">
        <w:rPr>
          <w:rFonts w:ascii="ITC Avant Garde" w:eastAsia="Times New Roman" w:hAnsi="ITC Avant Garde" w:cs="Arial"/>
          <w:color w:val="auto"/>
        </w:rPr>
        <w:t>el detalle de las limitantes o los elementos faltantes que justifique que se va a tardar el 100% del plazo en la entrega para los casos en que exista un servicio en operación</w:t>
      </w:r>
      <w:r w:rsidR="00D563AA" w:rsidRPr="0052418C">
        <w:rPr>
          <w:rFonts w:ascii="ITC Avant Garde" w:eastAsia="Times New Roman" w:hAnsi="ITC Avant Garde" w:cs="Arial"/>
          <w:color w:val="auto"/>
        </w:rPr>
        <w:t>,</w:t>
      </w:r>
      <w:r w:rsidR="00565459" w:rsidRPr="0052418C">
        <w:rPr>
          <w:rFonts w:ascii="ITC Avant Garde" w:eastAsia="Times New Roman" w:hAnsi="ITC Avant Garde" w:cs="Arial"/>
          <w:color w:val="auto"/>
        </w:rPr>
        <w:t xml:space="preserve"> </w:t>
      </w:r>
      <w:r w:rsidR="007D47D7" w:rsidRPr="0052418C">
        <w:rPr>
          <w:rFonts w:ascii="ITC Avant Garde" w:eastAsia="Times New Roman" w:hAnsi="ITC Avant Garde" w:cs="Arial"/>
          <w:color w:val="auto"/>
        </w:rPr>
        <w:t>la Ofert</w:t>
      </w:r>
      <w:r w:rsidR="00707A50">
        <w:rPr>
          <w:rFonts w:ascii="ITC Avant Garde" w:eastAsia="Times New Roman" w:hAnsi="ITC Avant Garde" w:cs="Arial"/>
          <w:color w:val="auto"/>
        </w:rPr>
        <w:t>a</w:t>
      </w:r>
      <w:r w:rsidR="007D47D7" w:rsidRPr="0052418C">
        <w:rPr>
          <w:rFonts w:ascii="ITC Avant Garde" w:eastAsia="Times New Roman" w:hAnsi="ITC Avant Garde" w:cs="Arial"/>
          <w:color w:val="auto"/>
        </w:rPr>
        <w:t xml:space="preserve"> de referencia</w:t>
      </w:r>
      <w:r w:rsidR="00D563AA" w:rsidRPr="0052418C">
        <w:rPr>
          <w:rFonts w:ascii="ITC Avant Garde" w:eastAsia="Times New Roman" w:hAnsi="ITC Avant Garde" w:cs="Arial"/>
          <w:color w:val="auto"/>
        </w:rPr>
        <w:t xml:space="preserve"> </w:t>
      </w:r>
      <w:r w:rsidR="0048330E" w:rsidRPr="0052418C">
        <w:rPr>
          <w:rFonts w:ascii="ITC Avant Garde" w:eastAsia="Times New Roman" w:hAnsi="ITC Avant Garde" w:cs="Arial"/>
          <w:color w:val="auto"/>
        </w:rPr>
        <w:t xml:space="preserve">establece </w:t>
      </w:r>
      <w:r w:rsidR="00565459" w:rsidRPr="0052418C">
        <w:rPr>
          <w:rFonts w:ascii="ITC Avant Garde" w:eastAsia="Times New Roman" w:hAnsi="ITC Avant Garde" w:cs="Arial"/>
          <w:color w:val="auto"/>
        </w:rPr>
        <w:t>que los elementos corresponden a los medios y equipos de transmisión.</w:t>
      </w:r>
      <w:r w:rsidR="00F57E53" w:rsidRPr="0052418C">
        <w:rPr>
          <w:rFonts w:ascii="ITC Avant Garde" w:eastAsia="Times New Roman" w:hAnsi="ITC Avant Garde" w:cs="Arial"/>
          <w:color w:val="auto"/>
        </w:rPr>
        <w:t xml:space="preserve"> </w:t>
      </w:r>
    </w:p>
    <w:p w14:paraId="7B3CF226" w14:textId="3034AA14" w:rsidR="002A00C4" w:rsidRPr="0052418C" w:rsidRDefault="002A00C4" w:rsidP="0052418C">
      <w:pPr>
        <w:spacing w:after="0" w:line="276" w:lineRule="auto"/>
        <w:ind w:left="0" w:right="0" w:firstLine="0"/>
        <w:rPr>
          <w:rFonts w:ascii="ITC Avant Garde" w:eastAsia="Times New Roman" w:hAnsi="ITC Avant Garde" w:cs="Arial"/>
          <w:color w:val="auto"/>
        </w:rPr>
      </w:pPr>
    </w:p>
    <w:p w14:paraId="53BA34BF" w14:textId="492E1233" w:rsidR="00D42321" w:rsidRPr="0052418C" w:rsidRDefault="00D42321" w:rsidP="0052418C">
      <w:pPr>
        <w:spacing w:after="0" w:line="276" w:lineRule="auto"/>
        <w:ind w:left="0" w:right="0" w:firstLine="0"/>
        <w:rPr>
          <w:rFonts w:ascii="ITC Avant Garde" w:eastAsia="Times New Roman" w:hAnsi="ITC Avant Garde" w:cs="Arial"/>
          <w:b/>
          <w:color w:val="auto"/>
          <w:u w:val="single"/>
        </w:rPr>
      </w:pPr>
      <w:r w:rsidRPr="0052418C">
        <w:rPr>
          <w:rFonts w:ascii="ITC Avant Garde" w:eastAsia="Times New Roman" w:hAnsi="ITC Avant Garde" w:cs="Arial"/>
          <w:b/>
          <w:color w:val="auto"/>
          <w:u w:val="single"/>
        </w:rPr>
        <w:t xml:space="preserve">2.4.1.3. </w:t>
      </w:r>
    </w:p>
    <w:p w14:paraId="2695F600" w14:textId="77777777" w:rsidR="00D42321" w:rsidRPr="0052418C" w:rsidRDefault="00D42321" w:rsidP="0052418C">
      <w:pPr>
        <w:spacing w:after="0" w:line="276" w:lineRule="auto"/>
        <w:ind w:left="0" w:right="0" w:firstLine="0"/>
        <w:rPr>
          <w:rFonts w:ascii="ITC Avant Garde" w:eastAsia="Times New Roman" w:hAnsi="ITC Avant Garde" w:cs="Arial"/>
          <w:b/>
          <w:color w:val="auto"/>
        </w:rPr>
      </w:pPr>
      <w:r w:rsidRPr="0052418C">
        <w:rPr>
          <w:rFonts w:ascii="ITC Avant Garde" w:eastAsia="Times New Roman" w:hAnsi="ITC Avant Garde" w:cs="Arial"/>
          <w:b/>
          <w:color w:val="auto"/>
        </w:rPr>
        <w:t>AXTEL:</w:t>
      </w:r>
    </w:p>
    <w:p w14:paraId="689CFE1A" w14:textId="77777777" w:rsidR="0017350D" w:rsidRPr="0052418C" w:rsidRDefault="0017350D" w:rsidP="0052418C">
      <w:pPr>
        <w:spacing w:after="0" w:line="276" w:lineRule="auto"/>
        <w:ind w:left="0" w:right="0" w:firstLine="0"/>
        <w:rPr>
          <w:rFonts w:ascii="ITC Avant Garde" w:eastAsia="Times New Roman" w:hAnsi="ITC Avant Garde" w:cs="Times New Roman"/>
          <w:color w:val="auto"/>
        </w:rPr>
      </w:pPr>
      <w:r w:rsidRPr="0052418C">
        <w:rPr>
          <w:rFonts w:ascii="ITC Avant Garde" w:eastAsia="Times New Roman" w:hAnsi="ITC Avant Garde" w:cs="Times New Roman"/>
          <w:color w:val="auto"/>
        </w:rPr>
        <w:t>Señaló que las solicitudes de entrega anticipada se realizan por la necesidad de adquirir un servicio con premura, sin embargo, la imposición del pago previo al inicio de la construcción, aplazan los tiempos comprometidos.</w:t>
      </w:r>
    </w:p>
    <w:p w14:paraId="28769774" w14:textId="77777777" w:rsidR="0017350D" w:rsidRPr="0052418C" w:rsidRDefault="0017350D" w:rsidP="0052418C">
      <w:pPr>
        <w:spacing w:after="0" w:line="276" w:lineRule="auto"/>
        <w:ind w:left="0" w:right="0" w:firstLine="0"/>
        <w:rPr>
          <w:rFonts w:ascii="ITC Avant Garde" w:eastAsia="Times New Roman" w:hAnsi="ITC Avant Garde" w:cs="Times New Roman"/>
          <w:color w:val="auto"/>
        </w:rPr>
      </w:pPr>
    </w:p>
    <w:p w14:paraId="2FEB091F" w14:textId="0B572016" w:rsidR="00D42321" w:rsidRPr="0052418C" w:rsidRDefault="00D42321" w:rsidP="0052418C">
      <w:pPr>
        <w:spacing w:after="0" w:line="276" w:lineRule="auto"/>
        <w:ind w:left="0" w:right="0" w:firstLine="0"/>
        <w:rPr>
          <w:rFonts w:ascii="ITC Avant Garde" w:eastAsia="Times New Roman" w:hAnsi="ITC Avant Garde" w:cs="Times New Roman"/>
          <w:color w:val="auto"/>
        </w:rPr>
      </w:pPr>
      <w:r w:rsidRPr="0052418C">
        <w:rPr>
          <w:rFonts w:ascii="ITC Avant Garde" w:eastAsia="Times New Roman" w:hAnsi="ITC Avant Garde" w:cs="Times New Roman"/>
          <w:color w:val="auto"/>
        </w:rPr>
        <w:t>Solicitó al Instituto que el conteo del tiempo de entrega sea el momento cuando el CS efectúa la aceptación de la construcción, lo cual se interpreta como un compromiso de pago. Adicionó que el tiempo de facturación del AEP, no es inmediata, dejando a discreción la demora de la construcción bajo estas condiciones, además, los procesos internos de cada CS para el pago dilatan el espíritu de esta iniciativa. Por lo que, solicitó que este tipo de cargos sean aplicados a la facturación mensual de Servicios de Enlaces Dedicados, esto con el fin de agilizar el objetivo de la entrega del servicio ya que la emisión de la factura y proceso de pago impacta directamente al tiempo de entrega.</w:t>
      </w:r>
    </w:p>
    <w:p w14:paraId="02D580C8" w14:textId="5AEFE1A8" w:rsidR="00D42321" w:rsidRPr="0052418C" w:rsidRDefault="00D42321" w:rsidP="0052418C">
      <w:pPr>
        <w:spacing w:after="0" w:line="276" w:lineRule="auto"/>
        <w:ind w:left="0" w:right="0" w:firstLine="0"/>
        <w:rPr>
          <w:rFonts w:ascii="ITC Avant Garde" w:eastAsia="Times New Roman" w:hAnsi="ITC Avant Garde" w:cs="Arial"/>
          <w:color w:val="auto"/>
        </w:rPr>
      </w:pPr>
    </w:p>
    <w:p w14:paraId="74253D4B" w14:textId="77777777" w:rsidR="00D42321" w:rsidRPr="0052418C" w:rsidRDefault="00D42321" w:rsidP="0052418C">
      <w:pPr>
        <w:autoSpaceDE w:val="0"/>
        <w:autoSpaceDN w:val="0"/>
        <w:adjustRightInd w:val="0"/>
        <w:spacing w:after="0" w:line="276" w:lineRule="auto"/>
        <w:ind w:left="0" w:right="0" w:firstLine="0"/>
        <w:rPr>
          <w:rFonts w:ascii="ITC Avant Garde" w:eastAsia="Times New Roman" w:hAnsi="ITC Avant Garde" w:cs="Times New Roman"/>
          <w:color w:val="auto"/>
        </w:rPr>
      </w:pPr>
      <w:r w:rsidRPr="0052418C">
        <w:rPr>
          <w:rFonts w:ascii="ITC Avant Garde" w:hAnsi="ITC Avant Garde"/>
          <w:b/>
          <w:color w:val="auto"/>
        </w:rPr>
        <w:t>Consideraciones del Instituto:</w:t>
      </w:r>
    </w:p>
    <w:p w14:paraId="682D54DC" w14:textId="7AB1524F" w:rsidR="007D47D7" w:rsidRPr="0052418C" w:rsidRDefault="007D47D7" w:rsidP="0052418C">
      <w:pPr>
        <w:spacing w:after="0" w:line="276" w:lineRule="auto"/>
        <w:ind w:left="0" w:right="0" w:firstLine="0"/>
        <w:rPr>
          <w:rFonts w:ascii="ITC Avant Garde" w:eastAsia="Times New Roman" w:hAnsi="ITC Avant Garde" w:cs="Times New Roman"/>
          <w:color w:val="auto"/>
        </w:rPr>
      </w:pPr>
      <w:r w:rsidRPr="0052418C">
        <w:rPr>
          <w:rFonts w:ascii="ITC Avant Garde" w:eastAsia="Times New Roman" w:hAnsi="ITC Avant Garde" w:cs="Times New Roman"/>
          <w:color w:val="auto"/>
        </w:rPr>
        <w:t>Al respecto, y como lo señala Axtel “</w:t>
      </w:r>
      <w:r w:rsidRPr="0052418C">
        <w:rPr>
          <w:rFonts w:ascii="ITC Avant Garde" w:eastAsia="Times New Roman" w:hAnsi="ITC Avant Garde" w:cs="Times New Roman"/>
          <w:i/>
          <w:iCs/>
          <w:color w:val="auto"/>
        </w:rPr>
        <w:t>las solicitudes de entrega anticipada se realizan por la necesidad de adquirir un servicio con premura</w:t>
      </w:r>
      <w:r w:rsidRPr="0052418C">
        <w:rPr>
          <w:rFonts w:ascii="ITC Avant Garde" w:eastAsia="Times New Roman" w:hAnsi="ITC Avant Garde" w:cs="Times New Roman"/>
          <w:color w:val="auto"/>
        </w:rPr>
        <w:t xml:space="preserve">” por parte de los CS o AS, por lo que no se puede interpretar como compromiso de pago la simple </w:t>
      </w:r>
      <w:r w:rsidRPr="0052418C">
        <w:rPr>
          <w:rFonts w:ascii="ITC Avant Garde" w:eastAsia="Times New Roman" w:hAnsi="ITC Avant Garde" w:cs="Times New Roman"/>
          <w:color w:val="auto"/>
        </w:rPr>
        <w:lastRenderedPageBreak/>
        <w:t>aceptación de la construcción, ya que es obligación de los CS y AS cumplir con el pago de las contraprestaciones por la solicitud del servicio.</w:t>
      </w:r>
    </w:p>
    <w:p w14:paraId="4371A419" w14:textId="234C1413" w:rsidR="0008667E" w:rsidRPr="0052418C" w:rsidRDefault="0008667E" w:rsidP="0052418C">
      <w:pPr>
        <w:spacing w:after="0" w:line="276" w:lineRule="auto"/>
        <w:ind w:left="0" w:right="0" w:firstLine="0"/>
        <w:rPr>
          <w:rFonts w:ascii="ITC Avant Garde" w:eastAsia="Times New Roman" w:hAnsi="ITC Avant Garde" w:cs="Times New Roman"/>
          <w:color w:val="auto"/>
        </w:rPr>
      </w:pPr>
    </w:p>
    <w:p w14:paraId="38897354" w14:textId="5FA38B57" w:rsidR="007D47D7" w:rsidRPr="0052418C" w:rsidRDefault="0008667E" w:rsidP="0052418C">
      <w:pPr>
        <w:spacing w:after="0" w:line="276" w:lineRule="auto"/>
        <w:ind w:left="0" w:right="0" w:firstLine="0"/>
        <w:rPr>
          <w:rFonts w:ascii="ITC Avant Garde" w:eastAsia="Times New Roman" w:hAnsi="ITC Avant Garde" w:cs="Times New Roman"/>
          <w:color w:val="auto"/>
        </w:rPr>
      </w:pPr>
      <w:r w:rsidRPr="0052418C">
        <w:rPr>
          <w:rFonts w:ascii="ITC Avant Garde" w:eastAsia="Times New Roman" w:hAnsi="ITC Avant Garde" w:cs="Times New Roman"/>
          <w:color w:val="auto"/>
        </w:rPr>
        <w:t>As</w:t>
      </w:r>
      <w:r w:rsidR="0017350D" w:rsidRPr="0052418C">
        <w:rPr>
          <w:rFonts w:ascii="ITC Avant Garde" w:eastAsia="Times New Roman" w:hAnsi="ITC Avant Garde" w:cs="Times New Roman"/>
          <w:color w:val="auto"/>
        </w:rPr>
        <w:t>i</w:t>
      </w:r>
      <w:r w:rsidRPr="0052418C">
        <w:rPr>
          <w:rFonts w:ascii="ITC Avant Garde" w:eastAsia="Times New Roman" w:hAnsi="ITC Avant Garde" w:cs="Times New Roman"/>
          <w:color w:val="auto"/>
        </w:rPr>
        <w:t>mismo</w:t>
      </w:r>
      <w:r w:rsidR="007D47D7" w:rsidRPr="0052418C">
        <w:rPr>
          <w:rFonts w:ascii="ITC Avant Garde" w:eastAsia="Times New Roman" w:hAnsi="ITC Avant Garde" w:cs="Times New Roman"/>
          <w:color w:val="auto"/>
        </w:rPr>
        <w:t xml:space="preserve">, es importante </w:t>
      </w:r>
      <w:r w:rsidRPr="0052418C">
        <w:rPr>
          <w:rFonts w:ascii="ITC Avant Garde" w:eastAsia="Times New Roman" w:hAnsi="ITC Avant Garde" w:cs="Times New Roman"/>
          <w:color w:val="auto"/>
        </w:rPr>
        <w:t>puntualizar</w:t>
      </w:r>
      <w:r w:rsidR="007D47D7" w:rsidRPr="0052418C">
        <w:rPr>
          <w:rFonts w:ascii="ITC Avant Garde" w:eastAsia="Times New Roman" w:hAnsi="ITC Avant Garde" w:cs="Times New Roman"/>
          <w:color w:val="auto"/>
        </w:rPr>
        <w:t xml:space="preserve"> que los tiempos de facturación de</w:t>
      </w:r>
      <w:r w:rsidR="00707A50">
        <w:rPr>
          <w:rFonts w:ascii="ITC Avant Garde" w:eastAsia="Times New Roman" w:hAnsi="ITC Avant Garde" w:cs="Times New Roman"/>
          <w:color w:val="auto"/>
        </w:rPr>
        <w:t xml:space="preserve"> Red Nacional</w:t>
      </w:r>
      <w:r w:rsidR="007D47D7" w:rsidRPr="0052418C">
        <w:rPr>
          <w:rFonts w:ascii="ITC Avant Garde" w:eastAsia="Times New Roman" w:hAnsi="ITC Avant Garde" w:cs="Times New Roman"/>
          <w:color w:val="auto"/>
        </w:rPr>
        <w:t>, como los procesos internos de cada CS para el pago de las solicitudes, están fuera del alcance de la Oferta por lo que no se considera procedente la propuesta de Axtel.</w:t>
      </w:r>
    </w:p>
    <w:p w14:paraId="4DDDF80D" w14:textId="77777777" w:rsidR="007D47D7" w:rsidRPr="0052418C" w:rsidRDefault="007D47D7" w:rsidP="0052418C">
      <w:pPr>
        <w:spacing w:after="0" w:line="276" w:lineRule="auto"/>
        <w:ind w:left="0" w:right="0" w:firstLine="0"/>
        <w:rPr>
          <w:rFonts w:ascii="ITC Avant Garde" w:eastAsia="Times New Roman" w:hAnsi="ITC Avant Garde" w:cs="Arial"/>
          <w:color w:val="auto"/>
        </w:rPr>
      </w:pPr>
    </w:p>
    <w:p w14:paraId="0AA5597A" w14:textId="759B0981" w:rsidR="00D42321" w:rsidRPr="0052418C" w:rsidRDefault="00D42321" w:rsidP="0052418C">
      <w:pPr>
        <w:spacing w:after="0" w:line="276" w:lineRule="auto"/>
        <w:ind w:left="0" w:right="0" w:firstLine="0"/>
        <w:rPr>
          <w:rFonts w:ascii="ITC Avant Garde" w:eastAsia="Times New Roman" w:hAnsi="ITC Avant Garde"/>
          <w:bCs/>
          <w:u w:val="single"/>
        </w:rPr>
      </w:pPr>
      <w:r w:rsidRPr="0052418C">
        <w:rPr>
          <w:rFonts w:ascii="ITC Avant Garde" w:eastAsia="Times New Roman" w:hAnsi="ITC Avant Garde" w:cs="Times New Roman"/>
          <w:b/>
          <w:color w:val="auto"/>
          <w:u w:val="single"/>
        </w:rPr>
        <w:t>2.4.1.4.</w:t>
      </w:r>
    </w:p>
    <w:p w14:paraId="04665AD7" w14:textId="77777777" w:rsidR="00D42321" w:rsidRPr="0052418C" w:rsidRDefault="00D42321" w:rsidP="0052418C">
      <w:pPr>
        <w:spacing w:after="0" w:line="276" w:lineRule="auto"/>
        <w:ind w:left="0" w:right="0" w:firstLine="0"/>
        <w:rPr>
          <w:rFonts w:ascii="ITC Avant Garde" w:eastAsia="Times New Roman" w:hAnsi="ITC Avant Garde" w:cs="Times New Roman"/>
          <w:bCs/>
        </w:rPr>
      </w:pPr>
      <w:r w:rsidRPr="0052418C">
        <w:rPr>
          <w:rFonts w:ascii="ITC Avant Garde" w:eastAsia="Times New Roman" w:hAnsi="ITC Avant Garde" w:cs="Times New Roman"/>
          <w:b/>
          <w:color w:val="auto"/>
        </w:rPr>
        <w:t>AXTEL:</w:t>
      </w:r>
    </w:p>
    <w:p w14:paraId="1920F85A" w14:textId="78D76A83" w:rsidR="00556649" w:rsidRDefault="00D42321">
      <w:pPr>
        <w:spacing w:after="0" w:line="276" w:lineRule="auto"/>
        <w:ind w:left="0" w:right="0" w:firstLine="0"/>
        <w:rPr>
          <w:rFonts w:ascii="ITC Avant Garde" w:eastAsia="Times New Roman" w:hAnsi="ITC Avant Garde" w:cs="Times New Roman"/>
          <w:color w:val="auto"/>
        </w:rPr>
      </w:pPr>
      <w:bookmarkStart w:id="5" w:name="_Hlk93915672"/>
      <w:r w:rsidRPr="00221435">
        <w:rPr>
          <w:rFonts w:ascii="ITC Avant Garde" w:eastAsia="Times New Roman" w:hAnsi="ITC Avant Garde" w:cs="Times New Roman"/>
          <w:color w:val="auto"/>
        </w:rPr>
        <w:t xml:space="preserve">Axtel argumentó que el AEP </w:t>
      </w:r>
      <w:r w:rsidR="00556649" w:rsidRPr="00221435">
        <w:rPr>
          <w:rFonts w:ascii="ITC Avant Garde" w:eastAsia="Times New Roman" w:hAnsi="ITC Avant Garde" w:cs="Times New Roman"/>
          <w:color w:val="auto"/>
        </w:rPr>
        <w:t>tiene 7 días hábiles para la entrega del número de referencia y 2 días hábiles para la recepción y revisión de las solicitudes</w:t>
      </w:r>
      <w:r w:rsidRPr="00221435">
        <w:rPr>
          <w:rFonts w:ascii="ITC Avant Garde" w:eastAsia="Times New Roman" w:hAnsi="ITC Avant Garde" w:cs="Times New Roman"/>
          <w:color w:val="auto"/>
        </w:rPr>
        <w:t>, no obstante, la fecha vinculante puede demorar días posteriores a la entrega del número de referencia, lo que deja a los CS en desventaja p</w:t>
      </w:r>
      <w:r w:rsidR="00BC609C" w:rsidRPr="00221435">
        <w:rPr>
          <w:rFonts w:ascii="ITC Avant Garde" w:eastAsia="Times New Roman" w:hAnsi="ITC Avant Garde" w:cs="Times New Roman"/>
          <w:color w:val="auto"/>
        </w:rPr>
        <w:t>or</w:t>
      </w:r>
      <w:r w:rsidRPr="00221435">
        <w:rPr>
          <w:rFonts w:ascii="ITC Avant Garde" w:eastAsia="Times New Roman" w:hAnsi="ITC Avant Garde" w:cs="Times New Roman"/>
          <w:color w:val="auto"/>
        </w:rPr>
        <w:t xml:space="preserve"> conocer la fecha de liberación de la fecha vinculante</w:t>
      </w:r>
      <w:bookmarkEnd w:id="5"/>
      <w:r w:rsidRPr="00221435">
        <w:rPr>
          <w:rFonts w:ascii="ITC Avant Garde" w:eastAsia="Times New Roman" w:hAnsi="ITC Avant Garde" w:cs="Times New Roman"/>
          <w:color w:val="auto"/>
        </w:rPr>
        <w:t>.</w:t>
      </w:r>
      <w:bookmarkStart w:id="6" w:name="_Hlk93915637"/>
    </w:p>
    <w:p w14:paraId="44B3AB64" w14:textId="3BC2EF40" w:rsidR="00556649" w:rsidRDefault="00556649">
      <w:pPr>
        <w:spacing w:after="0" w:line="276" w:lineRule="auto"/>
        <w:ind w:left="0" w:right="0" w:firstLine="0"/>
        <w:rPr>
          <w:rFonts w:ascii="ITC Avant Garde" w:eastAsia="Times New Roman" w:hAnsi="ITC Avant Garde" w:cs="Times New Roman"/>
          <w:color w:val="auto"/>
        </w:rPr>
      </w:pPr>
    </w:p>
    <w:p w14:paraId="127B60B8" w14:textId="77777777" w:rsidR="00556649" w:rsidRPr="0052418C" w:rsidRDefault="00556649" w:rsidP="00556649">
      <w:pPr>
        <w:autoSpaceDE w:val="0"/>
        <w:autoSpaceDN w:val="0"/>
        <w:adjustRightInd w:val="0"/>
        <w:spacing w:after="0" w:line="276" w:lineRule="auto"/>
        <w:ind w:left="0" w:right="0" w:firstLine="0"/>
        <w:rPr>
          <w:rFonts w:ascii="ITC Avant Garde" w:eastAsia="Times New Roman" w:hAnsi="ITC Avant Garde" w:cs="Times New Roman"/>
          <w:color w:val="auto"/>
        </w:rPr>
      </w:pPr>
      <w:r w:rsidRPr="0052418C">
        <w:rPr>
          <w:rFonts w:ascii="ITC Avant Garde" w:hAnsi="ITC Avant Garde"/>
          <w:b/>
          <w:color w:val="auto"/>
        </w:rPr>
        <w:t>Consideraciones del Instituto:</w:t>
      </w:r>
    </w:p>
    <w:p w14:paraId="25DD0365" w14:textId="3E9E4AAB" w:rsidR="005E24F8" w:rsidRPr="0052418C" w:rsidRDefault="00BC609C">
      <w:pPr>
        <w:spacing w:after="0" w:line="276" w:lineRule="auto"/>
        <w:ind w:left="0" w:right="0" w:firstLine="0"/>
        <w:rPr>
          <w:rFonts w:ascii="ITC Avant Garde" w:eastAsia="Times New Roman" w:hAnsi="ITC Avant Garde" w:cs="Arial"/>
          <w:color w:val="auto"/>
        </w:rPr>
      </w:pPr>
      <w:r>
        <w:rPr>
          <w:rFonts w:ascii="ITC Avant Garde" w:eastAsia="Times New Roman" w:hAnsi="ITC Avant Garde" w:cs="Arial"/>
          <w:color w:val="auto"/>
        </w:rPr>
        <w:t xml:space="preserve">Al respecto, Axtel parte de un supuesto equivocado ya que conforme a la ORE </w:t>
      </w:r>
      <w:r w:rsidR="008E3C56">
        <w:rPr>
          <w:rFonts w:ascii="ITC Avant Garde" w:eastAsia="Times New Roman" w:hAnsi="ITC Avant Garde" w:cs="Arial"/>
          <w:color w:val="auto"/>
        </w:rPr>
        <w:t>E</w:t>
      </w:r>
      <w:r>
        <w:rPr>
          <w:rFonts w:ascii="ITC Avant Garde" w:eastAsia="Times New Roman" w:hAnsi="ITC Avant Garde" w:cs="Arial"/>
          <w:color w:val="auto"/>
        </w:rPr>
        <w:t>M 2022</w:t>
      </w:r>
      <w:r w:rsidR="008E3C56">
        <w:rPr>
          <w:rFonts w:ascii="ITC Avant Garde" w:eastAsia="Times New Roman" w:hAnsi="ITC Avant Garde" w:cs="Arial"/>
          <w:color w:val="auto"/>
        </w:rPr>
        <w:t>,</w:t>
      </w:r>
      <w:r>
        <w:rPr>
          <w:rFonts w:ascii="ITC Avant Garde" w:eastAsia="Times New Roman" w:hAnsi="ITC Avant Garde" w:cs="Arial"/>
          <w:color w:val="auto"/>
        </w:rPr>
        <w:t xml:space="preserve"> la EM tiene la obligación de entregar </w:t>
      </w:r>
      <w:r w:rsidR="008E3C56" w:rsidRPr="008E3C56">
        <w:rPr>
          <w:rFonts w:ascii="ITC Avant Garde" w:eastAsia="Times New Roman" w:hAnsi="ITC Avant Garde" w:cs="Arial"/>
          <w:color w:val="auto"/>
        </w:rPr>
        <w:t>el número de referencia asociado a cada servicio, en un plazo máximo de 2 (dos) días hábiles posteriores a la recepción de las solicitudes</w:t>
      </w:r>
      <w:r w:rsidR="008E3C56">
        <w:rPr>
          <w:rFonts w:ascii="ITC Avant Garde" w:eastAsia="Times New Roman" w:hAnsi="ITC Avant Garde" w:cs="Arial"/>
          <w:color w:val="auto"/>
        </w:rPr>
        <w:t xml:space="preserve">, asimismo deberá entregar la fecha de entrega vinculante en un plazo máximo de </w:t>
      </w:r>
      <w:r w:rsidR="00E0424F" w:rsidRPr="0052418C">
        <w:rPr>
          <w:rFonts w:ascii="ITC Avant Garde" w:eastAsia="Times New Roman" w:hAnsi="ITC Avant Garde" w:cs="Arial"/>
          <w:color w:val="auto"/>
        </w:rPr>
        <w:t xml:space="preserve">5 (cinco) días hábiles para enlaces de interconexión locales, 7 (siete) días hábiles para enlaces locales con velocidades 2.048 Mbps e inferiores y de 30 (treinta) días hábiles para enlaces Ethernet, </w:t>
      </w:r>
      <w:r w:rsidR="008E3C56">
        <w:rPr>
          <w:rFonts w:ascii="ITC Avant Garde" w:eastAsia="Times New Roman" w:hAnsi="ITC Avant Garde" w:cs="Arial"/>
          <w:color w:val="auto"/>
        </w:rPr>
        <w:t>es así que conforme al numeral 2.4.1.4 de la ORE EM 2022, el</w:t>
      </w:r>
      <w:r w:rsidR="008E3C56" w:rsidRPr="008E3C56">
        <w:rPr>
          <w:rFonts w:ascii="ITC Avant Garde" w:eastAsia="Times New Roman" w:hAnsi="ITC Avant Garde" w:cs="Arial"/>
          <w:color w:val="auto"/>
        </w:rPr>
        <w:t xml:space="preserve"> CS </w:t>
      </w:r>
      <w:r w:rsidR="008E3C56">
        <w:rPr>
          <w:rFonts w:ascii="ITC Avant Garde" w:eastAsia="Times New Roman" w:hAnsi="ITC Avant Garde" w:cs="Arial"/>
          <w:color w:val="auto"/>
        </w:rPr>
        <w:t xml:space="preserve">o AS </w:t>
      </w:r>
      <w:r w:rsidR="008E3C56" w:rsidRPr="008E3C56">
        <w:rPr>
          <w:rFonts w:ascii="ITC Avant Garde" w:eastAsia="Times New Roman" w:hAnsi="ITC Avant Garde" w:cs="Arial"/>
          <w:color w:val="auto"/>
        </w:rPr>
        <w:t xml:space="preserve">podrá cancelar los servicios solicitados sin cargo alguno, siempre y cuando dicha cancelación se </w:t>
      </w:r>
      <w:bookmarkStart w:id="7" w:name="_Hlk93915698"/>
      <w:bookmarkEnd w:id="6"/>
      <w:r w:rsidR="008E3C56" w:rsidRPr="008E3C56">
        <w:rPr>
          <w:rFonts w:ascii="ITC Avant Garde" w:eastAsia="Times New Roman" w:hAnsi="ITC Avant Garde" w:cs="Arial"/>
          <w:color w:val="auto"/>
        </w:rPr>
        <w:t>efectúe antes que le sea notificada la fecha de entrega vinculante</w:t>
      </w:r>
      <w:r w:rsidR="008E3C56">
        <w:rPr>
          <w:rFonts w:ascii="ITC Avant Garde" w:eastAsia="Times New Roman" w:hAnsi="ITC Avant Garde" w:cs="Arial"/>
          <w:color w:val="auto"/>
        </w:rPr>
        <w:t>, en virtud de lo anterior el CS o AS cuenta con un plazo razonable para la cancelación de los servicios sin cargo alguno. En este sentido, no se considera procedente la propuesta de Axtel.</w:t>
      </w:r>
    </w:p>
    <w:bookmarkEnd w:id="7"/>
    <w:p w14:paraId="23AF2D3B" w14:textId="77777777" w:rsidR="005E24F8" w:rsidRPr="0052418C" w:rsidRDefault="005E24F8" w:rsidP="0052418C">
      <w:pPr>
        <w:spacing w:after="0" w:line="276" w:lineRule="auto"/>
        <w:ind w:left="0" w:right="0" w:firstLine="0"/>
        <w:rPr>
          <w:rFonts w:ascii="ITC Avant Garde" w:eastAsia="Times New Roman" w:hAnsi="ITC Avant Garde" w:cs="Arial"/>
          <w:color w:val="auto"/>
        </w:rPr>
      </w:pPr>
    </w:p>
    <w:p w14:paraId="49C08DE4" w14:textId="03492825" w:rsidR="003D1FD7" w:rsidRPr="0052418C" w:rsidRDefault="00F55368" w:rsidP="0052418C">
      <w:pPr>
        <w:spacing w:after="0" w:line="276" w:lineRule="auto"/>
        <w:ind w:left="0" w:right="0" w:firstLine="0"/>
        <w:rPr>
          <w:rFonts w:ascii="ITC Avant Garde" w:hAnsi="ITC Avant Garde" w:cs="Arial"/>
          <w:b/>
          <w:color w:val="auto"/>
          <w:u w:val="single"/>
        </w:rPr>
      </w:pPr>
      <w:r w:rsidRPr="0052418C">
        <w:rPr>
          <w:rFonts w:ascii="ITC Avant Garde" w:hAnsi="ITC Avant Garde" w:cs="Arial"/>
          <w:b/>
          <w:color w:val="auto"/>
          <w:u w:val="single"/>
        </w:rPr>
        <w:t>2.4.3.</w:t>
      </w:r>
      <w:r w:rsidR="00EE6B83" w:rsidRPr="0052418C">
        <w:rPr>
          <w:rFonts w:ascii="ITC Avant Garde" w:hAnsi="ITC Avant Garde" w:cs="Arial"/>
          <w:b/>
          <w:color w:val="auto"/>
          <w:u w:val="single"/>
        </w:rPr>
        <w:t xml:space="preserve"> Medición del cumplimiento de los </w:t>
      </w:r>
      <w:r w:rsidR="00171B5D" w:rsidRPr="0052418C">
        <w:rPr>
          <w:rFonts w:ascii="ITC Avant Garde" w:hAnsi="ITC Avant Garde" w:cs="Arial"/>
          <w:b/>
          <w:color w:val="auto"/>
          <w:u w:val="single"/>
        </w:rPr>
        <w:t>p</w:t>
      </w:r>
      <w:r w:rsidR="00214E77" w:rsidRPr="0052418C">
        <w:rPr>
          <w:rFonts w:ascii="ITC Avant Garde" w:hAnsi="ITC Avant Garde" w:cs="Arial"/>
          <w:b/>
          <w:color w:val="auto"/>
          <w:u w:val="single"/>
        </w:rPr>
        <w:t>lazos de entrega</w:t>
      </w:r>
      <w:r w:rsidR="00376A5D" w:rsidRPr="0052418C">
        <w:rPr>
          <w:rFonts w:ascii="ITC Avant Garde" w:hAnsi="ITC Avant Garde" w:cs="Arial"/>
          <w:b/>
          <w:color w:val="auto"/>
          <w:u w:val="single"/>
        </w:rPr>
        <w:t>.</w:t>
      </w:r>
    </w:p>
    <w:p w14:paraId="12B59CD5" w14:textId="36199E55" w:rsidR="00D23DF3" w:rsidRPr="0052418C" w:rsidRDefault="00E77853"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GRUPO</w:t>
      </w:r>
      <w:r w:rsidR="00CD7852" w:rsidRPr="0052418C">
        <w:rPr>
          <w:rFonts w:ascii="ITC Avant Garde" w:hAnsi="ITC Avant Garde" w:cs="Arial"/>
          <w:b/>
          <w:color w:val="auto"/>
        </w:rPr>
        <w:t xml:space="preserve"> AT&amp;T</w:t>
      </w:r>
      <w:r w:rsidR="00E1499B" w:rsidRPr="0052418C">
        <w:rPr>
          <w:rFonts w:ascii="ITC Avant Garde" w:hAnsi="ITC Avant Garde" w:cs="Arial"/>
          <w:b/>
          <w:color w:val="auto"/>
        </w:rPr>
        <w:t>:</w:t>
      </w:r>
    </w:p>
    <w:p w14:paraId="542B4936" w14:textId="0BA9D35F" w:rsidR="00D066BC" w:rsidRPr="0052418C" w:rsidRDefault="009F4D46" w:rsidP="00906151">
      <w:pPr>
        <w:spacing w:after="0" w:line="276" w:lineRule="auto"/>
        <w:ind w:left="0" w:right="0" w:firstLine="0"/>
        <w:rPr>
          <w:rFonts w:ascii="ITC Avant Garde" w:eastAsia="Times New Roman" w:hAnsi="ITC Avant Garde" w:cs="Arial"/>
          <w:i/>
          <w:color w:val="auto"/>
          <w:sz w:val="18"/>
          <w:szCs w:val="18"/>
        </w:rPr>
      </w:pPr>
      <w:r w:rsidRPr="0052418C">
        <w:rPr>
          <w:rFonts w:ascii="ITC Avant Garde" w:hAnsi="ITC Avant Garde"/>
          <w:color w:val="auto"/>
        </w:rPr>
        <w:t>En lo referente</w:t>
      </w:r>
      <w:r w:rsidRPr="0052418C" w:rsidDel="009F4D46">
        <w:rPr>
          <w:rFonts w:ascii="ITC Avant Garde" w:hAnsi="ITC Avant Garde" w:cs="Arial"/>
          <w:color w:val="auto"/>
        </w:rPr>
        <w:t xml:space="preserve"> </w:t>
      </w:r>
      <w:r w:rsidR="00D23DF3" w:rsidRPr="0052418C">
        <w:rPr>
          <w:rFonts w:ascii="ITC Avant Garde" w:hAnsi="ITC Avant Garde" w:cs="Arial"/>
          <w:color w:val="auto"/>
        </w:rPr>
        <w:t>al inciso c), m</w:t>
      </w:r>
      <w:r w:rsidR="00D066BC" w:rsidRPr="0052418C">
        <w:rPr>
          <w:rFonts w:ascii="ITC Avant Garde" w:hAnsi="ITC Avant Garde" w:cs="Arial"/>
          <w:color w:val="auto"/>
        </w:rPr>
        <w:t>anifest</w:t>
      </w:r>
      <w:r w:rsidR="00E25EAB" w:rsidRPr="0052418C">
        <w:rPr>
          <w:rFonts w:ascii="ITC Avant Garde" w:hAnsi="ITC Avant Garde" w:cs="Arial"/>
          <w:color w:val="auto"/>
        </w:rPr>
        <w:t>ó</w:t>
      </w:r>
      <w:r w:rsidR="00D066BC" w:rsidRPr="0052418C">
        <w:rPr>
          <w:rFonts w:ascii="ITC Avant Garde" w:hAnsi="ITC Avant Garde" w:cs="Arial"/>
          <w:color w:val="auto"/>
        </w:rPr>
        <w:t xml:space="preserve"> </w:t>
      </w:r>
      <w:r w:rsidR="00143CA4" w:rsidRPr="0052418C">
        <w:rPr>
          <w:rFonts w:ascii="ITC Avant Garde" w:hAnsi="ITC Avant Garde" w:cs="Arial"/>
          <w:color w:val="auto"/>
        </w:rPr>
        <w:t>que,</w:t>
      </w:r>
      <w:r w:rsidR="00E1499B" w:rsidRPr="0052418C">
        <w:rPr>
          <w:rFonts w:ascii="ITC Avant Garde" w:hAnsi="ITC Avant Garde" w:cs="Arial"/>
          <w:color w:val="auto"/>
        </w:rPr>
        <w:t xml:space="preserve"> </w:t>
      </w:r>
      <w:r w:rsidR="0072605A" w:rsidRPr="0052418C">
        <w:rPr>
          <w:rFonts w:ascii="ITC Avant Garde" w:hAnsi="ITC Avant Garde" w:cs="Arial"/>
          <w:color w:val="auto"/>
        </w:rPr>
        <w:t>l</w:t>
      </w:r>
      <w:r w:rsidR="00602AB9" w:rsidRPr="0052418C">
        <w:rPr>
          <w:rFonts w:ascii="ITC Avant Garde" w:hAnsi="ITC Avant Garde" w:cs="Arial"/>
          <w:color w:val="auto"/>
        </w:rPr>
        <w:t>as causas</w:t>
      </w:r>
      <w:r w:rsidR="0072605A" w:rsidRPr="0052418C">
        <w:rPr>
          <w:rFonts w:ascii="ITC Avant Garde" w:hAnsi="ITC Avant Garde" w:cs="Arial"/>
          <w:color w:val="auto"/>
        </w:rPr>
        <w:t xml:space="preserve"> imputables </w:t>
      </w:r>
      <w:r w:rsidR="004D34CE" w:rsidRPr="0052418C">
        <w:rPr>
          <w:rFonts w:ascii="ITC Avant Garde" w:hAnsi="ITC Avant Garde" w:cs="Arial"/>
          <w:color w:val="auto"/>
        </w:rPr>
        <w:t>a terceros</w:t>
      </w:r>
      <w:r w:rsidR="001C36C8" w:rsidRPr="0052418C">
        <w:rPr>
          <w:rFonts w:ascii="ITC Avant Garde" w:hAnsi="ITC Avant Garde" w:cs="Arial"/>
          <w:color w:val="auto"/>
        </w:rPr>
        <w:t>,</w:t>
      </w:r>
      <w:r w:rsidR="0072605A" w:rsidRPr="0052418C">
        <w:rPr>
          <w:rFonts w:ascii="ITC Avant Garde" w:hAnsi="ITC Avant Garde" w:cs="Arial"/>
          <w:color w:val="auto"/>
        </w:rPr>
        <w:t xml:space="preserve"> </w:t>
      </w:r>
      <w:r w:rsidR="001731D8" w:rsidRPr="0052418C">
        <w:rPr>
          <w:rFonts w:ascii="ITC Avant Garde" w:hAnsi="ITC Avant Garde" w:cs="Arial"/>
          <w:color w:val="auto"/>
        </w:rPr>
        <w:t>es</w:t>
      </w:r>
      <w:r w:rsidR="00855BCA" w:rsidRPr="0052418C">
        <w:rPr>
          <w:rFonts w:ascii="ITC Avant Garde" w:hAnsi="ITC Avant Garde" w:cs="Arial"/>
          <w:color w:val="auto"/>
        </w:rPr>
        <w:t>pecíficamente</w:t>
      </w:r>
      <w:r w:rsidR="001731D8" w:rsidRPr="0052418C">
        <w:rPr>
          <w:rFonts w:ascii="ITC Avant Garde" w:hAnsi="ITC Avant Garde" w:cs="Arial"/>
          <w:color w:val="auto"/>
        </w:rPr>
        <w:t xml:space="preserve">, </w:t>
      </w:r>
      <w:r w:rsidR="004D34CE" w:rsidRPr="0052418C">
        <w:rPr>
          <w:rFonts w:ascii="ITC Avant Garde" w:hAnsi="ITC Avant Garde" w:cs="Arial"/>
          <w:color w:val="auto"/>
        </w:rPr>
        <w:t xml:space="preserve">aquellos </w:t>
      </w:r>
      <w:r w:rsidR="00602AB9" w:rsidRPr="0052418C">
        <w:rPr>
          <w:rFonts w:ascii="ITC Avant Garde" w:hAnsi="ITC Avant Garde" w:cs="Arial"/>
          <w:color w:val="auto"/>
        </w:rPr>
        <w:t xml:space="preserve">considerados como </w:t>
      </w:r>
      <w:r w:rsidR="004D34CE" w:rsidRPr="0052418C">
        <w:rPr>
          <w:rFonts w:ascii="ITC Avant Garde" w:hAnsi="ITC Avant Garde" w:cs="Arial"/>
          <w:color w:val="auto"/>
        </w:rPr>
        <w:t xml:space="preserve">no imputables a Red Nacional y </w:t>
      </w:r>
      <w:r w:rsidR="00602AB9" w:rsidRPr="0052418C">
        <w:rPr>
          <w:rFonts w:ascii="ITC Avant Garde" w:hAnsi="ITC Avant Garde" w:cs="Arial"/>
          <w:color w:val="auto"/>
        </w:rPr>
        <w:t xml:space="preserve">aquellos en donde existan </w:t>
      </w:r>
      <w:r w:rsidR="004D34CE" w:rsidRPr="0052418C">
        <w:rPr>
          <w:rFonts w:ascii="ITC Avant Garde" w:hAnsi="ITC Avant Garde" w:cs="Arial"/>
          <w:color w:val="auto"/>
        </w:rPr>
        <w:t xml:space="preserve">situaciones de inseguridad en las que se requiera el apoyo de la fuerza </w:t>
      </w:r>
      <w:r w:rsidR="001731D8" w:rsidRPr="0052418C">
        <w:rPr>
          <w:rFonts w:ascii="ITC Avant Garde" w:hAnsi="ITC Avant Garde" w:cs="Arial"/>
          <w:color w:val="auto"/>
        </w:rPr>
        <w:t>pública</w:t>
      </w:r>
      <w:r w:rsidR="004D34CE" w:rsidRPr="0052418C">
        <w:rPr>
          <w:rFonts w:ascii="ITC Avant Garde" w:hAnsi="ITC Avant Garde" w:cs="Arial"/>
          <w:color w:val="auto"/>
        </w:rPr>
        <w:t>,</w:t>
      </w:r>
      <w:r w:rsidR="001731D8" w:rsidRPr="0052418C">
        <w:rPr>
          <w:rFonts w:ascii="ITC Avant Garde" w:hAnsi="ITC Avant Garde" w:cs="Arial"/>
          <w:color w:val="auto"/>
        </w:rPr>
        <w:t xml:space="preserve"> se debe</w:t>
      </w:r>
      <w:r w:rsidR="00A95575" w:rsidRPr="0052418C">
        <w:rPr>
          <w:rFonts w:ascii="ITC Avant Garde" w:hAnsi="ITC Avant Garde" w:cs="Arial"/>
          <w:color w:val="auto"/>
        </w:rPr>
        <w:t>rá</w:t>
      </w:r>
      <w:r w:rsidR="001731D8" w:rsidRPr="0052418C">
        <w:rPr>
          <w:rFonts w:ascii="ITC Avant Garde" w:hAnsi="ITC Avant Garde" w:cs="Arial"/>
          <w:color w:val="auto"/>
        </w:rPr>
        <w:t xml:space="preserve"> incluir </w:t>
      </w:r>
      <w:r w:rsidR="00A95575" w:rsidRPr="0052418C">
        <w:rPr>
          <w:rFonts w:ascii="ITC Avant Garde" w:hAnsi="ITC Avant Garde" w:cs="Arial"/>
          <w:color w:val="auto"/>
        </w:rPr>
        <w:t xml:space="preserve">que Red Nacional compruebe la causa del retraso.  </w:t>
      </w:r>
    </w:p>
    <w:p w14:paraId="1BA476FC" w14:textId="77777777" w:rsidR="00D066BC" w:rsidRPr="0052418C" w:rsidRDefault="00D066BC" w:rsidP="0052418C">
      <w:pPr>
        <w:spacing w:after="0" w:line="276" w:lineRule="auto"/>
        <w:ind w:left="0" w:right="0" w:firstLine="0"/>
        <w:rPr>
          <w:rFonts w:ascii="ITC Avant Garde" w:hAnsi="ITC Avant Garde" w:cs="Arial"/>
          <w:color w:val="auto"/>
        </w:rPr>
      </w:pPr>
    </w:p>
    <w:p w14:paraId="0F755746" w14:textId="23BA3A23" w:rsidR="00F64AC2" w:rsidRPr="0052418C" w:rsidRDefault="00581080" w:rsidP="0052418C">
      <w:pPr>
        <w:tabs>
          <w:tab w:val="left" w:pos="3015"/>
        </w:tabs>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AXTEL</w:t>
      </w:r>
      <w:r w:rsidR="00E1499B" w:rsidRPr="0052418C">
        <w:rPr>
          <w:rFonts w:ascii="ITC Avant Garde" w:hAnsi="ITC Avant Garde" w:cs="Arial"/>
          <w:b/>
          <w:color w:val="auto"/>
        </w:rPr>
        <w:t>:</w:t>
      </w:r>
      <w:r w:rsidR="00E44036" w:rsidRPr="0052418C">
        <w:rPr>
          <w:rFonts w:ascii="ITC Avant Garde" w:hAnsi="ITC Avant Garde" w:cs="Arial"/>
          <w:b/>
          <w:color w:val="auto"/>
        </w:rPr>
        <w:t xml:space="preserve"> </w:t>
      </w:r>
    </w:p>
    <w:p w14:paraId="5EBFDF26" w14:textId="70DF1CEB" w:rsidR="00EC05C5" w:rsidRPr="0052418C" w:rsidRDefault="00EC05C5" w:rsidP="0052418C">
      <w:pPr>
        <w:tabs>
          <w:tab w:val="left" w:pos="3015"/>
        </w:tabs>
        <w:spacing w:after="0" w:line="276" w:lineRule="auto"/>
        <w:ind w:left="0" w:right="0" w:firstLine="0"/>
        <w:rPr>
          <w:rFonts w:ascii="ITC Avant Garde" w:hAnsi="ITC Avant Garde" w:cs="Arial"/>
          <w:color w:val="auto"/>
        </w:rPr>
      </w:pPr>
      <w:r w:rsidRPr="0052418C">
        <w:rPr>
          <w:rFonts w:ascii="ITC Avant Garde" w:hAnsi="ITC Avant Garde" w:cs="Arial"/>
          <w:color w:val="auto"/>
        </w:rPr>
        <w:lastRenderedPageBreak/>
        <w:t xml:space="preserve">Señaló que el AEP no </w:t>
      </w:r>
      <w:r w:rsidR="003903EF" w:rsidRPr="0052418C">
        <w:rPr>
          <w:rFonts w:ascii="ITC Avant Garde" w:hAnsi="ITC Avant Garde" w:cs="Arial"/>
          <w:color w:val="auto"/>
        </w:rPr>
        <w:t>acostumbra a</w:t>
      </w:r>
      <w:r w:rsidRPr="0052418C">
        <w:rPr>
          <w:rFonts w:ascii="ITC Avant Garde" w:hAnsi="ITC Avant Garde" w:cs="Arial"/>
          <w:color w:val="auto"/>
        </w:rPr>
        <w:t xml:space="preserve"> actualizar vía SEG, o informar al menos vía correo electrónico, la nueva fecha de entrega, obligando al CS a realizar sus propios conteos, para que finalmente distribuya la fecha compromiso a la vista del proceso en general, existiendo en ocasiones desviaciones con respecto a los conteos del AEP, y una aparente falta de cumplimiento hacia los clientes finales a quienes se le otorgara el servicio.</w:t>
      </w:r>
    </w:p>
    <w:p w14:paraId="23480E04" w14:textId="71FA73DC" w:rsidR="00EC05C5" w:rsidRPr="0052418C" w:rsidRDefault="00EC05C5" w:rsidP="0052418C">
      <w:pPr>
        <w:tabs>
          <w:tab w:val="left" w:pos="3015"/>
        </w:tabs>
        <w:spacing w:after="0" w:line="276" w:lineRule="auto"/>
        <w:ind w:left="0" w:right="0" w:firstLine="0"/>
        <w:rPr>
          <w:rFonts w:ascii="ITC Avant Garde" w:hAnsi="ITC Avant Garde" w:cs="Arial"/>
          <w:color w:val="auto"/>
        </w:rPr>
      </w:pPr>
    </w:p>
    <w:p w14:paraId="23A1D4F9" w14:textId="318263B5" w:rsidR="00F64AC2" w:rsidRPr="0052418C" w:rsidRDefault="00EC05C5" w:rsidP="0052418C">
      <w:pPr>
        <w:tabs>
          <w:tab w:val="left" w:pos="3015"/>
        </w:tabs>
        <w:spacing w:after="0" w:line="276" w:lineRule="auto"/>
        <w:ind w:left="0" w:right="0" w:firstLine="0"/>
        <w:rPr>
          <w:rFonts w:ascii="ITC Avant Garde" w:hAnsi="ITC Avant Garde" w:cs="Arial"/>
          <w:color w:val="auto"/>
        </w:rPr>
      </w:pPr>
      <w:r w:rsidRPr="0052418C">
        <w:rPr>
          <w:rFonts w:ascii="ITC Avant Garde" w:hAnsi="ITC Avant Garde" w:cs="Arial"/>
          <w:color w:val="auto"/>
        </w:rPr>
        <w:t>Por lo anterior, Axtel solicitó al Instituto que obligue al AEP a proporcionar mediante la documentación vía SEG, las fechas de entrega reales una vez que ocurra el cierre del paro de reloj con el fin de tener certeza del compromiso que se puede adquirir con los clientes finales.</w:t>
      </w:r>
      <w:r w:rsidR="00F64AC2" w:rsidRPr="0052418C">
        <w:rPr>
          <w:rFonts w:ascii="ITC Avant Garde" w:hAnsi="ITC Avant Garde" w:cs="Arial"/>
          <w:color w:val="auto"/>
        </w:rPr>
        <w:t xml:space="preserve"> </w:t>
      </w:r>
    </w:p>
    <w:p w14:paraId="0025FBA8" w14:textId="4C3413C7" w:rsidR="00EC05C5" w:rsidRPr="0052418C" w:rsidRDefault="00EC05C5" w:rsidP="0052418C">
      <w:pPr>
        <w:tabs>
          <w:tab w:val="left" w:pos="3015"/>
        </w:tabs>
        <w:spacing w:after="0" w:line="276" w:lineRule="auto"/>
        <w:ind w:left="0" w:right="0" w:firstLine="0"/>
        <w:rPr>
          <w:rFonts w:ascii="ITC Avant Garde" w:hAnsi="ITC Avant Garde" w:cs="Arial"/>
          <w:color w:val="auto"/>
        </w:rPr>
      </w:pPr>
    </w:p>
    <w:p w14:paraId="43D35619" w14:textId="7C1460F9" w:rsidR="00EC05C5" w:rsidRPr="0052418C" w:rsidRDefault="00EC05C5" w:rsidP="0052418C">
      <w:pPr>
        <w:tabs>
          <w:tab w:val="left" w:pos="3015"/>
        </w:tabs>
        <w:spacing w:after="0" w:line="276" w:lineRule="auto"/>
        <w:ind w:left="0" w:right="0" w:firstLine="0"/>
        <w:rPr>
          <w:rFonts w:ascii="ITC Avant Garde" w:hAnsi="ITC Avant Garde"/>
          <w:color w:val="auto"/>
        </w:rPr>
      </w:pPr>
      <w:r w:rsidRPr="0052418C">
        <w:rPr>
          <w:rFonts w:ascii="ITC Avant Garde" w:hAnsi="ITC Avant Garde"/>
          <w:color w:val="auto"/>
        </w:rPr>
        <w:t>En lo referente al inciso c) del apartado 2.4.3.1. Axtel solicitó al Instituto requiera al AEP para que al momento en que surge la causa imputable por un tercero, env</w:t>
      </w:r>
      <w:r w:rsidR="00153D26">
        <w:rPr>
          <w:rFonts w:ascii="ITC Avant Garde" w:hAnsi="ITC Avant Garde"/>
          <w:color w:val="auto"/>
        </w:rPr>
        <w:t>íe</w:t>
      </w:r>
      <w:r w:rsidRPr="0052418C">
        <w:rPr>
          <w:rFonts w:ascii="ITC Avant Garde" w:hAnsi="ITC Avant Garde"/>
          <w:color w:val="auto"/>
        </w:rPr>
        <w:t xml:space="preserve"> al CS vía correo electrónico, la evidencia fehaciente por la cual la fecha vinculante tendrá desviaciones, con el fin de actuar oportuna y conjuntamente. </w:t>
      </w:r>
    </w:p>
    <w:p w14:paraId="1D9ADBDE" w14:textId="77777777" w:rsidR="00EC05C5" w:rsidRPr="0052418C" w:rsidRDefault="00EC05C5" w:rsidP="0052418C">
      <w:pPr>
        <w:tabs>
          <w:tab w:val="left" w:pos="3015"/>
        </w:tabs>
        <w:spacing w:after="0" w:line="276" w:lineRule="auto"/>
        <w:ind w:left="0" w:right="0" w:firstLine="0"/>
        <w:rPr>
          <w:rFonts w:ascii="ITC Avant Garde" w:hAnsi="ITC Avant Garde"/>
          <w:color w:val="auto"/>
        </w:rPr>
      </w:pPr>
    </w:p>
    <w:p w14:paraId="58F1A4DF" w14:textId="77777777" w:rsidR="00EC05C5" w:rsidRPr="0052418C" w:rsidRDefault="00EC05C5" w:rsidP="0052418C">
      <w:pPr>
        <w:tabs>
          <w:tab w:val="left" w:pos="3015"/>
        </w:tabs>
        <w:spacing w:after="0" w:line="276" w:lineRule="auto"/>
        <w:ind w:left="0" w:right="0" w:firstLine="0"/>
        <w:rPr>
          <w:rFonts w:ascii="ITC Avant Garde" w:hAnsi="ITC Avant Garde"/>
          <w:color w:val="auto"/>
        </w:rPr>
      </w:pPr>
      <w:r w:rsidRPr="0052418C">
        <w:rPr>
          <w:rFonts w:ascii="ITC Avant Garde" w:hAnsi="ITC Avant Garde"/>
          <w:color w:val="auto"/>
        </w:rPr>
        <w:t>Por otro lado, solicitó al Instituto requerir al AEP para que, al momento en que informe al CS el requerimiento de acceso a los sitios incluya el nombre del personal que acudirá, así como la documentación básica requerida como son el INE/IFE, el documento emitido por el Sistema Único de Autodeterminación (SUA) y credencial de la empresa),</w:t>
      </w:r>
      <w:r w:rsidRPr="0052418C">
        <w:rPr>
          <w:rFonts w:ascii="ITC Avant Garde" w:hAnsi="ITC Avant Garde"/>
        </w:rPr>
        <w:t xml:space="preserve"> </w:t>
      </w:r>
      <w:r w:rsidRPr="0052418C">
        <w:rPr>
          <w:rFonts w:ascii="ITC Avant Garde" w:hAnsi="ITC Avant Garde"/>
          <w:color w:val="auto"/>
        </w:rPr>
        <w:t>en un tiempo máximo de 2 días hábiles, los cuales deberán ser cargados al SEG y en tanto se realicen las modificaciones al sistema dicha información deberá enviarse vía correo electrónico.</w:t>
      </w:r>
    </w:p>
    <w:p w14:paraId="04E79888" w14:textId="77777777" w:rsidR="00EC05C5" w:rsidRPr="0052418C" w:rsidRDefault="00EC05C5" w:rsidP="0052418C">
      <w:pPr>
        <w:tabs>
          <w:tab w:val="left" w:pos="3015"/>
        </w:tabs>
        <w:spacing w:after="0" w:line="276" w:lineRule="auto"/>
        <w:ind w:left="0" w:right="0" w:firstLine="0"/>
        <w:rPr>
          <w:rFonts w:ascii="ITC Avant Garde" w:hAnsi="ITC Avant Garde" w:cs="Arial"/>
          <w:color w:val="auto"/>
        </w:rPr>
      </w:pPr>
    </w:p>
    <w:p w14:paraId="5D7E2D15" w14:textId="1DC8B8C3" w:rsidR="00FC5A40" w:rsidRPr="0052418C" w:rsidRDefault="00BE083A" w:rsidP="0052418C">
      <w:pPr>
        <w:tabs>
          <w:tab w:val="left" w:pos="3015"/>
        </w:tabs>
        <w:spacing w:after="0" w:line="276" w:lineRule="auto"/>
        <w:ind w:left="0" w:right="0" w:firstLine="0"/>
        <w:rPr>
          <w:rFonts w:ascii="ITC Avant Garde" w:hAnsi="ITC Avant Garde" w:cs="Arial"/>
          <w:b/>
          <w:color w:val="auto"/>
        </w:rPr>
      </w:pPr>
      <w:bookmarkStart w:id="8" w:name="_Hlk92988718"/>
      <w:r w:rsidRPr="0052418C">
        <w:rPr>
          <w:rFonts w:ascii="ITC Avant Garde" w:hAnsi="ITC Avant Garde" w:cs="Arial"/>
          <w:b/>
          <w:color w:val="auto"/>
        </w:rPr>
        <w:t>MEGA CABLE:</w:t>
      </w:r>
    </w:p>
    <w:bookmarkEnd w:id="8"/>
    <w:p w14:paraId="7B5156A3" w14:textId="3768BF01" w:rsidR="00BE083A" w:rsidRPr="0052418C" w:rsidRDefault="003112CE" w:rsidP="0052418C">
      <w:pPr>
        <w:tabs>
          <w:tab w:val="left" w:pos="3015"/>
        </w:tabs>
        <w:spacing w:after="0" w:line="276" w:lineRule="auto"/>
        <w:ind w:left="0" w:right="0" w:firstLine="0"/>
        <w:rPr>
          <w:rFonts w:ascii="ITC Avant Garde" w:hAnsi="ITC Avant Garde" w:cs="Arial"/>
          <w:bCs/>
          <w:color w:val="auto"/>
        </w:rPr>
      </w:pPr>
      <w:r w:rsidRPr="0052418C">
        <w:rPr>
          <w:rFonts w:ascii="ITC Avant Garde" w:hAnsi="ITC Avant Garde" w:cs="Arial"/>
          <w:bCs/>
          <w:color w:val="auto"/>
        </w:rPr>
        <w:t xml:space="preserve">Señaló que en la </w:t>
      </w:r>
      <w:r w:rsidR="00A95575" w:rsidRPr="0052418C">
        <w:rPr>
          <w:rFonts w:ascii="ITC Avant Garde" w:hAnsi="ITC Avant Garde" w:cs="Arial"/>
          <w:bCs/>
          <w:color w:val="auto"/>
        </w:rPr>
        <w:t>P</w:t>
      </w:r>
      <w:r w:rsidRPr="0052418C">
        <w:rPr>
          <w:rFonts w:ascii="ITC Avant Garde" w:hAnsi="ITC Avant Garde" w:cs="Arial"/>
          <w:bCs/>
          <w:color w:val="auto"/>
        </w:rPr>
        <w:t>ropuesta</w:t>
      </w:r>
      <w:r w:rsidR="00A95575" w:rsidRPr="0052418C">
        <w:rPr>
          <w:rFonts w:ascii="ITC Avant Garde" w:hAnsi="ITC Avant Garde" w:cs="Arial"/>
          <w:bCs/>
          <w:color w:val="auto"/>
        </w:rPr>
        <w:t xml:space="preserve"> de Oferta</w:t>
      </w:r>
      <w:r w:rsidRPr="0052418C">
        <w:rPr>
          <w:rFonts w:ascii="ITC Avant Garde" w:hAnsi="ITC Avant Garde" w:cs="Arial"/>
          <w:bCs/>
          <w:color w:val="auto"/>
        </w:rPr>
        <w:t xml:space="preserve"> contempla un n</w:t>
      </w:r>
      <w:r w:rsidR="003903EF" w:rsidRPr="0052418C">
        <w:rPr>
          <w:rFonts w:ascii="ITC Avant Garde" w:hAnsi="ITC Avant Garde" w:cs="Arial"/>
          <w:bCs/>
          <w:color w:val="auto"/>
        </w:rPr>
        <w:t>ú</w:t>
      </w:r>
      <w:r w:rsidRPr="0052418C">
        <w:rPr>
          <w:rFonts w:ascii="ITC Avant Garde" w:hAnsi="ITC Avant Garde" w:cs="Arial"/>
          <w:bCs/>
          <w:color w:val="auto"/>
        </w:rPr>
        <w:t>mero de causales muy amplio lo que le permite detener de manera discrecional el computo de los plazos de entrega.</w:t>
      </w:r>
    </w:p>
    <w:p w14:paraId="15AB9459" w14:textId="7266CAA8" w:rsidR="003112CE" w:rsidRPr="0052418C" w:rsidRDefault="003112CE" w:rsidP="0052418C">
      <w:pPr>
        <w:tabs>
          <w:tab w:val="left" w:pos="3015"/>
        </w:tabs>
        <w:spacing w:after="0" w:line="276" w:lineRule="auto"/>
        <w:ind w:left="0" w:right="0" w:firstLine="0"/>
        <w:rPr>
          <w:rFonts w:ascii="ITC Avant Garde" w:hAnsi="ITC Avant Garde" w:cs="Arial"/>
          <w:bCs/>
          <w:color w:val="auto"/>
        </w:rPr>
      </w:pPr>
    </w:p>
    <w:p w14:paraId="6C79954D" w14:textId="4A3EB1E7" w:rsidR="003112CE" w:rsidRPr="0052418C" w:rsidRDefault="003112CE" w:rsidP="0052418C">
      <w:pPr>
        <w:tabs>
          <w:tab w:val="left" w:pos="3015"/>
        </w:tabs>
        <w:spacing w:after="0" w:line="276" w:lineRule="auto"/>
        <w:ind w:left="0" w:right="0" w:firstLine="0"/>
        <w:rPr>
          <w:rFonts w:ascii="ITC Avant Garde" w:hAnsi="ITC Avant Garde" w:cs="Arial"/>
          <w:bCs/>
          <w:color w:val="auto"/>
        </w:rPr>
      </w:pPr>
      <w:r w:rsidRPr="0052418C">
        <w:rPr>
          <w:rFonts w:ascii="ITC Avant Garde" w:hAnsi="ITC Avant Garde" w:cs="Arial"/>
          <w:bCs/>
          <w:color w:val="auto"/>
        </w:rPr>
        <w:t>Por lo anterior Mega Cable sugirió restringir los causales e incluir un mecanismo de verificación que limite este recurso para postergar los plazos de entrega.</w:t>
      </w:r>
    </w:p>
    <w:p w14:paraId="4E807168" w14:textId="308B76C8" w:rsidR="003112CE" w:rsidRPr="0052418C" w:rsidRDefault="003112CE" w:rsidP="0052418C">
      <w:pPr>
        <w:tabs>
          <w:tab w:val="left" w:pos="3015"/>
        </w:tabs>
        <w:spacing w:after="0" w:line="276" w:lineRule="auto"/>
        <w:ind w:left="0" w:right="0" w:firstLine="0"/>
        <w:rPr>
          <w:rFonts w:ascii="ITC Avant Garde" w:hAnsi="ITC Avant Garde" w:cs="Arial"/>
          <w:b/>
          <w:color w:val="auto"/>
        </w:rPr>
      </w:pPr>
    </w:p>
    <w:p w14:paraId="63E9BA77" w14:textId="10B50CF3" w:rsidR="00E55135" w:rsidRPr="0052418C" w:rsidRDefault="00AF4C02" w:rsidP="0052418C">
      <w:pPr>
        <w:tabs>
          <w:tab w:val="left" w:pos="3015"/>
        </w:tabs>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5D2415" w:rsidRPr="0052418C">
        <w:rPr>
          <w:rFonts w:ascii="ITC Avant Garde" w:hAnsi="ITC Avant Garde" w:cs="Arial"/>
          <w:b/>
          <w:color w:val="auto"/>
        </w:rPr>
        <w:t>:</w:t>
      </w:r>
    </w:p>
    <w:p w14:paraId="53843971" w14:textId="25F13627" w:rsidR="00D570DF" w:rsidRPr="0052418C" w:rsidRDefault="00A560DC" w:rsidP="0052418C">
      <w:pPr>
        <w:tabs>
          <w:tab w:val="left" w:pos="3015"/>
        </w:tabs>
        <w:spacing w:after="0" w:line="276" w:lineRule="auto"/>
        <w:ind w:left="0" w:right="0" w:firstLine="0"/>
        <w:rPr>
          <w:rFonts w:ascii="ITC Avant Garde" w:hAnsi="ITC Avant Garde"/>
        </w:rPr>
      </w:pPr>
      <w:r w:rsidRPr="0052418C">
        <w:rPr>
          <w:rFonts w:ascii="ITC Avant Garde" w:hAnsi="ITC Avant Garde" w:cs="Arial"/>
          <w:color w:val="auto"/>
        </w:rPr>
        <w:t xml:space="preserve">Al </w:t>
      </w:r>
      <w:r w:rsidR="00B705AF" w:rsidRPr="0052418C">
        <w:rPr>
          <w:rFonts w:ascii="ITC Avant Garde" w:hAnsi="ITC Avant Garde" w:cs="Arial"/>
          <w:color w:val="auto"/>
        </w:rPr>
        <w:t>respecto</w:t>
      </w:r>
      <w:r w:rsidRPr="0052418C">
        <w:rPr>
          <w:rFonts w:ascii="ITC Avant Garde" w:hAnsi="ITC Avant Garde" w:cs="Arial"/>
          <w:color w:val="auto"/>
        </w:rPr>
        <w:t xml:space="preserve">, la ORE EM </w:t>
      </w:r>
      <w:r w:rsidR="003903EF" w:rsidRPr="0052418C">
        <w:rPr>
          <w:rFonts w:ascii="ITC Avant Garde" w:hAnsi="ITC Avant Garde" w:cs="Arial"/>
          <w:color w:val="auto"/>
        </w:rPr>
        <w:t xml:space="preserve">2022 </w:t>
      </w:r>
      <w:r w:rsidR="00B0796E" w:rsidRPr="0052418C">
        <w:rPr>
          <w:rFonts w:ascii="ITC Avant Garde" w:hAnsi="ITC Avant Garde" w:cs="Arial"/>
          <w:color w:val="auto"/>
        </w:rPr>
        <w:t xml:space="preserve">contempla en su Anexo </w:t>
      </w:r>
      <w:r w:rsidR="003903EF" w:rsidRPr="0052418C">
        <w:rPr>
          <w:rFonts w:ascii="ITC Avant Garde" w:hAnsi="ITC Avant Garde" w:cs="Arial"/>
          <w:color w:val="auto"/>
        </w:rPr>
        <w:t>G</w:t>
      </w:r>
      <w:r w:rsidR="00A95575" w:rsidRPr="0052418C">
        <w:rPr>
          <w:rFonts w:ascii="ITC Avant Garde" w:hAnsi="ITC Avant Garde" w:cs="Arial"/>
          <w:color w:val="auto"/>
        </w:rPr>
        <w:t xml:space="preserve">, numeral 1 </w:t>
      </w:r>
      <w:r w:rsidR="00BC724C" w:rsidRPr="0052418C">
        <w:rPr>
          <w:rFonts w:ascii="ITC Avant Garde" w:hAnsi="ITC Avant Garde" w:cs="Arial"/>
          <w:color w:val="auto"/>
        </w:rPr>
        <w:t>“</w:t>
      </w:r>
      <w:r w:rsidR="00BC724C" w:rsidRPr="009010CA">
        <w:rPr>
          <w:rFonts w:ascii="ITC Avant Garde" w:hAnsi="ITC Avant Garde" w:cs="Arial"/>
          <w:i/>
        </w:rPr>
        <w:t>CONDICIONES GENERALES</w:t>
      </w:r>
      <w:r w:rsidR="00BC724C" w:rsidRPr="009010CA">
        <w:rPr>
          <w:rFonts w:ascii="ITC Avant Garde" w:hAnsi="ITC Avant Garde" w:cs="Arial"/>
        </w:rPr>
        <w:t>”</w:t>
      </w:r>
      <w:r w:rsidR="007E6A42" w:rsidRPr="0052418C">
        <w:rPr>
          <w:rFonts w:ascii="ITC Avant Garde" w:hAnsi="ITC Avant Garde" w:cs="Arial"/>
          <w:color w:val="auto"/>
        </w:rPr>
        <w:t xml:space="preserve"> </w:t>
      </w:r>
      <w:r w:rsidR="00A95575" w:rsidRPr="0052418C">
        <w:rPr>
          <w:rFonts w:ascii="ITC Avant Garde" w:hAnsi="ITC Avant Garde" w:cs="Arial"/>
          <w:color w:val="auto"/>
        </w:rPr>
        <w:t>el procedimiento</w:t>
      </w:r>
      <w:r w:rsidR="003903EF" w:rsidRPr="0052418C">
        <w:rPr>
          <w:rFonts w:ascii="ITC Avant Garde" w:hAnsi="ITC Avant Garde" w:cs="Arial"/>
          <w:color w:val="auto"/>
        </w:rPr>
        <w:t xml:space="preserve"> </w:t>
      </w:r>
      <w:r w:rsidR="00E55135" w:rsidRPr="0052418C">
        <w:rPr>
          <w:rFonts w:ascii="ITC Avant Garde" w:hAnsi="ITC Avant Garde" w:cs="Arial"/>
          <w:color w:val="auto"/>
        </w:rPr>
        <w:t xml:space="preserve">de acceso a sitios, mismo que incluye </w:t>
      </w:r>
      <w:r w:rsidR="005F669E" w:rsidRPr="0052418C">
        <w:rPr>
          <w:rFonts w:ascii="ITC Avant Garde" w:hAnsi="ITC Avant Garde" w:cs="Arial"/>
          <w:color w:val="auto"/>
        </w:rPr>
        <w:t>una serie</w:t>
      </w:r>
      <w:r w:rsidR="00E55135" w:rsidRPr="0052418C">
        <w:rPr>
          <w:rFonts w:ascii="ITC Avant Garde" w:hAnsi="ITC Avant Garde" w:cs="Arial"/>
          <w:color w:val="auto"/>
        </w:rPr>
        <w:t xml:space="preserve"> de requisitos</w:t>
      </w:r>
      <w:r w:rsidR="00BC724C" w:rsidRPr="0052418C">
        <w:rPr>
          <w:rFonts w:ascii="ITC Avant Garde" w:hAnsi="ITC Avant Garde" w:cs="Arial"/>
          <w:color w:val="auto"/>
        </w:rPr>
        <w:t xml:space="preserve"> mínimos</w:t>
      </w:r>
      <w:r w:rsidR="005B1F2F" w:rsidRPr="0052418C">
        <w:rPr>
          <w:rFonts w:ascii="ITC Avant Garde" w:hAnsi="ITC Avant Garde" w:cs="Arial"/>
          <w:color w:val="auto"/>
        </w:rPr>
        <w:t xml:space="preserve"> que conforme a la práctica común de la industria</w:t>
      </w:r>
      <w:r w:rsidR="007E6A42" w:rsidRPr="0052418C">
        <w:rPr>
          <w:rFonts w:ascii="ITC Avant Garde" w:hAnsi="ITC Avant Garde" w:cs="Arial"/>
          <w:color w:val="auto"/>
        </w:rPr>
        <w:t>,</w:t>
      </w:r>
      <w:r w:rsidR="005B1F2F" w:rsidRPr="0052418C">
        <w:rPr>
          <w:rFonts w:ascii="ITC Avant Garde" w:hAnsi="ITC Avant Garde" w:cs="Arial"/>
          <w:color w:val="auto"/>
        </w:rPr>
        <w:t xml:space="preserve"> </w:t>
      </w:r>
      <w:r w:rsidR="0075261F" w:rsidRPr="0052418C">
        <w:rPr>
          <w:rFonts w:ascii="ITC Avant Garde" w:hAnsi="ITC Avant Garde" w:cs="Arial"/>
          <w:color w:val="auto"/>
        </w:rPr>
        <w:t>son necesarios</w:t>
      </w:r>
      <w:r w:rsidR="00E55135" w:rsidRPr="0052418C">
        <w:rPr>
          <w:rFonts w:ascii="ITC Avant Garde" w:hAnsi="ITC Avant Garde" w:cs="Arial"/>
          <w:color w:val="auto"/>
        </w:rPr>
        <w:t xml:space="preserve"> </w:t>
      </w:r>
      <w:r w:rsidR="005B1F2F" w:rsidRPr="0052418C">
        <w:rPr>
          <w:rFonts w:ascii="ITC Avant Garde" w:hAnsi="ITC Avant Garde" w:cs="Arial"/>
          <w:color w:val="auto"/>
        </w:rPr>
        <w:t xml:space="preserve">y </w:t>
      </w:r>
      <w:r w:rsidR="00E55135" w:rsidRPr="0052418C">
        <w:rPr>
          <w:rFonts w:ascii="ITC Avant Garde" w:hAnsi="ITC Avant Garde" w:cs="Arial"/>
          <w:color w:val="auto"/>
        </w:rPr>
        <w:t xml:space="preserve">con los que debe cumplir </w:t>
      </w:r>
      <w:r w:rsidR="00A95575" w:rsidRPr="0052418C">
        <w:rPr>
          <w:rFonts w:ascii="ITC Avant Garde" w:hAnsi="ITC Avant Garde" w:cs="Arial"/>
          <w:color w:val="auto"/>
        </w:rPr>
        <w:t>Red Nacional</w:t>
      </w:r>
      <w:r w:rsidR="00E55135" w:rsidRPr="0052418C">
        <w:rPr>
          <w:rFonts w:ascii="ITC Avant Garde" w:hAnsi="ITC Avant Garde" w:cs="Arial"/>
          <w:color w:val="auto"/>
        </w:rPr>
        <w:t xml:space="preserve"> para acceder a los sitios</w:t>
      </w:r>
      <w:r w:rsidR="00D570DF" w:rsidRPr="0052418C">
        <w:rPr>
          <w:rFonts w:ascii="ITC Avant Garde" w:hAnsi="ITC Avant Garde" w:cs="Arial"/>
          <w:color w:val="auto"/>
        </w:rPr>
        <w:t xml:space="preserve">, </w:t>
      </w:r>
      <w:r w:rsidR="00D570DF" w:rsidRPr="0052418C">
        <w:rPr>
          <w:rFonts w:ascii="ITC Avant Garde" w:hAnsi="ITC Avant Garde"/>
          <w:color w:val="auto"/>
        </w:rPr>
        <w:t xml:space="preserve">en el que ya se considera la obligación del personal de mostrar la identificación que lo acredite como trabajador de la compañía a la que pertenece, mediante </w:t>
      </w:r>
      <w:r w:rsidR="00D570DF" w:rsidRPr="0052418C">
        <w:rPr>
          <w:rFonts w:ascii="ITC Avant Garde" w:hAnsi="ITC Avant Garde"/>
          <w:color w:val="auto"/>
        </w:rPr>
        <w:lastRenderedPageBreak/>
        <w:t>credencial actualizada, así como una identificación oficial vigente. Además, los CS o AS podrán establecer algún requisito adicional que sea indispensable.</w:t>
      </w:r>
    </w:p>
    <w:p w14:paraId="061B4BE8" w14:textId="77777777" w:rsidR="00267945" w:rsidRPr="0052418C" w:rsidRDefault="00267945" w:rsidP="0052418C">
      <w:pPr>
        <w:tabs>
          <w:tab w:val="left" w:pos="3015"/>
        </w:tabs>
        <w:spacing w:after="0" w:line="276" w:lineRule="auto"/>
        <w:ind w:left="0" w:right="0" w:firstLine="0"/>
        <w:rPr>
          <w:rFonts w:ascii="ITC Avant Garde" w:hAnsi="ITC Avant Garde" w:cs="Arial"/>
        </w:rPr>
      </w:pPr>
    </w:p>
    <w:p w14:paraId="21C1DDBD" w14:textId="25E48059" w:rsidR="00BE3B55" w:rsidRPr="0052418C" w:rsidRDefault="00666AD1" w:rsidP="0052418C">
      <w:pPr>
        <w:pStyle w:val="IFTnormal"/>
        <w:spacing w:after="0"/>
        <w:ind w:left="0"/>
        <w:rPr>
          <w:rFonts w:cs="Arial"/>
          <w:color w:val="000000"/>
        </w:rPr>
      </w:pPr>
      <w:r w:rsidRPr="0052418C">
        <w:rPr>
          <w:rFonts w:cs="Arial"/>
        </w:rPr>
        <w:t xml:space="preserve">Por </w:t>
      </w:r>
      <w:r w:rsidR="00BE3B55" w:rsidRPr="0052418C">
        <w:rPr>
          <w:rFonts w:cs="Arial"/>
        </w:rPr>
        <w:t>otro lado</w:t>
      </w:r>
      <w:r w:rsidR="00CE68DE" w:rsidRPr="0052418C">
        <w:rPr>
          <w:rFonts w:cs="Arial"/>
        </w:rPr>
        <w:t>,</w:t>
      </w:r>
      <w:r w:rsidR="00156337" w:rsidRPr="0052418C">
        <w:rPr>
          <w:rFonts w:cs="Arial"/>
        </w:rPr>
        <w:t xml:space="preserve"> </w:t>
      </w:r>
      <w:r w:rsidRPr="0052418C">
        <w:rPr>
          <w:rFonts w:cs="Arial"/>
        </w:rPr>
        <w:t>respecto a lo señalado por</w:t>
      </w:r>
      <w:r w:rsidR="005D33F8" w:rsidRPr="0052418C">
        <w:rPr>
          <w:rFonts w:cs="Arial"/>
        </w:rPr>
        <w:t xml:space="preserve"> Grupo</w:t>
      </w:r>
      <w:r w:rsidRPr="0052418C">
        <w:rPr>
          <w:rFonts w:cs="Arial"/>
        </w:rPr>
        <w:t xml:space="preserve"> AT&amp;T</w:t>
      </w:r>
      <w:r w:rsidR="003903EF" w:rsidRPr="0052418C">
        <w:rPr>
          <w:rFonts w:cs="Arial"/>
        </w:rPr>
        <w:t xml:space="preserve"> y M</w:t>
      </w:r>
      <w:r w:rsidR="009010CA">
        <w:rPr>
          <w:rFonts w:cs="Arial"/>
        </w:rPr>
        <w:t>e</w:t>
      </w:r>
      <w:r w:rsidR="003903EF" w:rsidRPr="0052418C">
        <w:rPr>
          <w:rFonts w:cs="Arial"/>
        </w:rPr>
        <w:t>ga Cable</w:t>
      </w:r>
      <w:r w:rsidRPr="0052418C">
        <w:rPr>
          <w:rFonts w:cs="Arial"/>
        </w:rPr>
        <w:t xml:space="preserve">, </w:t>
      </w:r>
      <w:r w:rsidR="00BE3B55" w:rsidRPr="0052418C">
        <w:t xml:space="preserve">cabe señalar que el numeral 2.4.3.1 de la </w:t>
      </w:r>
      <w:r w:rsidR="00BE3B55" w:rsidRPr="0052418C">
        <w:rPr>
          <w:iCs w:val="0"/>
        </w:rPr>
        <w:t>ORE EM 202</w:t>
      </w:r>
      <w:r w:rsidR="00BE3B55" w:rsidRPr="0052418C">
        <w:t>2 establece que no se computarán los días de retraso atribuibles a diversas causas para la medición del cumplimento de los plazos de entrega, una vez que Red Nacional</w:t>
      </w:r>
      <w:r w:rsidR="00BE3B55" w:rsidRPr="0052418C" w:rsidDel="00A567D2">
        <w:t xml:space="preserve"> </w:t>
      </w:r>
      <w:r w:rsidR="00BE3B55" w:rsidRPr="0052418C">
        <w:t>haya demostrado fehacientemente el hecho del que se trate. Por lo anterior</w:t>
      </w:r>
      <w:r w:rsidR="00BE3B55" w:rsidRPr="0052418C">
        <w:rPr>
          <w:rFonts w:cs="Arial"/>
          <w:color w:val="000000"/>
        </w:rPr>
        <w:t xml:space="preserve">, la Oferta de Referencia ya considera que se debe demostrar fehacientemente el hecho por el que se retrasará la entrega de servicios. </w:t>
      </w:r>
    </w:p>
    <w:p w14:paraId="6824E50F" w14:textId="4AC9032C" w:rsidR="006037D3" w:rsidRPr="0052418C" w:rsidRDefault="006037D3" w:rsidP="0052418C">
      <w:pPr>
        <w:pStyle w:val="IFTnormal"/>
        <w:spacing w:after="0"/>
        <w:ind w:left="0"/>
        <w:rPr>
          <w:rFonts w:cs="Arial"/>
        </w:rPr>
      </w:pPr>
    </w:p>
    <w:p w14:paraId="316CA053" w14:textId="2ED1E925" w:rsidR="006037D3" w:rsidRPr="0052418C" w:rsidRDefault="006037D3" w:rsidP="009010CA">
      <w:pPr>
        <w:pStyle w:val="IFTnormal"/>
        <w:spacing w:after="0"/>
        <w:ind w:left="0"/>
        <w:rPr>
          <w:i/>
          <w:iCs w:val="0"/>
          <w:sz w:val="18"/>
          <w:szCs w:val="18"/>
        </w:rPr>
      </w:pPr>
      <w:r w:rsidRPr="0052418C">
        <w:rPr>
          <w:rFonts w:cs="Arial"/>
          <w:color w:val="000000"/>
        </w:rPr>
        <w:t xml:space="preserve">Por lo que respecta a lo manifestado por Axtel en el sentido de obligar </w:t>
      </w:r>
      <w:r w:rsidR="00BE3B55" w:rsidRPr="0052418C">
        <w:rPr>
          <w:rFonts w:cs="Arial"/>
          <w:color w:val="000000"/>
        </w:rPr>
        <w:t>a Red Nacional</w:t>
      </w:r>
      <w:r w:rsidRPr="0052418C">
        <w:rPr>
          <w:rFonts w:cs="Arial"/>
          <w:color w:val="000000"/>
        </w:rPr>
        <w:t xml:space="preserve"> </w:t>
      </w:r>
      <w:r w:rsidRPr="0052418C">
        <w:t>proporcionar la información oportuna de las etapas de construcción de los enlaces y fechas de entrega reales una vez que ocurra el cierre del paro de reloj a los CS, se señala que la ORE EM 2022</w:t>
      </w:r>
      <w:r w:rsidR="00950A0E" w:rsidRPr="00950A0E">
        <w:t xml:space="preserve"> </w:t>
      </w:r>
      <w:bookmarkStart w:id="9" w:name="_Hlk94002973"/>
      <w:r w:rsidR="00950A0E" w:rsidRPr="00EB1B04">
        <w:t>considera dicha situación en el numeral 2.4.3.1</w:t>
      </w:r>
      <w:r w:rsidR="00250012">
        <w:t>.</w:t>
      </w:r>
      <w:bookmarkEnd w:id="9"/>
    </w:p>
    <w:p w14:paraId="723505FE" w14:textId="77777777" w:rsidR="006037D3" w:rsidRPr="0052418C" w:rsidRDefault="006037D3" w:rsidP="0052418C">
      <w:pPr>
        <w:pStyle w:val="IFTnormal"/>
        <w:spacing w:after="0"/>
        <w:ind w:left="0" w:firstLine="708"/>
        <w:rPr>
          <w:rFonts w:cs="Arial"/>
        </w:rPr>
      </w:pPr>
    </w:p>
    <w:p w14:paraId="474455FD" w14:textId="25EA1B07" w:rsidR="0033160A" w:rsidRPr="0052418C" w:rsidRDefault="0033160A" w:rsidP="0052418C">
      <w:pPr>
        <w:pStyle w:val="IFTnormal"/>
        <w:spacing w:after="0"/>
        <w:ind w:left="0"/>
        <w:rPr>
          <w:rFonts w:eastAsiaTheme="majorEastAsia" w:cs="Arial"/>
          <w:b/>
          <w:u w:val="single"/>
        </w:rPr>
      </w:pPr>
      <w:r w:rsidRPr="0052418C">
        <w:rPr>
          <w:rFonts w:eastAsiaTheme="majorEastAsia" w:cs="Arial"/>
          <w:b/>
          <w:u w:val="single"/>
        </w:rPr>
        <w:t>2.4.3.3</w:t>
      </w:r>
      <w:r w:rsidR="00BE3B55" w:rsidRPr="0052418C">
        <w:rPr>
          <w:rFonts w:eastAsiaTheme="majorEastAsia" w:cs="Arial"/>
          <w:b/>
          <w:u w:val="single"/>
        </w:rPr>
        <w:t>.</w:t>
      </w:r>
    </w:p>
    <w:p w14:paraId="66366C5A" w14:textId="59456013" w:rsidR="00B06DAE" w:rsidRPr="0052418C" w:rsidRDefault="00E26270" w:rsidP="0052418C">
      <w:pPr>
        <w:tabs>
          <w:tab w:val="left" w:pos="3015"/>
        </w:tabs>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AXTEL:</w:t>
      </w:r>
    </w:p>
    <w:p w14:paraId="61F0A88F" w14:textId="77777777" w:rsidR="007476E3" w:rsidRPr="0052418C" w:rsidRDefault="007476E3" w:rsidP="0052418C">
      <w:pPr>
        <w:pStyle w:val="IFTnormal"/>
        <w:spacing w:after="0"/>
        <w:ind w:left="0"/>
        <w:rPr>
          <w:rFonts w:eastAsiaTheme="majorEastAsia"/>
          <w:bCs/>
        </w:rPr>
      </w:pPr>
      <w:r w:rsidRPr="0052418C">
        <w:rPr>
          <w:rFonts w:eastAsiaTheme="majorEastAsia"/>
          <w:bCs/>
        </w:rPr>
        <w:t xml:space="preserve">Argumentó que en la Propuesta de Oferta el AEP señala que, para la correcta instalación de los elementos necesarios en la prestación de los servicios contratados, los CS deberán notificar al AEP los insumos y las adecuaciones. </w:t>
      </w:r>
    </w:p>
    <w:p w14:paraId="753734C7" w14:textId="77777777" w:rsidR="007476E3" w:rsidRPr="0052418C" w:rsidRDefault="007476E3" w:rsidP="0052418C">
      <w:pPr>
        <w:tabs>
          <w:tab w:val="left" w:pos="3015"/>
        </w:tabs>
        <w:spacing w:after="0" w:line="276" w:lineRule="auto"/>
        <w:ind w:left="0" w:right="0" w:firstLine="0"/>
        <w:rPr>
          <w:rFonts w:ascii="ITC Avant Garde" w:eastAsia="Times New Roman" w:hAnsi="ITC Avant Garde" w:cs="Arial"/>
          <w:iCs/>
          <w:color w:val="auto"/>
          <w:lang w:val="es-ES"/>
        </w:rPr>
      </w:pPr>
    </w:p>
    <w:p w14:paraId="58F9BFA7" w14:textId="6415A408" w:rsidR="0033160A" w:rsidRPr="0052418C" w:rsidRDefault="007476E3" w:rsidP="0052418C">
      <w:pPr>
        <w:tabs>
          <w:tab w:val="left" w:pos="3015"/>
        </w:tabs>
        <w:spacing w:after="0" w:line="276" w:lineRule="auto"/>
        <w:ind w:left="0" w:right="0" w:firstLine="0"/>
        <w:rPr>
          <w:rFonts w:ascii="ITC Avant Garde" w:eastAsia="Times New Roman" w:hAnsi="ITC Avant Garde" w:cs="Arial"/>
          <w:iCs/>
          <w:color w:val="auto"/>
          <w:lang w:val="es-ES"/>
        </w:rPr>
      </w:pPr>
      <w:r w:rsidRPr="0052418C">
        <w:rPr>
          <w:rFonts w:ascii="ITC Avant Garde" w:eastAsia="Times New Roman" w:hAnsi="ITC Avant Garde" w:cs="Arial"/>
          <w:iCs/>
          <w:color w:val="auto"/>
          <w:lang w:val="es-ES"/>
        </w:rPr>
        <w:t>En este sentido, s</w:t>
      </w:r>
      <w:r w:rsidR="0033160A" w:rsidRPr="0052418C">
        <w:rPr>
          <w:rFonts w:ascii="ITC Avant Garde" w:eastAsia="Times New Roman" w:hAnsi="ITC Avant Garde" w:cs="Arial"/>
          <w:iCs/>
          <w:color w:val="auto"/>
          <w:lang w:val="es-ES"/>
        </w:rPr>
        <w:t>olicit</w:t>
      </w:r>
      <w:r w:rsidR="001541AC" w:rsidRPr="0052418C">
        <w:rPr>
          <w:rFonts w:ascii="ITC Avant Garde" w:eastAsia="Times New Roman" w:hAnsi="ITC Avant Garde" w:cs="Arial"/>
          <w:iCs/>
          <w:color w:val="auto"/>
          <w:lang w:val="es-ES"/>
        </w:rPr>
        <w:t>ó</w:t>
      </w:r>
      <w:r w:rsidR="0033160A" w:rsidRPr="0052418C">
        <w:rPr>
          <w:rFonts w:ascii="ITC Avant Garde" w:eastAsia="Times New Roman" w:hAnsi="ITC Avant Garde" w:cs="Arial"/>
          <w:iCs/>
          <w:color w:val="auto"/>
          <w:lang w:val="es-ES"/>
        </w:rPr>
        <w:t xml:space="preserve"> al </w:t>
      </w:r>
      <w:r w:rsidR="007D3F39" w:rsidRPr="0052418C">
        <w:rPr>
          <w:rFonts w:ascii="ITC Avant Garde" w:eastAsia="Times New Roman" w:hAnsi="ITC Avant Garde" w:cs="Arial"/>
          <w:iCs/>
          <w:color w:val="auto"/>
          <w:lang w:val="es-ES"/>
        </w:rPr>
        <w:t>Instituto</w:t>
      </w:r>
      <w:r w:rsidR="00EC05C5" w:rsidRPr="0052418C">
        <w:rPr>
          <w:rFonts w:ascii="ITC Avant Garde" w:eastAsia="Times New Roman" w:hAnsi="ITC Avant Garde" w:cs="Arial"/>
          <w:iCs/>
          <w:color w:val="auto"/>
          <w:lang w:val="es-ES"/>
        </w:rPr>
        <w:t xml:space="preserve"> que sólo en aquellos casos en que se haya contratado un Proyecto Especial al AEP, el CS deberá notificar que el sitio se encuentra disponible y con los insumos o adecuaciones necesarias, y en su caso se realice un paro de reloj</w:t>
      </w:r>
      <w:r w:rsidR="0033160A" w:rsidRPr="0052418C">
        <w:rPr>
          <w:rFonts w:ascii="ITC Avant Garde" w:eastAsia="Times New Roman" w:hAnsi="ITC Avant Garde" w:cs="Arial"/>
          <w:iCs/>
          <w:color w:val="auto"/>
          <w:lang w:val="es-ES"/>
        </w:rPr>
        <w:t>.</w:t>
      </w:r>
    </w:p>
    <w:p w14:paraId="003A4BAE" w14:textId="77777777" w:rsidR="0033160A" w:rsidRPr="009010CA" w:rsidRDefault="0033160A" w:rsidP="0052418C">
      <w:pPr>
        <w:tabs>
          <w:tab w:val="left" w:pos="3015"/>
        </w:tabs>
        <w:spacing w:after="0" w:line="276" w:lineRule="auto"/>
        <w:ind w:left="0" w:right="0" w:firstLine="0"/>
        <w:rPr>
          <w:rFonts w:ascii="ITC Avant Garde" w:hAnsi="ITC Avant Garde" w:cs="Arial"/>
          <w:color w:val="auto"/>
          <w:lang w:val="es-ES"/>
        </w:rPr>
      </w:pPr>
    </w:p>
    <w:p w14:paraId="5775F5CD" w14:textId="48D88EB2" w:rsidR="00647BC5" w:rsidRPr="0052418C" w:rsidRDefault="00647BC5" w:rsidP="0052418C">
      <w:pPr>
        <w:tabs>
          <w:tab w:val="left" w:pos="3015"/>
        </w:tabs>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6E3E3B" w:rsidRPr="0052418C">
        <w:rPr>
          <w:rFonts w:ascii="ITC Avant Garde" w:hAnsi="ITC Avant Garde" w:cs="Arial"/>
          <w:b/>
          <w:color w:val="auto"/>
        </w:rPr>
        <w:t>:</w:t>
      </w:r>
    </w:p>
    <w:p w14:paraId="05C98F14" w14:textId="41F6ACA2" w:rsidR="0025427F" w:rsidRPr="0052418C" w:rsidRDefault="00382E78" w:rsidP="0052418C">
      <w:pPr>
        <w:tabs>
          <w:tab w:val="left" w:pos="3015"/>
        </w:tabs>
        <w:spacing w:after="0" w:line="276" w:lineRule="auto"/>
        <w:ind w:left="0" w:right="0" w:firstLine="0"/>
        <w:rPr>
          <w:rFonts w:ascii="ITC Avant Garde" w:hAnsi="ITC Avant Garde"/>
          <w:color w:val="auto"/>
        </w:rPr>
      </w:pPr>
      <w:r w:rsidRPr="0052418C">
        <w:rPr>
          <w:rFonts w:ascii="ITC Avant Garde" w:hAnsi="ITC Avant Garde"/>
          <w:color w:val="auto"/>
        </w:rPr>
        <w:t xml:space="preserve">Para que </w:t>
      </w:r>
      <w:r w:rsidR="00EF0921" w:rsidRPr="0052418C">
        <w:rPr>
          <w:rFonts w:ascii="ITC Avant Garde" w:hAnsi="ITC Avant Garde" w:cs="Arial"/>
        </w:rPr>
        <w:t>Red Nacional</w:t>
      </w:r>
      <w:r w:rsidR="00EF0921" w:rsidRPr="0052418C">
        <w:rPr>
          <w:rFonts w:ascii="ITC Avant Garde" w:hAnsi="ITC Avant Garde"/>
          <w:bCs/>
          <w:color w:val="auto"/>
        </w:rPr>
        <w:t xml:space="preserve"> </w:t>
      </w:r>
      <w:r w:rsidR="003903EF" w:rsidRPr="0052418C">
        <w:rPr>
          <w:rFonts w:ascii="ITC Avant Garde" w:hAnsi="ITC Avant Garde"/>
          <w:color w:val="auto"/>
        </w:rPr>
        <w:t>pueda realizar la instalación de los elementos necesarios para prestar los servicios contratados, los CS deberá</w:t>
      </w:r>
      <w:r w:rsidR="007476E3" w:rsidRPr="0052418C">
        <w:rPr>
          <w:rFonts w:ascii="ITC Avant Garde" w:hAnsi="ITC Avant Garde"/>
          <w:color w:val="auto"/>
        </w:rPr>
        <w:t>n</w:t>
      </w:r>
      <w:r w:rsidR="003903EF" w:rsidRPr="0052418C">
        <w:rPr>
          <w:rFonts w:ascii="ITC Avant Garde" w:hAnsi="ITC Avant Garde"/>
          <w:color w:val="auto"/>
        </w:rPr>
        <w:t xml:space="preserve"> notificar que se encuentran disponibles los insumos y adecuaciones necesarias, </w:t>
      </w:r>
      <w:r w:rsidRPr="0052418C">
        <w:rPr>
          <w:rFonts w:ascii="ITC Avant Garde" w:hAnsi="ITC Avant Garde"/>
          <w:color w:val="auto"/>
        </w:rPr>
        <w:t xml:space="preserve">y </w:t>
      </w:r>
      <w:r w:rsidR="003903EF" w:rsidRPr="0052418C">
        <w:rPr>
          <w:rFonts w:ascii="ITC Avant Garde" w:hAnsi="ITC Avant Garde"/>
          <w:color w:val="auto"/>
        </w:rPr>
        <w:t>en dado</w:t>
      </w:r>
      <w:r w:rsidR="0025427F" w:rsidRPr="0052418C">
        <w:rPr>
          <w:rFonts w:ascii="ITC Avant Garde" w:hAnsi="ITC Avant Garde"/>
          <w:color w:val="auto"/>
        </w:rPr>
        <w:t xml:space="preserve"> caso de no ser necesarios los insumos que se señalan en el Anexo </w:t>
      </w:r>
      <w:r w:rsidR="00EC05C5" w:rsidRPr="0052418C">
        <w:rPr>
          <w:rFonts w:ascii="ITC Avant Garde" w:hAnsi="ITC Avant Garde"/>
          <w:color w:val="auto"/>
        </w:rPr>
        <w:t xml:space="preserve">F </w:t>
      </w:r>
      <w:r w:rsidR="0025427F" w:rsidRPr="0052418C">
        <w:rPr>
          <w:rFonts w:ascii="ITC Avant Garde" w:hAnsi="ITC Avant Garde"/>
          <w:color w:val="auto"/>
        </w:rPr>
        <w:t>no supondrá un paro de reloj.</w:t>
      </w:r>
    </w:p>
    <w:p w14:paraId="5DB4A18A" w14:textId="77777777" w:rsidR="00AC153E" w:rsidRPr="0052418C" w:rsidRDefault="00AC153E" w:rsidP="0052418C">
      <w:pPr>
        <w:tabs>
          <w:tab w:val="left" w:pos="3015"/>
        </w:tabs>
        <w:spacing w:after="0" w:line="276" w:lineRule="auto"/>
        <w:ind w:left="0" w:right="0" w:firstLine="0"/>
        <w:rPr>
          <w:rFonts w:ascii="ITC Avant Garde" w:hAnsi="ITC Avant Garde" w:cs="Arial"/>
          <w:color w:val="auto"/>
        </w:rPr>
      </w:pPr>
    </w:p>
    <w:p w14:paraId="490CCF6E" w14:textId="2B2BFF51" w:rsidR="00291CC9" w:rsidRPr="0052418C" w:rsidRDefault="00291CC9" w:rsidP="0052418C">
      <w:pPr>
        <w:pStyle w:val="IFTnormal"/>
        <w:spacing w:after="0"/>
        <w:ind w:left="0"/>
        <w:rPr>
          <w:rFonts w:eastAsiaTheme="majorEastAsia" w:cs="Arial"/>
          <w:b/>
          <w:u w:val="single"/>
        </w:rPr>
      </w:pPr>
      <w:r w:rsidRPr="0052418C">
        <w:rPr>
          <w:rFonts w:eastAsiaTheme="majorEastAsia" w:cs="Arial"/>
          <w:b/>
          <w:u w:val="single"/>
        </w:rPr>
        <w:t>2.4.3.4</w:t>
      </w:r>
      <w:r w:rsidR="00F779A1" w:rsidRPr="0052418C">
        <w:rPr>
          <w:rFonts w:eastAsiaTheme="majorEastAsia" w:cs="Arial"/>
          <w:b/>
          <w:u w:val="single"/>
        </w:rPr>
        <w:t>.</w:t>
      </w:r>
    </w:p>
    <w:p w14:paraId="0B7E96E4" w14:textId="479023E8" w:rsidR="002D4096" w:rsidRPr="0052418C" w:rsidRDefault="00E26270" w:rsidP="0052418C">
      <w:pPr>
        <w:pStyle w:val="IFTnormal"/>
        <w:spacing w:after="0"/>
        <w:ind w:left="0"/>
        <w:rPr>
          <w:rFonts w:eastAsiaTheme="majorEastAsia" w:cs="Arial"/>
          <w:b/>
        </w:rPr>
      </w:pPr>
      <w:r w:rsidRPr="0052418C">
        <w:rPr>
          <w:rFonts w:eastAsiaTheme="majorEastAsia" w:cs="Arial"/>
          <w:b/>
        </w:rPr>
        <w:t xml:space="preserve">GRUPO AT&amp;T: </w:t>
      </w:r>
    </w:p>
    <w:p w14:paraId="126F59D6" w14:textId="69177985" w:rsidR="00291C0D" w:rsidRPr="0052418C" w:rsidRDefault="001C1FB7" w:rsidP="0052418C">
      <w:pPr>
        <w:pStyle w:val="IFTnormal"/>
        <w:spacing w:after="0"/>
        <w:ind w:left="0"/>
        <w:rPr>
          <w:rFonts w:cs="Arial"/>
        </w:rPr>
      </w:pPr>
      <w:r w:rsidRPr="0052418C">
        <w:rPr>
          <w:rFonts w:eastAsia="Avant Garde" w:cs="Arial"/>
          <w:lang w:val="es-MX"/>
        </w:rPr>
        <w:t>S</w:t>
      </w:r>
      <w:r w:rsidR="00566E21" w:rsidRPr="0052418C">
        <w:rPr>
          <w:rFonts w:eastAsia="Avant Garde" w:cs="Arial"/>
          <w:lang w:val="es-MX"/>
        </w:rPr>
        <w:t>ugir</w:t>
      </w:r>
      <w:r w:rsidR="001541AC" w:rsidRPr="0052418C">
        <w:rPr>
          <w:rFonts w:eastAsia="Avant Garde" w:cs="Arial"/>
          <w:lang w:val="es-MX"/>
        </w:rPr>
        <w:t>ió</w:t>
      </w:r>
      <w:r w:rsidR="006D31B2" w:rsidRPr="0052418C">
        <w:rPr>
          <w:rFonts w:eastAsia="Avant Garde" w:cs="Arial"/>
          <w:lang w:val="es-MX"/>
        </w:rPr>
        <w:t xml:space="preserve"> </w:t>
      </w:r>
      <w:r w:rsidR="007D3F39" w:rsidRPr="0052418C">
        <w:rPr>
          <w:rFonts w:eastAsia="Avant Garde" w:cs="Arial"/>
          <w:lang w:val="es-MX"/>
        </w:rPr>
        <w:t>actualizar el tiempo requerido para coordinar las pruebas en sitios remotos</w:t>
      </w:r>
      <w:r w:rsidR="00B329CF" w:rsidRPr="0052418C">
        <w:rPr>
          <w:rFonts w:eastAsia="Avant Garde" w:cs="Arial"/>
          <w:lang w:val="es-MX"/>
        </w:rPr>
        <w:t xml:space="preserve"> en un plazo de 5 (cinco) días hábiles y no en plazo de 2 (dos) días hábiles como lo sugiere la </w:t>
      </w:r>
      <w:r w:rsidR="007476E3" w:rsidRPr="0052418C">
        <w:rPr>
          <w:rFonts w:eastAsia="Avant Garde" w:cs="Arial"/>
          <w:lang w:val="es-MX"/>
        </w:rPr>
        <w:t>Propuesta de Oferta</w:t>
      </w:r>
      <w:r w:rsidRPr="0052418C">
        <w:rPr>
          <w:rFonts w:eastAsia="Avant Garde" w:cs="Arial"/>
          <w:lang w:val="es-MX"/>
        </w:rPr>
        <w:t>.</w:t>
      </w:r>
    </w:p>
    <w:p w14:paraId="54D61246" w14:textId="1C9A7B01" w:rsidR="001C1FB7" w:rsidRPr="0052418C" w:rsidRDefault="001C1FB7" w:rsidP="0052418C">
      <w:pPr>
        <w:pStyle w:val="IFTnormal"/>
        <w:spacing w:after="0"/>
        <w:ind w:left="0"/>
        <w:rPr>
          <w:rFonts w:cs="Arial"/>
        </w:rPr>
      </w:pPr>
    </w:p>
    <w:p w14:paraId="6CBD0FDF" w14:textId="77777777" w:rsidR="00EC05C5" w:rsidRPr="0052418C" w:rsidRDefault="00EC05C5" w:rsidP="0052418C">
      <w:pPr>
        <w:tabs>
          <w:tab w:val="left" w:pos="3015"/>
        </w:tabs>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AXTEL:</w:t>
      </w:r>
    </w:p>
    <w:p w14:paraId="6D6D88E9" w14:textId="518E8A8E" w:rsidR="00EC05C5" w:rsidRPr="0052418C" w:rsidRDefault="00EC05C5" w:rsidP="0052418C">
      <w:pPr>
        <w:pStyle w:val="IFTnormal"/>
        <w:spacing w:after="0"/>
        <w:ind w:left="0"/>
        <w:rPr>
          <w:rFonts w:cs="Arial"/>
          <w:iCs w:val="0"/>
        </w:rPr>
      </w:pPr>
      <w:r w:rsidRPr="0052418C">
        <w:rPr>
          <w:rFonts w:cs="Arial"/>
          <w:iCs w:val="0"/>
        </w:rPr>
        <w:lastRenderedPageBreak/>
        <w:t>Señal</w:t>
      </w:r>
      <w:r w:rsidR="007476E3" w:rsidRPr="0052418C">
        <w:rPr>
          <w:rFonts w:cs="Arial"/>
          <w:iCs w:val="0"/>
        </w:rPr>
        <w:t>ó</w:t>
      </w:r>
      <w:r w:rsidRPr="0052418C">
        <w:rPr>
          <w:rFonts w:cs="Arial"/>
          <w:iCs w:val="0"/>
        </w:rPr>
        <w:t xml:space="preserve"> que </w:t>
      </w:r>
      <w:r w:rsidR="007476E3" w:rsidRPr="0052418C">
        <w:rPr>
          <w:rFonts w:cs="Arial"/>
          <w:iCs w:val="0"/>
        </w:rPr>
        <w:t>la EM</w:t>
      </w:r>
      <w:r w:rsidRPr="0052418C">
        <w:rPr>
          <w:rFonts w:cs="Arial"/>
          <w:iCs w:val="0"/>
        </w:rPr>
        <w:t xml:space="preserve"> introdujo nuevas condiciones que no se encuentran dentro de las </w:t>
      </w:r>
      <w:r w:rsidR="00596862" w:rsidRPr="0052418C">
        <w:rPr>
          <w:rFonts w:cs="Arial"/>
          <w:iCs w:val="0"/>
        </w:rPr>
        <w:t>M</w:t>
      </w:r>
      <w:r w:rsidRPr="0052418C">
        <w:rPr>
          <w:rFonts w:cs="Arial"/>
          <w:iCs w:val="0"/>
        </w:rPr>
        <w:t xml:space="preserve">edidas </w:t>
      </w:r>
      <w:r w:rsidR="00596862" w:rsidRPr="0052418C">
        <w:rPr>
          <w:rFonts w:cs="Arial"/>
          <w:iCs w:val="0"/>
        </w:rPr>
        <w:t>Fijas</w:t>
      </w:r>
      <w:r w:rsidRPr="0052418C">
        <w:rPr>
          <w:rFonts w:cs="Arial"/>
          <w:iCs w:val="0"/>
        </w:rPr>
        <w:t>.</w:t>
      </w:r>
    </w:p>
    <w:p w14:paraId="187D7E8E" w14:textId="216CCD5A" w:rsidR="00EC05C5" w:rsidRPr="0052418C" w:rsidRDefault="00EC05C5" w:rsidP="0052418C">
      <w:pPr>
        <w:pStyle w:val="IFTnormal"/>
        <w:spacing w:after="0"/>
        <w:ind w:left="0"/>
        <w:rPr>
          <w:rFonts w:cs="Arial"/>
          <w:iCs w:val="0"/>
        </w:rPr>
      </w:pPr>
    </w:p>
    <w:p w14:paraId="660EBF46" w14:textId="0087A563" w:rsidR="00EC05C5" w:rsidRPr="0052418C" w:rsidRDefault="00EC05C5" w:rsidP="0052418C">
      <w:pPr>
        <w:pStyle w:val="IFTnormal"/>
        <w:spacing w:after="0"/>
        <w:ind w:left="0"/>
        <w:rPr>
          <w:rFonts w:cs="Arial"/>
        </w:rPr>
      </w:pPr>
      <w:r w:rsidRPr="0052418C">
        <w:rPr>
          <w:rFonts w:cs="Arial"/>
          <w:iCs w:val="0"/>
        </w:rPr>
        <w:t xml:space="preserve">Por lo que Axtel solicitó al Instituto la eliminación del segundo párrafo del numeral, 2.4.3.4., al ser una nueva condición que no se encuentra en las Medidas </w:t>
      </w:r>
      <w:r w:rsidR="00596862" w:rsidRPr="0052418C">
        <w:rPr>
          <w:rFonts w:cs="Arial"/>
          <w:iCs w:val="0"/>
        </w:rPr>
        <w:t>Fijas</w:t>
      </w:r>
      <w:r w:rsidRPr="0052418C">
        <w:rPr>
          <w:rFonts w:cs="Arial"/>
          <w:iCs w:val="0"/>
        </w:rPr>
        <w:t xml:space="preserve"> y que se presta para cobros adicionales, y se permite el hostigamiento de los clientes del CS. </w:t>
      </w:r>
    </w:p>
    <w:p w14:paraId="588B22A6" w14:textId="7E397DF0" w:rsidR="00EC05C5" w:rsidRPr="0052418C" w:rsidRDefault="00EC05C5" w:rsidP="0052418C">
      <w:pPr>
        <w:pStyle w:val="IFTnormal"/>
        <w:spacing w:after="0"/>
        <w:ind w:left="0"/>
        <w:rPr>
          <w:rFonts w:cs="Arial"/>
        </w:rPr>
      </w:pPr>
    </w:p>
    <w:p w14:paraId="623BCB0D" w14:textId="77777777" w:rsidR="003112CE" w:rsidRPr="0052418C" w:rsidRDefault="003112CE" w:rsidP="0052418C">
      <w:pPr>
        <w:tabs>
          <w:tab w:val="left" w:pos="3015"/>
        </w:tabs>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MEGA CABLE:</w:t>
      </w:r>
    </w:p>
    <w:p w14:paraId="51A9DD9D" w14:textId="485CEFD4" w:rsidR="003112CE" w:rsidRPr="0052418C" w:rsidRDefault="003112CE" w:rsidP="0052418C">
      <w:pPr>
        <w:pStyle w:val="IFTnormal"/>
        <w:spacing w:after="0"/>
        <w:ind w:left="0"/>
        <w:rPr>
          <w:rFonts w:cs="Arial"/>
        </w:rPr>
      </w:pPr>
      <w:r w:rsidRPr="0052418C">
        <w:rPr>
          <w:rFonts w:cs="Arial"/>
        </w:rPr>
        <w:t xml:space="preserve">Señaló que </w:t>
      </w:r>
      <w:r w:rsidR="00EF0921" w:rsidRPr="0052418C">
        <w:rPr>
          <w:rFonts w:cs="Arial"/>
        </w:rPr>
        <w:t>Red Nacional</w:t>
      </w:r>
      <w:r w:rsidR="00EF0921" w:rsidRPr="0052418C">
        <w:rPr>
          <w:bCs/>
        </w:rPr>
        <w:t xml:space="preserve"> </w:t>
      </w:r>
      <w:r w:rsidRPr="0052418C">
        <w:rPr>
          <w:rFonts w:cs="Arial"/>
        </w:rPr>
        <w:t>pretend</w:t>
      </w:r>
      <w:r w:rsidR="00596862" w:rsidRPr="0052418C">
        <w:rPr>
          <w:rFonts w:cs="Arial"/>
        </w:rPr>
        <w:t>e</w:t>
      </w:r>
      <w:r w:rsidRPr="0052418C">
        <w:rPr>
          <w:rFonts w:cs="Arial"/>
        </w:rPr>
        <w:t xml:space="preserve"> cobrar por un servicio para validar la entrega del servicio mediante el pago de una contraprestación adicional.</w:t>
      </w:r>
      <w:r w:rsidR="00596862" w:rsidRPr="0052418C">
        <w:rPr>
          <w:rFonts w:cs="Arial"/>
        </w:rPr>
        <w:t xml:space="preserve"> Es así que, </w:t>
      </w:r>
      <w:r w:rsidRPr="0052418C">
        <w:rPr>
          <w:rFonts w:cs="Arial"/>
        </w:rPr>
        <w:t>solicitó que debe excluirse este cobro adicional ya que equivale a un doble costo por la instalación y entrega del enlace.</w:t>
      </w:r>
    </w:p>
    <w:p w14:paraId="531EA035" w14:textId="77777777" w:rsidR="003112CE" w:rsidRPr="0052418C" w:rsidRDefault="003112CE" w:rsidP="0052418C">
      <w:pPr>
        <w:pStyle w:val="IFTnormal"/>
        <w:spacing w:after="0"/>
        <w:ind w:left="0"/>
        <w:rPr>
          <w:rFonts w:cs="Arial"/>
        </w:rPr>
      </w:pPr>
    </w:p>
    <w:p w14:paraId="3387F5BA" w14:textId="082739A8" w:rsidR="0031628D" w:rsidRPr="0052418C" w:rsidRDefault="0031628D"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267CF7" w:rsidRPr="0052418C">
        <w:rPr>
          <w:rFonts w:ascii="ITC Avant Garde" w:hAnsi="ITC Avant Garde" w:cs="Arial"/>
          <w:b/>
          <w:color w:val="auto"/>
        </w:rPr>
        <w:t>:</w:t>
      </w:r>
    </w:p>
    <w:p w14:paraId="01EAA270" w14:textId="5E9F0D6E" w:rsidR="00F114A0" w:rsidRPr="0052418C" w:rsidRDefault="00596862" w:rsidP="0052418C">
      <w:pPr>
        <w:autoSpaceDE w:val="0"/>
        <w:autoSpaceDN w:val="0"/>
        <w:adjustRightInd w:val="0"/>
        <w:spacing w:after="0" w:line="276" w:lineRule="auto"/>
        <w:rPr>
          <w:rFonts w:ascii="ITC Avant Garde" w:hAnsi="ITC Avant Garde" w:cs="Arial"/>
        </w:rPr>
      </w:pPr>
      <w:r w:rsidRPr="0052418C">
        <w:rPr>
          <w:rFonts w:ascii="ITC Avant Garde" w:hAnsi="ITC Avant Garde" w:cs="Arial"/>
        </w:rPr>
        <w:t>En relación con el comentario de Grupo AT&amp;T, se señala que e</w:t>
      </w:r>
      <w:r w:rsidR="003A666C" w:rsidRPr="0052418C">
        <w:rPr>
          <w:rFonts w:ascii="ITC Avant Garde" w:hAnsi="ITC Avant Garde" w:cs="Arial"/>
        </w:rPr>
        <w:t xml:space="preserve">l plazo establecido en la ORE </w:t>
      </w:r>
      <w:r w:rsidR="00D92765" w:rsidRPr="0052418C">
        <w:rPr>
          <w:rFonts w:ascii="ITC Avant Garde" w:hAnsi="ITC Avant Garde" w:cs="Arial"/>
        </w:rPr>
        <w:t xml:space="preserve">EM </w:t>
      </w:r>
      <w:r w:rsidR="00AF0249" w:rsidRPr="0052418C">
        <w:rPr>
          <w:rFonts w:ascii="ITC Avant Garde" w:hAnsi="ITC Avant Garde" w:cs="Arial"/>
        </w:rPr>
        <w:t xml:space="preserve">2022 </w:t>
      </w:r>
      <w:r w:rsidR="00C73DC2" w:rsidRPr="0052418C">
        <w:rPr>
          <w:rFonts w:ascii="ITC Avant Garde" w:hAnsi="ITC Avant Garde" w:cs="Arial"/>
        </w:rPr>
        <w:t>es</w:t>
      </w:r>
      <w:r w:rsidR="003A666C" w:rsidRPr="0052418C">
        <w:rPr>
          <w:rFonts w:ascii="ITC Avant Garde" w:hAnsi="ITC Avant Garde" w:cs="Arial"/>
        </w:rPr>
        <w:t xml:space="preserve"> </w:t>
      </w:r>
      <w:r w:rsidRPr="0052418C">
        <w:rPr>
          <w:rFonts w:ascii="ITC Avant Garde" w:hAnsi="ITC Avant Garde" w:cs="Arial"/>
        </w:rPr>
        <w:t xml:space="preserve">de </w:t>
      </w:r>
      <w:r w:rsidR="003A666C" w:rsidRPr="0052418C">
        <w:rPr>
          <w:rFonts w:ascii="ITC Avant Garde" w:hAnsi="ITC Avant Garde" w:cs="Arial"/>
        </w:rPr>
        <w:t xml:space="preserve">2 (dos) </w:t>
      </w:r>
      <w:r w:rsidR="00566E21" w:rsidRPr="0052418C">
        <w:rPr>
          <w:rFonts w:ascii="ITC Avant Garde" w:hAnsi="ITC Avant Garde" w:cs="Arial"/>
        </w:rPr>
        <w:t>días hábiles</w:t>
      </w:r>
      <w:r w:rsidR="00267CF7" w:rsidRPr="0052418C">
        <w:rPr>
          <w:rFonts w:ascii="ITC Avant Garde" w:hAnsi="ITC Avant Garde" w:cs="Arial"/>
        </w:rPr>
        <w:t xml:space="preserve"> a efecto de no retrasar la entrega del enlace</w:t>
      </w:r>
      <w:r w:rsidR="00C73DC2" w:rsidRPr="0052418C">
        <w:rPr>
          <w:rFonts w:ascii="ITC Avant Garde" w:hAnsi="ITC Avant Garde" w:cs="Arial"/>
        </w:rPr>
        <w:t>, y no se identifica</w:t>
      </w:r>
      <w:r w:rsidR="006E7DC7" w:rsidRPr="0052418C">
        <w:rPr>
          <w:rFonts w:ascii="ITC Avant Garde" w:hAnsi="ITC Avant Garde" w:cs="Arial"/>
        </w:rPr>
        <w:t xml:space="preserve">n elementos </w:t>
      </w:r>
      <w:r w:rsidR="00EF2F10" w:rsidRPr="0052418C">
        <w:rPr>
          <w:rFonts w:ascii="ITC Avant Garde" w:hAnsi="ITC Avant Garde" w:cs="Arial"/>
        </w:rPr>
        <w:t>que justifiquen la necesidad de ampliar dicho</w:t>
      </w:r>
      <w:r w:rsidR="00146C5F" w:rsidRPr="0052418C">
        <w:rPr>
          <w:rFonts w:ascii="ITC Avant Garde" w:hAnsi="ITC Avant Garde" w:cs="Arial"/>
        </w:rPr>
        <w:t xml:space="preserve"> plazo.</w:t>
      </w:r>
    </w:p>
    <w:p w14:paraId="1CD1A788" w14:textId="791A33CD" w:rsidR="006037D3" w:rsidRPr="0052418C" w:rsidRDefault="006037D3" w:rsidP="0052418C">
      <w:pPr>
        <w:autoSpaceDE w:val="0"/>
        <w:autoSpaceDN w:val="0"/>
        <w:adjustRightInd w:val="0"/>
        <w:spacing w:after="0" w:line="276" w:lineRule="auto"/>
        <w:rPr>
          <w:rFonts w:ascii="ITC Avant Garde" w:hAnsi="ITC Avant Garde" w:cs="Arial"/>
        </w:rPr>
      </w:pPr>
    </w:p>
    <w:p w14:paraId="7D424AB0" w14:textId="328CDD9E" w:rsidR="006037D3" w:rsidRPr="0052418C" w:rsidRDefault="00596862" w:rsidP="0052418C">
      <w:pPr>
        <w:autoSpaceDE w:val="0"/>
        <w:autoSpaceDN w:val="0"/>
        <w:adjustRightInd w:val="0"/>
        <w:spacing w:after="0" w:line="276" w:lineRule="auto"/>
        <w:rPr>
          <w:rFonts w:ascii="ITC Avant Garde" w:hAnsi="ITC Avant Garde" w:cs="Arial"/>
        </w:rPr>
      </w:pPr>
      <w:r w:rsidRPr="0052418C">
        <w:rPr>
          <w:rFonts w:ascii="ITC Avant Garde" w:hAnsi="ITC Avant Garde" w:cs="Arial"/>
        </w:rPr>
        <w:t xml:space="preserve">Ahora bien, referente </w:t>
      </w:r>
      <w:r w:rsidR="006037D3" w:rsidRPr="0052418C">
        <w:rPr>
          <w:rFonts w:ascii="ITC Avant Garde" w:hAnsi="ITC Avant Garde" w:cs="Arial"/>
        </w:rPr>
        <w:t xml:space="preserve">a lo señalado por Axtel y Mega Cable respecto de cobros adicionales se señala que se modificó el numeral 2.4.3.4 </w:t>
      </w:r>
      <w:r w:rsidRPr="0052418C">
        <w:rPr>
          <w:rFonts w:ascii="ITC Avant Garde" w:hAnsi="ITC Avant Garde" w:cs="Arial"/>
        </w:rPr>
        <w:t>de conformidad a la ORE EM 2021 en los siguientes términos</w:t>
      </w:r>
      <w:r w:rsidR="006037D3" w:rsidRPr="0052418C">
        <w:rPr>
          <w:rFonts w:ascii="ITC Avant Garde" w:hAnsi="ITC Avant Garde" w:cs="Arial"/>
        </w:rPr>
        <w:t>:</w:t>
      </w:r>
    </w:p>
    <w:p w14:paraId="340441A2" w14:textId="77777777" w:rsidR="00596862" w:rsidRPr="0052418C" w:rsidRDefault="00596862" w:rsidP="0052418C">
      <w:pPr>
        <w:autoSpaceDE w:val="0"/>
        <w:autoSpaceDN w:val="0"/>
        <w:adjustRightInd w:val="0"/>
        <w:spacing w:after="0" w:line="276" w:lineRule="auto"/>
        <w:rPr>
          <w:rFonts w:ascii="ITC Avant Garde" w:hAnsi="ITC Avant Garde" w:cs="Arial"/>
        </w:rPr>
      </w:pPr>
    </w:p>
    <w:p w14:paraId="4DFF8EDD" w14:textId="285DBC3F" w:rsidR="006037D3" w:rsidRPr="0052418C" w:rsidRDefault="00596862" w:rsidP="0052418C">
      <w:pPr>
        <w:pStyle w:val="IFTnormal"/>
        <w:spacing w:after="0"/>
        <w:ind w:left="567" w:right="616"/>
        <w:rPr>
          <w:i/>
          <w:iCs w:val="0"/>
          <w:sz w:val="18"/>
          <w:szCs w:val="18"/>
        </w:rPr>
      </w:pPr>
      <w:r w:rsidRPr="0052418C">
        <w:rPr>
          <w:i/>
          <w:iCs w:val="0"/>
          <w:sz w:val="18"/>
          <w:szCs w:val="18"/>
        </w:rPr>
        <w:t>“</w:t>
      </w:r>
      <w:r w:rsidR="006037D3" w:rsidRPr="0052418C">
        <w:rPr>
          <w:i/>
          <w:iCs w:val="0"/>
          <w:sz w:val="18"/>
          <w:szCs w:val="18"/>
        </w:rPr>
        <w:t>(...)</w:t>
      </w:r>
    </w:p>
    <w:p w14:paraId="2F0B802C" w14:textId="77777777" w:rsidR="00596862" w:rsidRPr="0052418C" w:rsidRDefault="00596862" w:rsidP="0052418C">
      <w:pPr>
        <w:pStyle w:val="IFTnormal"/>
        <w:spacing w:after="0"/>
        <w:ind w:left="567" w:right="616"/>
        <w:rPr>
          <w:i/>
          <w:iCs w:val="0"/>
          <w:sz w:val="18"/>
          <w:szCs w:val="18"/>
        </w:rPr>
      </w:pPr>
    </w:p>
    <w:p w14:paraId="715B0A1C" w14:textId="6A4A3776" w:rsidR="006037D3" w:rsidRPr="0052418C" w:rsidRDefault="006037D3" w:rsidP="0052418C">
      <w:pPr>
        <w:pStyle w:val="IFTnormal"/>
        <w:spacing w:after="0"/>
        <w:ind w:left="567" w:right="616"/>
        <w:rPr>
          <w:i/>
          <w:iCs w:val="0"/>
          <w:sz w:val="18"/>
          <w:szCs w:val="18"/>
        </w:rPr>
      </w:pPr>
      <w:r w:rsidRPr="0052418C">
        <w:rPr>
          <w:i/>
          <w:iCs w:val="0"/>
          <w:sz w:val="18"/>
          <w:szCs w:val="18"/>
        </w:rPr>
        <w:t>Para el caso de que sea necesario validar la entrega del Servicio directamente con el Cliente, previo Acuerdo y Autorización del CS, Red Nacional/Red Noroeste podrá ponerse en contacto con el Cliente del CS para validar y entregar el servicio solicitado, en cuyo caso el CS podrá decidir si autoriza que el Cliente firme el Acta de Aceptación, correo electrónico u otro medio fehaciente en el SEG/SIPO en caso contrario el CS deberá ser el responsable de Firmar el Acta de Aceptación, correo electrónico u otro medio fehaciente en el SEG/SIPO una vez que haya sido entregado el servicio solicitado.</w:t>
      </w:r>
      <w:r w:rsidR="00153D26">
        <w:rPr>
          <w:i/>
          <w:iCs w:val="0"/>
          <w:sz w:val="18"/>
          <w:szCs w:val="18"/>
        </w:rPr>
        <w:t>”</w:t>
      </w:r>
    </w:p>
    <w:p w14:paraId="7D6732A2" w14:textId="77777777" w:rsidR="00AC153E" w:rsidRPr="0052418C" w:rsidRDefault="00AC153E" w:rsidP="0052418C">
      <w:pPr>
        <w:autoSpaceDE w:val="0"/>
        <w:autoSpaceDN w:val="0"/>
        <w:adjustRightInd w:val="0"/>
        <w:spacing w:after="0" w:line="276" w:lineRule="auto"/>
        <w:rPr>
          <w:rFonts w:ascii="ITC Avant Garde" w:hAnsi="ITC Avant Garde" w:cs="Arial"/>
        </w:rPr>
      </w:pPr>
    </w:p>
    <w:p w14:paraId="35FBFFB7" w14:textId="7323D709" w:rsidR="00DA60CB" w:rsidRPr="0052418C" w:rsidRDefault="00DA60CB" w:rsidP="0052418C">
      <w:pPr>
        <w:pStyle w:val="IFTnormal"/>
        <w:spacing w:after="0"/>
        <w:ind w:left="0"/>
        <w:rPr>
          <w:rFonts w:eastAsiaTheme="majorEastAsia" w:cs="Arial"/>
          <w:b/>
          <w:u w:val="single"/>
        </w:rPr>
      </w:pPr>
      <w:r w:rsidRPr="0052418C">
        <w:rPr>
          <w:rFonts w:eastAsiaTheme="majorEastAsia" w:cs="Arial"/>
          <w:b/>
          <w:u w:val="single"/>
        </w:rPr>
        <w:t>2.4.3.5</w:t>
      </w:r>
      <w:r w:rsidR="00376A5D" w:rsidRPr="0052418C">
        <w:rPr>
          <w:rFonts w:eastAsiaTheme="majorEastAsia" w:cs="Arial"/>
          <w:b/>
          <w:u w:val="single"/>
        </w:rPr>
        <w:t>.</w:t>
      </w:r>
    </w:p>
    <w:p w14:paraId="78D6DEE9" w14:textId="68E88210" w:rsidR="00FF66E2" w:rsidRPr="0052418C" w:rsidRDefault="00E26270"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 xml:space="preserve">GRUPO AT&amp;T: </w:t>
      </w:r>
    </w:p>
    <w:p w14:paraId="209BF337" w14:textId="64B63F69" w:rsidR="00F54B4A" w:rsidRPr="0052418C" w:rsidRDefault="00F57DA6" w:rsidP="0052418C">
      <w:pPr>
        <w:spacing w:after="0" w:line="276" w:lineRule="auto"/>
        <w:ind w:left="0" w:right="0" w:firstLine="0"/>
        <w:rPr>
          <w:rFonts w:ascii="ITC Avant Garde" w:hAnsi="ITC Avant Garde" w:cs="Arial"/>
          <w:color w:val="auto"/>
        </w:rPr>
      </w:pPr>
      <w:bookmarkStart w:id="10" w:name="_Hlk93916861"/>
      <w:r w:rsidRPr="006C458D">
        <w:rPr>
          <w:rFonts w:ascii="ITC Avant Garde" w:hAnsi="ITC Avant Garde" w:cs="Arial"/>
          <w:color w:val="auto"/>
        </w:rPr>
        <w:t>S</w:t>
      </w:r>
      <w:r w:rsidR="00F54B4A" w:rsidRPr="006C458D">
        <w:rPr>
          <w:rFonts w:ascii="ITC Avant Garde" w:hAnsi="ITC Avant Garde" w:cs="Arial"/>
          <w:color w:val="auto"/>
        </w:rPr>
        <w:t>eñal</w:t>
      </w:r>
      <w:r w:rsidR="00871E71" w:rsidRPr="006C458D">
        <w:rPr>
          <w:rFonts w:ascii="ITC Avant Garde" w:hAnsi="ITC Avant Garde" w:cs="Arial"/>
          <w:color w:val="auto"/>
        </w:rPr>
        <w:t>ó</w:t>
      </w:r>
      <w:r w:rsidR="00F54B4A" w:rsidRPr="006C458D">
        <w:rPr>
          <w:rFonts w:ascii="ITC Avant Garde" w:hAnsi="ITC Avant Garde" w:cs="Arial"/>
          <w:color w:val="auto"/>
        </w:rPr>
        <w:t xml:space="preserve"> que </w:t>
      </w:r>
      <w:r w:rsidR="006C458D" w:rsidRPr="006C458D">
        <w:rPr>
          <w:rFonts w:ascii="ITC Avant Garde" w:hAnsi="ITC Avant Garde" w:cs="Arial"/>
          <w:color w:val="auto"/>
        </w:rPr>
        <w:t>en caso de que los servicios solicitados</w:t>
      </w:r>
      <w:r w:rsidR="006C458D" w:rsidRPr="006C458D" w:rsidDel="00746BCD">
        <w:rPr>
          <w:rFonts w:ascii="ITC Avant Garde" w:hAnsi="ITC Avant Garde" w:cs="Arial"/>
          <w:color w:val="auto"/>
        </w:rPr>
        <w:t xml:space="preserve"> </w:t>
      </w:r>
      <w:r w:rsidR="00F54B4A" w:rsidRPr="006C458D">
        <w:rPr>
          <w:rFonts w:ascii="ITC Avant Garde" w:hAnsi="ITC Avant Garde" w:cs="Arial"/>
          <w:color w:val="auto"/>
        </w:rPr>
        <w:t xml:space="preserve">excedan un 20% o más de los pronosticados, </w:t>
      </w:r>
      <w:r w:rsidR="006C458D" w:rsidRPr="006C458D">
        <w:rPr>
          <w:rFonts w:ascii="ITC Avant Garde" w:hAnsi="ITC Avant Garde" w:cs="Arial"/>
          <w:color w:val="auto"/>
        </w:rPr>
        <w:t xml:space="preserve">los Enlaces excedentes </w:t>
      </w:r>
      <w:r w:rsidR="00F54B4A" w:rsidRPr="006C458D">
        <w:rPr>
          <w:rFonts w:ascii="ITC Avant Garde" w:hAnsi="ITC Avant Garde" w:cs="Arial"/>
          <w:color w:val="auto"/>
        </w:rPr>
        <w:t>serán instalados en un plazo definido por mutuo acuerdo bajo esquema fecha compromiso (Due Date)</w:t>
      </w:r>
      <w:r w:rsidRPr="006C458D">
        <w:rPr>
          <w:rFonts w:ascii="ITC Avant Garde" w:hAnsi="ITC Avant Garde" w:cs="Arial"/>
          <w:color w:val="auto"/>
        </w:rPr>
        <w:t>. Asimismo, manifestó que</w:t>
      </w:r>
      <w:r w:rsidR="00F54B4A" w:rsidRPr="006C458D">
        <w:rPr>
          <w:rFonts w:ascii="ITC Avant Garde" w:hAnsi="ITC Avant Garde" w:cs="Arial"/>
          <w:color w:val="auto"/>
        </w:rPr>
        <w:t xml:space="preserve"> resulta extremadamente difícil entregar </w:t>
      </w:r>
      <w:r w:rsidR="006C458D" w:rsidRPr="006C458D">
        <w:rPr>
          <w:rFonts w:ascii="ITC Avant Garde" w:hAnsi="ITC Avant Garde" w:cs="Arial"/>
          <w:color w:val="auto"/>
        </w:rPr>
        <w:t xml:space="preserve">un </w:t>
      </w:r>
      <w:r w:rsidR="00F54B4A" w:rsidRPr="006C458D">
        <w:rPr>
          <w:rFonts w:ascii="ITC Avant Garde" w:hAnsi="ITC Avant Garde" w:cs="Arial"/>
          <w:color w:val="auto"/>
        </w:rPr>
        <w:t>pronóstico preciso de las necesidades de enlaces con un año de anticipación</w:t>
      </w:r>
      <w:r w:rsidR="006C458D" w:rsidRPr="006C458D">
        <w:rPr>
          <w:rFonts w:ascii="ITC Avant Garde" w:hAnsi="ITC Avant Garde" w:cs="Arial"/>
          <w:color w:val="auto"/>
        </w:rPr>
        <w:t>,</w:t>
      </w:r>
      <w:r w:rsidR="00F54B4A" w:rsidRPr="006C458D">
        <w:rPr>
          <w:rFonts w:ascii="ITC Avant Garde" w:hAnsi="ITC Avant Garde" w:cs="Arial"/>
          <w:color w:val="auto"/>
        </w:rPr>
        <w:t xml:space="preserve"> aceptando la dificultad que esto genera a </w:t>
      </w:r>
      <w:r w:rsidR="009D1EC2" w:rsidRPr="006C458D">
        <w:rPr>
          <w:rFonts w:ascii="ITC Avant Garde" w:hAnsi="ITC Avant Garde" w:cs="Arial"/>
          <w:color w:val="auto"/>
        </w:rPr>
        <w:t>R</w:t>
      </w:r>
      <w:r w:rsidR="00D1229F" w:rsidRPr="006C458D">
        <w:rPr>
          <w:rFonts w:ascii="ITC Avant Garde" w:hAnsi="ITC Avant Garde" w:cs="Arial"/>
          <w:color w:val="auto"/>
        </w:rPr>
        <w:t>ed Nacional</w:t>
      </w:r>
      <w:r w:rsidR="006C458D" w:rsidRPr="006C458D">
        <w:rPr>
          <w:rFonts w:ascii="ITC Avant Garde" w:hAnsi="ITC Avant Garde" w:cs="Arial"/>
          <w:color w:val="auto"/>
        </w:rPr>
        <w:t xml:space="preserve">, se establecieron plazos consistentes entre lo que se </w:t>
      </w:r>
      <w:r w:rsidR="006C458D" w:rsidRPr="006C458D">
        <w:rPr>
          <w:rFonts w:ascii="ITC Avant Garde" w:hAnsi="ITC Avant Garde" w:cs="Arial"/>
          <w:color w:val="auto"/>
        </w:rPr>
        <w:lastRenderedPageBreak/>
        <w:t>plantea y lo que se indiaca en el resto de la Oferta</w:t>
      </w:r>
      <w:r w:rsidR="005D33F8" w:rsidRPr="006C458D">
        <w:rPr>
          <w:rFonts w:ascii="ITC Avant Garde" w:hAnsi="ITC Avant Garde" w:cs="Arial"/>
          <w:color w:val="auto"/>
        </w:rPr>
        <w:t>.</w:t>
      </w:r>
      <w:r w:rsidR="00F54B4A" w:rsidRPr="006C458D">
        <w:rPr>
          <w:rFonts w:ascii="ITC Avant Garde" w:hAnsi="ITC Avant Garde" w:cs="Arial"/>
          <w:color w:val="auto"/>
        </w:rPr>
        <w:t xml:space="preserve"> </w:t>
      </w:r>
      <w:r w:rsidRPr="006C458D">
        <w:rPr>
          <w:rFonts w:ascii="ITC Avant Garde" w:hAnsi="ITC Avant Garde" w:cs="Arial"/>
          <w:color w:val="auto"/>
        </w:rPr>
        <w:t>Por lo que, s</w:t>
      </w:r>
      <w:r w:rsidR="00F54B4A" w:rsidRPr="006C458D">
        <w:rPr>
          <w:rFonts w:ascii="ITC Avant Garde" w:hAnsi="ITC Avant Garde" w:cs="Arial"/>
          <w:color w:val="auto"/>
        </w:rPr>
        <w:t>olicit</w:t>
      </w:r>
      <w:r w:rsidR="008E5B40" w:rsidRPr="006C458D">
        <w:rPr>
          <w:rFonts w:ascii="ITC Avant Garde" w:hAnsi="ITC Avant Garde" w:cs="Arial"/>
          <w:color w:val="auto"/>
        </w:rPr>
        <w:t>ó</w:t>
      </w:r>
      <w:r w:rsidR="00F54B4A" w:rsidRPr="006C458D">
        <w:rPr>
          <w:rFonts w:ascii="ITC Avant Garde" w:hAnsi="ITC Avant Garde" w:cs="Arial"/>
          <w:color w:val="auto"/>
        </w:rPr>
        <w:t xml:space="preserve"> establecer </w:t>
      </w:r>
      <w:r w:rsidR="00976F3F" w:rsidRPr="006C458D">
        <w:rPr>
          <w:rFonts w:ascii="ITC Avant Garde" w:hAnsi="ITC Avant Garde" w:cs="Arial"/>
          <w:color w:val="auto"/>
        </w:rPr>
        <w:t>que,</w:t>
      </w:r>
      <w:r w:rsidR="00F54B4A" w:rsidRPr="006C458D">
        <w:rPr>
          <w:rFonts w:ascii="ITC Avant Garde" w:hAnsi="ITC Avant Garde" w:cs="Arial"/>
          <w:color w:val="auto"/>
        </w:rPr>
        <w:t xml:space="preserve"> tratándose de Enlaces Ethernet</w:t>
      </w:r>
      <w:r w:rsidR="006C458D" w:rsidRPr="006C458D">
        <w:rPr>
          <w:rFonts w:ascii="ITC Avant Garde" w:hAnsi="ITC Avant Garde" w:cs="Arial"/>
          <w:color w:val="auto"/>
        </w:rPr>
        <w:t>, cuando los servicios solicitados excedan un 20% o más de los pronosticados,</w:t>
      </w:r>
      <w:r w:rsidR="00F54B4A" w:rsidRPr="006C458D">
        <w:rPr>
          <w:rFonts w:ascii="ITC Avant Garde" w:hAnsi="ITC Avant Garde" w:cs="Arial"/>
          <w:color w:val="auto"/>
        </w:rPr>
        <w:t xml:space="preserve"> no podrá exceder de 60 días hábiles para enlaces locales</w:t>
      </w:r>
      <w:r w:rsidR="008E5B40" w:rsidRPr="006C458D">
        <w:rPr>
          <w:rFonts w:ascii="ITC Avant Garde" w:hAnsi="ITC Avant Garde" w:cs="Arial"/>
          <w:color w:val="auto"/>
        </w:rPr>
        <w:t>.</w:t>
      </w:r>
    </w:p>
    <w:bookmarkEnd w:id="10"/>
    <w:p w14:paraId="1DD1D025" w14:textId="77777777" w:rsidR="00042E42" w:rsidRPr="0052418C" w:rsidRDefault="00042E42" w:rsidP="0052418C">
      <w:pPr>
        <w:spacing w:after="0" w:line="276" w:lineRule="auto"/>
        <w:ind w:left="0" w:right="0" w:firstLine="0"/>
        <w:rPr>
          <w:rFonts w:ascii="ITC Avant Garde" w:hAnsi="ITC Avant Garde" w:cs="Arial"/>
          <w:color w:val="auto"/>
        </w:rPr>
      </w:pPr>
    </w:p>
    <w:p w14:paraId="1A976CCE" w14:textId="2F3A8F57" w:rsidR="00D05148" w:rsidRPr="0052418C" w:rsidRDefault="00E26270"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AXTEL:</w:t>
      </w:r>
    </w:p>
    <w:p w14:paraId="3E35CC24" w14:textId="650D0F7B" w:rsidR="0033160A" w:rsidRPr="0052418C" w:rsidRDefault="00291C0D"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S</w:t>
      </w:r>
      <w:r w:rsidR="0033160A" w:rsidRPr="0052418C">
        <w:rPr>
          <w:rFonts w:ascii="ITC Avant Garde" w:hAnsi="ITC Avant Garde" w:cs="Arial"/>
          <w:color w:val="auto"/>
        </w:rPr>
        <w:t>olicit</w:t>
      </w:r>
      <w:r w:rsidR="00A16E29" w:rsidRPr="0052418C">
        <w:rPr>
          <w:rFonts w:ascii="ITC Avant Garde" w:hAnsi="ITC Avant Garde" w:cs="Arial"/>
          <w:color w:val="auto"/>
        </w:rPr>
        <w:t>ó</w:t>
      </w:r>
      <w:r w:rsidR="0033160A" w:rsidRPr="0052418C">
        <w:rPr>
          <w:rFonts w:ascii="ITC Avant Garde" w:hAnsi="ITC Avant Garde" w:cs="Arial"/>
          <w:color w:val="auto"/>
        </w:rPr>
        <w:t xml:space="preserve"> al </w:t>
      </w:r>
      <w:r w:rsidRPr="0052418C">
        <w:rPr>
          <w:rFonts w:ascii="ITC Avant Garde" w:hAnsi="ITC Avant Garde" w:cs="Arial"/>
          <w:color w:val="auto"/>
        </w:rPr>
        <w:t xml:space="preserve">Instituto </w:t>
      </w:r>
      <w:r w:rsidR="0033160A" w:rsidRPr="0052418C">
        <w:rPr>
          <w:rFonts w:ascii="ITC Avant Garde" w:hAnsi="ITC Avant Garde" w:cs="Arial"/>
          <w:color w:val="auto"/>
        </w:rPr>
        <w:t xml:space="preserve">eliminar </w:t>
      </w:r>
      <w:r w:rsidR="00A16E29" w:rsidRPr="0052418C">
        <w:rPr>
          <w:rFonts w:ascii="ITC Avant Garde" w:hAnsi="ITC Avant Garde" w:cs="Arial"/>
          <w:color w:val="auto"/>
        </w:rPr>
        <w:t>el</w:t>
      </w:r>
      <w:r w:rsidR="0033160A" w:rsidRPr="0052418C">
        <w:rPr>
          <w:rFonts w:ascii="ITC Avant Garde" w:hAnsi="ITC Avant Garde" w:cs="Arial"/>
          <w:color w:val="auto"/>
        </w:rPr>
        <w:t xml:space="preserve"> numeral</w:t>
      </w:r>
      <w:r w:rsidR="00A16E29" w:rsidRPr="0052418C">
        <w:rPr>
          <w:rFonts w:ascii="ITC Avant Garde" w:hAnsi="ITC Avant Garde" w:cs="Arial"/>
          <w:color w:val="auto"/>
        </w:rPr>
        <w:t xml:space="preserve"> </w:t>
      </w:r>
      <w:r w:rsidR="0033160A" w:rsidRPr="0052418C">
        <w:rPr>
          <w:rFonts w:ascii="ITC Avant Garde" w:hAnsi="ITC Avant Garde" w:cs="Arial"/>
          <w:color w:val="auto"/>
        </w:rPr>
        <w:t xml:space="preserve">ya que no se encuentra considerado dentro del Anexo 2 de las Medidas </w:t>
      </w:r>
      <w:r w:rsidR="00566E21" w:rsidRPr="0052418C">
        <w:rPr>
          <w:rFonts w:ascii="ITC Avant Garde" w:hAnsi="ITC Avant Garde" w:cs="Arial"/>
          <w:color w:val="auto"/>
        </w:rPr>
        <w:t xml:space="preserve">Fijas </w:t>
      </w:r>
      <w:r w:rsidR="0033160A" w:rsidRPr="0052418C">
        <w:rPr>
          <w:rFonts w:ascii="ITC Avant Garde" w:hAnsi="ITC Avant Garde" w:cs="Arial"/>
          <w:color w:val="auto"/>
        </w:rPr>
        <w:t>y por el contrario se define</w:t>
      </w:r>
      <w:r w:rsidR="0033160A" w:rsidRPr="0052418C">
        <w:rPr>
          <w:rFonts w:ascii="ITC Avant Garde" w:hAnsi="ITC Avant Garde" w:cs="Arial"/>
        </w:rPr>
        <w:t xml:space="preserve"> </w:t>
      </w:r>
      <w:r w:rsidR="0033160A" w:rsidRPr="0052418C">
        <w:rPr>
          <w:rFonts w:ascii="ITC Avant Garde" w:hAnsi="ITC Avant Garde" w:cs="Arial"/>
          <w:color w:val="auto"/>
        </w:rPr>
        <w:t xml:space="preserve">un escenario de dilación en la entrega del servicio </w:t>
      </w:r>
      <w:r w:rsidR="00EC05C5" w:rsidRPr="0052418C">
        <w:rPr>
          <w:rFonts w:ascii="ITC Avant Garde" w:hAnsi="ITC Avant Garde" w:cs="Arial"/>
          <w:color w:val="auto"/>
        </w:rPr>
        <w:t>por parte del AEP</w:t>
      </w:r>
      <w:r w:rsidR="0033160A" w:rsidRPr="0052418C">
        <w:rPr>
          <w:rFonts w:ascii="ITC Avant Garde" w:hAnsi="ITC Avant Garde" w:cs="Arial"/>
          <w:color w:val="auto"/>
        </w:rPr>
        <w:t>.</w:t>
      </w:r>
    </w:p>
    <w:p w14:paraId="30E5487C" w14:textId="77777777" w:rsidR="0033160A" w:rsidRPr="0052418C" w:rsidRDefault="0033160A" w:rsidP="0052418C">
      <w:pPr>
        <w:spacing w:after="0" w:line="276" w:lineRule="auto"/>
        <w:ind w:left="0" w:right="0" w:firstLine="0"/>
        <w:rPr>
          <w:rFonts w:ascii="ITC Avant Garde" w:hAnsi="ITC Avant Garde" w:cs="Arial"/>
          <w:color w:val="auto"/>
        </w:rPr>
      </w:pPr>
    </w:p>
    <w:p w14:paraId="5F3CB8D0" w14:textId="249E98BA" w:rsidR="00EC05C5" w:rsidRPr="0052418C" w:rsidRDefault="00EC05C5" w:rsidP="0052418C">
      <w:pPr>
        <w:spacing w:after="0" w:line="276" w:lineRule="auto"/>
        <w:ind w:left="0" w:right="0" w:firstLine="0"/>
        <w:rPr>
          <w:rFonts w:ascii="ITC Avant Garde" w:hAnsi="ITC Avant Garde"/>
          <w:color w:val="auto"/>
        </w:rPr>
      </w:pPr>
      <w:r w:rsidRPr="0052418C">
        <w:rPr>
          <w:rFonts w:ascii="ITC Avant Garde" w:hAnsi="ITC Avant Garde"/>
          <w:color w:val="auto"/>
        </w:rPr>
        <w:t>Asimismo, señaló que, los pronósticos presentados al AEP deben estar en función de la proyección de demanda de los servicios clasificados por tecnología, ancho de banda y periodo, ya que, de acuerdo a los campos requeridos en el formato del Anexo H de la Oferta, los campos de “Ciudad”, “Punta A2”, “Punta B”, “Denominación”, “Cantidad” o “si es local o entre localidades” y periodo, son campos que para que se cumpla es casi imposible, logrando con esto el AEP una práctica dilatoria adicional ya que le requiere al CS el negociar las fechas de entrega con periodos mayores a los establecidos en la oferta al ser un servicio pronosticado.</w:t>
      </w:r>
    </w:p>
    <w:p w14:paraId="02B3AD49" w14:textId="77777777" w:rsidR="00E525B0" w:rsidRPr="0052418C" w:rsidRDefault="00E525B0" w:rsidP="0052418C">
      <w:pPr>
        <w:spacing w:after="0" w:line="276" w:lineRule="auto"/>
        <w:ind w:left="0" w:right="0" w:firstLine="0"/>
        <w:rPr>
          <w:rFonts w:ascii="ITC Avant Garde" w:hAnsi="ITC Avant Garde" w:cs="Arial"/>
          <w:color w:val="auto"/>
        </w:rPr>
      </w:pPr>
    </w:p>
    <w:p w14:paraId="420B884F" w14:textId="064D39F8" w:rsidR="00E525B0" w:rsidRPr="0052418C" w:rsidRDefault="00E525B0"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F114A0" w:rsidRPr="0052418C">
        <w:rPr>
          <w:rFonts w:ascii="ITC Avant Garde" w:hAnsi="ITC Avant Garde" w:cs="Arial"/>
          <w:b/>
          <w:color w:val="auto"/>
        </w:rPr>
        <w:t>:</w:t>
      </w:r>
    </w:p>
    <w:p w14:paraId="4F7920C8" w14:textId="2A3DBF1B" w:rsidR="003314AC" w:rsidRPr="0052418C" w:rsidRDefault="00F57DA6" w:rsidP="0052418C">
      <w:pPr>
        <w:spacing w:after="0" w:line="276" w:lineRule="auto"/>
        <w:ind w:left="0" w:right="0" w:firstLine="0"/>
        <w:rPr>
          <w:rFonts w:ascii="ITC Avant Garde" w:hAnsi="ITC Avant Garde" w:cs="Arial"/>
          <w:color w:val="auto"/>
        </w:rPr>
      </w:pPr>
      <w:r w:rsidRPr="0052418C">
        <w:rPr>
          <w:rFonts w:ascii="ITC Avant Garde" w:hAnsi="ITC Avant Garde"/>
          <w:color w:val="auto"/>
        </w:rPr>
        <w:t>Al respecto, la propia Oferta señala que</w:t>
      </w:r>
      <w:r w:rsidRPr="0052418C">
        <w:rPr>
          <w:rFonts w:ascii="ITC Avant Garde" w:hAnsi="ITC Avant Garde" w:cs="Arial"/>
          <w:color w:val="auto"/>
        </w:rPr>
        <w:t xml:space="preserve"> </w:t>
      </w:r>
      <w:r w:rsidR="006E254C" w:rsidRPr="0052418C">
        <w:rPr>
          <w:rFonts w:ascii="ITC Avant Garde" w:hAnsi="ITC Avant Garde" w:cs="Arial"/>
          <w:color w:val="auto"/>
        </w:rPr>
        <w:t>l</w:t>
      </w:r>
      <w:r w:rsidR="00E525B0" w:rsidRPr="0052418C">
        <w:rPr>
          <w:rFonts w:ascii="ITC Avant Garde" w:hAnsi="ITC Avant Garde" w:cs="Arial"/>
          <w:color w:val="auto"/>
        </w:rPr>
        <w:t>a fecha compromiso (Due Date) es un concepto que se incluye en la ORE</w:t>
      </w:r>
      <w:r w:rsidR="001F6B74" w:rsidRPr="0052418C">
        <w:rPr>
          <w:rFonts w:ascii="ITC Avant Garde" w:hAnsi="ITC Avant Garde" w:cs="Arial"/>
          <w:color w:val="auto"/>
        </w:rPr>
        <w:t xml:space="preserve"> EM</w:t>
      </w:r>
      <w:r w:rsidR="00E525B0" w:rsidRPr="0052418C">
        <w:rPr>
          <w:rFonts w:ascii="ITC Avant Garde" w:hAnsi="ITC Avant Garde" w:cs="Arial"/>
          <w:color w:val="auto"/>
        </w:rPr>
        <w:t xml:space="preserve"> </w:t>
      </w:r>
      <w:r w:rsidR="006E254C" w:rsidRPr="0052418C">
        <w:rPr>
          <w:rFonts w:ascii="ITC Avant Garde" w:hAnsi="ITC Avant Garde" w:cs="Arial"/>
          <w:color w:val="auto"/>
        </w:rPr>
        <w:t xml:space="preserve">2022 </w:t>
      </w:r>
      <w:r w:rsidR="00E525B0" w:rsidRPr="0052418C">
        <w:rPr>
          <w:rFonts w:ascii="ITC Avant Garde" w:hAnsi="ITC Avant Garde" w:cs="Arial"/>
          <w:color w:val="auto"/>
        </w:rPr>
        <w:t xml:space="preserve">como una opción </w:t>
      </w:r>
      <w:r w:rsidR="004F3F92" w:rsidRPr="0052418C">
        <w:rPr>
          <w:rFonts w:ascii="ITC Avant Garde" w:hAnsi="ITC Avant Garde" w:cs="Arial"/>
          <w:color w:val="auto"/>
        </w:rPr>
        <w:t>en caso de</w:t>
      </w:r>
      <w:r w:rsidR="001C163A" w:rsidRPr="0052418C">
        <w:rPr>
          <w:rFonts w:ascii="ITC Avant Garde" w:hAnsi="ITC Avant Garde" w:cs="Arial"/>
          <w:color w:val="auto"/>
        </w:rPr>
        <w:t xml:space="preserve"> no contar </w:t>
      </w:r>
      <w:r w:rsidR="00E525B0" w:rsidRPr="0052418C">
        <w:rPr>
          <w:rFonts w:ascii="ITC Avant Garde" w:hAnsi="ITC Avant Garde" w:cs="Arial"/>
          <w:color w:val="auto"/>
        </w:rPr>
        <w:t xml:space="preserve">con pronósticos, o en el caso de que los servicios </w:t>
      </w:r>
      <w:r w:rsidR="00E25AC9" w:rsidRPr="0052418C">
        <w:rPr>
          <w:rFonts w:ascii="ITC Avant Garde" w:hAnsi="ITC Avant Garde" w:cs="Arial"/>
          <w:color w:val="auto"/>
        </w:rPr>
        <w:t xml:space="preserve">totales </w:t>
      </w:r>
      <w:r w:rsidR="00E525B0" w:rsidRPr="0052418C">
        <w:rPr>
          <w:rFonts w:ascii="ITC Avant Garde" w:hAnsi="ITC Avant Garde" w:cs="Arial"/>
          <w:color w:val="auto"/>
        </w:rPr>
        <w:t>solicitados excedan un 20% o más, de los pronosticados</w:t>
      </w:r>
      <w:r w:rsidR="00D53DFB" w:rsidRPr="0052418C">
        <w:rPr>
          <w:rFonts w:ascii="ITC Avant Garde" w:hAnsi="ITC Avant Garde" w:cs="Arial"/>
          <w:color w:val="auto"/>
        </w:rPr>
        <w:t>,</w:t>
      </w:r>
      <w:r w:rsidR="0069794B" w:rsidRPr="0052418C">
        <w:rPr>
          <w:rFonts w:ascii="ITC Avant Garde" w:hAnsi="ITC Avant Garde" w:cs="Arial"/>
          <w:color w:val="auto"/>
        </w:rPr>
        <w:t xml:space="preserve"> dado que la capacidad de las redes es limitada</w:t>
      </w:r>
      <w:r w:rsidR="00D53DFB" w:rsidRPr="0052418C">
        <w:rPr>
          <w:rFonts w:ascii="ITC Avant Garde" w:hAnsi="ITC Avant Garde" w:cs="Arial"/>
          <w:color w:val="auto"/>
        </w:rPr>
        <w:t xml:space="preserve"> por</w:t>
      </w:r>
      <w:r w:rsidR="0069794B" w:rsidRPr="0052418C">
        <w:rPr>
          <w:rFonts w:ascii="ITC Avant Garde" w:hAnsi="ITC Avant Garde" w:cs="Arial"/>
          <w:color w:val="auto"/>
        </w:rPr>
        <w:t xml:space="preserve"> lo que,</w:t>
      </w:r>
      <w:r w:rsidR="00D53DFB" w:rsidRPr="0052418C">
        <w:rPr>
          <w:rFonts w:ascii="ITC Avant Garde" w:hAnsi="ITC Avant Garde" w:cs="Arial"/>
          <w:color w:val="auto"/>
        </w:rPr>
        <w:t xml:space="preserve"> dicha situación no tiene el fin de “dilación” </w:t>
      </w:r>
      <w:r w:rsidR="008B44A7" w:rsidRPr="0052418C">
        <w:rPr>
          <w:rFonts w:ascii="ITC Avant Garde" w:hAnsi="ITC Avant Garde" w:cs="Arial"/>
          <w:color w:val="auto"/>
        </w:rPr>
        <w:t>sino simplemente el recono</w:t>
      </w:r>
      <w:r w:rsidR="007108E8" w:rsidRPr="0052418C">
        <w:rPr>
          <w:rFonts w:ascii="ITC Avant Garde" w:hAnsi="ITC Avant Garde" w:cs="Arial"/>
          <w:color w:val="auto"/>
        </w:rPr>
        <w:t xml:space="preserve">cimiento de </w:t>
      </w:r>
      <w:r w:rsidR="00D53DFB" w:rsidRPr="0052418C">
        <w:rPr>
          <w:rFonts w:ascii="ITC Avant Garde" w:hAnsi="ITC Avant Garde" w:cs="Arial"/>
          <w:color w:val="auto"/>
        </w:rPr>
        <w:t>que</w:t>
      </w:r>
      <w:r w:rsidR="00122711" w:rsidRPr="0052418C">
        <w:rPr>
          <w:rFonts w:ascii="ITC Avant Garde" w:hAnsi="ITC Avant Garde" w:cs="Arial"/>
          <w:color w:val="auto"/>
        </w:rPr>
        <w:t xml:space="preserve"> sin</w:t>
      </w:r>
      <w:r w:rsidR="00D53DFB" w:rsidRPr="0052418C">
        <w:rPr>
          <w:rFonts w:ascii="ITC Avant Garde" w:hAnsi="ITC Avant Garde" w:cs="Arial"/>
          <w:color w:val="auto"/>
        </w:rPr>
        <w:t xml:space="preserve"> pronósticos</w:t>
      </w:r>
      <w:r w:rsidR="00122711" w:rsidRPr="0052418C">
        <w:rPr>
          <w:rFonts w:ascii="ITC Avant Garde" w:hAnsi="ITC Avant Garde" w:cs="Arial"/>
          <w:color w:val="auto"/>
        </w:rPr>
        <w:t xml:space="preserve"> es posible que no se cuente con la capacidad suficiente en las redes para atender </w:t>
      </w:r>
      <w:r w:rsidR="00747FEB" w:rsidRPr="0052418C">
        <w:rPr>
          <w:rFonts w:ascii="ITC Avant Garde" w:hAnsi="ITC Avant Garde" w:cs="Arial"/>
          <w:color w:val="auto"/>
        </w:rPr>
        <w:t>las solicitudes de servicios.</w:t>
      </w:r>
    </w:p>
    <w:p w14:paraId="74EB8094" w14:textId="77777777" w:rsidR="003314AC" w:rsidRPr="0052418C" w:rsidRDefault="003314AC" w:rsidP="0052418C">
      <w:pPr>
        <w:spacing w:after="0" w:line="276" w:lineRule="auto"/>
        <w:ind w:left="0" w:right="0" w:firstLine="0"/>
        <w:rPr>
          <w:rFonts w:ascii="ITC Avant Garde" w:hAnsi="ITC Avant Garde" w:cs="Arial"/>
          <w:color w:val="auto"/>
        </w:rPr>
      </w:pPr>
    </w:p>
    <w:p w14:paraId="0FB1D43E" w14:textId="7DB90EAB" w:rsidR="006E254C" w:rsidRPr="0052418C" w:rsidRDefault="006E254C" w:rsidP="0052418C">
      <w:pPr>
        <w:spacing w:after="0" w:line="276" w:lineRule="auto"/>
        <w:ind w:left="0" w:right="0" w:firstLine="0"/>
        <w:rPr>
          <w:rFonts w:ascii="ITC Avant Garde" w:hAnsi="ITC Avant Garde" w:cs="Arial"/>
          <w:color w:val="auto"/>
        </w:rPr>
      </w:pPr>
      <w:r w:rsidRPr="0052418C">
        <w:rPr>
          <w:rFonts w:ascii="ITC Avant Garde" w:hAnsi="ITC Avant Garde"/>
          <w:color w:val="auto"/>
        </w:rPr>
        <w:t xml:space="preserve">Ahora bien, por lo que respecta al comentario de Axtel, los pronósticos son necesarios para la planeación del crecimiento de las redes y son acordes a las mejores prácticas internacionales pues permiten evitar retrasos en la entrega de los servicios y/o congestionamiento de las redes. Por ello, se considera necesaria la entrega de estos, los cuales deberán permitir tener conocimiento respecto de la demanda de servicios y las capacidades necesarias en las distintas ciudades, conforme a los requerimientos establecidos en el Anexo “H” de la ORE </w:t>
      </w:r>
      <w:r w:rsidR="006037D3" w:rsidRPr="0052418C">
        <w:rPr>
          <w:rFonts w:ascii="ITC Avant Garde" w:hAnsi="ITC Avant Garde"/>
          <w:color w:val="auto"/>
        </w:rPr>
        <w:t>E</w:t>
      </w:r>
      <w:r w:rsidRPr="0052418C">
        <w:rPr>
          <w:rFonts w:ascii="ITC Avant Garde" w:hAnsi="ITC Avant Garde"/>
          <w:color w:val="auto"/>
        </w:rPr>
        <w:t>M 2022.</w:t>
      </w:r>
      <w:r w:rsidRPr="0052418C">
        <w:rPr>
          <w:rFonts w:ascii="ITC Avant Garde" w:hAnsi="ITC Avant Garde"/>
        </w:rPr>
        <w:t xml:space="preserve"> </w:t>
      </w:r>
      <w:r w:rsidRPr="0052418C">
        <w:rPr>
          <w:rFonts w:ascii="ITC Avant Garde" w:hAnsi="ITC Avant Garde"/>
          <w:color w:val="auto"/>
        </w:rPr>
        <w:t>Cabe señalar que la presentación de pronósticos es acorde a lo establecido en la Medida Decimoquinta de las Medidas Fijas.</w:t>
      </w:r>
    </w:p>
    <w:p w14:paraId="0452326E" w14:textId="261B0810" w:rsidR="00A00CFB" w:rsidRPr="0052418C" w:rsidRDefault="00A00CFB" w:rsidP="0052418C">
      <w:pPr>
        <w:spacing w:after="0" w:line="276" w:lineRule="auto"/>
        <w:ind w:left="0" w:right="0" w:firstLine="0"/>
        <w:rPr>
          <w:rFonts w:ascii="ITC Avant Garde" w:hAnsi="ITC Avant Garde" w:cs="Arial"/>
          <w:color w:val="auto"/>
        </w:rPr>
      </w:pPr>
    </w:p>
    <w:p w14:paraId="606551A4" w14:textId="1DF69776" w:rsidR="003F02A9" w:rsidRPr="0052418C" w:rsidRDefault="00F64AC2" w:rsidP="0052418C">
      <w:pPr>
        <w:pStyle w:val="IFTnormal"/>
        <w:spacing w:after="0"/>
        <w:ind w:left="0"/>
        <w:rPr>
          <w:rFonts w:eastAsiaTheme="majorEastAsia" w:cs="Arial"/>
          <w:b/>
        </w:rPr>
      </w:pPr>
      <w:r w:rsidRPr="0052418C">
        <w:rPr>
          <w:rFonts w:eastAsiaTheme="majorEastAsia" w:cs="Arial"/>
          <w:b/>
        </w:rPr>
        <w:t>2.5 P</w:t>
      </w:r>
      <w:r w:rsidR="00670F4B" w:rsidRPr="0052418C">
        <w:rPr>
          <w:rFonts w:eastAsiaTheme="majorEastAsia" w:cs="Arial"/>
          <w:b/>
        </w:rPr>
        <w:t>roceso</w:t>
      </w:r>
      <w:r w:rsidRPr="0052418C">
        <w:rPr>
          <w:rFonts w:eastAsiaTheme="majorEastAsia" w:cs="Arial"/>
          <w:b/>
        </w:rPr>
        <w:t xml:space="preserve"> </w:t>
      </w:r>
      <w:r w:rsidR="00670F4B" w:rsidRPr="0052418C">
        <w:rPr>
          <w:rFonts w:eastAsiaTheme="majorEastAsia" w:cs="Arial"/>
          <w:b/>
        </w:rPr>
        <w:t>de validación de las solicitudes de servicios.</w:t>
      </w:r>
    </w:p>
    <w:p w14:paraId="5E386675" w14:textId="77777777" w:rsidR="00F30762" w:rsidRPr="0052418C" w:rsidRDefault="00F30762" w:rsidP="0052418C">
      <w:pPr>
        <w:pStyle w:val="IFTnormal"/>
        <w:spacing w:after="0"/>
        <w:ind w:left="0"/>
        <w:rPr>
          <w:rFonts w:eastAsiaTheme="majorEastAsia"/>
          <w:u w:val="single"/>
        </w:rPr>
      </w:pPr>
      <w:r w:rsidRPr="0052418C">
        <w:rPr>
          <w:rFonts w:eastAsiaTheme="majorEastAsia"/>
          <w:b/>
          <w:u w:val="single"/>
        </w:rPr>
        <w:t xml:space="preserve">2.5.1 </w:t>
      </w:r>
    </w:p>
    <w:p w14:paraId="5E6381E2" w14:textId="5BD95C23" w:rsidR="003112CE" w:rsidRPr="0052418C" w:rsidRDefault="003112CE" w:rsidP="0052418C">
      <w:pPr>
        <w:tabs>
          <w:tab w:val="left" w:pos="3015"/>
        </w:tabs>
        <w:spacing w:after="0" w:line="276" w:lineRule="auto"/>
        <w:ind w:left="0" w:right="0" w:firstLine="0"/>
        <w:rPr>
          <w:rFonts w:ascii="ITC Avant Garde" w:hAnsi="ITC Avant Garde" w:cs="Arial"/>
          <w:b/>
          <w:color w:val="auto"/>
        </w:rPr>
      </w:pPr>
      <w:r w:rsidRPr="0052418C">
        <w:rPr>
          <w:rFonts w:ascii="ITC Avant Garde" w:hAnsi="ITC Avant Garde" w:cs="Arial"/>
          <w:b/>
          <w:color w:val="auto"/>
        </w:rPr>
        <w:lastRenderedPageBreak/>
        <w:t>MEGA CABLE:</w:t>
      </w:r>
    </w:p>
    <w:p w14:paraId="08FFF4EB" w14:textId="7F6809DA" w:rsidR="003112CE" w:rsidRPr="0052418C" w:rsidRDefault="003112CE" w:rsidP="0052418C">
      <w:pPr>
        <w:pStyle w:val="IFTnormal"/>
        <w:spacing w:after="0"/>
        <w:ind w:left="0"/>
        <w:rPr>
          <w:rFonts w:eastAsiaTheme="majorEastAsia" w:cs="Arial"/>
          <w:bCs/>
        </w:rPr>
      </w:pPr>
      <w:r w:rsidRPr="0052418C">
        <w:rPr>
          <w:rFonts w:eastAsiaTheme="majorEastAsia" w:cs="Arial"/>
          <w:bCs/>
        </w:rPr>
        <w:t>S</w:t>
      </w:r>
      <w:r w:rsidRPr="006C458D">
        <w:rPr>
          <w:rFonts w:eastAsiaTheme="majorEastAsia" w:cs="Arial"/>
          <w:bCs/>
        </w:rPr>
        <w:t>eñal</w:t>
      </w:r>
      <w:r w:rsidR="00AC2E4B" w:rsidRPr="006C458D">
        <w:rPr>
          <w:rFonts w:eastAsiaTheme="majorEastAsia" w:cs="Arial"/>
          <w:bCs/>
        </w:rPr>
        <w:t>ó</w:t>
      </w:r>
      <w:r w:rsidRPr="0052418C">
        <w:rPr>
          <w:rFonts w:eastAsiaTheme="majorEastAsia" w:cs="Arial"/>
          <w:bCs/>
        </w:rPr>
        <w:t xml:space="preserve"> que es injustificable que</w:t>
      </w:r>
      <w:r w:rsidR="008540EA" w:rsidRPr="0052418C">
        <w:rPr>
          <w:rFonts w:eastAsiaTheme="majorEastAsia" w:cs="Arial"/>
          <w:bCs/>
        </w:rPr>
        <w:t xml:space="preserve"> a</w:t>
      </w:r>
      <w:r w:rsidRPr="0052418C">
        <w:rPr>
          <w:rFonts w:eastAsiaTheme="majorEastAsia" w:cs="Arial"/>
          <w:bCs/>
        </w:rPr>
        <w:t xml:space="preserve"> </w:t>
      </w:r>
      <w:r w:rsidR="00EF0921" w:rsidRPr="0052418C">
        <w:rPr>
          <w:rFonts w:cs="Arial"/>
        </w:rPr>
        <w:t>Red Nacional</w:t>
      </w:r>
      <w:r w:rsidR="00EF0921" w:rsidRPr="0052418C">
        <w:rPr>
          <w:bCs/>
        </w:rPr>
        <w:t xml:space="preserve"> </w:t>
      </w:r>
      <w:r w:rsidR="008540EA" w:rsidRPr="0052418C">
        <w:rPr>
          <w:rFonts w:eastAsiaTheme="majorEastAsia" w:cs="Arial"/>
          <w:bCs/>
        </w:rPr>
        <w:t>se le otorguen</w:t>
      </w:r>
      <w:r w:rsidRPr="0052418C">
        <w:rPr>
          <w:rFonts w:eastAsiaTheme="majorEastAsia" w:cs="Arial"/>
          <w:bCs/>
        </w:rPr>
        <w:t xml:space="preserve"> dos días hábiles para aceptar o rechazar solicitudes, siendo que toda la información para validar una solicitud es electrónica vía SEG/SIPO.</w:t>
      </w:r>
    </w:p>
    <w:p w14:paraId="53717269" w14:textId="75FFBE86" w:rsidR="003112CE" w:rsidRPr="0052418C" w:rsidRDefault="003112CE" w:rsidP="0052418C">
      <w:pPr>
        <w:pStyle w:val="IFTnormal"/>
        <w:spacing w:after="0"/>
        <w:ind w:left="0"/>
        <w:rPr>
          <w:rFonts w:eastAsiaTheme="majorEastAsia" w:cs="Arial"/>
          <w:b/>
        </w:rPr>
      </w:pPr>
    </w:p>
    <w:p w14:paraId="594326D9" w14:textId="77777777" w:rsidR="009E1C14" w:rsidRPr="0052418C" w:rsidRDefault="009E1C14"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p>
    <w:p w14:paraId="00364B8C" w14:textId="092FE9C5" w:rsidR="009E1C14" w:rsidRPr="0052418C" w:rsidRDefault="00042E42" w:rsidP="0052418C">
      <w:pPr>
        <w:pStyle w:val="IFTnormal"/>
        <w:spacing w:after="0"/>
        <w:ind w:left="0"/>
      </w:pPr>
      <w:r>
        <w:t>La</w:t>
      </w:r>
      <w:r w:rsidR="009E1C14" w:rsidRPr="0052418C">
        <w:t xml:space="preserve"> validación de</w:t>
      </w:r>
      <w:r>
        <w:t xml:space="preserve"> </w:t>
      </w:r>
      <w:r w:rsidR="009E1C14" w:rsidRPr="0052418C">
        <w:t>l</w:t>
      </w:r>
      <w:r>
        <w:t>as solicitudes de</w:t>
      </w:r>
      <w:r w:rsidR="009E1C14" w:rsidRPr="0052418C">
        <w:t xml:space="preserve"> servicio requiere </w:t>
      </w:r>
      <w:r>
        <w:t>la recisión</w:t>
      </w:r>
      <w:r w:rsidR="009E1C14" w:rsidRPr="0052418C">
        <w:t xml:space="preserve"> de </w:t>
      </w:r>
      <w:r>
        <w:t xml:space="preserve">la información capturada en </w:t>
      </w:r>
      <w:r w:rsidR="009E1C14" w:rsidRPr="0052418C">
        <w:t xml:space="preserve">los </w:t>
      </w:r>
      <w:r>
        <w:t xml:space="preserve">campos </w:t>
      </w:r>
      <w:r w:rsidR="009E1C14" w:rsidRPr="0052418C">
        <w:t>y así pueda otorgar el número de referencia asociado, en ese sentido el plazo establecido es de 2 (dos) días hábiles como máximo por lo que no todas las solicitudes deberán llegar necesariamente a dicho plazo, lo anterior resulta razonable para el proceso de validación de los servicios solicitados, por lo que no se considera procedente la propuesta de Mega Cable.</w:t>
      </w:r>
    </w:p>
    <w:p w14:paraId="3640987A" w14:textId="77777777" w:rsidR="009E1C14" w:rsidRPr="0052418C" w:rsidRDefault="009E1C14" w:rsidP="0052418C">
      <w:pPr>
        <w:pStyle w:val="IFTnormal"/>
        <w:spacing w:after="0"/>
        <w:ind w:left="0"/>
        <w:rPr>
          <w:rFonts w:eastAsiaTheme="majorEastAsia" w:cs="Arial"/>
          <w:b/>
        </w:rPr>
      </w:pPr>
    </w:p>
    <w:p w14:paraId="29F9FCD0" w14:textId="7AC6F0BE" w:rsidR="001C1FB7" w:rsidRPr="0052418C" w:rsidRDefault="00363FC1" w:rsidP="0052418C">
      <w:pPr>
        <w:pStyle w:val="IFTnormal"/>
        <w:spacing w:after="0"/>
        <w:ind w:left="0"/>
        <w:rPr>
          <w:rFonts w:eastAsiaTheme="majorEastAsia" w:cs="Arial"/>
          <w:b/>
          <w:u w:val="single"/>
        </w:rPr>
      </w:pPr>
      <w:r w:rsidRPr="0052418C">
        <w:rPr>
          <w:rFonts w:eastAsiaTheme="majorEastAsia" w:cs="Arial"/>
          <w:b/>
          <w:u w:val="single"/>
        </w:rPr>
        <w:t>2.5.3</w:t>
      </w:r>
      <w:r w:rsidR="00F30762" w:rsidRPr="0052418C">
        <w:rPr>
          <w:rFonts w:eastAsiaTheme="majorEastAsia" w:cs="Arial"/>
          <w:b/>
          <w:u w:val="single"/>
        </w:rPr>
        <w:t>.</w:t>
      </w:r>
    </w:p>
    <w:p w14:paraId="678990AB" w14:textId="47A77204" w:rsidR="00FD5127" w:rsidRPr="0052418C" w:rsidRDefault="009D2948" w:rsidP="0052418C">
      <w:pPr>
        <w:pStyle w:val="IFTnormal"/>
        <w:spacing w:after="0"/>
        <w:ind w:left="0"/>
        <w:rPr>
          <w:rFonts w:cs="Arial"/>
          <w:b/>
        </w:rPr>
      </w:pPr>
      <w:r w:rsidRPr="0052418C">
        <w:rPr>
          <w:rFonts w:cs="Arial"/>
          <w:b/>
        </w:rPr>
        <w:t>AXTEL:</w:t>
      </w:r>
    </w:p>
    <w:p w14:paraId="0656E5B4" w14:textId="5FE969F7" w:rsidR="0033160A" w:rsidRPr="0052418C" w:rsidRDefault="00EC05C5"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Solicitó al instituto que elimine</w:t>
      </w:r>
      <w:r w:rsidR="0033160A" w:rsidRPr="0052418C">
        <w:rPr>
          <w:rFonts w:ascii="ITC Avant Garde" w:hAnsi="ITC Avant Garde" w:cs="Arial"/>
          <w:color w:val="auto"/>
        </w:rPr>
        <w:t xml:space="preserve"> el diagrama con las indicaciones de la trayectoria de los cableados desde la acometida hasta el punto de ubicación del equipo (“Red Interna”), no se justifica, ni debe ser condicionante para que </w:t>
      </w:r>
      <w:r w:rsidR="000D7610" w:rsidRPr="0052418C">
        <w:rPr>
          <w:rFonts w:ascii="ITC Avant Garde" w:hAnsi="ITC Avant Garde" w:cs="Arial"/>
          <w:color w:val="auto"/>
        </w:rPr>
        <w:t>se</w:t>
      </w:r>
      <w:r w:rsidR="0033160A" w:rsidRPr="0052418C">
        <w:rPr>
          <w:rFonts w:ascii="ITC Avant Garde" w:hAnsi="ITC Avant Garde" w:cs="Arial"/>
          <w:color w:val="auto"/>
        </w:rPr>
        <w:t xml:space="preserve"> inicie con la construcción de un servicio</w:t>
      </w:r>
      <w:r w:rsidR="003E2C61" w:rsidRPr="0052418C">
        <w:rPr>
          <w:rFonts w:ascii="ITC Avant Garde" w:hAnsi="ITC Avant Garde" w:cs="Arial"/>
          <w:color w:val="auto"/>
        </w:rPr>
        <w:t>, señalando que</w:t>
      </w:r>
      <w:r w:rsidR="0033160A" w:rsidRPr="0052418C">
        <w:rPr>
          <w:rFonts w:ascii="ITC Avant Garde" w:hAnsi="ITC Avant Garde" w:cs="Arial"/>
          <w:color w:val="auto"/>
        </w:rPr>
        <w:t xml:space="preserve">: </w:t>
      </w:r>
    </w:p>
    <w:p w14:paraId="4EB6E4C2" w14:textId="77777777" w:rsidR="0033160A" w:rsidRPr="0052418C" w:rsidRDefault="0033160A" w:rsidP="0052418C">
      <w:pPr>
        <w:spacing w:after="0" w:line="276" w:lineRule="auto"/>
        <w:ind w:left="0" w:right="0" w:firstLine="0"/>
        <w:rPr>
          <w:rFonts w:ascii="ITC Avant Garde" w:hAnsi="ITC Avant Garde" w:cs="Arial"/>
          <w:color w:val="auto"/>
        </w:rPr>
      </w:pPr>
    </w:p>
    <w:p w14:paraId="5972D36C" w14:textId="6D1A3822" w:rsidR="0033160A" w:rsidRPr="0052418C" w:rsidRDefault="0033160A" w:rsidP="0052418C">
      <w:pPr>
        <w:pStyle w:val="Prrafodelista"/>
        <w:numPr>
          <w:ilvl w:val="0"/>
          <w:numId w:val="11"/>
        </w:numPr>
        <w:spacing w:after="0" w:line="276" w:lineRule="auto"/>
        <w:ind w:left="567" w:right="0" w:hanging="567"/>
        <w:rPr>
          <w:rFonts w:ascii="ITC Avant Garde" w:hAnsi="ITC Avant Garde" w:cs="Arial"/>
          <w:color w:val="auto"/>
        </w:rPr>
      </w:pPr>
      <w:r w:rsidRPr="0052418C">
        <w:rPr>
          <w:rFonts w:ascii="ITC Avant Garde" w:hAnsi="ITC Avant Garde" w:cs="Arial"/>
          <w:color w:val="auto"/>
        </w:rPr>
        <w:t>La construcción de la Red Interna es responsabilidad del CS o en su defecto de su cliente final.</w:t>
      </w:r>
      <w:r w:rsidR="000D7610" w:rsidRPr="0052418C">
        <w:rPr>
          <w:rFonts w:ascii="ITC Avant Garde" w:hAnsi="ITC Avant Garde" w:cs="Arial"/>
          <w:color w:val="auto"/>
        </w:rPr>
        <w:t xml:space="preserve"> Señala que</w:t>
      </w:r>
      <w:r w:rsidRPr="0052418C">
        <w:rPr>
          <w:rFonts w:ascii="ITC Avant Garde" w:hAnsi="ITC Avant Garde" w:cs="Arial"/>
          <w:color w:val="auto"/>
        </w:rPr>
        <w:t xml:space="preserve"> </w:t>
      </w:r>
      <w:r w:rsidR="007611BD" w:rsidRPr="0052418C">
        <w:rPr>
          <w:rFonts w:ascii="ITC Avant Garde" w:hAnsi="ITC Avant Garde" w:cs="Arial"/>
          <w:color w:val="auto"/>
        </w:rPr>
        <w:t>Red Nacional</w:t>
      </w:r>
      <w:r w:rsidRPr="0052418C">
        <w:rPr>
          <w:rFonts w:ascii="ITC Avant Garde" w:hAnsi="ITC Avant Garde" w:cs="Arial"/>
          <w:color w:val="auto"/>
        </w:rPr>
        <w:t xml:space="preserve"> nunca participa en la instalación de dicha red interna.</w:t>
      </w:r>
    </w:p>
    <w:p w14:paraId="2525B41F" w14:textId="77777777" w:rsidR="002010F7" w:rsidRPr="0052418C" w:rsidRDefault="002010F7" w:rsidP="0052418C">
      <w:pPr>
        <w:spacing w:after="0" w:line="276" w:lineRule="auto"/>
        <w:ind w:left="567" w:right="0" w:hanging="567"/>
        <w:rPr>
          <w:rFonts w:ascii="ITC Avant Garde" w:hAnsi="ITC Avant Garde" w:cs="Arial"/>
          <w:color w:val="auto"/>
        </w:rPr>
      </w:pPr>
    </w:p>
    <w:p w14:paraId="327BD397" w14:textId="6F81D599" w:rsidR="0033160A" w:rsidRPr="0052418C" w:rsidRDefault="0033160A" w:rsidP="0052418C">
      <w:pPr>
        <w:pStyle w:val="Prrafodelista"/>
        <w:numPr>
          <w:ilvl w:val="0"/>
          <w:numId w:val="11"/>
        </w:numPr>
        <w:spacing w:after="0" w:line="276" w:lineRule="auto"/>
        <w:ind w:left="567" w:right="0" w:hanging="567"/>
        <w:rPr>
          <w:rFonts w:ascii="ITC Avant Garde" w:hAnsi="ITC Avant Garde" w:cs="Arial"/>
          <w:color w:val="auto"/>
        </w:rPr>
      </w:pPr>
      <w:r w:rsidRPr="0052418C">
        <w:rPr>
          <w:rFonts w:ascii="ITC Avant Garde" w:hAnsi="ITC Avant Garde" w:cs="Arial"/>
          <w:color w:val="auto"/>
        </w:rPr>
        <w:t xml:space="preserve">Cuando </w:t>
      </w:r>
      <w:r w:rsidR="005F3901" w:rsidRPr="0052418C">
        <w:rPr>
          <w:rFonts w:ascii="ITC Avant Garde" w:hAnsi="ITC Avant Garde" w:cs="Arial"/>
          <w:color w:val="auto"/>
        </w:rPr>
        <w:t>Red Nacional</w:t>
      </w:r>
      <w:r w:rsidRPr="0052418C">
        <w:rPr>
          <w:rFonts w:ascii="ITC Avant Garde" w:hAnsi="ITC Avant Garde" w:cs="Arial"/>
          <w:color w:val="auto"/>
        </w:rPr>
        <w:t xml:space="preserve"> identifica que la Red Interna no cuenta con las adecuaciones mínimas requeridas, realiza un paro de reloj. Y no es sino hasta que se encuentra habilitado el sitio cuando reactiva la construcción.</w:t>
      </w:r>
    </w:p>
    <w:p w14:paraId="537128E3" w14:textId="77777777" w:rsidR="0033160A" w:rsidRPr="0052418C" w:rsidRDefault="0033160A" w:rsidP="0052418C">
      <w:pPr>
        <w:spacing w:after="0" w:line="276" w:lineRule="auto"/>
        <w:ind w:left="0" w:right="0" w:firstLine="0"/>
        <w:rPr>
          <w:rFonts w:ascii="ITC Avant Garde" w:hAnsi="ITC Avant Garde" w:cs="Arial"/>
          <w:color w:val="auto"/>
        </w:rPr>
      </w:pPr>
    </w:p>
    <w:p w14:paraId="373A6EEC" w14:textId="3369EBAE" w:rsidR="0033160A" w:rsidRPr="0052418C" w:rsidRDefault="00A35EC2"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Por tanto, </w:t>
      </w:r>
      <w:r w:rsidR="0033160A" w:rsidRPr="0052418C">
        <w:rPr>
          <w:rFonts w:ascii="ITC Avant Garde" w:hAnsi="ITC Avant Garde" w:cs="Arial"/>
          <w:color w:val="auto"/>
        </w:rPr>
        <w:t>Axtel solicit</w:t>
      </w:r>
      <w:r w:rsidRPr="0052418C">
        <w:rPr>
          <w:rFonts w:ascii="ITC Avant Garde" w:hAnsi="ITC Avant Garde" w:cs="Arial"/>
          <w:color w:val="auto"/>
        </w:rPr>
        <w:t>ó</w:t>
      </w:r>
      <w:r w:rsidR="0033160A" w:rsidRPr="0052418C">
        <w:rPr>
          <w:rFonts w:ascii="ITC Avant Garde" w:hAnsi="ITC Avant Garde" w:cs="Arial"/>
          <w:color w:val="auto"/>
        </w:rPr>
        <w:t xml:space="preserve"> al </w:t>
      </w:r>
      <w:r w:rsidR="002010F7" w:rsidRPr="0052418C">
        <w:rPr>
          <w:rFonts w:ascii="ITC Avant Garde" w:hAnsi="ITC Avant Garde" w:cs="Arial"/>
          <w:color w:val="auto"/>
        </w:rPr>
        <w:t xml:space="preserve">Instituto </w:t>
      </w:r>
      <w:r w:rsidR="0033160A" w:rsidRPr="0052418C">
        <w:rPr>
          <w:rFonts w:ascii="ITC Avant Garde" w:hAnsi="ITC Avant Garde" w:cs="Arial"/>
          <w:color w:val="auto"/>
        </w:rPr>
        <w:t>que este evento no sea considerado como una causa v</w:t>
      </w:r>
      <w:r w:rsidR="00E14AD4" w:rsidRPr="0052418C">
        <w:rPr>
          <w:rFonts w:ascii="ITC Avant Garde" w:hAnsi="ITC Avant Garde" w:cs="Arial"/>
          <w:color w:val="auto"/>
        </w:rPr>
        <w:t>á</w:t>
      </w:r>
      <w:r w:rsidR="0033160A" w:rsidRPr="0052418C">
        <w:rPr>
          <w:rFonts w:ascii="ITC Avant Garde" w:hAnsi="ITC Avant Garde" w:cs="Arial"/>
          <w:color w:val="auto"/>
        </w:rPr>
        <w:t>lida de</w:t>
      </w:r>
      <w:r w:rsidR="00A54AB8" w:rsidRPr="0052418C">
        <w:rPr>
          <w:rFonts w:ascii="ITC Avant Garde" w:hAnsi="ITC Avant Garde" w:cs="Arial"/>
          <w:color w:val="auto"/>
        </w:rPr>
        <w:t xml:space="preserve"> paro de</w:t>
      </w:r>
      <w:r w:rsidR="0033160A" w:rsidRPr="0052418C">
        <w:rPr>
          <w:rFonts w:ascii="ITC Avant Garde" w:hAnsi="ITC Avant Garde" w:cs="Arial"/>
          <w:color w:val="auto"/>
        </w:rPr>
        <w:t xml:space="preserve"> reloj.</w:t>
      </w:r>
    </w:p>
    <w:p w14:paraId="57BE2122" w14:textId="7B0E747F" w:rsidR="0033160A" w:rsidRDefault="0033160A" w:rsidP="0052418C">
      <w:pPr>
        <w:spacing w:after="0" w:line="276" w:lineRule="auto"/>
        <w:ind w:left="0" w:right="0" w:firstLine="0"/>
        <w:rPr>
          <w:rFonts w:ascii="ITC Avant Garde" w:hAnsi="ITC Avant Garde" w:cs="Arial"/>
          <w:color w:val="auto"/>
        </w:rPr>
      </w:pPr>
    </w:p>
    <w:p w14:paraId="791B9564" w14:textId="72B6494B" w:rsidR="008F25E7" w:rsidRPr="0052418C" w:rsidRDefault="00B95C7E" w:rsidP="0052418C">
      <w:pPr>
        <w:spacing w:after="0" w:line="276" w:lineRule="auto"/>
        <w:ind w:left="0" w:right="0" w:firstLine="0"/>
        <w:rPr>
          <w:rFonts w:ascii="ITC Avant Garde" w:hAnsi="ITC Avant Garde" w:cs="Arial"/>
          <w:b/>
          <w:color w:val="auto"/>
        </w:rPr>
      </w:pPr>
      <w:bookmarkStart w:id="11" w:name="_Hlk92703328"/>
      <w:r w:rsidRPr="0052418C">
        <w:rPr>
          <w:rFonts w:ascii="ITC Avant Garde" w:hAnsi="ITC Avant Garde" w:cs="Arial"/>
          <w:b/>
          <w:color w:val="auto"/>
        </w:rPr>
        <w:t>Consideraciones del Instituto</w:t>
      </w:r>
      <w:r w:rsidR="00C42595" w:rsidRPr="0052418C">
        <w:rPr>
          <w:rFonts w:ascii="ITC Avant Garde" w:hAnsi="ITC Avant Garde" w:cs="Arial"/>
          <w:b/>
          <w:color w:val="auto"/>
        </w:rPr>
        <w:t>:</w:t>
      </w:r>
    </w:p>
    <w:bookmarkEnd w:id="11"/>
    <w:p w14:paraId="796E9B3C" w14:textId="2BCCFB26" w:rsidR="00561FE6" w:rsidRPr="0052418C" w:rsidRDefault="00B95C7E" w:rsidP="0052418C">
      <w:pPr>
        <w:autoSpaceDE w:val="0"/>
        <w:autoSpaceDN w:val="0"/>
        <w:spacing w:after="0" w:line="276" w:lineRule="auto"/>
        <w:rPr>
          <w:rFonts w:ascii="ITC Avant Garde" w:hAnsi="ITC Avant Garde" w:cs="Arial"/>
        </w:rPr>
      </w:pPr>
      <w:r w:rsidRPr="0052418C">
        <w:rPr>
          <w:rFonts w:ascii="ITC Avant Garde" w:hAnsi="ITC Avant Garde" w:cs="Arial"/>
          <w:color w:val="auto"/>
        </w:rPr>
        <w:t xml:space="preserve">Se considera que el contar con los diagramas </w:t>
      </w:r>
      <w:r w:rsidR="0086704F" w:rsidRPr="0052418C">
        <w:rPr>
          <w:rFonts w:ascii="ITC Avant Garde" w:hAnsi="ITC Avant Garde" w:cs="Arial"/>
          <w:color w:val="auto"/>
        </w:rPr>
        <w:t xml:space="preserve">que contengan </w:t>
      </w:r>
      <w:r w:rsidRPr="0052418C">
        <w:rPr>
          <w:rFonts w:ascii="ITC Avant Garde" w:hAnsi="ITC Avant Garde" w:cs="Arial"/>
          <w:color w:val="auto"/>
        </w:rPr>
        <w:t xml:space="preserve">las indicaciones de las trayectorias de los cableados desde las acometidas del predio hasta el punto de ubicación del equipo es </w:t>
      </w:r>
      <w:r w:rsidR="00E14AD4" w:rsidRPr="0052418C">
        <w:rPr>
          <w:rFonts w:ascii="ITC Avant Garde" w:hAnsi="ITC Avant Garde" w:cs="Arial"/>
          <w:color w:val="auto"/>
        </w:rPr>
        <w:t>n</w:t>
      </w:r>
      <w:r w:rsidR="00E30F18" w:rsidRPr="0052418C">
        <w:rPr>
          <w:rFonts w:ascii="ITC Avant Garde" w:hAnsi="ITC Avant Garde" w:cs="Arial"/>
          <w:color w:val="auto"/>
        </w:rPr>
        <w:t xml:space="preserve">ecesario para la adecuada instalación. </w:t>
      </w:r>
      <w:r w:rsidRPr="0052418C">
        <w:rPr>
          <w:rFonts w:ascii="ITC Avant Garde" w:hAnsi="ITC Avant Garde" w:cs="Arial"/>
          <w:color w:val="auto"/>
        </w:rPr>
        <w:t>De igual forma, en la ORE</w:t>
      </w:r>
      <w:r w:rsidR="008C1C58" w:rsidRPr="0052418C">
        <w:rPr>
          <w:rFonts w:ascii="ITC Avant Garde" w:hAnsi="ITC Avant Garde" w:cs="Arial"/>
          <w:color w:val="auto"/>
        </w:rPr>
        <w:t xml:space="preserve"> EM</w:t>
      </w:r>
      <w:r w:rsidRPr="0052418C">
        <w:rPr>
          <w:rFonts w:ascii="ITC Avant Garde" w:hAnsi="ITC Avant Garde" w:cs="Arial"/>
          <w:color w:val="auto"/>
        </w:rPr>
        <w:t xml:space="preserve"> </w:t>
      </w:r>
      <w:r w:rsidR="00566A0B" w:rsidRPr="0052418C">
        <w:rPr>
          <w:rFonts w:ascii="ITC Avant Garde" w:hAnsi="ITC Avant Garde" w:cs="Arial"/>
          <w:color w:val="auto"/>
        </w:rPr>
        <w:t xml:space="preserve">2022 </w:t>
      </w:r>
      <w:r w:rsidRPr="0052418C">
        <w:rPr>
          <w:rFonts w:ascii="ITC Avant Garde" w:hAnsi="ITC Avant Garde" w:cs="Arial"/>
          <w:color w:val="auto"/>
        </w:rPr>
        <w:t>se estableció que en</w:t>
      </w:r>
      <w:r w:rsidR="00561FE6" w:rsidRPr="0052418C">
        <w:rPr>
          <w:rFonts w:ascii="ITC Avant Garde" w:hAnsi="ITC Avant Garde" w:cs="Arial"/>
        </w:rPr>
        <w:t xml:space="preserve"> caso de</w:t>
      </w:r>
      <w:r w:rsidR="00566A0B" w:rsidRPr="0052418C">
        <w:rPr>
          <w:rFonts w:ascii="ITC Avant Garde" w:hAnsi="ITC Avant Garde" w:cs="Arial"/>
        </w:rPr>
        <w:t xml:space="preserve"> ser necesario el Site Survey de</w:t>
      </w:r>
      <w:r w:rsidR="00561FE6" w:rsidRPr="0052418C">
        <w:rPr>
          <w:rFonts w:ascii="ITC Avant Garde" w:hAnsi="ITC Avant Garde" w:cs="Arial"/>
        </w:rPr>
        <w:t xml:space="preserve"> Red Nacional tendrá </w:t>
      </w:r>
      <w:r w:rsidR="00566A0B" w:rsidRPr="0052418C">
        <w:rPr>
          <w:rFonts w:ascii="ITC Avant Garde" w:hAnsi="ITC Avant Garde" w:cs="Arial"/>
        </w:rPr>
        <w:t xml:space="preserve">un plazo no mayor a </w:t>
      </w:r>
      <w:r w:rsidR="00561FE6" w:rsidRPr="0052418C">
        <w:rPr>
          <w:rFonts w:ascii="ITC Avant Garde" w:hAnsi="ITC Avant Garde" w:cs="Arial"/>
        </w:rPr>
        <w:t xml:space="preserve">1 (un) día hábil </w:t>
      </w:r>
      <w:r w:rsidR="00566A0B" w:rsidRPr="0052418C">
        <w:rPr>
          <w:rFonts w:ascii="ITC Avant Garde" w:hAnsi="ITC Avant Garde" w:cs="Arial"/>
        </w:rPr>
        <w:t xml:space="preserve">la </w:t>
      </w:r>
      <w:r w:rsidR="00561FE6" w:rsidRPr="0052418C">
        <w:rPr>
          <w:rFonts w:ascii="ITC Avant Garde" w:hAnsi="ITC Avant Garde" w:cs="Arial"/>
        </w:rPr>
        <w:t>cotiza</w:t>
      </w:r>
      <w:r w:rsidR="00566A0B" w:rsidRPr="0052418C">
        <w:rPr>
          <w:rFonts w:ascii="ITC Avant Garde" w:hAnsi="ITC Avant Garde" w:cs="Arial"/>
        </w:rPr>
        <w:t>ción</w:t>
      </w:r>
      <w:r w:rsidR="00561FE6" w:rsidRPr="0052418C">
        <w:rPr>
          <w:rFonts w:ascii="ITC Avant Garde" w:hAnsi="ITC Avant Garde" w:cs="Arial"/>
        </w:rPr>
        <w:t xml:space="preserve"> </w:t>
      </w:r>
      <w:r w:rsidR="00566A0B" w:rsidRPr="0052418C">
        <w:rPr>
          <w:rFonts w:ascii="ITC Avant Garde" w:hAnsi="ITC Avant Garde" w:cs="Arial"/>
        </w:rPr>
        <w:t xml:space="preserve">correspondiente que dependerá de la situación de cada caso, posterior a lo cual </w:t>
      </w:r>
      <w:r w:rsidR="00561FE6" w:rsidRPr="0052418C">
        <w:rPr>
          <w:rFonts w:ascii="ITC Avant Garde" w:hAnsi="ITC Avant Garde" w:cs="Arial"/>
        </w:rPr>
        <w:t>el CS tendrá 1 (un) día hábil para aceptar o rechazar la cotización.</w:t>
      </w:r>
    </w:p>
    <w:p w14:paraId="2681A3B8" w14:textId="77777777" w:rsidR="00B95C7E" w:rsidRPr="0052418C" w:rsidRDefault="00B95C7E" w:rsidP="0052418C">
      <w:pPr>
        <w:spacing w:after="0" w:line="276" w:lineRule="auto"/>
        <w:ind w:left="0" w:right="0" w:firstLine="0"/>
        <w:rPr>
          <w:rFonts w:ascii="ITC Avant Garde" w:hAnsi="ITC Avant Garde" w:cs="Arial"/>
          <w:color w:val="auto"/>
        </w:rPr>
      </w:pPr>
    </w:p>
    <w:p w14:paraId="56729166" w14:textId="7036F4E7" w:rsidR="00DA60CB" w:rsidRPr="0052418C" w:rsidRDefault="00DA60CB" w:rsidP="0052418C">
      <w:pPr>
        <w:pStyle w:val="IFTnormal"/>
        <w:spacing w:after="0"/>
        <w:ind w:left="0"/>
        <w:rPr>
          <w:rFonts w:eastAsiaTheme="majorEastAsia" w:cs="Arial"/>
          <w:b/>
          <w:u w:val="single"/>
        </w:rPr>
      </w:pPr>
      <w:r w:rsidRPr="0052418C">
        <w:rPr>
          <w:rFonts w:eastAsiaTheme="majorEastAsia" w:cs="Arial"/>
          <w:b/>
          <w:u w:val="single"/>
        </w:rPr>
        <w:t>2.5.5</w:t>
      </w:r>
      <w:r w:rsidR="00C32216" w:rsidRPr="0052418C">
        <w:rPr>
          <w:rFonts w:eastAsiaTheme="majorEastAsia" w:cs="Arial"/>
          <w:b/>
          <w:u w:val="single"/>
        </w:rPr>
        <w:t>.</w:t>
      </w:r>
    </w:p>
    <w:p w14:paraId="0A862B51" w14:textId="1A43F9BA" w:rsidR="00C03015" w:rsidRPr="0052418C" w:rsidRDefault="006A6D85"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lastRenderedPageBreak/>
        <w:t xml:space="preserve">GRUPO AT&amp;T: </w:t>
      </w:r>
    </w:p>
    <w:p w14:paraId="6809A4C6" w14:textId="69EDE8A5" w:rsidR="00FD460F" w:rsidRPr="0052418C" w:rsidRDefault="00FD460F"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S</w:t>
      </w:r>
      <w:r w:rsidR="00B93804" w:rsidRPr="0052418C">
        <w:rPr>
          <w:rFonts w:ascii="ITC Avant Garde" w:hAnsi="ITC Avant Garde" w:cs="Arial"/>
          <w:color w:val="auto"/>
        </w:rPr>
        <w:t>ugirió</w:t>
      </w:r>
      <w:r w:rsidR="001D71B2" w:rsidRPr="0052418C">
        <w:rPr>
          <w:rFonts w:ascii="ITC Avant Garde" w:hAnsi="ITC Avant Garde" w:cs="Arial"/>
          <w:color w:val="auto"/>
        </w:rPr>
        <w:t xml:space="preserve"> mantener </w:t>
      </w:r>
      <w:r w:rsidR="00B17587" w:rsidRPr="0052418C">
        <w:rPr>
          <w:rFonts w:ascii="ITC Avant Garde" w:hAnsi="ITC Avant Garde" w:cs="Arial"/>
          <w:color w:val="auto"/>
        </w:rPr>
        <w:t xml:space="preserve">los </w:t>
      </w:r>
      <w:r w:rsidR="001D71B2" w:rsidRPr="0052418C">
        <w:rPr>
          <w:rFonts w:ascii="ITC Avant Garde" w:hAnsi="ITC Avant Garde" w:cs="Arial"/>
          <w:color w:val="auto"/>
        </w:rPr>
        <w:t>plazo</w:t>
      </w:r>
      <w:r w:rsidR="00B17587" w:rsidRPr="0052418C">
        <w:rPr>
          <w:rFonts w:ascii="ITC Avant Garde" w:hAnsi="ITC Avant Garde" w:cs="Arial"/>
          <w:color w:val="auto"/>
        </w:rPr>
        <w:t>s</w:t>
      </w:r>
      <w:r w:rsidR="001D71B2" w:rsidRPr="0052418C">
        <w:rPr>
          <w:rFonts w:ascii="ITC Avant Garde" w:hAnsi="ITC Avant Garde" w:cs="Arial"/>
          <w:color w:val="auto"/>
        </w:rPr>
        <w:t xml:space="preserve"> de </w:t>
      </w:r>
      <w:r w:rsidR="00B17587" w:rsidRPr="0052418C">
        <w:rPr>
          <w:rFonts w:ascii="ITC Avant Garde" w:hAnsi="ITC Avant Garde" w:cs="Arial"/>
          <w:color w:val="auto"/>
        </w:rPr>
        <w:t>la oferta vigente</w:t>
      </w:r>
      <w:r w:rsidR="001D71B2" w:rsidRPr="0052418C">
        <w:rPr>
          <w:rFonts w:ascii="ITC Avant Garde" w:hAnsi="ITC Avant Garde" w:cs="Arial"/>
          <w:color w:val="auto"/>
        </w:rPr>
        <w:t xml:space="preserve"> para </w:t>
      </w:r>
      <w:r w:rsidRPr="0052418C">
        <w:rPr>
          <w:rFonts w:ascii="ITC Avant Garde" w:hAnsi="ITC Avant Garde" w:cs="Arial"/>
          <w:color w:val="auto"/>
        </w:rPr>
        <w:t xml:space="preserve">la notificación de la fecha de entrega vinculante de los enlaces al CS, </w:t>
      </w:r>
      <w:r w:rsidR="0020564D" w:rsidRPr="0052418C">
        <w:rPr>
          <w:rFonts w:ascii="ITC Avant Garde" w:hAnsi="ITC Avant Garde" w:cs="Arial"/>
          <w:color w:val="auto"/>
        </w:rPr>
        <w:t xml:space="preserve">señaló que </w:t>
      </w:r>
      <w:r w:rsidR="00A04CE0" w:rsidRPr="0052418C">
        <w:rPr>
          <w:rFonts w:ascii="ITC Avant Garde" w:hAnsi="ITC Avant Garde" w:cs="Arial"/>
          <w:color w:val="auto"/>
        </w:rPr>
        <w:t xml:space="preserve">los </w:t>
      </w:r>
      <w:r w:rsidR="00163E7B" w:rsidRPr="0052418C">
        <w:rPr>
          <w:rFonts w:ascii="ITC Avant Garde" w:hAnsi="ITC Avant Garde" w:cs="Arial"/>
          <w:color w:val="auto"/>
        </w:rPr>
        <w:t>tiempo</w:t>
      </w:r>
      <w:r w:rsidR="00A04CE0" w:rsidRPr="0052418C">
        <w:rPr>
          <w:rFonts w:ascii="ITC Avant Garde" w:hAnsi="ITC Avant Garde" w:cs="Arial"/>
          <w:color w:val="auto"/>
        </w:rPr>
        <w:t>s</w:t>
      </w:r>
      <w:r w:rsidR="00163E7B" w:rsidRPr="0052418C">
        <w:rPr>
          <w:rFonts w:ascii="ITC Avant Garde" w:hAnsi="ITC Avant Garde" w:cs="Arial"/>
          <w:color w:val="auto"/>
        </w:rPr>
        <w:t xml:space="preserve"> </w:t>
      </w:r>
      <w:r w:rsidR="00A04CE0" w:rsidRPr="0052418C">
        <w:rPr>
          <w:rFonts w:ascii="ITC Avant Garde" w:hAnsi="ITC Avant Garde" w:cs="Arial"/>
          <w:color w:val="auto"/>
        </w:rPr>
        <w:t xml:space="preserve">son </w:t>
      </w:r>
      <w:r w:rsidR="00163E7B" w:rsidRPr="0052418C">
        <w:rPr>
          <w:rFonts w:ascii="ITC Avant Garde" w:hAnsi="ITC Avant Garde" w:cs="Arial"/>
          <w:color w:val="auto"/>
        </w:rPr>
        <w:t>razonable</w:t>
      </w:r>
      <w:r w:rsidR="00A04CE0" w:rsidRPr="0052418C">
        <w:rPr>
          <w:rFonts w:ascii="ITC Avant Garde" w:hAnsi="ITC Avant Garde" w:cs="Arial"/>
          <w:color w:val="auto"/>
        </w:rPr>
        <w:t>s</w:t>
      </w:r>
      <w:r w:rsidR="00163E7B" w:rsidRPr="0052418C">
        <w:rPr>
          <w:rFonts w:ascii="ITC Avant Garde" w:hAnsi="ITC Avant Garde" w:cs="Arial"/>
          <w:color w:val="auto"/>
        </w:rPr>
        <w:t xml:space="preserve"> para analizar el servicio y </w:t>
      </w:r>
      <w:r w:rsidR="0020564D" w:rsidRPr="0052418C">
        <w:rPr>
          <w:rFonts w:ascii="ITC Avant Garde" w:hAnsi="ITC Avant Garde" w:cs="Arial"/>
          <w:color w:val="auto"/>
        </w:rPr>
        <w:t xml:space="preserve">entregar una </w:t>
      </w:r>
      <w:r w:rsidR="00163E7B" w:rsidRPr="0052418C">
        <w:rPr>
          <w:rFonts w:ascii="ITC Avant Garde" w:hAnsi="ITC Avant Garde" w:cs="Arial"/>
          <w:color w:val="auto"/>
        </w:rPr>
        <w:t xml:space="preserve">fecha. </w:t>
      </w:r>
    </w:p>
    <w:p w14:paraId="55031E1D" w14:textId="2FC3C564" w:rsidR="00476767" w:rsidRPr="0052418C" w:rsidRDefault="00476767" w:rsidP="0052418C">
      <w:pPr>
        <w:spacing w:after="0" w:line="276" w:lineRule="auto"/>
        <w:ind w:left="0" w:right="0" w:firstLine="0"/>
        <w:rPr>
          <w:rFonts w:ascii="ITC Avant Garde" w:hAnsi="ITC Avant Garde" w:cs="Arial"/>
          <w:color w:val="auto"/>
        </w:rPr>
      </w:pPr>
    </w:p>
    <w:p w14:paraId="7C1B9D66" w14:textId="77777777" w:rsidR="00151911" w:rsidRPr="0052418C" w:rsidRDefault="00151911" w:rsidP="0052418C">
      <w:pPr>
        <w:pStyle w:val="IFTnormal"/>
        <w:spacing w:after="0"/>
        <w:ind w:left="0"/>
        <w:rPr>
          <w:b/>
        </w:rPr>
      </w:pPr>
      <w:r w:rsidRPr="0052418C">
        <w:rPr>
          <w:b/>
        </w:rPr>
        <w:t>AXTEL:</w:t>
      </w:r>
    </w:p>
    <w:p w14:paraId="4A7256FA" w14:textId="77777777" w:rsidR="00151911" w:rsidRPr="0052418C" w:rsidRDefault="00151911" w:rsidP="0052418C">
      <w:pPr>
        <w:spacing w:after="0" w:line="276" w:lineRule="auto"/>
        <w:ind w:left="0" w:right="0" w:firstLine="0"/>
        <w:rPr>
          <w:rFonts w:ascii="ITC Avant Garde" w:hAnsi="ITC Avant Garde" w:cs="Times New Roman"/>
          <w:bCs/>
          <w:color w:val="auto"/>
        </w:rPr>
      </w:pPr>
      <w:r w:rsidRPr="0052418C">
        <w:rPr>
          <w:rFonts w:ascii="ITC Avant Garde" w:hAnsi="ITC Avant Garde" w:cs="Times New Roman"/>
          <w:bCs/>
          <w:color w:val="auto"/>
        </w:rPr>
        <w:t>Solicitó al Instituto, mantener los tiempos de las Ofertas Vigentes, la propuesta del AEP solo busca la dilación en la entrega de los servicios.</w:t>
      </w:r>
    </w:p>
    <w:p w14:paraId="0478623A" w14:textId="77777777" w:rsidR="00151911" w:rsidRPr="0052418C" w:rsidRDefault="00151911" w:rsidP="0052418C">
      <w:pPr>
        <w:spacing w:after="0" w:line="276" w:lineRule="auto"/>
        <w:ind w:left="0" w:right="0" w:firstLine="0"/>
        <w:rPr>
          <w:rFonts w:ascii="ITC Avant Garde" w:hAnsi="ITC Avant Garde" w:cs="Arial"/>
          <w:color w:val="auto"/>
        </w:rPr>
      </w:pPr>
    </w:p>
    <w:p w14:paraId="5A93AA97" w14:textId="77777777" w:rsidR="003112CE" w:rsidRPr="0052418C" w:rsidRDefault="003112CE" w:rsidP="0052418C">
      <w:pPr>
        <w:tabs>
          <w:tab w:val="left" w:pos="3015"/>
        </w:tabs>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MEGA CABLE:</w:t>
      </w:r>
    </w:p>
    <w:p w14:paraId="37D26EA0" w14:textId="7997E472" w:rsidR="003112CE" w:rsidRPr="0052418C" w:rsidRDefault="003112CE"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Señal</w:t>
      </w:r>
      <w:r w:rsidR="004D6F7E">
        <w:rPr>
          <w:rFonts w:ascii="ITC Avant Garde" w:hAnsi="ITC Avant Garde" w:cs="Arial"/>
          <w:color w:val="auto"/>
        </w:rPr>
        <w:t>ó</w:t>
      </w:r>
      <w:r w:rsidRPr="0052418C">
        <w:rPr>
          <w:rFonts w:ascii="ITC Avant Garde" w:hAnsi="ITC Avant Garde" w:cs="Arial"/>
          <w:color w:val="auto"/>
        </w:rPr>
        <w:t xml:space="preserve"> que en la </w:t>
      </w:r>
      <w:r w:rsidR="00255A95" w:rsidRPr="0052418C">
        <w:rPr>
          <w:rFonts w:ascii="ITC Avant Garde" w:hAnsi="ITC Avant Garde" w:cs="Arial"/>
          <w:color w:val="auto"/>
        </w:rPr>
        <w:t>P</w:t>
      </w:r>
      <w:r w:rsidRPr="0052418C">
        <w:rPr>
          <w:rFonts w:ascii="ITC Avant Garde" w:hAnsi="ITC Avant Garde" w:cs="Arial"/>
          <w:color w:val="auto"/>
        </w:rPr>
        <w:t>ropuesta</w:t>
      </w:r>
      <w:r w:rsidR="00255A95" w:rsidRPr="0052418C">
        <w:rPr>
          <w:rFonts w:ascii="ITC Avant Garde" w:hAnsi="ITC Avant Garde" w:cs="Arial"/>
          <w:color w:val="auto"/>
        </w:rPr>
        <w:t xml:space="preserve"> de Oferta</w:t>
      </w:r>
      <w:r w:rsidRPr="0052418C">
        <w:rPr>
          <w:rFonts w:ascii="ITC Avant Garde" w:hAnsi="ITC Avant Garde" w:cs="Arial"/>
          <w:color w:val="auto"/>
        </w:rPr>
        <w:t xml:space="preserve"> presentada por </w:t>
      </w:r>
      <w:r w:rsidR="00EF0921" w:rsidRPr="0052418C">
        <w:rPr>
          <w:rFonts w:ascii="ITC Avant Garde" w:hAnsi="ITC Avant Garde" w:cs="Arial"/>
        </w:rPr>
        <w:t>Red Nacional</w:t>
      </w:r>
      <w:r w:rsidR="00EF0921" w:rsidRPr="0052418C">
        <w:rPr>
          <w:rFonts w:ascii="ITC Avant Garde" w:hAnsi="ITC Avant Garde"/>
          <w:bCs/>
          <w:color w:val="auto"/>
        </w:rPr>
        <w:t xml:space="preserve"> </w:t>
      </w:r>
      <w:r w:rsidRPr="0052418C">
        <w:rPr>
          <w:rFonts w:ascii="ITC Avant Garde" w:hAnsi="ITC Avant Garde" w:cs="Arial"/>
          <w:color w:val="auto"/>
        </w:rPr>
        <w:t xml:space="preserve">se estableció tiempos excesivos para la notificación de la fecha </w:t>
      </w:r>
      <w:r w:rsidR="00255A95" w:rsidRPr="0052418C">
        <w:rPr>
          <w:rFonts w:ascii="ITC Avant Garde" w:hAnsi="ITC Avant Garde" w:cs="Arial"/>
          <w:color w:val="auto"/>
        </w:rPr>
        <w:t>de entrega</w:t>
      </w:r>
      <w:r w:rsidRPr="0052418C">
        <w:rPr>
          <w:rFonts w:ascii="ITC Avant Garde" w:hAnsi="ITC Avant Garde" w:cs="Arial"/>
          <w:color w:val="auto"/>
        </w:rPr>
        <w:t xml:space="preserve"> vinculante, mismos que son mayores a los establecidos en la ORE </w:t>
      </w:r>
      <w:r w:rsidR="00255A95" w:rsidRPr="0052418C">
        <w:rPr>
          <w:rFonts w:ascii="ITC Avant Garde" w:hAnsi="ITC Avant Garde" w:cs="Arial"/>
          <w:color w:val="auto"/>
        </w:rPr>
        <w:t>EM</w:t>
      </w:r>
      <w:r w:rsidRPr="0052418C">
        <w:rPr>
          <w:rFonts w:ascii="ITC Avant Garde" w:hAnsi="ITC Avant Garde" w:cs="Arial"/>
          <w:color w:val="auto"/>
        </w:rPr>
        <w:t xml:space="preserve"> 2021.</w:t>
      </w:r>
    </w:p>
    <w:p w14:paraId="2CDAA25E" w14:textId="77777777" w:rsidR="003112CE" w:rsidRPr="0052418C" w:rsidRDefault="003112CE" w:rsidP="0052418C">
      <w:pPr>
        <w:spacing w:after="0" w:line="276" w:lineRule="auto"/>
        <w:ind w:left="0" w:right="0" w:firstLine="0"/>
        <w:rPr>
          <w:rFonts w:ascii="ITC Avant Garde" w:hAnsi="ITC Avant Garde" w:cs="Arial"/>
          <w:color w:val="auto"/>
        </w:rPr>
      </w:pPr>
    </w:p>
    <w:p w14:paraId="3D6074AF" w14:textId="323B5239" w:rsidR="007C59D7" w:rsidRPr="0052418C" w:rsidRDefault="00FE5F73"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C42595" w:rsidRPr="0052418C">
        <w:rPr>
          <w:rFonts w:ascii="ITC Avant Garde" w:hAnsi="ITC Avant Garde" w:cs="Arial"/>
          <w:b/>
          <w:color w:val="auto"/>
        </w:rPr>
        <w:t>:</w:t>
      </w:r>
    </w:p>
    <w:p w14:paraId="42017B68" w14:textId="11E6F008" w:rsidR="00736C1F" w:rsidRDefault="00B076D8" w:rsidP="0052418C">
      <w:pPr>
        <w:spacing w:after="0" w:line="276" w:lineRule="auto"/>
        <w:ind w:left="0" w:right="0" w:firstLine="0"/>
        <w:rPr>
          <w:rFonts w:ascii="ITC Avant Garde" w:hAnsi="ITC Avant Garde" w:cs="Arial"/>
          <w:color w:val="auto"/>
        </w:rPr>
      </w:pPr>
      <w:r>
        <w:rPr>
          <w:rFonts w:ascii="ITC Avant Garde" w:hAnsi="ITC Avant Garde" w:cs="Arial"/>
          <w:color w:val="auto"/>
        </w:rPr>
        <w:t>Se ajustaron los plazos de entrega de la fecha vinculante conforme a los aprobados en la ORE EM 2021</w:t>
      </w:r>
      <w:r w:rsidR="00736C1F">
        <w:rPr>
          <w:rFonts w:ascii="ITC Avant Garde" w:hAnsi="ITC Avant Garde" w:cs="Arial"/>
          <w:color w:val="auto"/>
        </w:rPr>
        <w:t>, quedando conforme a lo siguiente:</w:t>
      </w:r>
    </w:p>
    <w:p w14:paraId="5B563DAB" w14:textId="1688A822" w:rsidR="00736C1F" w:rsidRDefault="00736C1F" w:rsidP="0052418C">
      <w:pPr>
        <w:spacing w:after="0" w:line="276" w:lineRule="auto"/>
        <w:ind w:left="0" w:right="0" w:firstLine="0"/>
        <w:rPr>
          <w:rFonts w:ascii="ITC Avant Garde" w:hAnsi="ITC Avant Garde" w:cs="Arial"/>
          <w:color w:val="auto"/>
        </w:rPr>
      </w:pPr>
    </w:p>
    <w:p w14:paraId="3656B86B" w14:textId="77777777" w:rsidR="006C458D" w:rsidRPr="00746BCD" w:rsidRDefault="006C458D" w:rsidP="006C458D">
      <w:pPr>
        <w:spacing w:after="0" w:line="276" w:lineRule="auto"/>
        <w:ind w:left="567" w:right="616" w:firstLine="0"/>
        <w:rPr>
          <w:rFonts w:ascii="ITC Avant Garde" w:hAnsi="ITC Avant Garde"/>
          <w:i/>
          <w:iCs/>
          <w:color w:val="auto"/>
          <w:sz w:val="18"/>
          <w:szCs w:val="18"/>
        </w:rPr>
      </w:pPr>
      <w:r w:rsidRPr="00736C1F">
        <w:rPr>
          <w:rFonts w:ascii="ITC Avant Garde" w:hAnsi="ITC Avant Garde"/>
          <w:i/>
          <w:iCs/>
          <w:color w:val="auto"/>
          <w:sz w:val="18"/>
          <w:szCs w:val="18"/>
        </w:rPr>
        <w:t>“</w:t>
      </w:r>
      <w:r w:rsidRPr="00957AD8">
        <w:rPr>
          <w:rFonts w:ascii="ITC Avant Garde" w:hAnsi="ITC Avant Garde"/>
          <w:i/>
          <w:iCs/>
          <w:color w:val="auto"/>
          <w:sz w:val="18"/>
          <w:szCs w:val="18"/>
        </w:rPr>
        <w:t>2.5.5 Red Nacional/Red Noroeste notificará la fecha de entrega vinculante de los Enlaces de Interconexión locales al CS en un plazo máximo de 5 (cinco) días hábiles a partir de la entrega del número de referencia, y de Enlaces dedicados locales en un plazo máximo de 7 (siete) días hábiles a partir de la entrega del número de referencia para enlaces de velocidades 2.048 Mbps e inferiores, y de 30 (treinta) días hábiles a partir de la entrega del número de referencia para Enlaces Ethernet, tratándose de la entrega del servicio en un punto en el que previamente ya se tenga contratado el servicio o en caso de que se requiera la provisión del servicio de manera anticipada, deberá notificar la fecha de entrega vinculante en un plazo máximo de 5 (cinco) días hábiles, contados a partir de la entrega del número de referencia.</w:t>
      </w:r>
      <w:r w:rsidRPr="00736C1F">
        <w:rPr>
          <w:rFonts w:ascii="ITC Avant Garde" w:hAnsi="ITC Avant Garde"/>
          <w:i/>
          <w:iCs/>
          <w:color w:val="auto"/>
          <w:sz w:val="18"/>
          <w:szCs w:val="18"/>
        </w:rPr>
        <w:t>”</w:t>
      </w:r>
    </w:p>
    <w:p w14:paraId="423F67FE" w14:textId="406B6433" w:rsidR="00752C96" w:rsidRDefault="00752C96" w:rsidP="0052418C">
      <w:pPr>
        <w:spacing w:after="0" w:line="276" w:lineRule="auto"/>
        <w:ind w:left="0" w:right="0" w:firstLine="0"/>
        <w:rPr>
          <w:rFonts w:ascii="ITC Avant Garde" w:hAnsi="ITC Avant Garde" w:cs="Arial"/>
          <w:color w:val="auto"/>
          <w:sz w:val="18"/>
          <w:szCs w:val="18"/>
        </w:rPr>
      </w:pPr>
    </w:p>
    <w:p w14:paraId="31269A54" w14:textId="4ADEF763" w:rsidR="006108F6" w:rsidRPr="0052418C" w:rsidRDefault="00DA60CB" w:rsidP="0052418C">
      <w:pPr>
        <w:pStyle w:val="IFTnormal"/>
        <w:spacing w:after="0"/>
        <w:ind w:left="0"/>
        <w:rPr>
          <w:rFonts w:eastAsiaTheme="majorEastAsia" w:cs="Arial"/>
          <w:u w:val="single"/>
        </w:rPr>
      </w:pPr>
      <w:r w:rsidRPr="0052418C">
        <w:rPr>
          <w:rFonts w:eastAsiaTheme="majorEastAsia" w:cs="Arial"/>
          <w:b/>
          <w:u w:val="single"/>
        </w:rPr>
        <w:t>2.5.6</w:t>
      </w:r>
      <w:r w:rsidR="006244D3" w:rsidRPr="0052418C">
        <w:rPr>
          <w:rFonts w:eastAsiaTheme="majorEastAsia" w:cs="Arial"/>
          <w:b/>
          <w:u w:val="single"/>
        </w:rPr>
        <w:t xml:space="preserve"> Proyectos Especiales</w:t>
      </w:r>
      <w:r w:rsidR="003261B7" w:rsidRPr="0052418C">
        <w:rPr>
          <w:rFonts w:eastAsiaTheme="majorEastAsia" w:cs="Arial"/>
          <w:b/>
          <w:u w:val="single"/>
        </w:rPr>
        <w:t>.</w:t>
      </w:r>
    </w:p>
    <w:p w14:paraId="35531FE6" w14:textId="32739D72" w:rsidR="009B5ACD" w:rsidRPr="0052418C" w:rsidRDefault="003D2702"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MEGA CABLE:</w:t>
      </w:r>
    </w:p>
    <w:p w14:paraId="50FB9B23" w14:textId="027EAD7A" w:rsidR="00F06EA5" w:rsidRPr="0052418C" w:rsidRDefault="000E4EAA"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Sugir</w:t>
      </w:r>
      <w:r w:rsidR="005E7B6C" w:rsidRPr="0052418C">
        <w:rPr>
          <w:rFonts w:ascii="ITC Avant Garde" w:hAnsi="ITC Avant Garde" w:cs="Arial"/>
          <w:color w:val="auto"/>
        </w:rPr>
        <w:t>ió</w:t>
      </w:r>
      <w:r w:rsidRPr="0052418C">
        <w:rPr>
          <w:rFonts w:ascii="ITC Avant Garde" w:hAnsi="ITC Avant Garde" w:cs="Arial"/>
          <w:color w:val="auto"/>
        </w:rPr>
        <w:t xml:space="preserve"> que e</w:t>
      </w:r>
      <w:r w:rsidR="009B5ACD" w:rsidRPr="0052418C">
        <w:rPr>
          <w:rFonts w:ascii="ITC Avant Garde" w:hAnsi="ITC Avant Garde" w:cs="Arial"/>
          <w:color w:val="auto"/>
        </w:rPr>
        <w:t xml:space="preserve">l Instituto debe buscar que </w:t>
      </w:r>
      <w:r w:rsidR="00FF2CFC" w:rsidRPr="0052418C">
        <w:rPr>
          <w:rFonts w:ascii="ITC Avant Garde" w:hAnsi="ITC Avant Garde" w:cs="Arial"/>
          <w:color w:val="auto"/>
        </w:rPr>
        <w:t>se</w:t>
      </w:r>
      <w:r w:rsidR="009B5ACD" w:rsidRPr="0052418C">
        <w:rPr>
          <w:rFonts w:ascii="ITC Avant Garde" w:hAnsi="ITC Avant Garde" w:cs="Arial"/>
          <w:color w:val="auto"/>
        </w:rPr>
        <w:t xml:space="preserve"> delimite de manera más clara y precisa los supuestos y criterios para requerir </w:t>
      </w:r>
      <w:r w:rsidR="00FF2CFC" w:rsidRPr="0052418C">
        <w:rPr>
          <w:rFonts w:ascii="ITC Avant Garde" w:hAnsi="ITC Avant Garde" w:cs="Arial"/>
          <w:color w:val="auto"/>
        </w:rPr>
        <w:t>proyectos especiales</w:t>
      </w:r>
      <w:r w:rsidR="009B5ACD" w:rsidRPr="0052418C">
        <w:rPr>
          <w:rFonts w:ascii="ITC Avant Garde" w:hAnsi="ITC Avant Garde" w:cs="Arial"/>
          <w:color w:val="auto"/>
        </w:rPr>
        <w:t xml:space="preserve"> como condición a la renta de un enlace.</w:t>
      </w:r>
    </w:p>
    <w:p w14:paraId="5F7B6CB9" w14:textId="77777777" w:rsidR="0035697C" w:rsidRPr="0052418C" w:rsidRDefault="0035697C" w:rsidP="0052418C">
      <w:pPr>
        <w:spacing w:after="0" w:line="276" w:lineRule="auto"/>
        <w:ind w:left="0" w:right="0" w:firstLine="0"/>
        <w:rPr>
          <w:rFonts w:ascii="ITC Avant Garde" w:hAnsi="ITC Avant Garde" w:cs="Arial"/>
          <w:color w:val="auto"/>
        </w:rPr>
      </w:pPr>
    </w:p>
    <w:p w14:paraId="1D06DB56" w14:textId="64CAD6E9" w:rsidR="009B5ACD" w:rsidRPr="0052418C" w:rsidRDefault="00787870"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Señaló </w:t>
      </w:r>
      <w:r w:rsidR="000E4EAA" w:rsidRPr="0052418C">
        <w:rPr>
          <w:rFonts w:ascii="ITC Avant Garde" w:hAnsi="ITC Avant Garde" w:cs="Arial"/>
          <w:color w:val="auto"/>
        </w:rPr>
        <w:t>que</w:t>
      </w:r>
      <w:r w:rsidR="00EA0DD3" w:rsidRPr="0052418C">
        <w:rPr>
          <w:rFonts w:ascii="ITC Avant Garde" w:hAnsi="ITC Avant Garde" w:cs="Arial"/>
          <w:color w:val="auto"/>
        </w:rPr>
        <w:t xml:space="preserve"> </w:t>
      </w:r>
      <w:r w:rsidR="003112CE" w:rsidRPr="0052418C">
        <w:rPr>
          <w:rFonts w:ascii="ITC Avant Garde" w:hAnsi="ITC Avant Garde" w:cs="Arial"/>
          <w:color w:val="auto"/>
        </w:rPr>
        <w:t xml:space="preserve">no debería existir la condición de proyecto especial en caso donde las centrales o puntos de conexión de </w:t>
      </w:r>
      <w:r w:rsidR="00EF0921" w:rsidRPr="0052418C">
        <w:rPr>
          <w:rFonts w:ascii="ITC Avant Garde" w:hAnsi="ITC Avant Garde" w:cs="Arial"/>
        </w:rPr>
        <w:t>Red Nacional</w:t>
      </w:r>
      <w:r w:rsidR="00EF0921" w:rsidRPr="0052418C">
        <w:rPr>
          <w:rFonts w:ascii="ITC Avant Garde" w:hAnsi="ITC Avant Garde"/>
          <w:bCs/>
          <w:color w:val="auto"/>
        </w:rPr>
        <w:t xml:space="preserve"> </w:t>
      </w:r>
      <w:r w:rsidR="003112CE" w:rsidRPr="0052418C">
        <w:rPr>
          <w:rFonts w:ascii="ITC Avant Garde" w:hAnsi="ITC Avant Garde" w:cs="Arial"/>
          <w:color w:val="auto"/>
        </w:rPr>
        <w:t>no cuent</w:t>
      </w:r>
      <w:r w:rsidR="00210331" w:rsidRPr="0052418C">
        <w:rPr>
          <w:rFonts w:ascii="ITC Avant Garde" w:hAnsi="ITC Avant Garde" w:cs="Arial"/>
          <w:color w:val="auto"/>
        </w:rPr>
        <w:t>e</w:t>
      </w:r>
      <w:r w:rsidR="003112CE" w:rsidRPr="0052418C">
        <w:rPr>
          <w:rFonts w:ascii="ITC Avant Garde" w:hAnsi="ITC Avant Garde" w:cs="Arial"/>
          <w:color w:val="auto"/>
        </w:rPr>
        <w:t xml:space="preserve"> con condiciones necesarias para prestar alguna modalidad del servicio pues puede justificarse como una alternativa del AEP para incumplir con sus obligaciones de preponderancia</w:t>
      </w:r>
      <w:r w:rsidR="00EA567A" w:rsidRPr="0052418C">
        <w:rPr>
          <w:rFonts w:ascii="ITC Avant Garde" w:hAnsi="ITC Avant Garde" w:cs="Arial"/>
          <w:color w:val="auto"/>
        </w:rPr>
        <w:t>.</w:t>
      </w:r>
      <w:r w:rsidR="002D363E" w:rsidRPr="0052418C">
        <w:rPr>
          <w:rFonts w:ascii="ITC Avant Garde" w:hAnsi="ITC Avant Garde" w:cs="Arial"/>
          <w:color w:val="auto"/>
        </w:rPr>
        <w:t xml:space="preserve"> </w:t>
      </w:r>
    </w:p>
    <w:p w14:paraId="2B193BD3" w14:textId="77777777" w:rsidR="009B5ACD" w:rsidRPr="0052418C" w:rsidRDefault="009B5ACD" w:rsidP="0052418C">
      <w:pPr>
        <w:spacing w:after="0" w:line="276" w:lineRule="auto"/>
        <w:ind w:left="0" w:right="0" w:firstLine="0"/>
        <w:rPr>
          <w:rFonts w:ascii="ITC Avant Garde" w:hAnsi="ITC Avant Garde" w:cs="Arial"/>
          <w:color w:val="auto"/>
        </w:rPr>
      </w:pPr>
    </w:p>
    <w:p w14:paraId="56BB2403" w14:textId="0A36C451" w:rsidR="006244D3" w:rsidRPr="0052418C" w:rsidRDefault="00D338CC"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En ese sentido, </w:t>
      </w:r>
      <w:r w:rsidR="003112CE" w:rsidRPr="0052418C">
        <w:rPr>
          <w:rFonts w:ascii="ITC Avant Garde" w:hAnsi="ITC Avant Garde" w:cs="Arial"/>
          <w:color w:val="auto"/>
        </w:rPr>
        <w:t xml:space="preserve">Mega Cable manifestó que es </w:t>
      </w:r>
      <w:r w:rsidR="009B5ACD" w:rsidRPr="0052418C">
        <w:rPr>
          <w:rFonts w:ascii="ITC Avant Garde" w:hAnsi="ITC Avant Garde" w:cs="Arial"/>
          <w:color w:val="auto"/>
        </w:rPr>
        <w:t xml:space="preserve">necesario que el </w:t>
      </w:r>
      <w:r w:rsidR="0035697C" w:rsidRPr="0052418C">
        <w:rPr>
          <w:rFonts w:ascii="ITC Avant Garde" w:hAnsi="ITC Avant Garde" w:cs="Arial"/>
          <w:color w:val="auto"/>
        </w:rPr>
        <w:t xml:space="preserve">Instituto </w:t>
      </w:r>
      <w:r w:rsidR="009B5ACD" w:rsidRPr="0052418C">
        <w:rPr>
          <w:rFonts w:ascii="ITC Avant Garde" w:hAnsi="ITC Avant Garde" w:cs="Arial"/>
          <w:color w:val="auto"/>
        </w:rPr>
        <w:t>solicite los conceptos de costos que puede</w:t>
      </w:r>
      <w:r w:rsidR="00EB0201" w:rsidRPr="0052418C">
        <w:rPr>
          <w:rFonts w:ascii="ITC Avant Garde" w:hAnsi="ITC Avant Garde" w:cs="Arial"/>
          <w:color w:val="auto"/>
        </w:rPr>
        <w:t>n</w:t>
      </w:r>
      <w:r w:rsidR="009B5ACD" w:rsidRPr="0052418C">
        <w:rPr>
          <w:rFonts w:ascii="ITC Avant Garde" w:hAnsi="ITC Avant Garde" w:cs="Arial"/>
          <w:color w:val="auto"/>
        </w:rPr>
        <w:t xml:space="preserve"> incluir en la cotización y cobro de </w:t>
      </w:r>
      <w:r w:rsidR="00EB0201" w:rsidRPr="0052418C">
        <w:rPr>
          <w:rFonts w:ascii="ITC Avant Garde" w:hAnsi="ITC Avant Garde" w:cs="Arial"/>
          <w:color w:val="auto"/>
        </w:rPr>
        <w:t>p</w:t>
      </w:r>
      <w:r w:rsidR="009B5ACD" w:rsidRPr="0052418C">
        <w:rPr>
          <w:rFonts w:ascii="ITC Avant Garde" w:hAnsi="ITC Avant Garde" w:cs="Arial"/>
          <w:color w:val="auto"/>
        </w:rPr>
        <w:t xml:space="preserve">royectos </w:t>
      </w:r>
      <w:r w:rsidR="00EB0201" w:rsidRPr="0052418C">
        <w:rPr>
          <w:rFonts w:ascii="ITC Avant Garde" w:hAnsi="ITC Avant Garde" w:cs="Arial"/>
          <w:color w:val="auto"/>
        </w:rPr>
        <w:lastRenderedPageBreak/>
        <w:t>e</w:t>
      </w:r>
      <w:r w:rsidR="009B5ACD" w:rsidRPr="0052418C">
        <w:rPr>
          <w:rFonts w:ascii="ITC Avant Garde" w:hAnsi="ITC Avant Garde" w:cs="Arial"/>
          <w:color w:val="auto"/>
        </w:rPr>
        <w:t xml:space="preserve">speciales como: permisos, obra civil, gabinetes, postes, escalerillas, bastidores, fibra óptica o cable de cobre, equipo óptico, distribuidores de fibra o coaxial, mano de obra, etc. y a su vez, que el </w:t>
      </w:r>
      <w:r w:rsidR="0035697C" w:rsidRPr="0052418C">
        <w:rPr>
          <w:rFonts w:ascii="ITC Avant Garde" w:hAnsi="ITC Avant Garde" w:cs="Arial"/>
          <w:color w:val="auto"/>
        </w:rPr>
        <w:t xml:space="preserve">Instituto </w:t>
      </w:r>
      <w:r w:rsidR="009B5ACD" w:rsidRPr="0052418C">
        <w:rPr>
          <w:rFonts w:ascii="ITC Avant Garde" w:hAnsi="ITC Avant Garde" w:cs="Arial"/>
          <w:color w:val="auto"/>
        </w:rPr>
        <w:t>determine los costos unitarios máxim</w:t>
      </w:r>
      <w:r w:rsidR="00EB0201" w:rsidRPr="0052418C">
        <w:rPr>
          <w:rFonts w:ascii="ITC Avant Garde" w:hAnsi="ITC Avant Garde" w:cs="Arial"/>
          <w:color w:val="auto"/>
        </w:rPr>
        <w:t>o</w:t>
      </w:r>
      <w:r w:rsidR="009B5ACD" w:rsidRPr="0052418C">
        <w:rPr>
          <w:rFonts w:ascii="ITC Avant Garde" w:hAnsi="ITC Avant Garde" w:cs="Arial"/>
          <w:color w:val="auto"/>
        </w:rPr>
        <w:t xml:space="preserve">s </w:t>
      </w:r>
      <w:r w:rsidR="00B14D02">
        <w:rPr>
          <w:rFonts w:ascii="ITC Avant Garde" w:hAnsi="ITC Avant Garde" w:cs="Arial"/>
          <w:color w:val="auto"/>
        </w:rPr>
        <w:t xml:space="preserve">que </w:t>
      </w:r>
      <w:r w:rsidR="009B5ACD" w:rsidRPr="0052418C">
        <w:rPr>
          <w:rFonts w:ascii="ITC Avant Garde" w:hAnsi="ITC Avant Garde" w:cs="Arial"/>
          <w:color w:val="auto"/>
        </w:rPr>
        <w:t>puede</w:t>
      </w:r>
      <w:r w:rsidR="00EB0201" w:rsidRPr="0052418C">
        <w:rPr>
          <w:rFonts w:ascii="ITC Avant Garde" w:hAnsi="ITC Avant Garde" w:cs="Arial"/>
          <w:color w:val="auto"/>
        </w:rPr>
        <w:t>n</w:t>
      </w:r>
      <w:r w:rsidR="009B5ACD" w:rsidRPr="0052418C">
        <w:rPr>
          <w:rFonts w:ascii="ITC Avant Garde" w:hAnsi="ITC Avant Garde" w:cs="Arial"/>
          <w:color w:val="auto"/>
        </w:rPr>
        <w:t xml:space="preserve"> solicitar por dichos conceptos (con base en un modelo de costos o precios de mercado), esto con el fin de acotar lo oneroso que pueden ser estos proyectos y también identificar cobros innecesarios.</w:t>
      </w:r>
    </w:p>
    <w:p w14:paraId="646166C3" w14:textId="77777777" w:rsidR="009B5ACD" w:rsidRPr="0052418C" w:rsidRDefault="009B5ACD" w:rsidP="0052418C">
      <w:pPr>
        <w:spacing w:after="0" w:line="276" w:lineRule="auto"/>
        <w:ind w:left="0" w:right="0" w:firstLine="0"/>
        <w:rPr>
          <w:rFonts w:ascii="ITC Avant Garde" w:hAnsi="ITC Avant Garde" w:cs="Arial"/>
          <w:color w:val="auto"/>
        </w:rPr>
      </w:pPr>
    </w:p>
    <w:p w14:paraId="07B0360A" w14:textId="09A423D0" w:rsidR="00430DE8" w:rsidRPr="0052418C" w:rsidRDefault="003D2702"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AXTEL:</w:t>
      </w:r>
    </w:p>
    <w:p w14:paraId="77D34C82" w14:textId="51F6E76A" w:rsidR="00EC05C5" w:rsidRPr="0052418C" w:rsidRDefault="00210331"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S</w:t>
      </w:r>
      <w:r w:rsidR="00EC05C5" w:rsidRPr="0052418C">
        <w:rPr>
          <w:rFonts w:ascii="ITC Avant Garde" w:hAnsi="ITC Avant Garde" w:cs="Arial"/>
          <w:color w:val="auto"/>
        </w:rPr>
        <w:t xml:space="preserve">eñaló respecto del numeral 2.5.6 </w:t>
      </w:r>
      <w:r w:rsidR="00DE0E65" w:rsidRPr="0052418C">
        <w:rPr>
          <w:rFonts w:ascii="ITC Avant Garde" w:hAnsi="ITC Avant Garde" w:cs="Arial"/>
          <w:color w:val="auto"/>
        </w:rPr>
        <w:t>sexto bullet</w:t>
      </w:r>
      <w:r w:rsidR="00EC05C5" w:rsidRPr="0052418C">
        <w:rPr>
          <w:rFonts w:ascii="ITC Avant Garde" w:hAnsi="ITC Avant Garde" w:cs="Arial"/>
          <w:color w:val="auto"/>
        </w:rPr>
        <w:t>, que el AEP pretende eliminar el concepto de ancho de banda y/o capacidad comprometida y reducirlo a flujos.</w:t>
      </w:r>
      <w:r w:rsidRPr="0052418C">
        <w:rPr>
          <w:rFonts w:ascii="ITC Avant Garde" w:hAnsi="ITC Avant Garde" w:cs="Arial"/>
          <w:color w:val="auto"/>
        </w:rPr>
        <w:t xml:space="preserve"> </w:t>
      </w:r>
      <w:r w:rsidR="00EC05C5" w:rsidRPr="0052418C">
        <w:rPr>
          <w:rFonts w:ascii="ITC Avant Garde" w:hAnsi="ITC Avant Garde" w:cs="Arial"/>
          <w:color w:val="auto"/>
        </w:rPr>
        <w:t>Por lo que, Axtel solicitó al Instituto que el AEP proporcione los anchos de banda comprometidos y no limitar su uso mediante a flujos</w:t>
      </w:r>
      <w:r w:rsidR="00DE0E65" w:rsidRPr="0052418C">
        <w:rPr>
          <w:rFonts w:ascii="ITC Avant Garde" w:hAnsi="ITC Avant Garde" w:cs="Arial"/>
          <w:color w:val="auto"/>
        </w:rPr>
        <w:t>.</w:t>
      </w:r>
    </w:p>
    <w:p w14:paraId="472A803A" w14:textId="18787CFA" w:rsidR="00DE0E65" w:rsidRPr="0052418C" w:rsidRDefault="00DE0E65" w:rsidP="0052418C">
      <w:pPr>
        <w:spacing w:after="0" w:line="276" w:lineRule="auto"/>
        <w:ind w:left="0" w:right="0" w:firstLine="0"/>
        <w:rPr>
          <w:rFonts w:ascii="ITC Avant Garde" w:hAnsi="ITC Avant Garde" w:cs="Arial"/>
          <w:color w:val="auto"/>
        </w:rPr>
      </w:pPr>
    </w:p>
    <w:p w14:paraId="615F4A3A" w14:textId="02FFD2DF" w:rsidR="00DE0E65" w:rsidRPr="0052418C" w:rsidRDefault="00DE0E65"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Respecto al numeral 2.5.6 segundo párrafo, Axtel señaló que el AEP pretende cobrar conceptos de Proyectos Especiales que son parte de su red y no corresponden a la última milla, además continúa ofreciendo flujos y no ancho de banda.</w:t>
      </w:r>
    </w:p>
    <w:p w14:paraId="2015AE7E" w14:textId="7AD3D6C9" w:rsidR="00DE0E65" w:rsidRPr="0052418C" w:rsidRDefault="00DE0E65" w:rsidP="0052418C">
      <w:pPr>
        <w:spacing w:after="0" w:line="276" w:lineRule="auto"/>
        <w:ind w:left="0" w:right="0" w:firstLine="0"/>
        <w:rPr>
          <w:rFonts w:ascii="ITC Avant Garde" w:hAnsi="ITC Avant Garde" w:cs="Arial"/>
          <w:color w:val="auto"/>
        </w:rPr>
      </w:pPr>
    </w:p>
    <w:p w14:paraId="2BE3D402" w14:textId="6A95A2E1" w:rsidR="00DE0E65" w:rsidRPr="0052418C" w:rsidRDefault="00DE0E65"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Por lo anterior, Axtel solicitó al Instituto la eliminación de la pretensión del cobro por conceptos que son parte de la red del AEP y mediante el cual, otorgará servicios a varios CS, además de corresponder a elementos que están considerados dentro del cobro de gastos de instalación.</w:t>
      </w:r>
    </w:p>
    <w:p w14:paraId="33464272" w14:textId="296FDB2B" w:rsidR="00DE0E65" w:rsidRPr="0052418C" w:rsidRDefault="00DE0E65" w:rsidP="0052418C">
      <w:pPr>
        <w:spacing w:after="0" w:line="276" w:lineRule="auto"/>
        <w:ind w:left="0" w:right="0" w:firstLine="0"/>
        <w:rPr>
          <w:rFonts w:ascii="ITC Avant Garde" w:hAnsi="ITC Avant Garde" w:cs="Arial"/>
          <w:color w:val="auto"/>
        </w:rPr>
      </w:pPr>
    </w:p>
    <w:p w14:paraId="4B6F1801" w14:textId="4949F920" w:rsidR="00DE0E65" w:rsidRPr="0052418C" w:rsidRDefault="00DE0E65"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Respecto al numeral 2.5.6 tercer párrafo, Axtel señal</w:t>
      </w:r>
      <w:r w:rsidR="004D6F7E">
        <w:rPr>
          <w:rFonts w:ascii="ITC Avant Garde" w:hAnsi="ITC Avant Garde" w:cs="Arial"/>
          <w:color w:val="auto"/>
        </w:rPr>
        <w:t>ó</w:t>
      </w:r>
      <w:r w:rsidRPr="0052418C">
        <w:rPr>
          <w:rFonts w:ascii="ITC Avant Garde" w:hAnsi="ITC Avant Garde" w:cs="Arial"/>
          <w:color w:val="auto"/>
        </w:rPr>
        <w:t xml:space="preserve"> que </w:t>
      </w:r>
      <w:r w:rsidR="00991B0E" w:rsidRPr="0052418C">
        <w:rPr>
          <w:rFonts w:ascii="ITC Avant Garde" w:hAnsi="ITC Avant Garde" w:cs="Arial"/>
          <w:color w:val="auto"/>
        </w:rPr>
        <w:t xml:space="preserve">el </w:t>
      </w:r>
      <w:r w:rsidRPr="0052418C">
        <w:rPr>
          <w:rFonts w:ascii="ITC Avant Garde" w:hAnsi="ITC Avant Garde" w:cs="Arial"/>
          <w:color w:val="auto"/>
        </w:rPr>
        <w:t xml:space="preserve">AEP debe elaborar anualmente sus pronósticos de crecimiento. Las condiciones de expansión en sus centrales, no debe ser cobrado a los CS y mucho menos como un concepto de Adecuación por Proyectos Especiales, asimismo </w:t>
      </w:r>
      <w:r w:rsidR="00667E24">
        <w:rPr>
          <w:rFonts w:ascii="ITC Avant Garde" w:hAnsi="ITC Avant Garde" w:cs="Arial"/>
          <w:color w:val="auto"/>
        </w:rPr>
        <w:t xml:space="preserve">manifestó que </w:t>
      </w:r>
      <w:r w:rsidRPr="0052418C">
        <w:rPr>
          <w:rFonts w:ascii="ITC Avant Garde" w:hAnsi="ITC Avant Garde" w:cs="Arial"/>
          <w:color w:val="auto"/>
        </w:rPr>
        <w:t xml:space="preserve">el AEP debe tener presente que las condiciones de expansión son un crecimiento por ampliación en la contratación de servicios nuevos, además de que las adecuaciones serían dentro de las centrales del AEP. </w:t>
      </w:r>
    </w:p>
    <w:p w14:paraId="05B0BE31" w14:textId="77777777" w:rsidR="00DE0E65" w:rsidRPr="0052418C" w:rsidRDefault="00DE0E65" w:rsidP="0052418C">
      <w:pPr>
        <w:spacing w:after="0" w:line="276" w:lineRule="auto"/>
        <w:ind w:left="0" w:right="0" w:firstLine="0"/>
        <w:rPr>
          <w:rFonts w:ascii="ITC Avant Garde" w:hAnsi="ITC Avant Garde" w:cs="Arial"/>
          <w:color w:val="auto"/>
        </w:rPr>
      </w:pPr>
    </w:p>
    <w:p w14:paraId="4337CC99" w14:textId="77B6AFBF" w:rsidR="00DE0E65" w:rsidRPr="0052418C" w:rsidRDefault="00DE0E65"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Por lo tanto, Axtel solicitó al Instituto la eliminación del cobro de adecuaciones por Proyectos Especiales.</w:t>
      </w:r>
    </w:p>
    <w:p w14:paraId="3A94D9DC" w14:textId="77777777" w:rsidR="00430DE8" w:rsidRPr="0052418C" w:rsidRDefault="00430DE8" w:rsidP="0052418C">
      <w:pPr>
        <w:spacing w:after="0" w:line="276" w:lineRule="auto"/>
        <w:ind w:left="0" w:right="0" w:firstLine="0"/>
        <w:rPr>
          <w:rFonts w:ascii="ITC Avant Garde" w:hAnsi="ITC Avant Garde" w:cs="Arial"/>
          <w:color w:val="auto"/>
        </w:rPr>
      </w:pPr>
    </w:p>
    <w:p w14:paraId="65A6CBAA" w14:textId="3B7DE68D" w:rsidR="00476767" w:rsidRPr="0052418C" w:rsidRDefault="0043260B"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GRUPO AT&amp;T:</w:t>
      </w:r>
    </w:p>
    <w:p w14:paraId="32DFDA92" w14:textId="4D194845" w:rsidR="007823FC" w:rsidRPr="0052418C" w:rsidRDefault="007823FC"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Señaló que, dado que Red Nacional es un operador local de última milla, solo pueden presentarse dos situaciones: presta o no presta servicios en una localidad, ya sea mediante cobre o fibra óptica. Los proyectos especiales solo deben aplicarse cuando no preste servicios del tipo solicitado a menos de 1km del sitio a conectar, por lo anterior, la mayoría de los motivos que argumenta Red Nacional para cobrar proyectos especiales no deben admitirse.</w:t>
      </w:r>
    </w:p>
    <w:p w14:paraId="5DF65D66" w14:textId="79CD3583" w:rsidR="004513AC" w:rsidRPr="0052418C" w:rsidRDefault="004513AC" w:rsidP="0052418C">
      <w:pPr>
        <w:spacing w:after="0" w:line="276" w:lineRule="auto"/>
        <w:ind w:left="0" w:right="0" w:firstLine="0"/>
        <w:rPr>
          <w:rFonts w:ascii="ITC Avant Garde" w:hAnsi="ITC Avant Garde" w:cs="Arial"/>
          <w:color w:val="auto"/>
        </w:rPr>
      </w:pPr>
    </w:p>
    <w:p w14:paraId="508AE14B" w14:textId="0E204B33" w:rsidR="004513AC" w:rsidRPr="0052418C" w:rsidRDefault="004513AC"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Grupo AT&amp;T solicitó incorporar la siguiente redacción:</w:t>
      </w:r>
    </w:p>
    <w:p w14:paraId="72ECE8E5" w14:textId="77777777" w:rsidR="007823FC" w:rsidRPr="0052418C" w:rsidRDefault="007823FC" w:rsidP="0052418C">
      <w:pPr>
        <w:spacing w:after="0" w:line="276" w:lineRule="auto"/>
        <w:ind w:left="0" w:right="0" w:firstLine="0"/>
        <w:rPr>
          <w:rFonts w:ascii="ITC Avant Garde" w:hAnsi="ITC Avant Garde" w:cs="Arial"/>
          <w:color w:val="auto"/>
        </w:rPr>
      </w:pPr>
    </w:p>
    <w:p w14:paraId="0F09EF96" w14:textId="77777777" w:rsidR="000E11BA" w:rsidRPr="0052418C" w:rsidRDefault="000E11BA" w:rsidP="0052418C">
      <w:pPr>
        <w:spacing w:after="0" w:line="276" w:lineRule="auto"/>
        <w:ind w:left="709" w:right="567" w:firstLine="0"/>
        <w:rPr>
          <w:rFonts w:ascii="ITC Avant Garde" w:hAnsi="ITC Avant Garde" w:cs="Arial"/>
          <w:i/>
          <w:sz w:val="18"/>
          <w:szCs w:val="18"/>
        </w:rPr>
      </w:pPr>
      <w:r w:rsidRPr="0052418C">
        <w:rPr>
          <w:rFonts w:ascii="ITC Avant Garde" w:hAnsi="ITC Avant Garde" w:cs="Arial"/>
          <w:i/>
          <w:sz w:val="18"/>
          <w:szCs w:val="18"/>
        </w:rPr>
        <w:t xml:space="preserve">“Cuando para un servicio del tipo solicitado, no se cuente </w:t>
      </w:r>
      <w:r w:rsidRPr="0052418C">
        <w:rPr>
          <w:rFonts w:ascii="ITC Avant Garde" w:hAnsi="ITC Avant Garde" w:cs="Arial"/>
          <w:b/>
          <w:bCs/>
          <w:i/>
          <w:sz w:val="18"/>
          <w:szCs w:val="18"/>
        </w:rPr>
        <w:t>en absoluto</w:t>
      </w:r>
      <w:r w:rsidRPr="0052418C">
        <w:rPr>
          <w:rFonts w:ascii="ITC Avant Garde" w:hAnsi="ITC Avant Garde" w:cs="Arial"/>
          <w:i/>
          <w:sz w:val="18"/>
          <w:szCs w:val="18"/>
        </w:rPr>
        <w:t xml:space="preserve"> con infraestructura en alguna localidad o no exista </w:t>
      </w:r>
      <w:r w:rsidRPr="0052418C">
        <w:rPr>
          <w:rFonts w:ascii="ITC Avant Garde" w:hAnsi="ITC Avant Garde" w:cs="Arial"/>
          <w:b/>
          <w:bCs/>
          <w:i/>
          <w:sz w:val="18"/>
          <w:szCs w:val="18"/>
        </w:rPr>
        <w:t>en absoluto</w:t>
      </w:r>
      <w:r w:rsidRPr="0052418C">
        <w:rPr>
          <w:rFonts w:ascii="ITC Avant Garde" w:hAnsi="ITC Avant Garde" w:cs="Arial"/>
          <w:i/>
          <w:sz w:val="18"/>
          <w:szCs w:val="18"/>
        </w:rPr>
        <w:t xml:space="preserve"> infraestructura de red externa cercana al domicilio solicitado para proporcionar algún servicio solicitado (2.5 km para cobre y 1.0 km para fibra óptica), ni tampoco se tenga planificado realizar inversiones en dicha zona. En este supuesto, RNUM justificará los costos asociados a la parte proporcional de la obra, construcción o implementación de la nueva infraestructura necesaria para la prestación del servicio solicitado por el CS. </w:t>
      </w:r>
    </w:p>
    <w:p w14:paraId="0B390F6F" w14:textId="77777777" w:rsidR="000E11BA" w:rsidRPr="0052418C" w:rsidRDefault="000E11BA" w:rsidP="0052418C">
      <w:pPr>
        <w:spacing w:after="0" w:line="276" w:lineRule="auto"/>
        <w:ind w:left="709" w:right="567" w:firstLine="0"/>
        <w:rPr>
          <w:rFonts w:ascii="ITC Avant Garde" w:hAnsi="ITC Avant Garde" w:cs="Arial"/>
          <w:i/>
          <w:sz w:val="18"/>
          <w:szCs w:val="18"/>
        </w:rPr>
      </w:pPr>
    </w:p>
    <w:p w14:paraId="2711C2CF" w14:textId="77777777" w:rsidR="000E11BA" w:rsidRPr="0052418C" w:rsidRDefault="000E11BA" w:rsidP="0052418C">
      <w:pPr>
        <w:spacing w:after="0" w:line="276" w:lineRule="auto"/>
        <w:ind w:left="709" w:right="567" w:firstLine="0"/>
        <w:rPr>
          <w:rFonts w:ascii="ITC Avant Garde" w:hAnsi="ITC Avant Garde" w:cs="Arial"/>
          <w:i/>
          <w:color w:val="auto"/>
          <w:sz w:val="18"/>
          <w:szCs w:val="18"/>
        </w:rPr>
      </w:pPr>
      <w:r w:rsidRPr="0052418C">
        <w:rPr>
          <w:rFonts w:ascii="ITC Avant Garde" w:hAnsi="ITC Avant Garde" w:cs="Arial"/>
          <w:i/>
          <w:sz w:val="18"/>
          <w:szCs w:val="18"/>
        </w:rPr>
        <w:t>Las situaciones en las que se requiera realizar el despliegue o crecimiento de infraestructuras en los casos que estén cubiertos en los puntos anteriores no podrán ser tratadas como un Proyecto Especial.”</w:t>
      </w:r>
      <w:r w:rsidRPr="0052418C">
        <w:rPr>
          <w:rFonts w:ascii="ITC Avant Garde" w:hAnsi="ITC Avant Garde" w:cs="Arial"/>
          <w:i/>
          <w:color w:val="auto"/>
          <w:sz w:val="18"/>
          <w:szCs w:val="18"/>
        </w:rPr>
        <w:t xml:space="preserve"> </w:t>
      </w:r>
    </w:p>
    <w:p w14:paraId="2E730EC2" w14:textId="77777777" w:rsidR="000E11BA" w:rsidRPr="0052418C" w:rsidRDefault="000E11BA" w:rsidP="0052418C">
      <w:pPr>
        <w:spacing w:after="0" w:line="276" w:lineRule="auto"/>
        <w:ind w:left="0" w:right="0" w:firstLine="0"/>
        <w:rPr>
          <w:rFonts w:ascii="ITC Avant Garde" w:hAnsi="ITC Avant Garde" w:cs="Arial"/>
          <w:color w:val="auto"/>
        </w:rPr>
      </w:pPr>
    </w:p>
    <w:p w14:paraId="3A35BDCF" w14:textId="10F454E5" w:rsidR="00535375" w:rsidRPr="0052418C" w:rsidRDefault="004513AC" w:rsidP="006C458D">
      <w:pPr>
        <w:spacing w:after="0" w:line="276" w:lineRule="auto"/>
        <w:ind w:left="0" w:right="0" w:firstLine="0"/>
        <w:rPr>
          <w:rFonts w:ascii="ITC Avant Garde" w:hAnsi="ITC Avant Garde" w:cs="Arial"/>
          <w:i/>
          <w:sz w:val="18"/>
          <w:szCs w:val="18"/>
        </w:rPr>
      </w:pPr>
      <w:r w:rsidRPr="0052418C">
        <w:rPr>
          <w:rFonts w:ascii="ITC Avant Garde" w:hAnsi="ITC Avant Garde" w:cs="Arial"/>
          <w:color w:val="auto"/>
        </w:rPr>
        <w:t xml:space="preserve">Así mismo, Grupo AT&amp;T señaló que en la actualidad existe una absoluta discrecionalidad en el cobro de Proyectos Especiales y el CS se encuentra indefenso ante la ambigüedad de lo que se considera como proyecto especial. Señaló que la falta de capacidad en la red de Red Nacional no justifica un proyecto especial puesto que ya está incluida en el precio del enlace. </w:t>
      </w:r>
      <w:r w:rsidR="00EC1A4B" w:rsidRPr="0052418C">
        <w:rPr>
          <w:rFonts w:ascii="ITC Avant Garde" w:hAnsi="ITC Avant Garde" w:cs="Arial"/>
          <w:color w:val="auto"/>
        </w:rPr>
        <w:t>Por lo que manifest</w:t>
      </w:r>
      <w:r w:rsidR="00CA2DDE" w:rsidRPr="0052418C">
        <w:rPr>
          <w:rFonts w:ascii="ITC Avant Garde" w:hAnsi="ITC Avant Garde" w:cs="Arial"/>
          <w:color w:val="auto"/>
        </w:rPr>
        <w:t>ó</w:t>
      </w:r>
      <w:r w:rsidR="00EC1A4B" w:rsidRPr="0052418C">
        <w:rPr>
          <w:rFonts w:ascii="ITC Avant Garde" w:hAnsi="ITC Avant Garde" w:cs="Arial"/>
          <w:color w:val="auto"/>
        </w:rPr>
        <w:t xml:space="preserve"> que, si </w:t>
      </w:r>
      <w:r w:rsidR="00FF3454" w:rsidRPr="0052418C">
        <w:rPr>
          <w:rFonts w:ascii="ITC Avant Garde" w:hAnsi="ITC Avant Garde" w:cs="Arial"/>
          <w:color w:val="auto"/>
        </w:rPr>
        <w:t>Red Nacional</w:t>
      </w:r>
      <w:r w:rsidR="00EC1A4B" w:rsidRPr="0052418C">
        <w:rPr>
          <w:rFonts w:ascii="ITC Avant Garde" w:hAnsi="ITC Avant Garde" w:cs="Arial"/>
          <w:color w:val="auto"/>
        </w:rPr>
        <w:t xml:space="preserve"> se encuentra ofreciendo el servicio de enlac</w:t>
      </w:r>
      <w:r w:rsidR="006B4A67" w:rsidRPr="0052418C">
        <w:rPr>
          <w:rFonts w:ascii="ITC Avant Garde" w:hAnsi="ITC Avant Garde" w:cs="Arial"/>
          <w:color w:val="auto"/>
        </w:rPr>
        <w:t>e</w:t>
      </w:r>
      <w:r w:rsidR="00EC1A4B" w:rsidRPr="0052418C">
        <w:rPr>
          <w:rFonts w:ascii="ITC Avant Garde" w:hAnsi="ITC Avant Garde" w:cs="Arial"/>
          <w:color w:val="auto"/>
        </w:rPr>
        <w:t xml:space="preserve"> </w:t>
      </w:r>
      <w:r w:rsidR="00DA3A07" w:rsidRPr="0052418C">
        <w:rPr>
          <w:rFonts w:ascii="ITC Avant Garde" w:hAnsi="ITC Avant Garde" w:cs="Arial"/>
          <w:color w:val="auto"/>
        </w:rPr>
        <w:t xml:space="preserve">en </w:t>
      </w:r>
      <w:r w:rsidR="00EC1A4B" w:rsidRPr="0052418C">
        <w:rPr>
          <w:rFonts w:ascii="ITC Avant Garde" w:hAnsi="ITC Avant Garde" w:cs="Arial"/>
          <w:color w:val="auto"/>
        </w:rPr>
        <w:t xml:space="preserve">una localidad para algún usuario o Concesionario, la única causa de cobrar un proyecto especial es para extender su red externa hasta el domicilio solicitado si </w:t>
      </w:r>
      <w:r w:rsidR="00EC1A4B" w:rsidRPr="00221435">
        <w:rPr>
          <w:rFonts w:ascii="ITC Avant Garde" w:hAnsi="ITC Avant Garde" w:cs="Arial"/>
          <w:color w:val="auto"/>
        </w:rPr>
        <w:t xml:space="preserve">se encuentra a más de 1 km de donde está ofreciendo el servicio. Por otro lado, </w:t>
      </w:r>
      <w:r w:rsidR="006C458D" w:rsidRPr="00221435">
        <w:rPr>
          <w:rFonts w:ascii="ITC Avant Garde" w:hAnsi="ITC Avant Garde" w:cs="Arial"/>
          <w:color w:val="auto"/>
        </w:rPr>
        <w:t xml:space="preserve">señaló </w:t>
      </w:r>
      <w:r w:rsidR="00221435" w:rsidRPr="00221435">
        <w:rPr>
          <w:rFonts w:ascii="ITC Avant Garde" w:hAnsi="ITC Avant Garde" w:cs="Arial"/>
          <w:color w:val="auto"/>
        </w:rPr>
        <w:t>que,</w:t>
      </w:r>
      <w:r w:rsidR="006C458D" w:rsidRPr="00221435">
        <w:rPr>
          <w:rFonts w:ascii="ITC Avant Garde" w:hAnsi="ITC Avant Garde" w:cs="Arial"/>
          <w:color w:val="auto"/>
        </w:rPr>
        <w:t xml:space="preserve"> </w:t>
      </w:r>
      <w:r w:rsidR="0070007F" w:rsidRPr="00221435">
        <w:rPr>
          <w:rFonts w:ascii="ITC Avant Garde" w:hAnsi="ITC Avant Garde" w:cs="Arial"/>
          <w:color w:val="auto"/>
        </w:rPr>
        <w:t xml:space="preserve">si </w:t>
      </w:r>
      <w:r w:rsidR="00EC1A4B" w:rsidRPr="00221435">
        <w:rPr>
          <w:rFonts w:ascii="ITC Avant Garde" w:hAnsi="ITC Avant Garde" w:cs="Arial"/>
          <w:color w:val="auto"/>
        </w:rPr>
        <w:t xml:space="preserve">el servicio solicitado se encuentra a menos de 1 km de un servicio existente, no se podrá cotizar </w:t>
      </w:r>
      <w:r w:rsidR="00D12029" w:rsidRPr="00221435">
        <w:rPr>
          <w:rFonts w:ascii="ITC Avant Garde" w:hAnsi="ITC Avant Garde" w:cs="Arial"/>
          <w:color w:val="auto"/>
        </w:rPr>
        <w:t xml:space="preserve">como </w:t>
      </w:r>
      <w:r w:rsidR="00EC1A4B" w:rsidRPr="00221435">
        <w:rPr>
          <w:rFonts w:ascii="ITC Avant Garde" w:hAnsi="ITC Avant Garde" w:cs="Arial"/>
          <w:color w:val="auto"/>
        </w:rPr>
        <w:t>proyecto especial</w:t>
      </w:r>
      <w:r w:rsidR="00EA567A" w:rsidRPr="00221435">
        <w:rPr>
          <w:rFonts w:ascii="ITC Avant Garde" w:hAnsi="ITC Avant Garde" w:cs="Arial"/>
          <w:color w:val="auto"/>
        </w:rPr>
        <w:t>.</w:t>
      </w:r>
      <w:r w:rsidR="00E43D25" w:rsidRPr="00221435">
        <w:rPr>
          <w:rFonts w:ascii="ITC Avant Garde" w:hAnsi="ITC Avant Garde" w:cs="Arial"/>
          <w:color w:val="auto"/>
        </w:rPr>
        <w:t xml:space="preserve"> </w:t>
      </w:r>
    </w:p>
    <w:p w14:paraId="40976723" w14:textId="2B0EF87A" w:rsidR="00535375" w:rsidRPr="0052418C" w:rsidRDefault="00535375" w:rsidP="0052418C">
      <w:pPr>
        <w:spacing w:after="0" w:line="276" w:lineRule="auto"/>
        <w:ind w:left="709" w:right="567" w:firstLine="0"/>
        <w:rPr>
          <w:rFonts w:ascii="ITC Avant Garde" w:hAnsi="ITC Avant Garde" w:cs="Arial"/>
          <w:i/>
          <w:sz w:val="18"/>
          <w:szCs w:val="18"/>
        </w:rPr>
      </w:pPr>
    </w:p>
    <w:p w14:paraId="49CD365B" w14:textId="77DE1D15" w:rsidR="000E11BA" w:rsidRPr="0052418C" w:rsidRDefault="000E11BA" w:rsidP="0052418C">
      <w:pPr>
        <w:spacing w:after="0" w:line="276" w:lineRule="auto"/>
        <w:ind w:left="0" w:right="0" w:firstLine="0"/>
        <w:rPr>
          <w:rFonts w:ascii="ITC Avant Garde" w:hAnsi="ITC Avant Garde" w:cs="Times New Roman"/>
          <w:color w:val="auto"/>
        </w:rPr>
      </w:pPr>
      <w:r w:rsidRPr="0052418C">
        <w:rPr>
          <w:rFonts w:ascii="ITC Avant Garde" w:hAnsi="ITC Avant Garde" w:cs="Times New Roman"/>
          <w:color w:val="auto"/>
        </w:rPr>
        <w:t>Finalmente, Grupo AT&amp;T, puntualizó que</w:t>
      </w:r>
      <w:r w:rsidR="00D444B6" w:rsidRPr="0052418C">
        <w:rPr>
          <w:rFonts w:ascii="ITC Avant Garde" w:hAnsi="ITC Avant Garde" w:cs="Times New Roman"/>
          <w:color w:val="auto"/>
        </w:rPr>
        <w:t xml:space="preserve"> la</w:t>
      </w:r>
      <w:r w:rsidRPr="0052418C">
        <w:rPr>
          <w:rFonts w:ascii="ITC Avant Garde" w:hAnsi="ITC Avant Garde" w:cs="Times New Roman"/>
          <w:color w:val="auto"/>
        </w:rPr>
        <w:t xml:space="preserve"> Red de Agregación y Distribución de Flujos de Acceso,</w:t>
      </w:r>
      <w:r w:rsidR="00535375" w:rsidRPr="0052418C">
        <w:rPr>
          <w:rFonts w:ascii="ITC Avant Garde" w:hAnsi="ITC Avant Garde" w:cs="Times New Roman"/>
          <w:color w:val="auto"/>
        </w:rPr>
        <w:t xml:space="preserve"> </w:t>
      </w:r>
      <w:r w:rsidRPr="0052418C">
        <w:rPr>
          <w:rFonts w:ascii="ITC Avant Garde" w:hAnsi="ITC Avant Garde" w:cs="Times New Roman"/>
          <w:color w:val="auto"/>
        </w:rPr>
        <w:t>Adecuaciones y despliegue de nueva infraestructura, debe eliminarse porque no son causas</w:t>
      </w:r>
      <w:r w:rsidR="00535375" w:rsidRPr="0052418C">
        <w:rPr>
          <w:rFonts w:ascii="ITC Avant Garde" w:hAnsi="ITC Avant Garde" w:cs="Times New Roman"/>
          <w:color w:val="auto"/>
        </w:rPr>
        <w:t xml:space="preserve"> </w:t>
      </w:r>
      <w:r w:rsidRPr="0052418C">
        <w:rPr>
          <w:rFonts w:ascii="ITC Avant Garde" w:hAnsi="ITC Avant Garde" w:cs="Times New Roman"/>
          <w:color w:val="auto"/>
        </w:rPr>
        <w:t>para cobrar proyectos especiales.</w:t>
      </w:r>
      <w:r w:rsidR="00D444B6" w:rsidRPr="0052418C">
        <w:rPr>
          <w:rFonts w:ascii="ITC Avant Garde" w:hAnsi="ITC Avant Garde" w:cs="Times New Roman"/>
          <w:color w:val="auto"/>
        </w:rPr>
        <w:t xml:space="preserve"> Asimismo, </w:t>
      </w:r>
      <w:r w:rsidR="00842789" w:rsidRPr="0052418C">
        <w:rPr>
          <w:rFonts w:ascii="ITC Avant Garde" w:hAnsi="ITC Avant Garde" w:cs="Times New Roman"/>
          <w:color w:val="auto"/>
        </w:rPr>
        <w:t>argument</w:t>
      </w:r>
      <w:r w:rsidR="00842789">
        <w:rPr>
          <w:rFonts w:ascii="ITC Avant Garde" w:hAnsi="ITC Avant Garde" w:cs="Times New Roman"/>
          <w:color w:val="auto"/>
        </w:rPr>
        <w:t>ó</w:t>
      </w:r>
      <w:r w:rsidR="00842789" w:rsidRPr="0052418C">
        <w:rPr>
          <w:rFonts w:ascii="ITC Avant Garde" w:hAnsi="ITC Avant Garde" w:cs="Times New Roman"/>
          <w:color w:val="auto"/>
        </w:rPr>
        <w:t xml:space="preserve"> </w:t>
      </w:r>
      <w:r w:rsidR="00D444B6" w:rsidRPr="0052418C">
        <w:rPr>
          <w:rFonts w:ascii="ITC Avant Garde" w:hAnsi="ITC Avant Garde" w:cs="Times New Roman"/>
          <w:color w:val="auto"/>
        </w:rPr>
        <w:t>que</w:t>
      </w:r>
      <w:r w:rsidRPr="0052418C">
        <w:rPr>
          <w:rFonts w:ascii="ITC Avant Garde" w:hAnsi="ITC Avant Garde" w:cs="Times New Roman"/>
          <w:color w:val="auto"/>
        </w:rPr>
        <w:t xml:space="preserve"> </w:t>
      </w:r>
      <w:r w:rsidR="00D444B6" w:rsidRPr="0052418C">
        <w:rPr>
          <w:rFonts w:ascii="ITC Avant Garde" w:hAnsi="ITC Avant Garde" w:cs="Times New Roman"/>
          <w:color w:val="auto"/>
        </w:rPr>
        <w:t>c</w:t>
      </w:r>
      <w:r w:rsidRPr="0052418C">
        <w:rPr>
          <w:rFonts w:ascii="ITC Avant Garde" w:hAnsi="ITC Avant Garde" w:cs="Times New Roman"/>
          <w:color w:val="auto"/>
        </w:rPr>
        <w:t>ualquier operador debe realizar inversiones para</w:t>
      </w:r>
      <w:r w:rsidR="00535375" w:rsidRPr="0052418C">
        <w:rPr>
          <w:rFonts w:ascii="ITC Avant Garde" w:hAnsi="ITC Avant Garde" w:cs="Times New Roman"/>
          <w:color w:val="auto"/>
        </w:rPr>
        <w:t xml:space="preserve"> </w:t>
      </w:r>
      <w:r w:rsidRPr="0052418C">
        <w:rPr>
          <w:rFonts w:ascii="ITC Avant Garde" w:hAnsi="ITC Avant Garde" w:cs="Times New Roman"/>
          <w:color w:val="auto"/>
        </w:rPr>
        <w:t>ofrecer sus servicios y se recuperan por los costos de instalación y renta que ya están</w:t>
      </w:r>
      <w:r w:rsidR="00535375" w:rsidRPr="0052418C">
        <w:rPr>
          <w:rFonts w:ascii="ITC Avant Garde" w:hAnsi="ITC Avant Garde" w:cs="Times New Roman"/>
          <w:color w:val="auto"/>
        </w:rPr>
        <w:t xml:space="preserve"> </w:t>
      </w:r>
      <w:r w:rsidRPr="0052418C">
        <w:rPr>
          <w:rFonts w:ascii="ITC Avant Garde" w:hAnsi="ITC Avant Garde" w:cs="Times New Roman"/>
          <w:color w:val="auto"/>
        </w:rPr>
        <w:t xml:space="preserve">incluidos en el modelo de costos del </w:t>
      </w:r>
      <w:r w:rsidR="00D444B6" w:rsidRPr="0052418C">
        <w:rPr>
          <w:rFonts w:ascii="ITC Avant Garde" w:hAnsi="ITC Avant Garde" w:cs="Times New Roman"/>
          <w:color w:val="auto"/>
        </w:rPr>
        <w:t>Instituto</w:t>
      </w:r>
      <w:r w:rsidRPr="0052418C">
        <w:rPr>
          <w:rFonts w:ascii="ITC Avant Garde" w:hAnsi="ITC Avant Garde" w:cs="Times New Roman"/>
          <w:color w:val="auto"/>
        </w:rPr>
        <w:t>.</w:t>
      </w:r>
    </w:p>
    <w:p w14:paraId="792F232A" w14:textId="77777777" w:rsidR="00010397" w:rsidRPr="0052418C" w:rsidRDefault="00010397" w:rsidP="0052418C">
      <w:pPr>
        <w:spacing w:after="0" w:line="276" w:lineRule="auto"/>
        <w:ind w:left="0" w:right="567" w:firstLine="0"/>
        <w:rPr>
          <w:rFonts w:ascii="ITC Avant Garde" w:hAnsi="ITC Avant Garde" w:cs="Arial"/>
          <w:color w:val="auto"/>
        </w:rPr>
      </w:pPr>
    </w:p>
    <w:p w14:paraId="429D3DF5" w14:textId="1AB985A5" w:rsidR="00271B58" w:rsidRPr="0052418C" w:rsidRDefault="0043260B"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PEGASO:</w:t>
      </w:r>
    </w:p>
    <w:p w14:paraId="255EBC9E" w14:textId="082C807C" w:rsidR="00502D13" w:rsidRPr="0052418C" w:rsidRDefault="00C65FCF" w:rsidP="0052418C">
      <w:pPr>
        <w:spacing w:after="0" w:line="276" w:lineRule="auto"/>
        <w:ind w:left="0" w:right="0" w:firstLine="0"/>
        <w:rPr>
          <w:rFonts w:ascii="ITC Avant Garde" w:hAnsi="ITC Avant Garde" w:cs="Arial"/>
          <w:color w:val="auto"/>
        </w:rPr>
      </w:pPr>
      <w:r w:rsidRPr="0052418C">
        <w:rPr>
          <w:rFonts w:ascii="ITC Avant Garde" w:hAnsi="ITC Avant Garde" w:cs="Times New Roman"/>
          <w:color w:val="auto"/>
        </w:rPr>
        <w:t>Señaló que el AEP añadió una serie de condiciones para poder considerar como proyecto especial cuando haya que añadir o ampliar el equipamiento necesario para la provisión del enlace en la red de agregación o distribución o las adecuaciones necesarias para la instalación de los equipos. Adicionó que, ambos argumentos son incorrectos pues tanto las tarifas de instalación como las tarifas recurrentes mensuales calculadas por el modelo de costos de enlaces dedicados del Instituto considera ya ambos conceptos dado su enfoque prospectivo donde la tarifa calculada permite recuperar todos los costos</w:t>
      </w:r>
      <w:r w:rsidRPr="0052418C">
        <w:rPr>
          <w:rFonts w:ascii="ITC Avant Garde" w:hAnsi="ITC Avant Garde" w:cs="Arial"/>
          <w:color w:val="auto"/>
        </w:rPr>
        <w:t>.</w:t>
      </w:r>
    </w:p>
    <w:p w14:paraId="79C7B11D" w14:textId="7CE29480" w:rsidR="00C65FCF" w:rsidRPr="0052418C" w:rsidRDefault="00C65FCF" w:rsidP="0052418C">
      <w:pPr>
        <w:spacing w:after="0" w:line="276" w:lineRule="auto"/>
        <w:ind w:left="0" w:right="0" w:firstLine="0"/>
        <w:rPr>
          <w:rFonts w:ascii="ITC Avant Garde" w:hAnsi="ITC Avant Garde" w:cs="Arial"/>
          <w:color w:val="auto"/>
        </w:rPr>
      </w:pPr>
    </w:p>
    <w:p w14:paraId="7DE7F45C" w14:textId="77777777" w:rsidR="00C65FCF" w:rsidRPr="0052418C" w:rsidRDefault="00C65FCF" w:rsidP="0052418C">
      <w:pPr>
        <w:spacing w:after="0" w:line="276" w:lineRule="auto"/>
        <w:ind w:left="0" w:right="0" w:firstLine="0"/>
        <w:rPr>
          <w:rFonts w:ascii="ITC Avant Garde" w:hAnsi="ITC Avant Garde" w:cs="Times New Roman"/>
          <w:color w:val="auto"/>
        </w:rPr>
      </w:pPr>
      <w:r w:rsidRPr="0052418C">
        <w:rPr>
          <w:rFonts w:ascii="ITC Avant Garde" w:hAnsi="ITC Avant Garde" w:cs="Times New Roman"/>
          <w:color w:val="auto"/>
        </w:rPr>
        <w:t>En este sentido, argumentó que añadir nuevos elementos y equipos de red para provisionar un nuevo enlace forma parte del desarrollo de la red y el modelo de costos del Instituto está ya considerando los equipos necesarios en la actualidad y en el futuro para atender la demanda actual y futura. Asimismo, añadió que, la tarifa recurrente ya considera la recuperación de la totalidad de los costos eficientes de largo plazo para la demanda actual y prevista.</w:t>
      </w:r>
    </w:p>
    <w:p w14:paraId="0092BFA9" w14:textId="666910E8" w:rsidR="00C65FCF" w:rsidRPr="0052418C" w:rsidRDefault="00C65FCF" w:rsidP="0052418C">
      <w:pPr>
        <w:spacing w:after="0" w:line="276" w:lineRule="auto"/>
        <w:ind w:left="0" w:right="0" w:firstLine="0"/>
        <w:rPr>
          <w:rFonts w:ascii="ITC Avant Garde" w:hAnsi="ITC Avant Garde" w:cs="Arial"/>
          <w:color w:val="auto"/>
        </w:rPr>
      </w:pPr>
    </w:p>
    <w:p w14:paraId="69035756" w14:textId="32F46D27" w:rsidR="00C65FCF" w:rsidRPr="0052418C" w:rsidRDefault="00C65FCF" w:rsidP="0052418C">
      <w:pPr>
        <w:spacing w:after="0" w:line="276" w:lineRule="auto"/>
        <w:ind w:left="0" w:right="0" w:firstLine="0"/>
        <w:rPr>
          <w:rFonts w:ascii="ITC Avant Garde" w:hAnsi="ITC Avant Garde"/>
        </w:rPr>
      </w:pPr>
      <w:r w:rsidRPr="0052418C">
        <w:rPr>
          <w:rFonts w:ascii="ITC Avant Garde" w:hAnsi="ITC Avant Garde" w:cs="Arial"/>
          <w:color w:val="auto"/>
        </w:rPr>
        <w:t>Asimismo, Pegaso señal</w:t>
      </w:r>
      <w:r w:rsidR="004D6F7E">
        <w:rPr>
          <w:rFonts w:ascii="ITC Avant Garde" w:hAnsi="ITC Avant Garde" w:cs="Arial"/>
          <w:color w:val="auto"/>
        </w:rPr>
        <w:t>ó</w:t>
      </w:r>
      <w:r w:rsidRPr="0052418C">
        <w:rPr>
          <w:rFonts w:ascii="ITC Avant Garde" w:hAnsi="ITC Avant Garde" w:cs="Arial"/>
          <w:color w:val="auto"/>
        </w:rPr>
        <w:t xml:space="preserve"> que el AEP justifica que cada solicitud enviada por un CS debe ser cotizada y eventualmente cobrada como proyecto especial </w:t>
      </w:r>
      <w:r w:rsidRPr="0052418C">
        <w:rPr>
          <w:rFonts w:ascii="ITC Avant Garde" w:hAnsi="ITC Avant Garde" w:cs="Arial"/>
          <w:i/>
          <w:iCs/>
          <w:color w:val="auto"/>
        </w:rPr>
        <w:t>(“</w:t>
      </w:r>
      <w:r w:rsidRPr="0052418C">
        <w:rPr>
          <w:rFonts w:ascii="ITC Avant Garde" w:hAnsi="ITC Avant Garde"/>
          <w:i/>
          <w:iCs/>
        </w:rPr>
        <w:t>depende de las condiciones en las cuales se encuentra la red”),</w:t>
      </w:r>
      <w:r w:rsidRPr="0052418C">
        <w:rPr>
          <w:rFonts w:ascii="ITC Avant Garde" w:hAnsi="ITC Avant Garde" w:cs="Arial"/>
          <w:color w:val="auto"/>
        </w:rPr>
        <w:t xml:space="preserve"> la anterior justificación, no contempla que </w:t>
      </w:r>
      <w:r w:rsidRPr="0052418C">
        <w:rPr>
          <w:rFonts w:ascii="ITC Avant Garde" w:hAnsi="ITC Avant Garde"/>
        </w:rPr>
        <w:t>cualquier tipo de actividad o equipo ya estaría considerado en el modelo de costos desde un punto de vista prospectivo y de empresa eficiente, por lo que la tarifa arrojada con el modelo permite recuperar todos los costos.</w:t>
      </w:r>
    </w:p>
    <w:p w14:paraId="503A6874" w14:textId="1D259180" w:rsidR="00C65FCF" w:rsidRPr="0052418C" w:rsidRDefault="00C65FCF" w:rsidP="0052418C">
      <w:pPr>
        <w:spacing w:after="0" w:line="276" w:lineRule="auto"/>
        <w:ind w:left="0" w:right="0" w:firstLine="0"/>
        <w:rPr>
          <w:rFonts w:ascii="ITC Avant Garde" w:hAnsi="ITC Avant Garde"/>
        </w:rPr>
      </w:pPr>
    </w:p>
    <w:p w14:paraId="5DB496E0" w14:textId="36891B79" w:rsidR="00C65FCF" w:rsidRPr="0052418C" w:rsidRDefault="00C65FCF" w:rsidP="0052418C">
      <w:pPr>
        <w:spacing w:after="0" w:line="276" w:lineRule="auto"/>
        <w:ind w:left="0" w:right="0" w:firstLine="0"/>
        <w:rPr>
          <w:rFonts w:ascii="ITC Avant Garde" w:hAnsi="ITC Avant Garde" w:cs="Times New Roman"/>
          <w:color w:val="auto"/>
        </w:rPr>
      </w:pPr>
      <w:r w:rsidRPr="0052418C">
        <w:rPr>
          <w:rFonts w:ascii="ITC Avant Garde" w:hAnsi="ITC Avant Garde" w:cs="Times New Roman"/>
          <w:color w:val="auto"/>
        </w:rPr>
        <w:t xml:space="preserve">Solicitó que el cargo de proyecto especial es sin duda el principal problema actual de la </w:t>
      </w:r>
      <w:r w:rsidR="00345069" w:rsidRPr="0052418C">
        <w:rPr>
          <w:rFonts w:ascii="ITC Avant Garde" w:hAnsi="ITC Avant Garde" w:cs="Times New Roman"/>
          <w:color w:val="auto"/>
        </w:rPr>
        <w:t>Oferta</w:t>
      </w:r>
      <w:r w:rsidRPr="0052418C">
        <w:rPr>
          <w:rFonts w:ascii="ITC Avant Garde" w:hAnsi="ITC Avant Garde" w:cs="Times New Roman"/>
          <w:color w:val="auto"/>
        </w:rPr>
        <w:t xml:space="preserve"> y el componente que en promedio más encarece el servicio. Manifestó que, en primer lugar, los CS no tienen manera de saber de antemano si por un determinado enlace dedicado le será aplicado el concepto de proyecto especial ya que el SEG no ofrece dicha información ni existen mapas donde se pueda conocer, si determinada zona aplicará el cargo de proyecto especial, por lo que debe ser obligación del AEP que las cotizaciones de proyectos especiales incluyan el desglose detallado de los costos, en unidades y precio unitario por cada concepto, en segundo lugar, señaló que, el AEP no justifica adecuadamente los costos del proyecto especial y tampoco desglosa los costos unitarios de los trabajos que va a realizar, dichos costos deberían estar siempre desglosados para cada elemento, señalando las unidades y los costos unitarios, así como referenciados los precios unitarios a la oferta de referencia donde estos conceptos pudieran estar considerados; en tercer lugar, hace mención Pegaso que no se está teniendo en cuenta que al menos en las zonas de alta demanda e incluso aunque no exista la infraestructura cercana necesaria y se requiriese del proyecto especial, la infraestructura formaría parte de los activos de AEP, y en cuarto lugar, Pegaso mencionó que el modelo de costos de Enlaces Dedicados del Instituto incorpora todos los componentes de costos. Dicho modelo puntualizó Pegaso, diseña una red desde cero considerando la demanda prospectiva, por lo que la tarifa que calcula de instalación y renta mensual ya considera y recupera todos los conceptos de costos.</w:t>
      </w:r>
    </w:p>
    <w:p w14:paraId="454BA66E" w14:textId="023C9604" w:rsidR="00C65FCF" w:rsidRPr="0052418C" w:rsidRDefault="00C65FCF" w:rsidP="0052418C">
      <w:pPr>
        <w:spacing w:after="0" w:line="276" w:lineRule="auto"/>
        <w:ind w:left="0" w:right="0" w:firstLine="0"/>
        <w:rPr>
          <w:rFonts w:ascii="ITC Avant Garde" w:hAnsi="ITC Avant Garde"/>
        </w:rPr>
      </w:pPr>
    </w:p>
    <w:p w14:paraId="4EE2C044" w14:textId="724372CA" w:rsidR="00C65FCF" w:rsidRPr="0052418C" w:rsidRDefault="00C65FCF" w:rsidP="0052418C">
      <w:pPr>
        <w:spacing w:after="0" w:line="276" w:lineRule="auto"/>
        <w:ind w:left="0" w:right="0" w:firstLine="0"/>
        <w:rPr>
          <w:rFonts w:ascii="ITC Avant Garde" w:hAnsi="ITC Avant Garde" w:cs="Times New Roman"/>
          <w:color w:val="auto"/>
        </w:rPr>
      </w:pPr>
      <w:r w:rsidRPr="0052418C">
        <w:rPr>
          <w:rFonts w:ascii="ITC Avant Garde" w:hAnsi="ITC Avant Garde" w:cs="Arial"/>
          <w:color w:val="auto"/>
        </w:rPr>
        <w:t xml:space="preserve">Pegaso señaló que los proyectos especiales son una barrera al uso efectivo de los servicios, y que en México la mayoría de los enlaces dedicados se consideran como proyecto especial, además de no estar convenientemente justificado y no </w:t>
      </w:r>
      <w:r w:rsidRPr="0052418C">
        <w:rPr>
          <w:rFonts w:ascii="ITC Avant Garde" w:hAnsi="ITC Avant Garde" w:cs="Arial"/>
          <w:color w:val="auto"/>
        </w:rPr>
        <w:lastRenderedPageBreak/>
        <w:t>ser posible conocer a priori por parte del CS antes de su solicitud si un enlace entre dos puntos conlleva un costo adicional del proyecto especial o no. Pegaso señaló que l</w:t>
      </w:r>
      <w:r w:rsidRPr="0052418C">
        <w:rPr>
          <w:rFonts w:ascii="ITC Avant Garde" w:hAnsi="ITC Avant Garde" w:cs="Times New Roman"/>
          <w:color w:val="auto"/>
        </w:rPr>
        <w:t>os proyectos especiales, son también un argumento que utiliza el AEP para retrasar de manera injustificada la provisión de un enlace, bajo el sustento del proyecto especial y los trabajos de adecuación, Pegaso ha experimentado tiempos de provisión de hasta seis meses. Señaló que, no hay mecanismos efectivos para comprobar el cumplimiento de los acuerdos de nivel de servicio, pues buena parte de los cambios de estado y paradas de reloj no quedan registradas y, además, no existe la posibilidad de comparar los tiempos de provisión que ofrece el AEP a los CS con los que se ofrece a sí mismo.</w:t>
      </w:r>
    </w:p>
    <w:p w14:paraId="3E76C05B" w14:textId="6BF6E1D8" w:rsidR="00502D13" w:rsidRPr="0052418C" w:rsidRDefault="00502D13" w:rsidP="0052418C">
      <w:pPr>
        <w:spacing w:after="0" w:line="276" w:lineRule="auto"/>
        <w:ind w:left="0" w:right="0" w:firstLine="0"/>
        <w:rPr>
          <w:rFonts w:ascii="ITC Avant Garde" w:hAnsi="ITC Avant Garde" w:cs="Arial"/>
          <w:color w:val="auto"/>
        </w:rPr>
      </w:pPr>
    </w:p>
    <w:p w14:paraId="0A6EAD84" w14:textId="01F55447" w:rsidR="00D34936" w:rsidRPr="0052418C" w:rsidRDefault="00502D13"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Por </w:t>
      </w:r>
      <w:r w:rsidR="005B3450" w:rsidRPr="0052418C">
        <w:rPr>
          <w:rFonts w:ascii="ITC Avant Garde" w:hAnsi="ITC Avant Garde" w:cs="Arial"/>
          <w:color w:val="auto"/>
        </w:rPr>
        <w:t>tanto,</w:t>
      </w:r>
      <w:r w:rsidRPr="0052418C">
        <w:rPr>
          <w:rFonts w:ascii="ITC Avant Garde" w:hAnsi="ITC Avant Garde" w:cs="Arial"/>
          <w:color w:val="auto"/>
        </w:rPr>
        <w:t xml:space="preserve"> </w:t>
      </w:r>
      <w:r w:rsidR="00C65FCF" w:rsidRPr="0052418C">
        <w:rPr>
          <w:rFonts w:ascii="ITC Avant Garde" w:hAnsi="ITC Avant Garde" w:cs="Arial"/>
          <w:color w:val="auto"/>
        </w:rPr>
        <w:t xml:space="preserve">Pegaso </w:t>
      </w:r>
      <w:r w:rsidRPr="0052418C">
        <w:rPr>
          <w:rFonts w:ascii="ITC Avant Garde" w:hAnsi="ITC Avant Garde" w:cs="Arial"/>
          <w:color w:val="auto"/>
        </w:rPr>
        <w:t>solicit</w:t>
      </w:r>
      <w:r w:rsidR="005B3450" w:rsidRPr="0052418C">
        <w:rPr>
          <w:rFonts w:ascii="ITC Avant Garde" w:hAnsi="ITC Avant Garde" w:cs="Arial"/>
          <w:color w:val="auto"/>
        </w:rPr>
        <w:t>ó</w:t>
      </w:r>
      <w:r w:rsidRPr="0052418C">
        <w:rPr>
          <w:rFonts w:ascii="ITC Avant Garde" w:hAnsi="ITC Avant Garde" w:cs="Arial"/>
          <w:color w:val="auto"/>
        </w:rPr>
        <w:t xml:space="preserve"> al Instituto determinar claramente las zonas o demarcaciones donde no esté justificado a priori la existencia de proyectos espe</w:t>
      </w:r>
      <w:r w:rsidR="006828B8" w:rsidRPr="0052418C">
        <w:rPr>
          <w:rFonts w:ascii="ITC Avant Garde" w:hAnsi="ITC Avant Garde" w:cs="Arial"/>
          <w:color w:val="auto"/>
        </w:rPr>
        <w:t xml:space="preserve">ciales. Asimismo, señala que también las zonas, contiguas a las primeras, donde si podrá estar justificado siempre y cuando en el segundo caso no existan infraestructuras próximas </w:t>
      </w:r>
      <w:r w:rsidR="00AF7193" w:rsidRPr="0052418C">
        <w:rPr>
          <w:rFonts w:ascii="ITC Avant Garde" w:hAnsi="ITC Avant Garde" w:cs="Arial"/>
          <w:color w:val="auto"/>
        </w:rPr>
        <w:t>de</w:t>
      </w:r>
      <w:r w:rsidR="00C65FCF" w:rsidRPr="0052418C">
        <w:rPr>
          <w:rFonts w:ascii="ITC Avant Garde" w:hAnsi="ITC Avant Garde" w:cs="Arial"/>
          <w:color w:val="auto"/>
        </w:rPr>
        <w:t>l AEP</w:t>
      </w:r>
      <w:r w:rsidR="00D34936" w:rsidRPr="0052418C">
        <w:rPr>
          <w:rFonts w:ascii="ITC Avant Garde" w:hAnsi="ITC Avant Garde" w:cs="Arial"/>
          <w:color w:val="auto"/>
        </w:rPr>
        <w:t>.</w:t>
      </w:r>
    </w:p>
    <w:p w14:paraId="2BEC425C" w14:textId="77777777" w:rsidR="00D34936" w:rsidRPr="0052418C" w:rsidRDefault="00D34936" w:rsidP="0052418C">
      <w:pPr>
        <w:spacing w:after="0" w:line="276" w:lineRule="auto"/>
        <w:ind w:left="0" w:right="0" w:firstLine="0"/>
        <w:rPr>
          <w:rFonts w:ascii="ITC Avant Garde" w:hAnsi="ITC Avant Garde" w:cs="Arial"/>
          <w:color w:val="auto"/>
        </w:rPr>
      </w:pPr>
    </w:p>
    <w:p w14:paraId="2D0F92F1" w14:textId="77777777" w:rsidR="00C65FCF" w:rsidRPr="0052418C" w:rsidRDefault="00C65FCF" w:rsidP="0052418C">
      <w:pPr>
        <w:spacing w:after="0" w:line="276" w:lineRule="auto"/>
        <w:ind w:left="0" w:right="0"/>
        <w:rPr>
          <w:rFonts w:ascii="ITC Avant Garde" w:hAnsi="ITC Avant Garde"/>
          <w:color w:val="auto"/>
        </w:rPr>
      </w:pPr>
      <w:r w:rsidRPr="0052418C">
        <w:rPr>
          <w:rFonts w:ascii="ITC Avant Garde" w:hAnsi="ITC Avant Garde"/>
          <w:color w:val="auto"/>
        </w:rPr>
        <w:t xml:space="preserve">Por otro lado, Pegaso señaló que la información disponible para los CS que se puede consultar a través del SEG es muy limitada, por lo que no permite a un CS antes de contratar un enlace, si se requerirá o no de proyectos especiales para conectar las puntas y/o la existencia de infraestructura. </w:t>
      </w:r>
    </w:p>
    <w:p w14:paraId="4984FEB1" w14:textId="77777777" w:rsidR="00C65FCF" w:rsidRPr="0052418C" w:rsidRDefault="00C65FCF" w:rsidP="0052418C">
      <w:pPr>
        <w:spacing w:after="0" w:line="276" w:lineRule="auto"/>
        <w:ind w:left="0" w:right="0"/>
        <w:rPr>
          <w:rFonts w:ascii="ITC Avant Garde" w:hAnsi="ITC Avant Garde"/>
          <w:color w:val="auto"/>
        </w:rPr>
      </w:pPr>
    </w:p>
    <w:p w14:paraId="0E2BAFA9" w14:textId="4F72BB0C" w:rsidR="00C65FCF" w:rsidRPr="0052418C" w:rsidRDefault="00C65FCF" w:rsidP="0052418C">
      <w:pPr>
        <w:spacing w:after="0" w:line="276" w:lineRule="auto"/>
        <w:ind w:left="0" w:right="0"/>
        <w:rPr>
          <w:rFonts w:ascii="ITC Avant Garde" w:hAnsi="ITC Avant Garde"/>
          <w:color w:val="auto"/>
        </w:rPr>
      </w:pPr>
      <w:r w:rsidRPr="004949D0">
        <w:rPr>
          <w:rFonts w:ascii="ITC Avant Garde" w:hAnsi="ITC Avant Garde"/>
          <w:color w:val="auto"/>
        </w:rPr>
        <w:t xml:space="preserve">Solicitó al Instituto un mayor control de los proyectos especiales, </w:t>
      </w:r>
      <w:r w:rsidR="0079163B" w:rsidRPr="004949D0">
        <w:rPr>
          <w:rFonts w:ascii="ITC Avant Garde" w:hAnsi="ITC Avant Garde"/>
          <w:color w:val="auto"/>
        </w:rPr>
        <w:t>al ser</w:t>
      </w:r>
      <w:r w:rsidRPr="004949D0">
        <w:rPr>
          <w:rFonts w:ascii="ITC Avant Garde" w:hAnsi="ITC Avant Garde"/>
          <w:color w:val="auto"/>
        </w:rPr>
        <w:t xml:space="preserve"> una forma</w:t>
      </w:r>
      <w:r w:rsidRPr="0052418C">
        <w:rPr>
          <w:rFonts w:ascii="ITC Avant Garde" w:hAnsi="ITC Avant Garde"/>
          <w:color w:val="auto"/>
        </w:rPr>
        <w:t xml:space="preserve"> de encarecer el servicio mayorista y una de las principales barreras al uso de los Enlaces Dedicados, pues así lo ha manifestado en su revisión bienal de las medidas de preponderancia 2020 y ha incluido nuevas medidas para llevar un control sobre los mismos. Argumentó que anteriormente había solicitado al Instituto un control acorde a la práctica internacional que hubiera puesto límites a los proyectos especiales basado en demarcaciones geográficas (en las zonas caracterizadas como densas urbanas no podrían existir proyectos especiales, como ocurre por ejemplo en España, y las zonas son continuamente ampliadas.</w:t>
      </w:r>
    </w:p>
    <w:p w14:paraId="3CFE9453" w14:textId="77777777" w:rsidR="00C65FCF" w:rsidRPr="0052418C" w:rsidRDefault="00C65FCF" w:rsidP="0052418C">
      <w:pPr>
        <w:spacing w:after="0" w:line="276" w:lineRule="auto"/>
        <w:ind w:left="0" w:right="0"/>
        <w:rPr>
          <w:rFonts w:ascii="ITC Avant Garde" w:hAnsi="ITC Avant Garde"/>
          <w:color w:val="auto"/>
        </w:rPr>
      </w:pPr>
    </w:p>
    <w:p w14:paraId="0D8D1B42" w14:textId="77777777" w:rsidR="00C65FCF" w:rsidRPr="0052418C" w:rsidRDefault="00C65FCF" w:rsidP="0052418C">
      <w:pPr>
        <w:spacing w:after="0" w:line="276" w:lineRule="auto"/>
        <w:ind w:left="0" w:right="0"/>
        <w:rPr>
          <w:rFonts w:ascii="ITC Avant Garde" w:hAnsi="ITC Avant Garde"/>
          <w:color w:val="auto"/>
        </w:rPr>
      </w:pPr>
      <w:r w:rsidRPr="0052418C">
        <w:rPr>
          <w:rFonts w:ascii="ITC Avant Garde" w:hAnsi="ITC Avant Garde"/>
          <w:color w:val="auto"/>
        </w:rPr>
        <w:t xml:space="preserve">Adicionalmente, Pegaso solicitó al Instituto que se obligue al AEP a publicar los criterios para los proyectos especiales (y sea sancionado por no haberlo hecho en la propuesta presentada a consulta pública, si ya correspondía haberlos publicado), ya que en su papel supervisor a la mayor brevedad tal y como se ha encomendado con las nuevas medidas para asegurar que los proyectos especiales se presentan en términos no discriminatorios y de forma transparente. Asimismo, añadió que el Instituto debe supervisar que no haya un trato discriminatorio entre la propia operación del AEP y los CS en este concepto de proyectos especiales, para ello, es fundamental que el AEP utilice el SEG para su </w:t>
      </w:r>
      <w:r w:rsidRPr="0052418C">
        <w:rPr>
          <w:rFonts w:ascii="ITC Avant Garde" w:hAnsi="ITC Avant Garde"/>
          <w:color w:val="auto"/>
        </w:rPr>
        <w:lastRenderedPageBreak/>
        <w:t xml:space="preserve">auto-provisión y que el Instituto pueda supervisar, a partir de la misma herramienta, la proporción y cuantía de los proyectos especiales aplicados a los CS y los que el AEP aplicaría a su propia operación. </w:t>
      </w:r>
    </w:p>
    <w:p w14:paraId="795B640D" w14:textId="77777777" w:rsidR="00C65FCF" w:rsidRPr="0052418C" w:rsidRDefault="00C65FCF" w:rsidP="0052418C">
      <w:pPr>
        <w:spacing w:after="0" w:line="276" w:lineRule="auto"/>
        <w:ind w:left="0" w:right="0"/>
        <w:rPr>
          <w:rFonts w:ascii="ITC Avant Garde" w:hAnsi="ITC Avant Garde" w:cs="Arial"/>
          <w:color w:val="auto"/>
        </w:rPr>
      </w:pPr>
    </w:p>
    <w:p w14:paraId="421A45F3" w14:textId="77777777" w:rsidR="00C65FCF" w:rsidRPr="0052418C" w:rsidRDefault="00C65FCF" w:rsidP="0052418C">
      <w:pPr>
        <w:spacing w:after="0" w:line="276" w:lineRule="auto"/>
        <w:ind w:left="0" w:right="0" w:firstLine="0"/>
        <w:rPr>
          <w:rFonts w:ascii="ITC Avant Garde" w:eastAsia="Times New Roman" w:hAnsi="ITC Avant Garde" w:cs="Times New Roman"/>
          <w:color w:val="auto"/>
        </w:rPr>
      </w:pPr>
      <w:r w:rsidRPr="0052418C">
        <w:rPr>
          <w:rFonts w:ascii="ITC Avant Garde" w:eastAsia="Times New Roman" w:hAnsi="ITC Avant Garde" w:cs="Times New Roman"/>
          <w:color w:val="auto"/>
        </w:rPr>
        <w:t>Aunado a lo anterior, Pegaso señaló que el Instituto, con la información que éste recabe del AEP al respecto de dichos proyectos especiales, no sólo debería auditar el costo y oportunidad de los proyectos especiales que el AEP establece a los CS, sino que también deberá vigilar que el AEP se aplica los proyectos especiales a sí mismo bajo los mismos supuestos y con el mismo costo que para el resto de los CS cuando se dan las mismas condiciones, y que estos costos son recuperados en las tarifas finales a los clientes.</w:t>
      </w:r>
    </w:p>
    <w:p w14:paraId="04FA659B" w14:textId="77777777" w:rsidR="00C65FCF" w:rsidRPr="0052418C" w:rsidRDefault="00C65FCF" w:rsidP="0052418C">
      <w:pPr>
        <w:spacing w:after="0" w:line="276" w:lineRule="auto"/>
        <w:ind w:left="0" w:right="0" w:firstLine="0"/>
        <w:rPr>
          <w:rFonts w:ascii="ITC Avant Garde" w:eastAsia="Times New Roman" w:hAnsi="ITC Avant Garde" w:cs="Times New Roman"/>
          <w:color w:val="auto"/>
        </w:rPr>
      </w:pPr>
    </w:p>
    <w:p w14:paraId="1518951F" w14:textId="0FB45585" w:rsidR="00C65FCF" w:rsidRPr="0052418C" w:rsidRDefault="00C65FCF" w:rsidP="0052418C">
      <w:pPr>
        <w:spacing w:after="0" w:line="276" w:lineRule="auto"/>
        <w:ind w:left="0" w:right="0" w:firstLine="0"/>
        <w:rPr>
          <w:rFonts w:ascii="ITC Avant Garde" w:eastAsia="Times New Roman" w:hAnsi="ITC Avant Garde" w:cs="Times New Roman"/>
          <w:color w:val="auto"/>
        </w:rPr>
      </w:pPr>
      <w:r w:rsidRPr="0052418C">
        <w:rPr>
          <w:rFonts w:ascii="ITC Avant Garde" w:eastAsia="Times New Roman" w:hAnsi="ITC Avant Garde" w:cs="Times New Roman"/>
          <w:color w:val="auto"/>
        </w:rPr>
        <w:t xml:space="preserve">Asimismo, </w:t>
      </w:r>
      <w:r w:rsidR="0079163B" w:rsidRPr="0079163B">
        <w:rPr>
          <w:rFonts w:ascii="ITC Avant Garde" w:eastAsia="Times New Roman" w:hAnsi="ITC Avant Garde" w:cs="Times New Roman"/>
          <w:color w:val="auto"/>
        </w:rPr>
        <w:t>solicitó</w:t>
      </w:r>
      <w:r w:rsidR="0079163B" w:rsidRPr="0052418C">
        <w:rPr>
          <w:rFonts w:ascii="ITC Avant Garde" w:eastAsia="Times New Roman" w:hAnsi="ITC Avant Garde" w:cs="Times New Roman"/>
          <w:color w:val="auto"/>
        </w:rPr>
        <w:t xml:space="preserve"> </w:t>
      </w:r>
      <w:r w:rsidRPr="0052418C">
        <w:rPr>
          <w:rFonts w:ascii="ITC Avant Garde" w:eastAsia="Times New Roman" w:hAnsi="ITC Avant Garde" w:cs="Times New Roman"/>
          <w:color w:val="auto"/>
        </w:rPr>
        <w:t>al Instituto revisar la falta de replicabilidad del proyecto Ciudad Segura de la Ciudad de México y la imposibilidad para los CS de replicarlo en el nivel mayorista con las ofertas de referencia disponibles del AEP ya que no existe una oferta de referencia del AEP que permita la replicabilidad de ese proyecto. De la misma manera, adicionó que puede decirse del proyecto de la SCT la-009000937-e4-2019 “servicios de internet de alta capacidad” que no puede ser replicado económicamente a partir de la ORE. Por lo que solicitó al Instituto que modifique las ofertas de referencia para eliminar las trabas existentes en cada una de ellas, técnicas y económicas.</w:t>
      </w:r>
    </w:p>
    <w:p w14:paraId="1B8723CA" w14:textId="77777777" w:rsidR="005E73BF" w:rsidRPr="0052418C" w:rsidRDefault="005E73BF" w:rsidP="0052418C">
      <w:pPr>
        <w:spacing w:after="0" w:line="276" w:lineRule="auto"/>
        <w:ind w:left="0" w:right="0"/>
        <w:rPr>
          <w:rFonts w:ascii="ITC Avant Garde" w:hAnsi="ITC Avant Garde" w:cs="Arial"/>
          <w:color w:val="auto"/>
        </w:rPr>
      </w:pPr>
    </w:p>
    <w:p w14:paraId="5E721766" w14:textId="0E40B16C" w:rsidR="00B211C0" w:rsidRPr="0052418C" w:rsidRDefault="001F3E20" w:rsidP="0052418C">
      <w:pPr>
        <w:spacing w:line="276" w:lineRule="auto"/>
        <w:rPr>
          <w:rFonts w:ascii="ITC Avant Garde" w:hAnsi="ITC Avant Garde"/>
          <w:b/>
        </w:rPr>
      </w:pPr>
      <w:r w:rsidRPr="0052418C">
        <w:rPr>
          <w:rFonts w:ascii="ITC Avant Garde" w:hAnsi="ITC Avant Garde"/>
          <w:b/>
        </w:rPr>
        <w:t>Consideraciones del Instituto</w:t>
      </w:r>
      <w:r w:rsidR="00E20AF3" w:rsidRPr="0052418C">
        <w:rPr>
          <w:rFonts w:ascii="ITC Avant Garde" w:hAnsi="ITC Avant Garde"/>
          <w:b/>
        </w:rPr>
        <w:t>:</w:t>
      </w:r>
    </w:p>
    <w:p w14:paraId="78AAFB5E" w14:textId="2EF6373C" w:rsidR="00D9559B" w:rsidRPr="0052418C" w:rsidRDefault="00D9559B" w:rsidP="0052418C">
      <w:pPr>
        <w:spacing w:after="0" w:line="276" w:lineRule="auto"/>
        <w:ind w:left="0" w:right="0" w:firstLine="0"/>
        <w:rPr>
          <w:rFonts w:ascii="ITC Avant Garde" w:hAnsi="ITC Avant Garde"/>
          <w:color w:val="auto"/>
        </w:rPr>
      </w:pPr>
      <w:r w:rsidRPr="0052418C">
        <w:rPr>
          <w:rFonts w:ascii="ITC Avant Garde" w:hAnsi="ITC Avant Garde"/>
          <w:color w:val="auto"/>
        </w:rPr>
        <w:t>La demanda de Servicios Mayoristas de Enlaces Dedicados, en áreas donde Red Nacional no cuenta con infraestructura, requiere de reglas precisas para determinar los casos donde se aplican los Proyectos Especiales, así como claridad respecto de los procesos para la entrega de cotizaciones de Proyectos Especiales y los procedimientos de aclaración de cotizaciones los cuales no deben recaer en la aplicación de criterios discrecionales o situaciones que afecten la competencia.</w:t>
      </w:r>
    </w:p>
    <w:p w14:paraId="2EF500B2" w14:textId="63EF7DB6" w:rsidR="00716385" w:rsidRPr="0052418C" w:rsidRDefault="00716385" w:rsidP="0052418C">
      <w:pPr>
        <w:spacing w:after="0" w:line="276" w:lineRule="auto"/>
        <w:ind w:left="0" w:right="0" w:firstLine="0"/>
        <w:rPr>
          <w:rFonts w:ascii="ITC Avant Garde" w:hAnsi="ITC Avant Garde"/>
          <w:color w:val="auto"/>
        </w:rPr>
      </w:pPr>
    </w:p>
    <w:p w14:paraId="74E688A7" w14:textId="3E4BF47C" w:rsidR="006037D3" w:rsidRPr="0052418C" w:rsidRDefault="006037D3" w:rsidP="0052418C">
      <w:pPr>
        <w:spacing w:after="0" w:line="276" w:lineRule="auto"/>
        <w:ind w:left="0" w:right="0" w:firstLine="0"/>
        <w:rPr>
          <w:rFonts w:ascii="ITC Avant Garde" w:hAnsi="ITC Avant Garde"/>
          <w:color w:val="auto"/>
        </w:rPr>
      </w:pPr>
      <w:r w:rsidRPr="0052418C">
        <w:rPr>
          <w:rFonts w:ascii="ITC Avant Garde" w:hAnsi="ITC Avant Garde"/>
          <w:color w:val="auto"/>
        </w:rPr>
        <w:t xml:space="preserve">De igual manera, se delimitó la información requerida para los enlaces que pueden calificarse como Proyecto Especial, eliminando los casos relacionados con la red de agregación y distribución, por considerarse que los elementos correspondientes a dicha porción de la red se encuentran considerados dentro del modelo de costos del Instituto y señalando que no se podrán considerar Proyectos Especiales aquellos casos donde se requieran elementos de red cuyo costo ya se encuentre incorporado en las tarifas determinadas por el Instituto para el servicio mayorista de enlaces dedicados. </w:t>
      </w:r>
    </w:p>
    <w:p w14:paraId="57377187" w14:textId="77777777" w:rsidR="006037D3" w:rsidRPr="0052418C" w:rsidRDefault="006037D3" w:rsidP="0052418C">
      <w:pPr>
        <w:spacing w:after="0" w:line="276" w:lineRule="auto"/>
        <w:ind w:left="0" w:right="0" w:firstLine="0"/>
        <w:rPr>
          <w:rFonts w:ascii="ITC Avant Garde" w:hAnsi="ITC Avant Garde"/>
          <w:color w:val="auto"/>
        </w:rPr>
      </w:pPr>
    </w:p>
    <w:p w14:paraId="3A54AC93" w14:textId="10165A3E" w:rsidR="006037D3" w:rsidRPr="0052418C" w:rsidRDefault="006037D3" w:rsidP="0052418C">
      <w:pPr>
        <w:spacing w:after="0" w:line="276" w:lineRule="auto"/>
        <w:ind w:left="0" w:right="0" w:firstLine="0"/>
        <w:rPr>
          <w:rFonts w:ascii="ITC Avant Garde" w:hAnsi="ITC Avant Garde"/>
          <w:i/>
          <w:color w:val="auto"/>
        </w:rPr>
      </w:pPr>
      <w:r w:rsidRPr="0052418C">
        <w:rPr>
          <w:rFonts w:ascii="ITC Avant Garde" w:hAnsi="ITC Avant Garde"/>
          <w:color w:val="auto"/>
        </w:rPr>
        <w:t xml:space="preserve">Asimismo y con relación a lo señalado por Mega Cable quien de manera general solicita que se defina los conceptos de costos que </w:t>
      </w:r>
      <w:r w:rsidR="00790B92" w:rsidRPr="0052418C">
        <w:rPr>
          <w:rFonts w:ascii="ITC Avant Garde" w:hAnsi="ITC Avant Garde"/>
          <w:color w:val="auto"/>
        </w:rPr>
        <w:t>Red Nacional</w:t>
      </w:r>
      <w:r w:rsidRPr="0052418C">
        <w:rPr>
          <w:rFonts w:ascii="ITC Avant Garde" w:hAnsi="ITC Avant Garde"/>
          <w:color w:val="auto"/>
        </w:rPr>
        <w:t xml:space="preserve"> puede incluir en </w:t>
      </w:r>
      <w:r w:rsidRPr="0052418C">
        <w:rPr>
          <w:rFonts w:ascii="ITC Avant Garde" w:hAnsi="ITC Avant Garde"/>
          <w:color w:val="auto"/>
        </w:rPr>
        <w:lastRenderedPageBreak/>
        <w:t>la cotización y cobro de Proyectos Especiales, en la ORE EM 2022, numeral 2.5.6.1, se establecieron los requisitos que deberán reunir las cotizaciones de los Proyectos Especiales considerando como elementos de red que pueden integrar dicha cotización; Planta externa, Red de acceso y Adecuaciones, estableciendo la siguiente nota: “</w:t>
      </w:r>
      <w:r w:rsidRPr="0052418C">
        <w:rPr>
          <w:rFonts w:ascii="ITC Avant Garde" w:hAnsi="ITC Avant Garde"/>
          <w:i/>
          <w:color w:val="auto"/>
        </w:rPr>
        <w:t>En cada cotización se precisarán los elementos que estén presentes en los rubros anteriores, como pueden ser: permisos, obra civil, gabinetes, postes, escalerillas, bastidores, fibra óptica o cable de cobre, equipo óptico, distribuidores de fibra o coaxial, mano de obra, etc.”</w:t>
      </w:r>
    </w:p>
    <w:p w14:paraId="5D6D6987" w14:textId="77777777" w:rsidR="006037D3" w:rsidRPr="0052418C" w:rsidRDefault="006037D3" w:rsidP="0052418C">
      <w:pPr>
        <w:spacing w:after="0" w:line="276" w:lineRule="auto"/>
        <w:ind w:left="0" w:right="0" w:firstLine="0"/>
        <w:rPr>
          <w:rFonts w:ascii="ITC Avant Garde" w:hAnsi="ITC Avant Garde"/>
          <w:i/>
          <w:color w:val="auto"/>
        </w:rPr>
      </w:pPr>
    </w:p>
    <w:p w14:paraId="08796D72" w14:textId="7E7E2A81" w:rsidR="006037D3" w:rsidRPr="0052418C" w:rsidRDefault="006037D3" w:rsidP="0052418C">
      <w:pPr>
        <w:spacing w:after="0" w:line="276" w:lineRule="auto"/>
        <w:ind w:left="0" w:right="0" w:firstLine="0"/>
        <w:rPr>
          <w:rFonts w:ascii="ITC Avant Garde" w:hAnsi="ITC Avant Garde" w:cs="Times New Roman"/>
          <w:color w:val="auto"/>
        </w:rPr>
      </w:pPr>
      <w:r w:rsidRPr="0052418C">
        <w:rPr>
          <w:rFonts w:ascii="ITC Avant Garde" w:hAnsi="ITC Avant Garde" w:cs="Times New Roman"/>
          <w:color w:val="auto"/>
        </w:rPr>
        <w:t>Respecto al desglose detallado de los costos, en unidades y precio por cada concepto, la Oferta señala que en cada cotización se precisarán de manera obligatoria los elementos (cantidad y precios unitarios) de un proyecto especial, esto con el fin de que los CS o AS tengan certidumbre en la cotización.</w:t>
      </w:r>
    </w:p>
    <w:p w14:paraId="0ED23EA0" w14:textId="7F0B68EF" w:rsidR="006037D3" w:rsidRPr="0052418C" w:rsidRDefault="006037D3" w:rsidP="0052418C">
      <w:pPr>
        <w:spacing w:after="0" w:line="276" w:lineRule="auto"/>
        <w:ind w:left="0" w:right="0" w:firstLine="0"/>
        <w:rPr>
          <w:rFonts w:ascii="ITC Avant Garde" w:hAnsi="ITC Avant Garde" w:cs="Times New Roman"/>
          <w:color w:val="auto"/>
        </w:rPr>
      </w:pPr>
    </w:p>
    <w:p w14:paraId="61D8414D" w14:textId="6CABDAD3" w:rsidR="006037D3" w:rsidRPr="0052418C" w:rsidRDefault="006037D3" w:rsidP="0052418C">
      <w:pPr>
        <w:spacing w:after="0" w:line="276" w:lineRule="auto"/>
        <w:ind w:left="0" w:right="0" w:firstLine="0"/>
        <w:rPr>
          <w:rFonts w:ascii="ITC Avant Garde" w:hAnsi="ITC Avant Garde"/>
          <w:color w:val="auto"/>
        </w:rPr>
      </w:pPr>
      <w:r w:rsidRPr="0052418C">
        <w:rPr>
          <w:rFonts w:ascii="ITC Avant Garde" w:hAnsi="ITC Avant Garde"/>
          <w:color w:val="auto"/>
        </w:rPr>
        <w:t xml:space="preserve">Asimismo, y conforme a lo manifestado por Grupo AT&amp;T en la ORE EM 2022 se estableció como una de las condiciones que </w:t>
      </w:r>
      <w:r w:rsidR="00790B92" w:rsidRPr="0052418C">
        <w:rPr>
          <w:rFonts w:ascii="ITC Avant Garde" w:hAnsi="ITC Avant Garde"/>
          <w:color w:val="auto"/>
        </w:rPr>
        <w:t>Red Nacional</w:t>
      </w:r>
      <w:r w:rsidRPr="0052418C">
        <w:rPr>
          <w:rFonts w:ascii="ITC Avant Garde" w:hAnsi="ITC Avant Garde"/>
          <w:color w:val="auto"/>
        </w:rPr>
        <w:t xml:space="preserve"> podrá cobrar Proyecto Especial únicamente para enlaces dedicados de Fibra Óptica, donde la distancia máxima para conexión al pozo de empalme o poste de empalme del anillo de fibra más cercano en la última milla es de 1 km.</w:t>
      </w:r>
    </w:p>
    <w:p w14:paraId="73C59DF8" w14:textId="77777777" w:rsidR="006037D3" w:rsidRPr="0052418C" w:rsidRDefault="006037D3" w:rsidP="0052418C">
      <w:pPr>
        <w:spacing w:after="0" w:line="276" w:lineRule="auto"/>
        <w:ind w:left="0" w:right="0" w:firstLine="0"/>
        <w:rPr>
          <w:rFonts w:ascii="ITC Avant Garde" w:hAnsi="ITC Avant Garde" w:cs="Times New Roman"/>
          <w:color w:val="auto"/>
        </w:rPr>
      </w:pPr>
    </w:p>
    <w:p w14:paraId="7601BD28" w14:textId="1D13080E" w:rsidR="004967E8" w:rsidRPr="0052418C" w:rsidRDefault="00345069" w:rsidP="0052418C">
      <w:pPr>
        <w:spacing w:after="0" w:line="276" w:lineRule="auto"/>
        <w:ind w:left="0" w:right="0" w:firstLine="0"/>
        <w:rPr>
          <w:rFonts w:ascii="ITC Avant Garde" w:hAnsi="ITC Avant Garde"/>
          <w:color w:val="auto"/>
        </w:rPr>
      </w:pPr>
      <w:r w:rsidRPr="0052418C">
        <w:rPr>
          <w:rFonts w:ascii="ITC Avant Garde" w:hAnsi="ITC Avant Garde"/>
          <w:color w:val="auto"/>
        </w:rPr>
        <w:t>Ahora bien</w:t>
      </w:r>
      <w:r w:rsidR="00002ADF" w:rsidRPr="0052418C">
        <w:rPr>
          <w:rFonts w:ascii="ITC Avant Garde" w:hAnsi="ITC Avant Garde"/>
          <w:color w:val="auto"/>
        </w:rPr>
        <w:t>,</w:t>
      </w:r>
      <w:r w:rsidR="00252F57" w:rsidRPr="0052418C">
        <w:rPr>
          <w:rFonts w:ascii="ITC Avant Garde" w:hAnsi="ITC Avant Garde"/>
          <w:color w:val="auto"/>
        </w:rPr>
        <w:t xml:space="preserve"> con respecto a lo señalado por Pegaso </w:t>
      </w:r>
      <w:r w:rsidR="004967E8" w:rsidRPr="0052418C">
        <w:rPr>
          <w:rFonts w:ascii="ITC Avant Garde" w:hAnsi="ITC Avant Garde"/>
          <w:color w:val="auto"/>
        </w:rPr>
        <w:t xml:space="preserve">en relación con </w:t>
      </w:r>
      <w:r w:rsidR="004967E8" w:rsidRPr="0052418C">
        <w:rPr>
          <w:rFonts w:ascii="ITC Avant Garde" w:hAnsi="ITC Avant Garde" w:cs="Times New Roman"/>
          <w:color w:val="auto"/>
        </w:rPr>
        <w:t xml:space="preserve">determinar claramente las zonas o demarcaciones donde no esté justificado a priori la existencia de proyectos especiales, se señala que la existencia de los proyectos especiales es para delimitar los casos que en los que </w:t>
      </w:r>
      <w:bookmarkStart w:id="12" w:name="_Hlk93441031"/>
      <w:r w:rsidR="00790B92" w:rsidRPr="0052418C">
        <w:rPr>
          <w:rFonts w:ascii="ITC Avant Garde" w:hAnsi="ITC Avant Garde" w:cs="Times New Roman"/>
          <w:color w:val="auto"/>
        </w:rPr>
        <w:t>Red Nacional</w:t>
      </w:r>
      <w:r w:rsidR="004967E8" w:rsidRPr="0052418C">
        <w:rPr>
          <w:rFonts w:ascii="ITC Avant Garde" w:hAnsi="ITC Avant Garde" w:cs="Times New Roman"/>
          <w:color w:val="auto"/>
        </w:rPr>
        <w:t xml:space="preserve"> </w:t>
      </w:r>
      <w:bookmarkEnd w:id="12"/>
      <w:r w:rsidR="004967E8" w:rsidRPr="0052418C">
        <w:rPr>
          <w:rFonts w:ascii="ITC Avant Garde" w:hAnsi="ITC Avant Garde" w:cs="Times New Roman"/>
          <w:color w:val="auto"/>
        </w:rPr>
        <w:t xml:space="preserve">no cuenta con infraestructura disponible para proveer el servicio de enlaces dedicados lo cual se podrá validad una vez que se realicen los análisis de factibilidad correspondientes a un servicio determinado, asimismo la ORE </w:t>
      </w:r>
      <w:r w:rsidRPr="0052418C">
        <w:rPr>
          <w:rFonts w:ascii="ITC Avant Garde" w:hAnsi="ITC Avant Garde" w:cs="Times New Roman"/>
          <w:color w:val="auto"/>
        </w:rPr>
        <w:t>E</w:t>
      </w:r>
      <w:r w:rsidR="004967E8" w:rsidRPr="0052418C">
        <w:rPr>
          <w:rFonts w:ascii="ITC Avant Garde" w:hAnsi="ITC Avant Garde" w:cs="Times New Roman"/>
          <w:color w:val="auto"/>
        </w:rPr>
        <w:t>M 2022 en el numeral 2.5.6 establece las condiciones que deberá reunir una determinada solicitud para poder ser considerada proyecto especial. En virtud de lo anterior y toda vez que un proyecto especial corresponde a un servicio que requiere de un análisis de factibilidad al momento de que se recibe la solicitud, no es posible determinar con antelación aquellas zonas o demarcaciones en las que podría ser justificado.</w:t>
      </w:r>
    </w:p>
    <w:p w14:paraId="3BC29B99" w14:textId="77777777" w:rsidR="004967E8" w:rsidRPr="0052418C" w:rsidRDefault="004967E8" w:rsidP="0052418C">
      <w:pPr>
        <w:spacing w:after="0" w:line="276" w:lineRule="auto"/>
        <w:ind w:left="0" w:right="0" w:firstLine="0"/>
        <w:rPr>
          <w:rFonts w:ascii="ITC Avant Garde" w:hAnsi="ITC Avant Garde"/>
          <w:color w:val="auto"/>
        </w:rPr>
      </w:pPr>
    </w:p>
    <w:p w14:paraId="33D7FDFF" w14:textId="5E9F3B2A" w:rsidR="004967E8" w:rsidRPr="0052418C" w:rsidRDefault="004967E8" w:rsidP="0052418C">
      <w:pPr>
        <w:spacing w:after="0" w:line="276" w:lineRule="auto"/>
        <w:ind w:left="0" w:right="0" w:firstLine="0"/>
        <w:rPr>
          <w:rFonts w:ascii="ITC Avant Garde" w:hAnsi="ITC Avant Garde" w:cs="Times New Roman"/>
          <w:color w:val="auto"/>
        </w:rPr>
      </w:pPr>
      <w:r w:rsidRPr="0052418C">
        <w:rPr>
          <w:rFonts w:ascii="ITC Avant Garde" w:eastAsia="Times New Roman" w:hAnsi="ITC Avant Garde" w:cs="Times New Roman"/>
          <w:color w:val="auto"/>
        </w:rPr>
        <w:t xml:space="preserve">Por otro lado, con relación a que no sólo debería auditar el costo y oportunidad de los proyectos especiales que </w:t>
      </w:r>
      <w:r w:rsidR="00790B92" w:rsidRPr="0052418C">
        <w:rPr>
          <w:rFonts w:ascii="ITC Avant Garde" w:hAnsi="ITC Avant Garde" w:cs="Times New Roman"/>
          <w:color w:val="auto"/>
        </w:rPr>
        <w:t xml:space="preserve">Red Nacional </w:t>
      </w:r>
      <w:r w:rsidRPr="0052418C">
        <w:rPr>
          <w:rFonts w:ascii="ITC Avant Garde" w:eastAsia="Times New Roman" w:hAnsi="ITC Avant Garde" w:cs="Times New Roman"/>
          <w:color w:val="auto"/>
        </w:rPr>
        <w:t xml:space="preserve">establece a los CS, sino que también deberá vigilar que </w:t>
      </w:r>
      <w:r w:rsidR="00790B92" w:rsidRPr="0052418C">
        <w:rPr>
          <w:rFonts w:ascii="ITC Avant Garde" w:hAnsi="ITC Avant Garde" w:cs="Times New Roman"/>
          <w:color w:val="auto"/>
        </w:rPr>
        <w:t xml:space="preserve">Red Nacional </w:t>
      </w:r>
      <w:r w:rsidRPr="0052418C">
        <w:rPr>
          <w:rFonts w:ascii="ITC Avant Garde" w:eastAsia="Times New Roman" w:hAnsi="ITC Avant Garde" w:cs="Times New Roman"/>
          <w:color w:val="auto"/>
        </w:rPr>
        <w:t xml:space="preserve">se aplica los proyectos especiales a sí mismo bajo los mismos supuestos así como </w:t>
      </w:r>
      <w:r w:rsidRPr="0052418C">
        <w:rPr>
          <w:rFonts w:ascii="ITC Avant Garde" w:hAnsi="ITC Avant Garde" w:cs="Times New Roman"/>
          <w:color w:val="auto"/>
        </w:rPr>
        <w:t>verificar la replicabilidad del Proyecto de Ciudad Segura de la Ciudad de México, se señala que se encuentra fuera del alcance la Oferta realizar dicho análisis o determinar si se está cumpliendo o no dicha replicabilidad técnica y económica.</w:t>
      </w:r>
    </w:p>
    <w:p w14:paraId="0FFAC09F" w14:textId="4120EF96" w:rsidR="0023400E" w:rsidRPr="0052418C" w:rsidRDefault="0023400E" w:rsidP="0052418C">
      <w:pPr>
        <w:spacing w:after="0" w:line="276" w:lineRule="auto"/>
        <w:ind w:left="0" w:right="0" w:firstLine="0"/>
        <w:rPr>
          <w:rFonts w:ascii="ITC Avant Garde" w:hAnsi="ITC Avant Garde"/>
          <w:color w:val="auto"/>
        </w:rPr>
      </w:pPr>
    </w:p>
    <w:p w14:paraId="5A4BD4E2" w14:textId="42B2D03A" w:rsidR="0023400E" w:rsidRPr="0052418C" w:rsidRDefault="0023400E" w:rsidP="0052418C">
      <w:pPr>
        <w:spacing w:after="0" w:line="276" w:lineRule="auto"/>
        <w:ind w:left="0" w:right="0" w:firstLine="0"/>
        <w:rPr>
          <w:rFonts w:ascii="ITC Avant Garde" w:hAnsi="ITC Avant Garde"/>
          <w:color w:val="auto"/>
        </w:rPr>
      </w:pPr>
      <w:r w:rsidRPr="0052418C">
        <w:rPr>
          <w:rFonts w:ascii="ITC Avant Garde" w:hAnsi="ITC Avant Garde"/>
          <w:color w:val="auto"/>
        </w:rPr>
        <w:lastRenderedPageBreak/>
        <w:t>Finalmente, y en relación con lo manifestado por Axtel y Grupo AT&amp;T, en el sentido de eliminar la Red de Agregación y Distribución de Flujos de Acceso, así como la</w:t>
      </w:r>
      <w:r w:rsidR="004D178B" w:rsidRPr="0052418C">
        <w:rPr>
          <w:rFonts w:ascii="ITC Avant Garde" w:hAnsi="ITC Avant Garde"/>
          <w:color w:val="auto"/>
        </w:rPr>
        <w:t>s</w:t>
      </w:r>
      <w:r w:rsidRPr="0052418C">
        <w:rPr>
          <w:rFonts w:ascii="ITC Avant Garde" w:hAnsi="ITC Avant Garde"/>
          <w:color w:val="auto"/>
        </w:rPr>
        <w:t xml:space="preserve"> Adecuaciones de los Proyectos Especiales, se señala que </w:t>
      </w:r>
      <w:r w:rsidR="00853E4A">
        <w:rPr>
          <w:rFonts w:ascii="ITC Avant Garde" w:hAnsi="ITC Avant Garde"/>
          <w:color w:val="auto"/>
        </w:rPr>
        <w:t>dichos supuestos fueron eliminados</w:t>
      </w:r>
      <w:r w:rsidR="008C7F61" w:rsidRPr="0052418C">
        <w:rPr>
          <w:rFonts w:ascii="ITC Avant Garde" w:hAnsi="ITC Avant Garde"/>
          <w:color w:val="auto"/>
        </w:rPr>
        <w:t>.</w:t>
      </w:r>
    </w:p>
    <w:p w14:paraId="451E4340" w14:textId="25897850" w:rsidR="00D9559B" w:rsidRPr="0052418C" w:rsidRDefault="00D9559B" w:rsidP="0052418C">
      <w:pPr>
        <w:spacing w:after="0" w:line="276" w:lineRule="auto"/>
        <w:ind w:left="0" w:right="0" w:firstLine="0"/>
        <w:rPr>
          <w:rFonts w:ascii="ITC Avant Garde" w:hAnsi="ITC Avant Garde" w:cs="Arial"/>
          <w:color w:val="auto"/>
        </w:rPr>
      </w:pPr>
    </w:p>
    <w:p w14:paraId="1C410681" w14:textId="55791DAC" w:rsidR="00800007" w:rsidRPr="0052418C" w:rsidRDefault="0056606A" w:rsidP="0052418C">
      <w:pPr>
        <w:spacing w:after="0" w:line="276" w:lineRule="auto"/>
        <w:ind w:left="0" w:right="0" w:firstLine="0"/>
        <w:rPr>
          <w:rFonts w:ascii="ITC Avant Garde" w:hAnsi="ITC Avant Garde"/>
          <w:color w:val="auto"/>
        </w:rPr>
      </w:pPr>
      <w:r w:rsidRPr="0052418C">
        <w:rPr>
          <w:rFonts w:ascii="ITC Avant Garde" w:hAnsi="ITC Avant Garde"/>
          <w:color w:val="auto"/>
        </w:rPr>
        <w:t>Es así que</w:t>
      </w:r>
      <w:r w:rsidR="00800007" w:rsidRPr="0052418C">
        <w:rPr>
          <w:rFonts w:ascii="ITC Avant Garde" w:hAnsi="ITC Avant Garde"/>
          <w:color w:val="auto"/>
        </w:rPr>
        <w:t>, se modificaron los numerales 2.5.6, 2.5.6.1, 2.5.6.2 y 2.5.6.4, así como el Anexo C, con el fin de dar certeza a los CS y AS con respecto de las razones para considerar un proyecto especial, con el fin de cumplir con lo establecido en la medida Cuadragésima Primera de las Medidas Fijas, que establece la obligación para que Red Nacional establezca una oferta que contenga los servicios establecidos de manera específica y condiciones aplicables a los mismos, así como las características de los servicios incluidos y de los servicios auxiliares en caso de ser necesarios.</w:t>
      </w:r>
    </w:p>
    <w:p w14:paraId="30E54438" w14:textId="77777777" w:rsidR="00E45784" w:rsidRPr="0052418C" w:rsidRDefault="00E45784" w:rsidP="0052418C">
      <w:pPr>
        <w:spacing w:after="0" w:line="276" w:lineRule="auto"/>
        <w:ind w:left="0" w:right="0" w:firstLine="0"/>
        <w:rPr>
          <w:rFonts w:ascii="ITC Avant Garde" w:hAnsi="ITC Avant Garde" w:cs="Arial"/>
          <w:i/>
          <w:color w:val="auto"/>
        </w:rPr>
      </w:pPr>
    </w:p>
    <w:p w14:paraId="04360DD9" w14:textId="25E217A7" w:rsidR="00014C91" w:rsidRPr="0052418C" w:rsidRDefault="00014C91" w:rsidP="0052418C">
      <w:pPr>
        <w:pStyle w:val="IFTnormal"/>
        <w:spacing w:after="0"/>
        <w:ind w:left="0"/>
        <w:rPr>
          <w:rFonts w:eastAsiaTheme="majorEastAsia" w:cs="Arial"/>
          <w:b/>
          <w:u w:val="single"/>
        </w:rPr>
      </w:pPr>
      <w:r w:rsidRPr="0052418C">
        <w:rPr>
          <w:rFonts w:eastAsiaTheme="majorEastAsia" w:cs="Arial"/>
          <w:b/>
          <w:u w:val="single"/>
        </w:rPr>
        <w:t>2.5.6.1 Requisitos</w:t>
      </w:r>
      <w:r w:rsidR="000C1E85" w:rsidRPr="0052418C">
        <w:rPr>
          <w:rFonts w:eastAsiaTheme="majorEastAsia" w:cs="Arial"/>
          <w:b/>
          <w:u w:val="single"/>
        </w:rPr>
        <w:t xml:space="preserve"> de </w:t>
      </w:r>
      <w:r w:rsidRPr="0052418C">
        <w:rPr>
          <w:rFonts w:eastAsiaTheme="majorEastAsia" w:cs="Arial"/>
          <w:b/>
          <w:u w:val="single"/>
        </w:rPr>
        <w:t xml:space="preserve">las cotizaciones de </w:t>
      </w:r>
      <w:r w:rsidR="005716F6" w:rsidRPr="0052418C">
        <w:rPr>
          <w:rFonts w:eastAsiaTheme="majorEastAsia" w:cs="Arial"/>
          <w:b/>
          <w:u w:val="single"/>
        </w:rPr>
        <w:t>P</w:t>
      </w:r>
      <w:r w:rsidRPr="0052418C">
        <w:rPr>
          <w:rFonts w:eastAsiaTheme="majorEastAsia" w:cs="Arial"/>
          <w:b/>
          <w:u w:val="single"/>
        </w:rPr>
        <w:t xml:space="preserve">royectos </w:t>
      </w:r>
      <w:r w:rsidR="005716F6" w:rsidRPr="0052418C">
        <w:rPr>
          <w:rFonts w:eastAsiaTheme="majorEastAsia" w:cs="Arial"/>
          <w:b/>
          <w:u w:val="single"/>
        </w:rPr>
        <w:t>E</w:t>
      </w:r>
      <w:r w:rsidRPr="0052418C">
        <w:rPr>
          <w:rFonts w:eastAsiaTheme="majorEastAsia" w:cs="Arial"/>
          <w:b/>
          <w:u w:val="single"/>
        </w:rPr>
        <w:t>speciales.</w:t>
      </w:r>
    </w:p>
    <w:p w14:paraId="6DA64569" w14:textId="6DB22FD1" w:rsidR="00014C91" w:rsidRPr="0052418C" w:rsidRDefault="003D5172" w:rsidP="0052418C">
      <w:pPr>
        <w:spacing w:after="0" w:line="276" w:lineRule="auto"/>
        <w:ind w:left="0" w:right="0"/>
        <w:rPr>
          <w:rFonts w:ascii="ITC Avant Garde" w:hAnsi="ITC Avant Garde" w:cs="Arial"/>
          <w:color w:val="auto"/>
        </w:rPr>
      </w:pPr>
      <w:r w:rsidRPr="0052418C">
        <w:rPr>
          <w:rFonts w:ascii="ITC Avant Garde" w:hAnsi="ITC Avant Garde" w:cs="Arial"/>
          <w:b/>
          <w:color w:val="auto"/>
        </w:rPr>
        <w:t xml:space="preserve">GRUPO AT&amp;T: </w:t>
      </w:r>
    </w:p>
    <w:p w14:paraId="5945D8E5" w14:textId="0F1D7FBD" w:rsidR="00014C91" w:rsidRPr="0052418C" w:rsidRDefault="00014C91" w:rsidP="0052418C">
      <w:pPr>
        <w:spacing w:after="0" w:line="276" w:lineRule="auto"/>
        <w:ind w:left="0" w:right="0"/>
        <w:rPr>
          <w:rFonts w:ascii="ITC Avant Garde" w:hAnsi="ITC Avant Garde" w:cs="Arial"/>
          <w:color w:val="auto"/>
        </w:rPr>
      </w:pPr>
      <w:r w:rsidRPr="0052418C">
        <w:rPr>
          <w:rFonts w:ascii="ITC Avant Garde" w:hAnsi="ITC Avant Garde" w:cs="Arial"/>
          <w:color w:val="auto"/>
        </w:rPr>
        <w:t>Sugi</w:t>
      </w:r>
      <w:r w:rsidR="00464651" w:rsidRPr="0052418C">
        <w:rPr>
          <w:rFonts w:ascii="ITC Avant Garde" w:hAnsi="ITC Avant Garde" w:cs="Arial"/>
          <w:color w:val="auto"/>
        </w:rPr>
        <w:t xml:space="preserve">rió </w:t>
      </w:r>
      <w:r w:rsidRPr="0052418C">
        <w:rPr>
          <w:rFonts w:ascii="ITC Avant Garde" w:hAnsi="ITC Avant Garde" w:cs="Arial"/>
          <w:color w:val="auto"/>
        </w:rPr>
        <w:t>que en l</w:t>
      </w:r>
      <w:r w:rsidR="00C27C53" w:rsidRPr="0052418C">
        <w:rPr>
          <w:rFonts w:ascii="ITC Avant Garde" w:hAnsi="ITC Avant Garde" w:cs="Arial"/>
          <w:color w:val="auto"/>
        </w:rPr>
        <w:t>os</w:t>
      </w:r>
      <w:r w:rsidRPr="0052418C">
        <w:rPr>
          <w:rFonts w:ascii="ITC Avant Garde" w:hAnsi="ITC Avant Garde" w:cs="Arial"/>
          <w:color w:val="auto"/>
        </w:rPr>
        <w:t xml:space="preserve"> caso</w:t>
      </w:r>
      <w:r w:rsidR="00C27C53" w:rsidRPr="0052418C">
        <w:rPr>
          <w:rFonts w:ascii="ITC Avant Garde" w:hAnsi="ITC Avant Garde" w:cs="Arial"/>
          <w:color w:val="auto"/>
        </w:rPr>
        <w:t>s</w:t>
      </w:r>
      <w:r w:rsidRPr="0052418C">
        <w:rPr>
          <w:rFonts w:ascii="ITC Avant Garde" w:hAnsi="ITC Avant Garde" w:cs="Arial"/>
          <w:color w:val="auto"/>
        </w:rPr>
        <w:t xml:space="preserve"> de que </w:t>
      </w:r>
      <w:r w:rsidR="00A65492" w:rsidRPr="0052418C">
        <w:rPr>
          <w:rFonts w:ascii="ITC Avant Garde" w:hAnsi="ITC Avant Garde" w:cs="Arial"/>
          <w:color w:val="auto"/>
        </w:rPr>
        <w:t xml:space="preserve">Red Nacional </w:t>
      </w:r>
      <w:r w:rsidR="0056606A" w:rsidRPr="0052418C">
        <w:rPr>
          <w:rFonts w:ascii="ITC Avant Garde" w:hAnsi="ITC Avant Garde" w:cs="Arial"/>
          <w:color w:val="auto"/>
        </w:rPr>
        <w:t xml:space="preserve">preste </w:t>
      </w:r>
      <w:r w:rsidRPr="0052418C">
        <w:rPr>
          <w:rFonts w:ascii="ITC Avant Garde" w:hAnsi="ITC Avant Garde" w:cs="Arial"/>
          <w:color w:val="auto"/>
        </w:rPr>
        <w:t>el servicio en la misma localidad no pued</w:t>
      </w:r>
      <w:r w:rsidR="00CF63DC" w:rsidRPr="0052418C">
        <w:rPr>
          <w:rFonts w:ascii="ITC Avant Garde" w:hAnsi="ITC Avant Garde" w:cs="Arial"/>
          <w:color w:val="auto"/>
        </w:rPr>
        <w:t>an</w:t>
      </w:r>
      <w:r w:rsidRPr="0052418C">
        <w:rPr>
          <w:rFonts w:ascii="ITC Avant Garde" w:hAnsi="ITC Avant Garde" w:cs="Arial"/>
          <w:color w:val="auto"/>
        </w:rPr>
        <w:t xml:space="preserve"> aplicar los conceptos que se refieren al crecimiento de su propia red</w:t>
      </w:r>
      <w:r w:rsidR="00CF63DC" w:rsidRPr="0052418C">
        <w:rPr>
          <w:rFonts w:ascii="ITC Avant Garde" w:hAnsi="ITC Avant Garde" w:cs="Arial"/>
          <w:color w:val="auto"/>
        </w:rPr>
        <w:t>,</w:t>
      </w:r>
      <w:r w:rsidRPr="0052418C">
        <w:rPr>
          <w:rFonts w:ascii="ITC Avant Garde" w:hAnsi="ITC Avant Garde" w:cs="Arial"/>
          <w:color w:val="auto"/>
        </w:rPr>
        <w:t xml:space="preserve"> ya que </w:t>
      </w:r>
      <w:r w:rsidR="00CF63DC" w:rsidRPr="0052418C">
        <w:rPr>
          <w:rFonts w:ascii="ITC Avant Garde" w:hAnsi="ITC Avant Garde" w:cs="Arial"/>
          <w:color w:val="auto"/>
        </w:rPr>
        <w:t>cuando Red Nacional se encuentre prestando los servicios en una localidad</w:t>
      </w:r>
      <w:r w:rsidR="00275CEC" w:rsidRPr="0052418C">
        <w:rPr>
          <w:rFonts w:ascii="ITC Avant Garde" w:hAnsi="ITC Avant Garde" w:cs="Arial"/>
          <w:color w:val="auto"/>
        </w:rPr>
        <w:t>,</w:t>
      </w:r>
      <w:r w:rsidR="00CF63DC" w:rsidRPr="0052418C">
        <w:rPr>
          <w:rFonts w:ascii="ITC Avant Garde" w:hAnsi="ITC Avant Garde" w:cs="Arial"/>
          <w:color w:val="auto"/>
        </w:rPr>
        <w:t xml:space="preserve"> </w:t>
      </w:r>
      <w:r w:rsidRPr="0052418C">
        <w:rPr>
          <w:rFonts w:ascii="ITC Avant Garde" w:hAnsi="ITC Avant Garde" w:cs="Arial"/>
          <w:color w:val="auto"/>
        </w:rPr>
        <w:t>todos los elementos diferentes a la adecuación de la red de acceso ya est</w:t>
      </w:r>
      <w:r w:rsidR="00275CEC" w:rsidRPr="0052418C">
        <w:rPr>
          <w:rFonts w:ascii="ITC Avant Garde" w:hAnsi="ITC Avant Garde" w:cs="Arial"/>
          <w:color w:val="auto"/>
        </w:rPr>
        <w:t>ará</w:t>
      </w:r>
      <w:r w:rsidRPr="0052418C">
        <w:rPr>
          <w:rFonts w:ascii="ITC Avant Garde" w:hAnsi="ITC Avant Garde" w:cs="Arial"/>
          <w:color w:val="auto"/>
        </w:rPr>
        <w:t>n incluidos en el precio del enlace</w:t>
      </w:r>
      <w:r w:rsidR="00275CEC" w:rsidRPr="0052418C">
        <w:rPr>
          <w:rFonts w:ascii="ITC Avant Garde" w:hAnsi="ITC Avant Garde" w:cs="Arial"/>
          <w:color w:val="auto"/>
        </w:rPr>
        <w:t xml:space="preserve"> y un proyecto especial aplica solamente e</w:t>
      </w:r>
      <w:r w:rsidR="005D218D" w:rsidRPr="0052418C">
        <w:rPr>
          <w:rFonts w:ascii="ITC Avant Garde" w:hAnsi="ITC Avant Garde" w:cs="Arial"/>
          <w:color w:val="auto"/>
        </w:rPr>
        <w:t>n</w:t>
      </w:r>
      <w:r w:rsidR="00275CEC" w:rsidRPr="0052418C">
        <w:rPr>
          <w:rFonts w:ascii="ITC Avant Garde" w:hAnsi="ITC Avant Garde" w:cs="Arial"/>
          <w:color w:val="auto"/>
        </w:rPr>
        <w:t xml:space="preserve"> caso de que no exista otro servicio a menos de 1 km del servicio solicitado</w:t>
      </w:r>
      <w:r w:rsidRPr="0052418C">
        <w:rPr>
          <w:rFonts w:ascii="ITC Avant Garde" w:hAnsi="ITC Avant Garde" w:cs="Arial"/>
          <w:color w:val="auto"/>
        </w:rPr>
        <w:t>.</w:t>
      </w:r>
    </w:p>
    <w:p w14:paraId="4C61B3C1" w14:textId="12BE4E3D" w:rsidR="00014C91" w:rsidRDefault="00014C91" w:rsidP="0052418C">
      <w:pPr>
        <w:spacing w:after="0" w:line="276" w:lineRule="auto"/>
        <w:ind w:left="0" w:right="0"/>
        <w:rPr>
          <w:rFonts w:ascii="ITC Avant Garde" w:hAnsi="ITC Avant Garde" w:cs="Arial"/>
          <w:color w:val="auto"/>
        </w:rPr>
      </w:pPr>
    </w:p>
    <w:p w14:paraId="5D7022D2" w14:textId="673B6024" w:rsidR="00DE0E65" w:rsidRPr="0052418C" w:rsidRDefault="008C7F61" w:rsidP="0052418C">
      <w:pPr>
        <w:spacing w:after="0" w:line="276" w:lineRule="auto"/>
        <w:ind w:left="0" w:right="0"/>
        <w:rPr>
          <w:rFonts w:ascii="ITC Avant Garde" w:hAnsi="ITC Avant Garde" w:cs="Arial"/>
          <w:color w:val="auto"/>
        </w:rPr>
      </w:pPr>
      <w:r w:rsidRPr="0052418C">
        <w:rPr>
          <w:rFonts w:ascii="ITC Avant Garde" w:hAnsi="ITC Avant Garde" w:cs="Arial"/>
          <w:b/>
          <w:color w:val="auto"/>
        </w:rPr>
        <w:t>AXTEL</w:t>
      </w:r>
      <w:r w:rsidR="00DE0E65" w:rsidRPr="0052418C">
        <w:rPr>
          <w:rFonts w:ascii="ITC Avant Garde" w:hAnsi="ITC Avant Garde" w:cs="Arial"/>
          <w:b/>
          <w:color w:val="auto"/>
        </w:rPr>
        <w:t xml:space="preserve">: </w:t>
      </w:r>
    </w:p>
    <w:p w14:paraId="297AC249" w14:textId="7FA968C7" w:rsidR="00DE0E65" w:rsidRPr="0052418C" w:rsidRDefault="00DE0E65" w:rsidP="0052418C">
      <w:pPr>
        <w:spacing w:after="0" w:line="276" w:lineRule="auto"/>
        <w:ind w:left="0" w:right="0"/>
        <w:rPr>
          <w:rFonts w:ascii="ITC Avant Garde" w:hAnsi="ITC Avant Garde" w:cs="Arial"/>
          <w:color w:val="auto"/>
        </w:rPr>
      </w:pPr>
      <w:r w:rsidRPr="0052418C">
        <w:rPr>
          <w:rFonts w:ascii="ITC Avant Garde" w:hAnsi="ITC Avant Garde" w:cs="Arial"/>
          <w:color w:val="auto"/>
        </w:rPr>
        <w:t>Axtel señal</w:t>
      </w:r>
      <w:r w:rsidR="004D6F7E">
        <w:rPr>
          <w:rFonts w:ascii="ITC Avant Garde" w:hAnsi="ITC Avant Garde" w:cs="Arial"/>
          <w:color w:val="auto"/>
        </w:rPr>
        <w:t>ó</w:t>
      </w:r>
      <w:r w:rsidRPr="0052418C">
        <w:rPr>
          <w:rFonts w:ascii="ITC Avant Garde" w:hAnsi="ITC Avant Garde" w:cs="Arial"/>
          <w:color w:val="auto"/>
        </w:rPr>
        <w:t xml:space="preserve"> que la </w:t>
      </w:r>
      <w:r w:rsidRPr="0052418C">
        <w:rPr>
          <w:rFonts w:ascii="ITC Avant Garde" w:hAnsi="ITC Avant Garde" w:cs="Arial"/>
          <w:color w:val="auto"/>
        </w:rPr>
        <w:tab/>
        <w:t>EM pretende cobrar elementos de Proyectos Especiales que no aplican por corresponder a su red y no forman parte de la última milla.</w:t>
      </w:r>
    </w:p>
    <w:p w14:paraId="6E60A6B5" w14:textId="0CE84E91" w:rsidR="00DE0E65" w:rsidRPr="0052418C" w:rsidRDefault="00DE0E65" w:rsidP="0052418C">
      <w:pPr>
        <w:spacing w:after="0" w:line="276" w:lineRule="auto"/>
        <w:ind w:left="0" w:right="0"/>
        <w:rPr>
          <w:rFonts w:ascii="ITC Avant Garde" w:hAnsi="ITC Avant Garde" w:cs="Arial"/>
          <w:color w:val="auto"/>
        </w:rPr>
      </w:pPr>
    </w:p>
    <w:p w14:paraId="471AB7DD" w14:textId="22511752" w:rsidR="00DE0E65" w:rsidRPr="0052418C" w:rsidRDefault="00DE0E65" w:rsidP="0052418C">
      <w:pPr>
        <w:spacing w:after="0" w:line="276" w:lineRule="auto"/>
        <w:ind w:left="0" w:right="0"/>
        <w:rPr>
          <w:rFonts w:ascii="ITC Avant Garde" w:hAnsi="ITC Avant Garde" w:cs="Arial"/>
          <w:color w:val="auto"/>
        </w:rPr>
      </w:pPr>
      <w:r w:rsidRPr="0052418C">
        <w:rPr>
          <w:rFonts w:ascii="ITC Avant Garde" w:hAnsi="ITC Avant Garde" w:cs="Arial"/>
          <w:color w:val="auto"/>
        </w:rPr>
        <w:t xml:space="preserve">De acuerdo </w:t>
      </w:r>
      <w:r w:rsidR="008C7F61" w:rsidRPr="0052418C">
        <w:rPr>
          <w:rFonts w:ascii="ITC Avant Garde" w:hAnsi="ITC Avant Garde" w:cs="Arial"/>
          <w:color w:val="auto"/>
        </w:rPr>
        <w:t>con</w:t>
      </w:r>
      <w:r w:rsidRPr="0052418C">
        <w:rPr>
          <w:rFonts w:ascii="ITC Avant Garde" w:hAnsi="ITC Avant Garde" w:cs="Arial"/>
          <w:color w:val="auto"/>
        </w:rPr>
        <w:t xml:space="preserve"> lo anterior, Axtel solicitó al Instituto eliminar aquellos conceptos de cobro que corresponden a la red del AEP y que no encuentran incluidos dentro del modelo de costos.</w:t>
      </w:r>
    </w:p>
    <w:p w14:paraId="09541E32" w14:textId="7B170AC0" w:rsidR="00DE0E65" w:rsidRPr="0052418C" w:rsidRDefault="00DE0E65" w:rsidP="0052418C">
      <w:pPr>
        <w:spacing w:after="0" w:line="276" w:lineRule="auto"/>
        <w:ind w:left="0" w:right="0"/>
        <w:rPr>
          <w:rFonts w:ascii="ITC Avant Garde" w:hAnsi="ITC Avant Garde" w:cs="Arial"/>
          <w:color w:val="auto"/>
        </w:rPr>
      </w:pPr>
    </w:p>
    <w:p w14:paraId="31503C7F" w14:textId="59175907" w:rsidR="00014C91" w:rsidRPr="0052418C" w:rsidRDefault="00014C91" w:rsidP="0052418C">
      <w:pPr>
        <w:spacing w:after="0" w:line="276" w:lineRule="auto"/>
        <w:ind w:left="0" w:right="0" w:firstLine="0"/>
        <w:rPr>
          <w:rFonts w:ascii="ITC Avant Garde" w:hAnsi="ITC Avant Garde" w:cs="Arial"/>
          <w:color w:val="auto"/>
        </w:rPr>
      </w:pPr>
      <w:r w:rsidRPr="0052418C">
        <w:rPr>
          <w:rFonts w:ascii="ITC Avant Garde" w:hAnsi="ITC Avant Garde" w:cs="Arial"/>
          <w:b/>
          <w:color w:val="auto"/>
        </w:rPr>
        <w:t>Consideraciones del Instituto:</w:t>
      </w:r>
    </w:p>
    <w:p w14:paraId="4122FA65" w14:textId="739FAC8F" w:rsidR="00D07661" w:rsidRPr="0052418C" w:rsidRDefault="00D07661" w:rsidP="0052418C">
      <w:pPr>
        <w:spacing w:after="0" w:line="276" w:lineRule="auto"/>
        <w:ind w:left="0" w:right="0"/>
        <w:rPr>
          <w:rFonts w:ascii="ITC Avant Garde" w:hAnsi="ITC Avant Garde" w:cs="Arial"/>
          <w:color w:val="auto"/>
        </w:rPr>
      </w:pPr>
      <w:r w:rsidRPr="0052418C">
        <w:rPr>
          <w:rFonts w:ascii="ITC Avant Garde" w:hAnsi="ITC Avant Garde" w:cs="Arial"/>
          <w:color w:val="auto"/>
        </w:rPr>
        <w:t xml:space="preserve">Al respecto, se modificó el numeral 2.5.6.1 a efecto de establecer que las cotizaciones por proyectos especiales no podrán considerar aquellos conceptos de </w:t>
      </w:r>
      <w:r w:rsidR="00972625" w:rsidRPr="00972625">
        <w:rPr>
          <w:rFonts w:ascii="ITC Avant Garde" w:hAnsi="ITC Avant Garde" w:cs="Arial"/>
          <w:color w:val="auto"/>
        </w:rPr>
        <w:t>red de agregación y distribución correspondientes a equipamiento de puertos en los equipos de acceso y/o agregación, puertos en las conexiones con las distribuciones de flujos de acceso, puertos disponibles hacia la red dorsal de alta capacidad o cuando la central de acceso no cuente con equipo Carrier ethernet, así como las adecuaciones de salas relacionado con la instalación de escalerillas, canaletas, DFO,</w:t>
      </w:r>
      <w:r w:rsidR="00972625">
        <w:rPr>
          <w:rFonts w:ascii="ITC Avant Garde" w:hAnsi="ITC Avant Garde" w:cs="Arial"/>
          <w:color w:val="auto"/>
        </w:rPr>
        <w:t xml:space="preserve"> </w:t>
      </w:r>
      <w:r w:rsidRPr="0052418C">
        <w:rPr>
          <w:rFonts w:ascii="ITC Avant Garde" w:hAnsi="ITC Avant Garde" w:cs="Arial"/>
          <w:color w:val="auto"/>
        </w:rPr>
        <w:t xml:space="preserve">por </w:t>
      </w:r>
      <w:r w:rsidR="00B329F8">
        <w:rPr>
          <w:rFonts w:ascii="ITC Avant Garde" w:hAnsi="ITC Avant Garde" w:cs="Arial"/>
          <w:color w:val="auto"/>
        </w:rPr>
        <w:t>corresponder a</w:t>
      </w:r>
      <w:r w:rsidR="00B329F8" w:rsidRPr="0052418C">
        <w:rPr>
          <w:rFonts w:ascii="ITC Avant Garde" w:hAnsi="ITC Avant Garde" w:cs="Arial"/>
          <w:color w:val="auto"/>
        </w:rPr>
        <w:t xml:space="preserve"> </w:t>
      </w:r>
      <w:r w:rsidRPr="0052418C">
        <w:rPr>
          <w:rFonts w:ascii="ITC Avant Garde" w:hAnsi="ITC Avant Garde" w:cs="Arial"/>
          <w:color w:val="auto"/>
        </w:rPr>
        <w:t xml:space="preserve">elementos de la red  </w:t>
      </w:r>
      <w:r w:rsidR="00B329F8">
        <w:rPr>
          <w:rFonts w:ascii="ITC Avant Garde" w:hAnsi="ITC Avant Garde" w:cs="Arial"/>
          <w:color w:val="auto"/>
        </w:rPr>
        <w:t xml:space="preserve">considerados </w:t>
      </w:r>
      <w:r w:rsidRPr="0052418C">
        <w:rPr>
          <w:rFonts w:ascii="ITC Avant Garde" w:hAnsi="ITC Avant Garde" w:cs="Arial"/>
          <w:color w:val="auto"/>
        </w:rPr>
        <w:t xml:space="preserve">dentro del </w:t>
      </w:r>
      <w:r w:rsidRPr="0052418C">
        <w:rPr>
          <w:rFonts w:ascii="ITC Avant Garde" w:hAnsi="ITC Avant Garde" w:cs="Arial"/>
          <w:color w:val="auto"/>
        </w:rPr>
        <w:lastRenderedPageBreak/>
        <w:t xml:space="preserve">modelo de costos del Instituto y señalando que no se podrán considerar Proyectos Especiales aquellos casos donde se requieran elementos de red cuyo costo ya se encuentre incorporado en las tarifas determinadas por el Instituto para el servicio mayorista de enlaces dedicados. </w:t>
      </w:r>
    </w:p>
    <w:p w14:paraId="7E951983" w14:textId="77777777" w:rsidR="00014C91" w:rsidRPr="0052418C" w:rsidRDefault="00014C91" w:rsidP="0052418C">
      <w:pPr>
        <w:spacing w:after="0" w:line="276" w:lineRule="auto"/>
        <w:ind w:left="0" w:right="0"/>
        <w:rPr>
          <w:rFonts w:ascii="ITC Avant Garde" w:hAnsi="ITC Avant Garde" w:cs="Arial"/>
          <w:color w:val="auto"/>
        </w:rPr>
      </w:pPr>
    </w:p>
    <w:p w14:paraId="40E966BF" w14:textId="4BA87BAF" w:rsidR="009B5ACD" w:rsidRPr="0052418C" w:rsidRDefault="009B5ACD" w:rsidP="0052418C">
      <w:pPr>
        <w:spacing w:after="0" w:line="276" w:lineRule="auto"/>
        <w:ind w:left="0" w:right="0" w:firstLine="0"/>
        <w:rPr>
          <w:rFonts w:ascii="ITC Avant Garde" w:hAnsi="ITC Avant Garde" w:cs="Arial"/>
          <w:b/>
          <w:color w:val="auto"/>
          <w:u w:val="single"/>
        </w:rPr>
      </w:pPr>
      <w:r w:rsidRPr="0052418C">
        <w:rPr>
          <w:rFonts w:ascii="ITC Avant Garde" w:hAnsi="ITC Avant Garde" w:cs="Arial"/>
          <w:b/>
          <w:color w:val="auto"/>
          <w:u w:val="single"/>
        </w:rPr>
        <w:t>2.5.6.2</w:t>
      </w:r>
      <w:r w:rsidR="00E93C1E" w:rsidRPr="0052418C">
        <w:rPr>
          <w:rFonts w:ascii="ITC Avant Garde" w:hAnsi="ITC Avant Garde" w:cs="Arial"/>
          <w:b/>
          <w:color w:val="auto"/>
          <w:u w:val="single"/>
        </w:rPr>
        <w:t xml:space="preserve"> Plazo de entrega de cotizaciones de Proyectos Especiales.</w:t>
      </w:r>
    </w:p>
    <w:p w14:paraId="4050C160" w14:textId="3CCA414D" w:rsidR="005B726B" w:rsidRPr="0052418C" w:rsidRDefault="003D5172"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MEGA CABLE:</w:t>
      </w:r>
    </w:p>
    <w:p w14:paraId="01F68CE6" w14:textId="390F7BFA" w:rsidR="002B3DD9" w:rsidRPr="0052418C" w:rsidRDefault="003112CE"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Señaló que </w:t>
      </w:r>
      <w:r w:rsidR="00EF0921" w:rsidRPr="0052418C">
        <w:rPr>
          <w:rFonts w:ascii="ITC Avant Garde" w:hAnsi="ITC Avant Garde" w:cs="Arial"/>
        </w:rPr>
        <w:t>Red Nacional</w:t>
      </w:r>
      <w:r w:rsidR="00EF0921" w:rsidRPr="0052418C">
        <w:rPr>
          <w:rFonts w:ascii="ITC Avant Garde" w:hAnsi="ITC Avant Garde"/>
          <w:bCs/>
          <w:color w:val="auto"/>
        </w:rPr>
        <w:t xml:space="preserve"> </w:t>
      </w:r>
      <w:r w:rsidRPr="0052418C">
        <w:rPr>
          <w:rFonts w:ascii="ITC Avant Garde" w:hAnsi="ITC Avant Garde" w:cs="Arial"/>
          <w:color w:val="auto"/>
        </w:rPr>
        <w:t>pretend</w:t>
      </w:r>
      <w:r w:rsidR="000B24A0" w:rsidRPr="0052418C">
        <w:rPr>
          <w:rFonts w:ascii="ITC Avant Garde" w:hAnsi="ITC Avant Garde" w:cs="Arial"/>
          <w:color w:val="auto"/>
        </w:rPr>
        <w:t>e</w:t>
      </w:r>
      <w:r w:rsidRPr="0052418C">
        <w:rPr>
          <w:rFonts w:ascii="ITC Avant Garde" w:hAnsi="ITC Avant Garde" w:cs="Arial"/>
          <w:color w:val="auto"/>
        </w:rPr>
        <w:t xml:space="preserve"> ampliar el plazo para entregar al CS o AS la justificación técnica y la cotización de Proyectos Especiales con respecto a lo </w:t>
      </w:r>
      <w:r w:rsidR="00DF4C31" w:rsidRPr="0052418C">
        <w:rPr>
          <w:rFonts w:ascii="ITC Avant Garde" w:hAnsi="ITC Avant Garde" w:cs="Arial"/>
          <w:color w:val="auto"/>
        </w:rPr>
        <w:t>establecido</w:t>
      </w:r>
      <w:r w:rsidRPr="0052418C">
        <w:rPr>
          <w:rFonts w:ascii="ITC Avant Garde" w:hAnsi="ITC Avant Garde" w:cs="Arial"/>
          <w:color w:val="auto"/>
        </w:rPr>
        <w:t xml:space="preserve"> en la ORE</w:t>
      </w:r>
      <w:r w:rsidR="000B24A0" w:rsidRPr="0052418C">
        <w:rPr>
          <w:rFonts w:ascii="ITC Avant Garde" w:hAnsi="ITC Avant Garde" w:cs="Arial"/>
          <w:color w:val="auto"/>
        </w:rPr>
        <w:t xml:space="preserve"> EM</w:t>
      </w:r>
      <w:r w:rsidRPr="0052418C">
        <w:rPr>
          <w:rFonts w:ascii="ITC Avant Garde" w:hAnsi="ITC Avant Garde" w:cs="Arial"/>
          <w:color w:val="auto"/>
        </w:rPr>
        <w:t xml:space="preserve"> 2021</w:t>
      </w:r>
      <w:r w:rsidR="000B24A0" w:rsidRPr="0052418C">
        <w:rPr>
          <w:rFonts w:ascii="ITC Avant Garde" w:hAnsi="ITC Avant Garde" w:cs="Arial"/>
          <w:color w:val="auto"/>
        </w:rPr>
        <w:t xml:space="preserve">. Es así que, </w:t>
      </w:r>
      <w:r w:rsidR="00DF4C31" w:rsidRPr="0052418C">
        <w:rPr>
          <w:rFonts w:ascii="ITC Avant Garde" w:hAnsi="ITC Avant Garde" w:cs="Arial"/>
          <w:color w:val="auto"/>
        </w:rPr>
        <w:t>solicitó</w:t>
      </w:r>
      <w:r w:rsidR="009B5ACD" w:rsidRPr="0052418C">
        <w:rPr>
          <w:rFonts w:ascii="ITC Avant Garde" w:hAnsi="ITC Avant Garde" w:cs="Arial"/>
          <w:color w:val="auto"/>
        </w:rPr>
        <w:t xml:space="preserve"> </w:t>
      </w:r>
      <w:r w:rsidRPr="0052418C">
        <w:rPr>
          <w:rFonts w:ascii="ITC Avant Garde" w:hAnsi="ITC Avant Garde" w:cs="Arial"/>
          <w:color w:val="auto"/>
        </w:rPr>
        <w:t>modificar el plazo establecido en la última Oferta.</w:t>
      </w:r>
    </w:p>
    <w:p w14:paraId="6A87F499" w14:textId="77777777" w:rsidR="009B5ACD" w:rsidRPr="0052418C" w:rsidRDefault="009B5ACD" w:rsidP="0052418C">
      <w:pPr>
        <w:spacing w:after="0" w:line="276" w:lineRule="auto"/>
        <w:ind w:left="0" w:right="0" w:firstLine="0"/>
        <w:rPr>
          <w:rFonts w:ascii="ITC Avant Garde" w:hAnsi="ITC Avant Garde" w:cs="Arial"/>
          <w:color w:val="auto"/>
        </w:rPr>
      </w:pPr>
    </w:p>
    <w:p w14:paraId="1C17F8FF" w14:textId="4434EDF1" w:rsidR="003126AE" w:rsidRPr="0052418C" w:rsidRDefault="003D5172" w:rsidP="0052418C">
      <w:pPr>
        <w:spacing w:after="0" w:line="276" w:lineRule="auto"/>
        <w:ind w:left="0" w:right="0" w:firstLine="0"/>
        <w:rPr>
          <w:rFonts w:ascii="ITC Avant Garde" w:hAnsi="ITC Avant Garde" w:cs="Arial"/>
          <w:color w:val="auto"/>
        </w:rPr>
      </w:pPr>
      <w:r w:rsidRPr="0052418C">
        <w:rPr>
          <w:rFonts w:ascii="ITC Avant Garde" w:hAnsi="ITC Avant Garde" w:cs="Arial"/>
          <w:b/>
          <w:color w:val="auto"/>
        </w:rPr>
        <w:t>AXTEL:</w:t>
      </w:r>
    </w:p>
    <w:p w14:paraId="5EB8136B" w14:textId="52384693" w:rsidR="003126AE" w:rsidRPr="0052418C" w:rsidRDefault="00584CE9" w:rsidP="0052418C">
      <w:pPr>
        <w:spacing w:after="0" w:line="276" w:lineRule="auto"/>
        <w:ind w:left="0" w:right="0"/>
        <w:rPr>
          <w:rFonts w:ascii="ITC Avant Garde" w:hAnsi="ITC Avant Garde" w:cs="Arial"/>
          <w:color w:val="auto"/>
        </w:rPr>
      </w:pPr>
      <w:r w:rsidRPr="0052418C">
        <w:rPr>
          <w:rFonts w:ascii="ITC Avant Garde" w:hAnsi="ITC Avant Garde" w:cs="Arial"/>
          <w:color w:val="auto"/>
        </w:rPr>
        <w:t>Solicit</w:t>
      </w:r>
      <w:r w:rsidR="005B726B" w:rsidRPr="0052418C">
        <w:rPr>
          <w:rFonts w:ascii="ITC Avant Garde" w:hAnsi="ITC Avant Garde" w:cs="Arial"/>
          <w:color w:val="auto"/>
        </w:rPr>
        <w:t>ó</w:t>
      </w:r>
      <w:r w:rsidRPr="0052418C">
        <w:rPr>
          <w:rFonts w:ascii="ITC Avant Garde" w:hAnsi="ITC Avant Garde" w:cs="Arial"/>
          <w:color w:val="auto"/>
        </w:rPr>
        <w:t xml:space="preserve"> al </w:t>
      </w:r>
      <w:r w:rsidR="00ED0130" w:rsidRPr="0052418C">
        <w:rPr>
          <w:rFonts w:ascii="ITC Avant Garde" w:hAnsi="ITC Avant Garde" w:cs="Arial"/>
          <w:color w:val="auto"/>
        </w:rPr>
        <w:t>Instituto</w:t>
      </w:r>
      <w:r w:rsidR="005B726B" w:rsidRPr="0052418C">
        <w:rPr>
          <w:rFonts w:ascii="ITC Avant Garde" w:hAnsi="ITC Avant Garde" w:cs="Arial"/>
          <w:color w:val="auto"/>
        </w:rPr>
        <w:t xml:space="preserve"> rechazar el </w:t>
      </w:r>
      <w:r w:rsidRPr="0052418C">
        <w:rPr>
          <w:rFonts w:ascii="ITC Avant Garde" w:hAnsi="ITC Avant Garde" w:cs="Arial"/>
          <w:color w:val="auto"/>
        </w:rPr>
        <w:t>cobro de gastos administrativos en caso de no aceptar proyectos especiales</w:t>
      </w:r>
      <w:r w:rsidR="00AC15CB" w:rsidRPr="0052418C">
        <w:rPr>
          <w:rFonts w:ascii="ITC Avant Garde" w:hAnsi="ITC Avant Garde" w:cs="Arial"/>
          <w:color w:val="auto"/>
        </w:rPr>
        <w:t>, a manera de penalización.</w:t>
      </w:r>
      <w:r w:rsidRPr="0052418C">
        <w:rPr>
          <w:rFonts w:ascii="ITC Avant Garde" w:hAnsi="ITC Avant Garde" w:cs="Arial"/>
          <w:color w:val="auto"/>
        </w:rPr>
        <w:t xml:space="preserve"> </w:t>
      </w:r>
      <w:r w:rsidR="006B3B7D" w:rsidRPr="0052418C">
        <w:rPr>
          <w:rFonts w:ascii="ITC Avant Garde" w:hAnsi="ITC Avant Garde"/>
          <w:color w:val="auto"/>
        </w:rPr>
        <w:t>Axtel señaló que dicha condición es totalmente improcedente exponiendo lo siguiente:</w:t>
      </w:r>
    </w:p>
    <w:p w14:paraId="56CDE655" w14:textId="77777777" w:rsidR="00E81B19" w:rsidRPr="0052418C" w:rsidRDefault="00E81B19" w:rsidP="0052418C">
      <w:pPr>
        <w:spacing w:after="0" w:line="276" w:lineRule="auto"/>
        <w:ind w:left="0" w:right="0"/>
        <w:rPr>
          <w:rFonts w:ascii="ITC Avant Garde" w:hAnsi="ITC Avant Garde" w:cs="Arial"/>
          <w:color w:val="auto"/>
        </w:rPr>
      </w:pPr>
    </w:p>
    <w:p w14:paraId="340A2B63" w14:textId="1E6FC46F" w:rsidR="00E81B19" w:rsidRPr="0052418C" w:rsidRDefault="00E81B19" w:rsidP="0052418C">
      <w:pPr>
        <w:pStyle w:val="Prrafodelista"/>
        <w:numPr>
          <w:ilvl w:val="0"/>
          <w:numId w:val="13"/>
        </w:numPr>
        <w:spacing w:after="0" w:line="276" w:lineRule="auto"/>
        <w:ind w:left="426" w:right="0" w:hanging="426"/>
        <w:rPr>
          <w:rFonts w:ascii="ITC Avant Garde" w:hAnsi="ITC Avant Garde" w:cs="Arial"/>
          <w:color w:val="auto"/>
        </w:rPr>
      </w:pPr>
      <w:r w:rsidRPr="0052418C">
        <w:rPr>
          <w:rFonts w:ascii="ITC Avant Garde" w:hAnsi="ITC Avant Garde" w:cs="Arial"/>
          <w:color w:val="auto"/>
        </w:rPr>
        <w:t>Se considera necesario para el CS conocer la cotización y/o valor de la inversión para tomar la decisión de solicitar el servicio.</w:t>
      </w:r>
    </w:p>
    <w:p w14:paraId="40CF9B7C" w14:textId="77777777" w:rsidR="00CF3C91" w:rsidRPr="0052418C" w:rsidRDefault="00CF3C91" w:rsidP="0052418C">
      <w:pPr>
        <w:pStyle w:val="Prrafodelista"/>
        <w:spacing w:after="0" w:line="276" w:lineRule="auto"/>
        <w:ind w:left="426" w:right="0" w:firstLine="0"/>
        <w:rPr>
          <w:rFonts w:ascii="ITC Avant Garde" w:hAnsi="ITC Avant Garde" w:cs="Arial"/>
          <w:color w:val="auto"/>
        </w:rPr>
      </w:pPr>
    </w:p>
    <w:p w14:paraId="7047B25C" w14:textId="33E4AB09" w:rsidR="002D477F" w:rsidRPr="0052418C" w:rsidRDefault="00CF3C91" w:rsidP="0052418C">
      <w:pPr>
        <w:pStyle w:val="Prrafodelista"/>
        <w:numPr>
          <w:ilvl w:val="0"/>
          <w:numId w:val="13"/>
        </w:numPr>
        <w:spacing w:after="0" w:line="276" w:lineRule="auto"/>
        <w:ind w:left="426" w:right="0" w:hanging="426"/>
        <w:rPr>
          <w:rFonts w:ascii="ITC Avant Garde" w:hAnsi="ITC Avant Garde" w:cs="Arial"/>
          <w:color w:val="auto"/>
        </w:rPr>
      </w:pPr>
      <w:r w:rsidRPr="0052418C">
        <w:rPr>
          <w:rFonts w:ascii="ITC Avant Garde" w:hAnsi="ITC Avant Garde" w:cs="Arial"/>
          <w:color w:val="auto"/>
        </w:rPr>
        <w:t>El resultado de cobrar altos costos de proyectos especiales provocaría la cancelación del servicio por ocasionar una rentabilidad desproporcional dejando al CS fuera de competencia en el mercado.</w:t>
      </w:r>
    </w:p>
    <w:p w14:paraId="51D48A83" w14:textId="77777777" w:rsidR="002D477F" w:rsidRPr="0052418C" w:rsidRDefault="002D477F" w:rsidP="0052418C">
      <w:pPr>
        <w:spacing w:after="0" w:line="276" w:lineRule="auto"/>
        <w:ind w:left="426" w:right="0" w:hanging="426"/>
        <w:rPr>
          <w:rFonts w:ascii="ITC Avant Garde" w:hAnsi="ITC Avant Garde" w:cs="Arial"/>
          <w:color w:val="auto"/>
        </w:rPr>
      </w:pPr>
    </w:p>
    <w:p w14:paraId="61D29449" w14:textId="14FD17F4" w:rsidR="002D477F" w:rsidRPr="0052418C" w:rsidRDefault="002D477F" w:rsidP="0052418C">
      <w:pPr>
        <w:pStyle w:val="Prrafodelista"/>
        <w:numPr>
          <w:ilvl w:val="0"/>
          <w:numId w:val="13"/>
        </w:numPr>
        <w:spacing w:after="0" w:line="276" w:lineRule="auto"/>
        <w:ind w:left="426" w:right="0" w:hanging="426"/>
        <w:rPr>
          <w:rFonts w:ascii="ITC Avant Garde" w:hAnsi="ITC Avant Garde" w:cs="Arial"/>
          <w:color w:val="auto"/>
        </w:rPr>
      </w:pPr>
      <w:r w:rsidRPr="0052418C">
        <w:rPr>
          <w:rFonts w:ascii="ITC Avant Garde" w:hAnsi="ITC Avant Garde" w:cs="Arial"/>
          <w:color w:val="auto"/>
        </w:rPr>
        <w:t>El CS, también incurre en gastos administrativos al considerar como opción</w:t>
      </w:r>
      <w:r w:rsidR="006D02C7" w:rsidRPr="0052418C">
        <w:rPr>
          <w:rFonts w:ascii="ITC Avant Garde" w:hAnsi="ITC Avant Garde" w:cs="Arial"/>
          <w:color w:val="auto"/>
        </w:rPr>
        <w:t xml:space="preserve"> la contratación de un enlace a Red Nacional</w:t>
      </w:r>
      <w:r w:rsidRPr="0052418C">
        <w:rPr>
          <w:rFonts w:ascii="ITC Avant Garde" w:hAnsi="ITC Avant Garde" w:cs="Arial"/>
          <w:color w:val="auto"/>
        </w:rPr>
        <w:t>.</w:t>
      </w:r>
    </w:p>
    <w:p w14:paraId="052F4D02" w14:textId="77777777" w:rsidR="00E81B19" w:rsidRPr="0052418C" w:rsidRDefault="00E81B19" w:rsidP="0052418C">
      <w:pPr>
        <w:spacing w:after="0" w:line="276" w:lineRule="auto"/>
        <w:ind w:left="426" w:right="0" w:hanging="426"/>
        <w:rPr>
          <w:rFonts w:ascii="ITC Avant Garde" w:hAnsi="ITC Avant Garde" w:cs="Arial"/>
          <w:color w:val="auto"/>
        </w:rPr>
      </w:pPr>
    </w:p>
    <w:p w14:paraId="02AA099E" w14:textId="72FB1565" w:rsidR="00E81B19" w:rsidRPr="0052418C" w:rsidRDefault="0073517C" w:rsidP="0052418C">
      <w:pPr>
        <w:pStyle w:val="Prrafodelista"/>
        <w:numPr>
          <w:ilvl w:val="0"/>
          <w:numId w:val="13"/>
        </w:numPr>
        <w:spacing w:after="0" w:line="276" w:lineRule="auto"/>
        <w:ind w:left="426" w:right="0" w:hanging="426"/>
        <w:rPr>
          <w:rFonts w:ascii="ITC Avant Garde" w:hAnsi="ITC Avant Garde" w:cs="Arial"/>
          <w:color w:val="auto"/>
        </w:rPr>
      </w:pPr>
      <w:r w:rsidRPr="0052418C">
        <w:rPr>
          <w:rFonts w:ascii="ITC Avant Garde" w:hAnsi="ITC Avant Garde" w:cs="Arial"/>
          <w:color w:val="auto"/>
        </w:rPr>
        <w:t>Es una medida disuasoria para que el CS no ofrezca sus servicios al cliente final, además de que podría conducir a la situación de cobros por cualquier solicitud en caso de concretarse la venta</w:t>
      </w:r>
      <w:r w:rsidR="00E81B19" w:rsidRPr="0052418C">
        <w:rPr>
          <w:rFonts w:ascii="ITC Avant Garde" w:hAnsi="ITC Avant Garde" w:cs="Arial"/>
          <w:color w:val="auto"/>
        </w:rPr>
        <w:t>.</w:t>
      </w:r>
    </w:p>
    <w:p w14:paraId="503F953D" w14:textId="29793DFF" w:rsidR="00E81B19" w:rsidRPr="0052418C" w:rsidRDefault="00E81B19" w:rsidP="0052418C">
      <w:pPr>
        <w:spacing w:after="0" w:line="276" w:lineRule="auto"/>
        <w:ind w:left="426" w:right="0" w:hanging="426"/>
        <w:rPr>
          <w:rFonts w:ascii="ITC Avant Garde" w:hAnsi="ITC Avant Garde" w:cs="Arial"/>
          <w:color w:val="auto"/>
        </w:rPr>
      </w:pPr>
    </w:p>
    <w:p w14:paraId="2B4C2F36" w14:textId="7DD384CF" w:rsidR="00DE0E65" w:rsidRPr="0052418C" w:rsidRDefault="00DE0E65" w:rsidP="0052418C">
      <w:pPr>
        <w:spacing w:after="0" w:line="276" w:lineRule="auto"/>
        <w:ind w:left="0" w:right="0"/>
        <w:rPr>
          <w:rFonts w:ascii="ITC Avant Garde" w:hAnsi="ITC Avant Garde" w:cs="Arial"/>
          <w:color w:val="auto"/>
        </w:rPr>
      </w:pPr>
      <w:r w:rsidRPr="0052418C">
        <w:rPr>
          <w:rFonts w:ascii="ITC Avant Garde" w:hAnsi="ITC Avant Garde" w:cs="Arial"/>
          <w:color w:val="auto"/>
        </w:rPr>
        <w:t xml:space="preserve">Asimismo, Axtel solicitó al Instituto que se considere que los gastos de instalación de los enlaces nuevos y de Proyectos Especiales que se solicitan, se incluyan como DEBITESE, además de que </w:t>
      </w:r>
      <w:r w:rsidR="004853C5">
        <w:rPr>
          <w:rFonts w:ascii="ITC Avant Garde" w:hAnsi="ITC Avant Garde" w:cs="Arial"/>
          <w:color w:val="auto"/>
        </w:rPr>
        <w:t xml:space="preserve">manifestó que </w:t>
      </w:r>
      <w:r w:rsidRPr="0052418C">
        <w:rPr>
          <w:rFonts w:ascii="ITC Avant Garde" w:hAnsi="ITC Avant Garde" w:cs="Arial"/>
          <w:color w:val="auto"/>
        </w:rPr>
        <w:t>el inicio de construcción del servicio debe realizarse cuando sea aceptado y no hasta que se realice el pago y envío de la evidencia</w:t>
      </w:r>
      <w:r w:rsidR="001540B3" w:rsidRPr="0052418C">
        <w:rPr>
          <w:rFonts w:ascii="ITC Avant Garde" w:hAnsi="ITC Avant Garde" w:cs="Arial"/>
          <w:color w:val="auto"/>
        </w:rPr>
        <w:t xml:space="preserve">. Debido </w:t>
      </w:r>
      <w:r w:rsidR="00CE2EB8" w:rsidRPr="0052418C">
        <w:rPr>
          <w:rFonts w:ascii="ITC Avant Garde" w:hAnsi="ITC Avant Garde" w:cs="Arial"/>
          <w:color w:val="auto"/>
        </w:rPr>
        <w:t>que,</w:t>
      </w:r>
      <w:r w:rsidR="001540B3" w:rsidRPr="0052418C">
        <w:rPr>
          <w:rFonts w:ascii="ITC Avant Garde" w:hAnsi="ITC Avant Garde" w:cs="Arial"/>
          <w:color w:val="auto"/>
        </w:rPr>
        <w:t xml:space="preserve"> de no iniciar la construcción hasta haber realizado el pago</w:t>
      </w:r>
      <w:r w:rsidR="00CE2EB8">
        <w:rPr>
          <w:rFonts w:ascii="ITC Avant Garde" w:hAnsi="ITC Avant Garde" w:cs="Arial"/>
          <w:color w:val="auto"/>
        </w:rPr>
        <w:t>,</w:t>
      </w:r>
      <w:r w:rsidR="001540B3" w:rsidRPr="0052418C">
        <w:rPr>
          <w:rFonts w:ascii="ITC Avant Garde" w:hAnsi="ITC Avant Garde" w:cs="Arial"/>
          <w:color w:val="auto"/>
        </w:rPr>
        <w:t xml:space="preserve"> modifica</w:t>
      </w:r>
      <w:r w:rsidR="00CE2EB8">
        <w:rPr>
          <w:rFonts w:ascii="ITC Avant Garde" w:hAnsi="ITC Avant Garde" w:cs="Arial"/>
          <w:color w:val="auto"/>
        </w:rPr>
        <w:t>ría</w:t>
      </w:r>
      <w:r w:rsidR="001540B3" w:rsidRPr="0052418C">
        <w:rPr>
          <w:rFonts w:ascii="ITC Avant Garde" w:hAnsi="ITC Avant Garde" w:cs="Arial"/>
          <w:color w:val="auto"/>
        </w:rPr>
        <w:t xml:space="preserve"> el aumento de los plazos de entrega comprometidos con el AEP. </w:t>
      </w:r>
      <w:r w:rsidRPr="0052418C">
        <w:rPr>
          <w:rFonts w:ascii="ITC Avant Garde" w:hAnsi="ITC Avant Garde" w:cs="Arial"/>
          <w:color w:val="auto"/>
        </w:rPr>
        <w:t xml:space="preserve"> </w:t>
      </w:r>
      <w:r w:rsidR="001540B3" w:rsidRPr="0052418C">
        <w:rPr>
          <w:rFonts w:ascii="ITC Avant Garde" w:hAnsi="ITC Avant Garde" w:cs="Arial"/>
          <w:color w:val="auto"/>
        </w:rPr>
        <w:t xml:space="preserve"> </w:t>
      </w:r>
    </w:p>
    <w:p w14:paraId="5B7414A4" w14:textId="77777777" w:rsidR="00DE0E65" w:rsidRPr="0052418C" w:rsidRDefault="00DE0E65" w:rsidP="0052418C">
      <w:pPr>
        <w:spacing w:after="0" w:line="276" w:lineRule="auto"/>
        <w:ind w:left="0" w:right="0"/>
        <w:rPr>
          <w:rFonts w:ascii="ITC Avant Garde" w:hAnsi="ITC Avant Garde" w:cs="Arial"/>
          <w:color w:val="auto"/>
        </w:rPr>
      </w:pPr>
    </w:p>
    <w:p w14:paraId="09995392" w14:textId="3F9D94DB" w:rsidR="0044106D" w:rsidRPr="0052418C" w:rsidRDefault="003D5172" w:rsidP="0052418C">
      <w:pPr>
        <w:spacing w:after="0" w:line="276" w:lineRule="auto"/>
        <w:ind w:left="0" w:right="0"/>
        <w:rPr>
          <w:rFonts w:ascii="ITC Avant Garde" w:hAnsi="ITC Avant Garde" w:cs="Arial"/>
          <w:b/>
          <w:color w:val="auto"/>
        </w:rPr>
      </w:pPr>
      <w:r w:rsidRPr="0052418C">
        <w:rPr>
          <w:rFonts w:ascii="ITC Avant Garde" w:hAnsi="ITC Avant Garde" w:cs="Arial"/>
          <w:b/>
          <w:color w:val="auto"/>
        </w:rPr>
        <w:t xml:space="preserve">GRUPO AT&amp;T: </w:t>
      </w:r>
    </w:p>
    <w:p w14:paraId="0DB32FA7" w14:textId="2F4FCC30" w:rsidR="001F0E36" w:rsidRPr="0052418C" w:rsidRDefault="0044106D" w:rsidP="0052418C">
      <w:pPr>
        <w:tabs>
          <w:tab w:val="left" w:pos="2177"/>
        </w:tabs>
        <w:spacing w:after="0" w:line="276" w:lineRule="auto"/>
        <w:ind w:left="0" w:right="0"/>
        <w:rPr>
          <w:rFonts w:ascii="ITC Avant Garde" w:hAnsi="ITC Avant Garde" w:cs="Arial"/>
          <w:i/>
          <w:color w:val="auto"/>
        </w:rPr>
      </w:pPr>
      <w:r w:rsidRPr="0052418C">
        <w:rPr>
          <w:rFonts w:ascii="ITC Avant Garde" w:hAnsi="ITC Avant Garde" w:cs="Arial"/>
          <w:color w:val="auto"/>
        </w:rPr>
        <w:t>S</w:t>
      </w:r>
      <w:r w:rsidR="00411028" w:rsidRPr="0052418C">
        <w:rPr>
          <w:rFonts w:ascii="ITC Avant Garde" w:hAnsi="ITC Avant Garde" w:cs="Arial"/>
          <w:color w:val="auto"/>
        </w:rPr>
        <w:t>ugir</w:t>
      </w:r>
      <w:r w:rsidR="006C49F2" w:rsidRPr="0052418C">
        <w:rPr>
          <w:rFonts w:ascii="ITC Avant Garde" w:hAnsi="ITC Avant Garde" w:cs="Arial"/>
          <w:color w:val="auto"/>
        </w:rPr>
        <w:t>ió</w:t>
      </w:r>
      <w:r w:rsidR="006A1F02" w:rsidRPr="0052418C">
        <w:rPr>
          <w:rFonts w:ascii="ITC Avant Garde" w:hAnsi="ITC Avant Garde" w:cs="Arial"/>
          <w:color w:val="auto"/>
        </w:rPr>
        <w:t xml:space="preserve"> eliminar el párrafo correspondiente </w:t>
      </w:r>
      <w:r w:rsidR="00DC3B94" w:rsidRPr="0052418C">
        <w:rPr>
          <w:rFonts w:ascii="ITC Avant Garde" w:hAnsi="ITC Avant Garde" w:cs="Arial"/>
          <w:color w:val="auto"/>
        </w:rPr>
        <w:t xml:space="preserve">a los gastos de </w:t>
      </w:r>
      <w:r w:rsidR="001F0E36" w:rsidRPr="0052418C">
        <w:rPr>
          <w:rFonts w:ascii="ITC Avant Garde" w:hAnsi="ITC Avant Garde" w:cs="Arial"/>
          <w:color w:val="auto"/>
        </w:rPr>
        <w:t xml:space="preserve">administrativos en los que </w:t>
      </w:r>
      <w:r w:rsidRPr="0052418C">
        <w:rPr>
          <w:rFonts w:ascii="ITC Avant Garde" w:hAnsi="ITC Avant Garde" w:cs="Arial"/>
          <w:color w:val="auto"/>
        </w:rPr>
        <w:t>Red Nacional</w:t>
      </w:r>
      <w:r w:rsidR="00082BF5" w:rsidRPr="0052418C">
        <w:rPr>
          <w:rFonts w:ascii="ITC Avant Garde" w:hAnsi="ITC Avant Garde" w:cs="Arial"/>
          <w:color w:val="auto"/>
        </w:rPr>
        <w:t xml:space="preserve"> </w:t>
      </w:r>
      <w:r w:rsidR="001F0E36" w:rsidRPr="0052418C">
        <w:rPr>
          <w:rFonts w:ascii="ITC Avant Garde" w:hAnsi="ITC Avant Garde" w:cs="Arial"/>
          <w:color w:val="auto"/>
        </w:rPr>
        <w:t>hubiere</w:t>
      </w:r>
      <w:r w:rsidRPr="0052418C">
        <w:rPr>
          <w:rFonts w:ascii="ITC Avant Garde" w:hAnsi="ITC Avant Garde" w:cs="Arial"/>
          <w:color w:val="auto"/>
        </w:rPr>
        <w:t>n</w:t>
      </w:r>
      <w:r w:rsidR="001F0E36" w:rsidRPr="0052418C">
        <w:rPr>
          <w:rFonts w:ascii="ITC Avant Garde" w:hAnsi="ITC Avant Garde" w:cs="Arial"/>
          <w:color w:val="auto"/>
        </w:rPr>
        <w:t xml:space="preserve"> incurrido con motivo de la elaboración y presentación de </w:t>
      </w:r>
      <w:r w:rsidR="001F0E36" w:rsidRPr="0052418C">
        <w:rPr>
          <w:rFonts w:ascii="ITC Avant Garde" w:hAnsi="ITC Avant Garde" w:cs="Arial"/>
          <w:color w:val="auto"/>
        </w:rPr>
        <w:lastRenderedPageBreak/>
        <w:t>la oferta comercial</w:t>
      </w:r>
      <w:r w:rsidR="00DC3B94" w:rsidRPr="0052418C">
        <w:rPr>
          <w:rFonts w:ascii="ITC Avant Garde" w:hAnsi="ITC Avant Garde" w:cs="Arial"/>
          <w:color w:val="auto"/>
        </w:rPr>
        <w:t xml:space="preserve"> debido que no es una práctica habitual de la industria, ni corresponde, cobrar por la elaboración de una cotización.</w:t>
      </w:r>
      <w:r w:rsidR="00DC3B94" w:rsidRPr="0052418C">
        <w:rPr>
          <w:rFonts w:ascii="ITC Avant Garde" w:hAnsi="ITC Avant Garde" w:cs="Arial"/>
          <w:i/>
          <w:color w:val="auto"/>
        </w:rPr>
        <w:t xml:space="preserve"> </w:t>
      </w:r>
    </w:p>
    <w:p w14:paraId="22BAD64A" w14:textId="53A93494" w:rsidR="00FB1AD0" w:rsidRPr="0052418C" w:rsidRDefault="00FB1AD0" w:rsidP="0052418C">
      <w:pPr>
        <w:tabs>
          <w:tab w:val="left" w:pos="2177"/>
        </w:tabs>
        <w:spacing w:after="0" w:line="276" w:lineRule="auto"/>
        <w:ind w:left="0" w:right="0"/>
        <w:rPr>
          <w:rFonts w:ascii="ITC Avant Garde" w:hAnsi="ITC Avant Garde" w:cs="Arial"/>
          <w:color w:val="auto"/>
        </w:rPr>
      </w:pPr>
    </w:p>
    <w:p w14:paraId="7F79ECC3" w14:textId="14E02A19" w:rsidR="00200119" w:rsidRPr="0052418C" w:rsidRDefault="00200119"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C42595" w:rsidRPr="0052418C">
        <w:rPr>
          <w:rFonts w:ascii="ITC Avant Garde" w:hAnsi="ITC Avant Garde" w:cs="Arial"/>
          <w:b/>
          <w:color w:val="auto"/>
        </w:rPr>
        <w:t>:</w:t>
      </w:r>
    </w:p>
    <w:p w14:paraId="62F4E800" w14:textId="023F26D7" w:rsidR="00965B6E" w:rsidRPr="0079163B" w:rsidRDefault="006037D3" w:rsidP="0052418C">
      <w:pPr>
        <w:tabs>
          <w:tab w:val="left" w:pos="2177"/>
        </w:tabs>
        <w:spacing w:after="0" w:line="276" w:lineRule="auto"/>
        <w:ind w:left="0" w:right="0"/>
        <w:rPr>
          <w:rFonts w:ascii="ITC Avant Garde" w:hAnsi="ITC Avant Garde" w:cs="Arial"/>
          <w:color w:val="auto"/>
        </w:rPr>
      </w:pPr>
      <w:r w:rsidRPr="0052418C">
        <w:rPr>
          <w:rFonts w:ascii="ITC Avant Garde" w:hAnsi="ITC Avant Garde" w:cs="Arial"/>
          <w:color w:val="auto"/>
        </w:rPr>
        <w:t xml:space="preserve">Se eliminó el cobro </w:t>
      </w:r>
      <w:r w:rsidR="006B3B7D" w:rsidRPr="0052418C">
        <w:rPr>
          <w:rFonts w:ascii="ITC Avant Garde" w:hAnsi="ITC Avant Garde" w:cs="Arial"/>
          <w:color w:val="auto"/>
        </w:rPr>
        <w:t>por</w:t>
      </w:r>
      <w:r w:rsidRPr="0052418C">
        <w:rPr>
          <w:rFonts w:ascii="ITC Avant Garde" w:hAnsi="ITC Avant Garde" w:cs="Arial"/>
          <w:color w:val="auto"/>
        </w:rPr>
        <w:t xml:space="preserve"> gastos administrativos por la cotización de un Proyecto Especial,</w:t>
      </w:r>
      <w:r w:rsidR="006B3B7D" w:rsidRPr="0052418C">
        <w:rPr>
          <w:rFonts w:ascii="ITC Avant Garde" w:hAnsi="ITC Avant Garde" w:cs="Arial"/>
          <w:color w:val="auto"/>
        </w:rPr>
        <w:t xml:space="preserve"> </w:t>
      </w:r>
      <w:r w:rsidR="006B3B7D" w:rsidRPr="0052418C">
        <w:rPr>
          <w:rFonts w:ascii="ITC Avant Garde" w:hAnsi="ITC Avant Garde"/>
          <w:color w:val="auto"/>
        </w:rPr>
        <w:t>ya que no es una práctica habitual de la industria</w:t>
      </w:r>
      <w:r w:rsidR="006B3B7D" w:rsidRPr="0052418C" w:rsidDel="00CD09FD">
        <w:rPr>
          <w:rFonts w:ascii="ITC Avant Garde" w:hAnsi="ITC Avant Garde"/>
          <w:color w:val="auto"/>
        </w:rPr>
        <w:t xml:space="preserve"> </w:t>
      </w:r>
      <w:r w:rsidR="006B3B7D" w:rsidRPr="0052418C">
        <w:rPr>
          <w:rFonts w:ascii="ITC Avant Garde" w:hAnsi="ITC Avant Garde"/>
          <w:color w:val="auto"/>
        </w:rPr>
        <w:t>además de que dicha condición</w:t>
      </w:r>
      <w:r w:rsidRPr="0052418C">
        <w:rPr>
          <w:rFonts w:ascii="ITC Avant Garde" w:hAnsi="ITC Avant Garde" w:cs="Arial"/>
          <w:color w:val="auto"/>
        </w:rPr>
        <w:t xml:space="preserve"> podría constituir una barrera económica para el acceso de los CS o AS al servicio.</w:t>
      </w:r>
    </w:p>
    <w:p w14:paraId="432FD5AA" w14:textId="77777777" w:rsidR="006037D3" w:rsidRPr="0052418C" w:rsidRDefault="006037D3" w:rsidP="0052418C">
      <w:pPr>
        <w:spacing w:after="0" w:line="276" w:lineRule="auto"/>
        <w:ind w:left="0" w:right="0" w:firstLine="0"/>
        <w:rPr>
          <w:rFonts w:ascii="ITC Avant Garde" w:hAnsi="ITC Avant Garde"/>
          <w:color w:val="auto"/>
        </w:rPr>
      </w:pPr>
    </w:p>
    <w:p w14:paraId="45EE4B47" w14:textId="48D1942A" w:rsidR="00DF4C31" w:rsidRPr="0052418C" w:rsidRDefault="00DF4C31" w:rsidP="0052418C">
      <w:pPr>
        <w:spacing w:after="0" w:line="276" w:lineRule="auto"/>
        <w:ind w:left="0" w:right="0" w:firstLine="0"/>
        <w:rPr>
          <w:rFonts w:ascii="ITC Avant Garde" w:hAnsi="ITC Avant Garde"/>
          <w:color w:val="auto"/>
        </w:rPr>
      </w:pPr>
      <w:r w:rsidRPr="0052418C">
        <w:rPr>
          <w:rFonts w:ascii="ITC Avant Garde" w:hAnsi="ITC Avant Garde"/>
          <w:color w:val="auto"/>
        </w:rPr>
        <w:t>Con respecto a lo argumentado por Axtel, sobre que</w:t>
      </w:r>
      <w:r w:rsidR="007E7831">
        <w:rPr>
          <w:rFonts w:ascii="ITC Avant Garde" w:hAnsi="ITC Avant Garde"/>
          <w:color w:val="auto"/>
        </w:rPr>
        <w:t>,</w:t>
      </w:r>
      <w:r w:rsidRPr="0052418C">
        <w:rPr>
          <w:rFonts w:ascii="ITC Avant Garde" w:hAnsi="ITC Avant Garde"/>
          <w:color w:val="auto"/>
        </w:rPr>
        <w:t xml:space="preserve"> previo a realizar un pago por gastos de instalación de enlaces nuevos y de Proyectos Especiales, se incluyan como DEBÍTESE en la facturación mensual, se señala que dichas solicitudes exceden el ámbito de competencia de este Instituto pues no es autoridad en materia fiscal.</w:t>
      </w:r>
    </w:p>
    <w:p w14:paraId="6248E5C9" w14:textId="21A42FEE" w:rsidR="0073290C" w:rsidRPr="0052418C" w:rsidRDefault="0073290C" w:rsidP="0052418C">
      <w:pPr>
        <w:spacing w:after="0" w:line="276" w:lineRule="auto"/>
        <w:ind w:left="0" w:right="0" w:firstLine="0"/>
        <w:rPr>
          <w:rFonts w:ascii="ITC Avant Garde" w:hAnsi="ITC Avant Garde"/>
          <w:color w:val="auto"/>
        </w:rPr>
      </w:pPr>
    </w:p>
    <w:p w14:paraId="5A941A68" w14:textId="5B3F50CE" w:rsidR="0073290C" w:rsidRPr="0052418C" w:rsidRDefault="0073290C" w:rsidP="0052418C">
      <w:pPr>
        <w:spacing w:after="0" w:line="276" w:lineRule="auto"/>
        <w:ind w:left="0" w:right="0" w:firstLine="0"/>
        <w:rPr>
          <w:rFonts w:ascii="ITC Avant Garde" w:hAnsi="ITC Avant Garde"/>
          <w:color w:val="auto"/>
        </w:rPr>
      </w:pPr>
      <w:r w:rsidRPr="0052418C">
        <w:rPr>
          <w:rFonts w:ascii="ITC Avant Garde" w:hAnsi="ITC Avant Garde"/>
          <w:color w:val="auto"/>
        </w:rPr>
        <w:t xml:space="preserve">Finalmente se señala que, </w:t>
      </w:r>
      <w:r w:rsidRPr="0052418C">
        <w:rPr>
          <w:rFonts w:ascii="ITC Avant Garde" w:eastAsia="Times New Roman" w:hAnsi="ITC Avant Garde" w:cs="Times New Roman"/>
          <w:color w:val="auto"/>
        </w:rPr>
        <w:t>no se puede interpretar</w:t>
      </w:r>
      <w:r w:rsidR="00013527" w:rsidRPr="0052418C">
        <w:rPr>
          <w:rFonts w:ascii="ITC Avant Garde" w:eastAsia="Times New Roman" w:hAnsi="ITC Avant Garde" w:cs="Times New Roman"/>
          <w:color w:val="auto"/>
        </w:rPr>
        <w:t xml:space="preserve"> el</w:t>
      </w:r>
      <w:r w:rsidRPr="0052418C">
        <w:rPr>
          <w:rFonts w:ascii="ITC Avant Garde" w:eastAsia="Times New Roman" w:hAnsi="ITC Avant Garde" w:cs="Times New Roman"/>
          <w:color w:val="auto"/>
        </w:rPr>
        <w:t xml:space="preserve"> </w:t>
      </w:r>
      <w:r w:rsidR="00013527" w:rsidRPr="0052418C">
        <w:rPr>
          <w:rFonts w:ascii="ITC Avant Garde" w:hAnsi="ITC Avant Garde" w:cs="Arial"/>
          <w:color w:val="auto"/>
        </w:rPr>
        <w:t>inicio de construcción del servicio cuando sea aceptado</w:t>
      </w:r>
      <w:r w:rsidRPr="0052418C">
        <w:rPr>
          <w:rFonts w:ascii="ITC Avant Garde" w:eastAsia="Times New Roman" w:hAnsi="ITC Avant Garde" w:cs="Times New Roman"/>
          <w:color w:val="auto"/>
        </w:rPr>
        <w:t>, ya que</w:t>
      </w:r>
      <w:r w:rsidR="00013527" w:rsidRPr="0052418C">
        <w:rPr>
          <w:rFonts w:ascii="ITC Avant Garde" w:eastAsia="Times New Roman" w:hAnsi="ITC Avant Garde" w:cs="Times New Roman"/>
          <w:color w:val="auto"/>
        </w:rPr>
        <w:t xml:space="preserve"> la ORE EM 2022 señala que la cotización entregada al CS o AS se entenderá como una oferta comercial, por lo que el CS deberá notificar su aceptación a Red Nacional y </w:t>
      </w:r>
      <w:r w:rsidR="00A9570B" w:rsidRPr="0052418C">
        <w:rPr>
          <w:rFonts w:ascii="ITC Avant Garde" w:eastAsia="Times New Roman" w:hAnsi="ITC Avant Garde" w:cs="Times New Roman"/>
          <w:color w:val="auto"/>
        </w:rPr>
        <w:t>una vez realizado el pago se iniciaría la construcción</w:t>
      </w:r>
      <w:r w:rsidR="00013527" w:rsidRPr="0052418C">
        <w:rPr>
          <w:rFonts w:ascii="ITC Avant Garde" w:eastAsia="Times New Roman" w:hAnsi="ITC Avant Garde" w:cs="Times New Roman"/>
          <w:color w:val="auto"/>
        </w:rPr>
        <w:t xml:space="preserve">, </w:t>
      </w:r>
      <w:r w:rsidR="008050B5">
        <w:rPr>
          <w:rFonts w:ascii="ITC Avant Garde" w:eastAsia="Times New Roman" w:hAnsi="ITC Avant Garde" w:cs="Times New Roman"/>
          <w:color w:val="auto"/>
        </w:rPr>
        <w:t>asimismo,</w:t>
      </w:r>
      <w:r w:rsidR="00013527" w:rsidRPr="0052418C">
        <w:rPr>
          <w:rFonts w:ascii="ITC Avant Garde" w:eastAsia="Times New Roman" w:hAnsi="ITC Avant Garde" w:cs="Times New Roman"/>
          <w:color w:val="auto"/>
        </w:rPr>
        <w:t xml:space="preserve"> </w:t>
      </w:r>
      <w:r w:rsidRPr="0052418C">
        <w:rPr>
          <w:rFonts w:ascii="ITC Avant Garde" w:eastAsia="Times New Roman" w:hAnsi="ITC Avant Garde" w:cs="Times New Roman"/>
          <w:color w:val="auto"/>
        </w:rPr>
        <w:t xml:space="preserve">es obligación de los CS y AS cumplir con el pago </w:t>
      </w:r>
      <w:r w:rsidR="00A9570B" w:rsidRPr="0052418C">
        <w:rPr>
          <w:rFonts w:ascii="ITC Avant Garde" w:eastAsia="Times New Roman" w:hAnsi="ITC Avant Garde" w:cs="Times New Roman"/>
          <w:color w:val="auto"/>
        </w:rPr>
        <w:t>correspondiente.</w:t>
      </w:r>
    </w:p>
    <w:p w14:paraId="0A62D302" w14:textId="77777777" w:rsidR="00AC153E" w:rsidRPr="0052418C" w:rsidRDefault="00AC153E" w:rsidP="0052418C">
      <w:pPr>
        <w:spacing w:after="0" w:line="276" w:lineRule="auto"/>
        <w:ind w:left="0" w:right="0" w:firstLine="0"/>
        <w:rPr>
          <w:rFonts w:ascii="ITC Avant Garde" w:hAnsi="ITC Avant Garde"/>
          <w:color w:val="auto"/>
        </w:rPr>
      </w:pPr>
    </w:p>
    <w:p w14:paraId="39400224" w14:textId="4358E80C" w:rsidR="00E81B19" w:rsidRPr="0052418C" w:rsidRDefault="00E81B19" w:rsidP="0052418C">
      <w:pPr>
        <w:spacing w:after="0" w:line="276" w:lineRule="auto"/>
        <w:ind w:left="0" w:right="0"/>
        <w:rPr>
          <w:rFonts w:ascii="ITC Avant Garde" w:hAnsi="ITC Avant Garde" w:cs="Arial"/>
          <w:b/>
          <w:color w:val="auto"/>
          <w:u w:val="single"/>
        </w:rPr>
      </w:pPr>
      <w:r w:rsidRPr="0052418C">
        <w:rPr>
          <w:rFonts w:ascii="ITC Avant Garde" w:hAnsi="ITC Avant Garde" w:cs="Arial"/>
          <w:b/>
          <w:color w:val="auto"/>
          <w:u w:val="single"/>
        </w:rPr>
        <w:t>2.5.6.4.</w:t>
      </w:r>
      <w:r w:rsidR="005C16EF" w:rsidRPr="0052418C">
        <w:rPr>
          <w:rFonts w:ascii="ITC Avant Garde" w:hAnsi="ITC Avant Garde" w:cs="Arial"/>
          <w:b/>
          <w:color w:val="auto"/>
          <w:u w:val="single"/>
        </w:rPr>
        <w:t xml:space="preserve"> </w:t>
      </w:r>
      <w:r w:rsidR="003922BB" w:rsidRPr="0052418C">
        <w:rPr>
          <w:rFonts w:ascii="ITC Avant Garde" w:hAnsi="ITC Avant Garde"/>
          <w:b/>
          <w:color w:val="auto"/>
          <w:u w:val="single"/>
        </w:rPr>
        <w:t>No se considerarán Proyectos Especiales, los siguientes casos:</w:t>
      </w:r>
    </w:p>
    <w:p w14:paraId="679EF28C" w14:textId="6ED59423" w:rsidR="00E81B19" w:rsidRPr="0052418C" w:rsidRDefault="009835CE" w:rsidP="0052418C">
      <w:pPr>
        <w:spacing w:after="0" w:line="276" w:lineRule="auto"/>
        <w:ind w:left="0" w:right="0"/>
        <w:rPr>
          <w:rFonts w:ascii="ITC Avant Garde" w:hAnsi="ITC Avant Garde" w:cs="Arial"/>
          <w:b/>
          <w:color w:val="auto"/>
        </w:rPr>
      </w:pPr>
      <w:r w:rsidRPr="0052418C">
        <w:rPr>
          <w:rFonts w:ascii="ITC Avant Garde" w:hAnsi="ITC Avant Garde" w:cs="Arial"/>
          <w:b/>
          <w:color w:val="auto"/>
        </w:rPr>
        <w:t>AXTEL:</w:t>
      </w:r>
    </w:p>
    <w:p w14:paraId="66BD9C0F" w14:textId="279345E4" w:rsidR="000735AD" w:rsidRPr="004949D0" w:rsidRDefault="00F40EB0" w:rsidP="000735AD">
      <w:pPr>
        <w:spacing w:after="0" w:line="276" w:lineRule="auto"/>
        <w:ind w:left="0" w:right="0" w:firstLine="0"/>
        <w:rPr>
          <w:rFonts w:ascii="ITC Avant Garde" w:hAnsi="ITC Avant Garde" w:cs="Arial"/>
        </w:rPr>
      </w:pPr>
      <w:bookmarkStart w:id="13" w:name="_Hlk93919884"/>
      <w:r w:rsidRPr="001B3DEB">
        <w:rPr>
          <w:rFonts w:ascii="ITC Avant Garde" w:hAnsi="ITC Avant Garde" w:cs="Arial"/>
          <w:color w:val="auto"/>
        </w:rPr>
        <w:t>S</w:t>
      </w:r>
      <w:r w:rsidR="001540B3" w:rsidRPr="001B3DEB">
        <w:rPr>
          <w:rFonts w:ascii="ITC Avant Garde" w:hAnsi="ITC Avant Garde" w:cs="Arial"/>
          <w:color w:val="auto"/>
        </w:rPr>
        <w:t xml:space="preserve">eñaló que </w:t>
      </w:r>
      <w:r w:rsidR="00EF0921" w:rsidRPr="001B3DEB">
        <w:rPr>
          <w:rFonts w:ascii="ITC Avant Garde" w:hAnsi="ITC Avant Garde" w:cs="Arial"/>
        </w:rPr>
        <w:t>Red Nacional</w:t>
      </w:r>
      <w:r w:rsidR="00EF0921" w:rsidRPr="001B3DEB">
        <w:rPr>
          <w:rFonts w:ascii="ITC Avant Garde" w:hAnsi="ITC Avant Garde"/>
          <w:bCs/>
          <w:color w:val="auto"/>
        </w:rPr>
        <w:t xml:space="preserve"> </w:t>
      </w:r>
      <w:r w:rsidR="000735AD" w:rsidRPr="001B3DEB">
        <w:rPr>
          <w:rFonts w:ascii="ITC Avant Garde" w:hAnsi="ITC Avant Garde" w:cs="Arial"/>
        </w:rPr>
        <w:t xml:space="preserve">propuso agregar </w:t>
      </w:r>
      <w:r w:rsidR="001B3DEB" w:rsidRPr="001B3DEB">
        <w:rPr>
          <w:rFonts w:ascii="ITC Avant Garde" w:hAnsi="ITC Avant Garde" w:cs="Arial"/>
        </w:rPr>
        <w:t>la postura de contar con infraestructura disponible para no considerar el cobro de proyecto especial</w:t>
      </w:r>
      <w:r w:rsidR="000735AD" w:rsidRPr="001B3DEB">
        <w:rPr>
          <w:rFonts w:ascii="ITC Avant Garde" w:hAnsi="ITC Avant Garde" w:cs="Arial"/>
        </w:rPr>
        <w:t xml:space="preserve">, lo anterior </w:t>
      </w:r>
      <w:r w:rsidR="001B3DEB" w:rsidRPr="001B3DEB">
        <w:rPr>
          <w:rFonts w:ascii="ITC Avant Garde" w:hAnsi="ITC Avant Garde" w:cs="Arial"/>
        </w:rPr>
        <w:t>pretende eliminar los crecimientos sobre infraestructura existente</w:t>
      </w:r>
      <w:r w:rsidR="000735AD" w:rsidRPr="001B3DEB">
        <w:rPr>
          <w:rFonts w:ascii="ITC Avant Garde" w:hAnsi="ITC Avant Garde" w:cs="Arial"/>
        </w:rPr>
        <w:t>.</w:t>
      </w:r>
    </w:p>
    <w:p w14:paraId="7EE03999" w14:textId="77777777" w:rsidR="000735AD" w:rsidRPr="004949D0" w:rsidRDefault="000735AD" w:rsidP="000735AD">
      <w:pPr>
        <w:spacing w:after="0" w:line="276" w:lineRule="auto"/>
        <w:ind w:left="0" w:right="0" w:firstLine="0"/>
        <w:rPr>
          <w:rFonts w:ascii="ITC Avant Garde" w:hAnsi="ITC Avant Garde" w:cs="Arial"/>
          <w:color w:val="auto"/>
        </w:rPr>
      </w:pPr>
    </w:p>
    <w:p w14:paraId="2B624384" w14:textId="77EC471E" w:rsidR="001540B3" w:rsidRPr="0052418C" w:rsidRDefault="001540B3" w:rsidP="0052418C">
      <w:pPr>
        <w:spacing w:after="0" w:line="276" w:lineRule="auto"/>
        <w:ind w:left="0" w:right="0" w:firstLine="0"/>
        <w:rPr>
          <w:rFonts w:ascii="ITC Avant Garde" w:hAnsi="ITC Avant Garde" w:cs="Arial"/>
          <w:color w:val="auto"/>
        </w:rPr>
      </w:pPr>
      <w:r w:rsidRPr="004949D0">
        <w:rPr>
          <w:rFonts w:ascii="ITC Avant Garde" w:hAnsi="ITC Avant Garde" w:cs="Arial"/>
          <w:color w:val="auto"/>
        </w:rPr>
        <w:t xml:space="preserve">Por lo que Axtel solicitó la eliminación de la </w:t>
      </w:r>
      <w:r w:rsidR="000735AD" w:rsidRPr="004949D0">
        <w:rPr>
          <w:rFonts w:ascii="ITC Avant Garde" w:hAnsi="ITC Avant Garde" w:cs="Arial"/>
          <w:color w:val="auto"/>
        </w:rPr>
        <w:t xml:space="preserve">propuesta por parte de </w:t>
      </w:r>
      <w:r w:rsidR="000735AD" w:rsidRPr="004949D0">
        <w:rPr>
          <w:rFonts w:ascii="ITC Avant Garde" w:hAnsi="ITC Avant Garde" w:cs="Arial"/>
        </w:rPr>
        <w:t>Red Nacional</w:t>
      </w:r>
      <w:r w:rsidR="000735AD" w:rsidRPr="004949D0">
        <w:rPr>
          <w:rFonts w:ascii="ITC Avant Garde" w:hAnsi="ITC Avant Garde" w:cs="Arial"/>
          <w:color w:val="auto"/>
        </w:rPr>
        <w:t xml:space="preserve"> </w:t>
      </w:r>
      <w:r w:rsidRPr="004949D0">
        <w:rPr>
          <w:rFonts w:ascii="ITC Avant Garde" w:hAnsi="ITC Avant Garde" w:cs="Arial"/>
          <w:color w:val="auto"/>
        </w:rPr>
        <w:t xml:space="preserve">y </w:t>
      </w:r>
      <w:r w:rsidR="000735AD" w:rsidRPr="004949D0">
        <w:rPr>
          <w:rFonts w:ascii="ITC Avant Garde" w:hAnsi="ITC Avant Garde" w:cs="Arial"/>
          <w:color w:val="auto"/>
        </w:rPr>
        <w:t xml:space="preserve">que </w:t>
      </w:r>
      <w:r w:rsidR="005D5620">
        <w:rPr>
          <w:rFonts w:ascii="ITC Avant Garde" w:hAnsi="ITC Avant Garde" w:cs="Arial"/>
        </w:rPr>
        <w:t>al mismo tiempo</w:t>
      </w:r>
      <w:r w:rsidR="000735AD" w:rsidRPr="005D5620">
        <w:rPr>
          <w:rFonts w:ascii="ITC Avant Garde" w:hAnsi="ITC Avant Garde" w:cs="Arial"/>
        </w:rPr>
        <w:t xml:space="preserve"> </w:t>
      </w:r>
      <w:r w:rsidRPr="001B3DEB">
        <w:rPr>
          <w:rFonts w:ascii="ITC Avant Garde" w:hAnsi="ITC Avant Garde" w:cs="Arial"/>
          <w:color w:val="auto"/>
        </w:rPr>
        <w:t>habilite su infraestructura instalada para proveer el servicio solicitado.</w:t>
      </w:r>
    </w:p>
    <w:bookmarkEnd w:id="13"/>
    <w:p w14:paraId="632AFC37" w14:textId="77777777" w:rsidR="001540B3" w:rsidRPr="0052418C" w:rsidRDefault="001540B3" w:rsidP="0052418C">
      <w:pPr>
        <w:spacing w:after="0" w:line="276" w:lineRule="auto"/>
        <w:ind w:left="0" w:right="0" w:firstLine="0"/>
        <w:rPr>
          <w:rFonts w:ascii="ITC Avant Garde" w:hAnsi="ITC Avant Garde" w:cs="Arial"/>
          <w:color w:val="auto"/>
        </w:rPr>
      </w:pPr>
    </w:p>
    <w:p w14:paraId="1516B339" w14:textId="01E574E4" w:rsidR="001F0E36" w:rsidRPr="0052418C" w:rsidRDefault="009835CE"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GRUPO AT&amp;T:</w:t>
      </w:r>
    </w:p>
    <w:p w14:paraId="4499CE2E" w14:textId="421859CE" w:rsidR="005A71D6" w:rsidRPr="0052418C" w:rsidRDefault="001F0E36"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S</w:t>
      </w:r>
      <w:r w:rsidR="00192C75" w:rsidRPr="0052418C">
        <w:rPr>
          <w:rFonts w:ascii="ITC Avant Garde" w:hAnsi="ITC Avant Garde" w:cs="Arial"/>
          <w:color w:val="auto"/>
        </w:rPr>
        <w:t>eñaló</w:t>
      </w:r>
      <w:r w:rsidR="005C16EF" w:rsidRPr="0052418C">
        <w:rPr>
          <w:rFonts w:ascii="ITC Avant Garde" w:hAnsi="ITC Avant Garde" w:cs="Arial"/>
          <w:color w:val="auto"/>
        </w:rPr>
        <w:t xml:space="preserve"> que</w:t>
      </w:r>
      <w:r w:rsidR="005D7B1D" w:rsidRPr="0052418C">
        <w:rPr>
          <w:rFonts w:ascii="ITC Avant Garde" w:hAnsi="ITC Avant Garde" w:cs="Arial"/>
          <w:color w:val="auto"/>
        </w:rPr>
        <w:t>,</w:t>
      </w:r>
      <w:r w:rsidR="005C16EF" w:rsidRPr="0052418C">
        <w:rPr>
          <w:rFonts w:ascii="ITC Avant Garde" w:hAnsi="ITC Avant Garde" w:cs="Arial"/>
          <w:color w:val="auto"/>
        </w:rPr>
        <w:t xml:space="preserve"> </w:t>
      </w:r>
      <w:r w:rsidR="00333DF7" w:rsidRPr="0052418C">
        <w:rPr>
          <w:rFonts w:ascii="ITC Avant Garde" w:hAnsi="ITC Avant Garde" w:cs="Arial"/>
          <w:color w:val="auto"/>
        </w:rPr>
        <w:t xml:space="preserve">si ya existía un servicio similar en ese domicilio, no se justifica el argumento de que no dispone de infraestructura </w:t>
      </w:r>
      <w:r w:rsidR="005A71D6" w:rsidRPr="0052418C">
        <w:rPr>
          <w:rFonts w:ascii="ITC Avant Garde" w:hAnsi="ITC Avant Garde" w:cs="Arial"/>
          <w:color w:val="auto"/>
        </w:rPr>
        <w:t xml:space="preserve">para ofrecer el servicio en ese lugar. </w:t>
      </w:r>
      <w:r w:rsidR="00A537C3" w:rsidRPr="0052418C">
        <w:rPr>
          <w:rFonts w:ascii="ITC Avant Garde" w:hAnsi="ITC Avant Garde" w:cs="Arial"/>
          <w:color w:val="auto"/>
        </w:rPr>
        <w:t>Por t</w:t>
      </w:r>
      <w:r w:rsidR="00192C75" w:rsidRPr="0052418C">
        <w:rPr>
          <w:rFonts w:ascii="ITC Avant Garde" w:hAnsi="ITC Avant Garde" w:cs="Arial"/>
          <w:color w:val="auto"/>
        </w:rPr>
        <w:t>anto, sugiere la siguiente redacción:</w:t>
      </w:r>
    </w:p>
    <w:p w14:paraId="63CEA479" w14:textId="77777777" w:rsidR="009E00B7" w:rsidRPr="0052418C" w:rsidRDefault="009E00B7" w:rsidP="0052418C">
      <w:pPr>
        <w:spacing w:after="0" w:line="276" w:lineRule="auto"/>
        <w:ind w:left="0" w:right="0" w:firstLine="0"/>
        <w:rPr>
          <w:rFonts w:ascii="ITC Avant Garde" w:hAnsi="ITC Avant Garde" w:cs="Arial"/>
          <w:color w:val="auto"/>
        </w:rPr>
      </w:pPr>
    </w:p>
    <w:p w14:paraId="0799E6B4" w14:textId="0019F9A9" w:rsidR="001F0E36" w:rsidRPr="0052418C" w:rsidRDefault="001F0E36" w:rsidP="0052418C">
      <w:pPr>
        <w:pStyle w:val="Prrafodelista"/>
        <w:numPr>
          <w:ilvl w:val="2"/>
          <w:numId w:val="91"/>
        </w:numPr>
        <w:spacing w:line="276" w:lineRule="auto"/>
        <w:ind w:left="709" w:right="567"/>
        <w:rPr>
          <w:rFonts w:ascii="ITC Avant Garde" w:hAnsi="ITC Avant Garde" w:cs="Arial"/>
          <w:i/>
          <w:color w:val="auto"/>
          <w:sz w:val="18"/>
          <w:szCs w:val="18"/>
        </w:rPr>
      </w:pPr>
      <w:r w:rsidRPr="0052418C">
        <w:rPr>
          <w:rFonts w:ascii="ITC Avant Garde" w:hAnsi="ITC Avant Garde" w:cs="Arial"/>
          <w:i/>
          <w:color w:val="auto"/>
          <w:sz w:val="18"/>
          <w:szCs w:val="18"/>
        </w:rPr>
        <w:t xml:space="preserve">Cuando </w:t>
      </w:r>
      <w:r w:rsidR="00CE016F" w:rsidRPr="0052418C">
        <w:rPr>
          <w:rFonts w:ascii="ITC Avant Garde" w:hAnsi="ITC Avant Garde" w:cs="Arial"/>
          <w:i/>
          <w:color w:val="auto"/>
          <w:sz w:val="18"/>
          <w:szCs w:val="18"/>
        </w:rPr>
        <w:t xml:space="preserve">Red Nacional </w:t>
      </w:r>
      <w:r w:rsidRPr="0052418C">
        <w:rPr>
          <w:rFonts w:ascii="ITC Avant Garde" w:hAnsi="ITC Avant Garde" w:cs="Arial"/>
          <w:i/>
          <w:color w:val="auto"/>
          <w:sz w:val="18"/>
          <w:szCs w:val="18"/>
        </w:rPr>
        <w:t>preste o haya prestado serv</w:t>
      </w:r>
      <w:r w:rsidR="005C16EF" w:rsidRPr="0052418C">
        <w:rPr>
          <w:rFonts w:ascii="ITC Avant Garde" w:hAnsi="ITC Avant Garde" w:cs="Arial"/>
          <w:i/>
          <w:color w:val="auto"/>
          <w:sz w:val="18"/>
          <w:szCs w:val="18"/>
        </w:rPr>
        <w:t>i</w:t>
      </w:r>
      <w:r w:rsidRPr="0052418C">
        <w:rPr>
          <w:rFonts w:ascii="ITC Avant Garde" w:hAnsi="ITC Avant Garde" w:cs="Arial"/>
          <w:i/>
          <w:color w:val="auto"/>
          <w:sz w:val="18"/>
          <w:szCs w:val="18"/>
        </w:rPr>
        <w:t>c</w:t>
      </w:r>
      <w:r w:rsidR="005C16EF" w:rsidRPr="0052418C">
        <w:rPr>
          <w:rFonts w:ascii="ITC Avant Garde" w:hAnsi="ITC Avant Garde" w:cs="Arial"/>
          <w:i/>
          <w:color w:val="auto"/>
          <w:sz w:val="18"/>
          <w:szCs w:val="18"/>
        </w:rPr>
        <w:t>i</w:t>
      </w:r>
      <w:r w:rsidRPr="0052418C">
        <w:rPr>
          <w:rFonts w:ascii="ITC Avant Garde" w:hAnsi="ITC Avant Garde" w:cs="Arial"/>
          <w:i/>
          <w:color w:val="auto"/>
          <w:sz w:val="18"/>
          <w:szCs w:val="18"/>
        </w:rPr>
        <w:t xml:space="preserve">os al </w:t>
      </w:r>
      <w:r w:rsidR="00CE016F" w:rsidRPr="0052418C">
        <w:rPr>
          <w:rFonts w:ascii="ITC Avant Garde" w:hAnsi="ITC Avant Garde" w:cs="Arial"/>
          <w:i/>
          <w:color w:val="auto"/>
          <w:sz w:val="18"/>
          <w:szCs w:val="18"/>
        </w:rPr>
        <w:t>CS</w:t>
      </w:r>
      <w:r w:rsidRPr="0052418C">
        <w:rPr>
          <w:rFonts w:ascii="ITC Avant Garde" w:hAnsi="ITC Avant Garde" w:cs="Arial"/>
          <w:i/>
          <w:color w:val="auto"/>
          <w:sz w:val="18"/>
          <w:szCs w:val="18"/>
        </w:rPr>
        <w:t xml:space="preserve"> en un determinado domicilio, utilizando la misma tecnología.</w:t>
      </w:r>
    </w:p>
    <w:p w14:paraId="36344E59" w14:textId="77777777" w:rsidR="005C16EF" w:rsidRPr="0052418C" w:rsidRDefault="005C16EF" w:rsidP="0052418C">
      <w:pPr>
        <w:spacing w:after="0" w:line="276" w:lineRule="auto"/>
        <w:ind w:left="709" w:right="567" w:hanging="567"/>
        <w:rPr>
          <w:rFonts w:ascii="ITC Avant Garde" w:hAnsi="ITC Avant Garde" w:cs="Arial"/>
          <w:i/>
          <w:color w:val="auto"/>
          <w:sz w:val="18"/>
          <w:szCs w:val="18"/>
        </w:rPr>
      </w:pPr>
    </w:p>
    <w:p w14:paraId="0FAE86B3" w14:textId="40B2F40D" w:rsidR="001F0E36" w:rsidRPr="0052418C" w:rsidRDefault="00A74997" w:rsidP="0052418C">
      <w:pPr>
        <w:pStyle w:val="Prrafodelista"/>
        <w:numPr>
          <w:ilvl w:val="2"/>
          <w:numId w:val="91"/>
        </w:numPr>
        <w:tabs>
          <w:tab w:val="left" w:pos="851"/>
        </w:tabs>
        <w:spacing w:after="0" w:line="276" w:lineRule="auto"/>
        <w:ind w:left="709" w:right="567"/>
        <w:rPr>
          <w:rFonts w:ascii="ITC Avant Garde" w:hAnsi="ITC Avant Garde" w:cs="Arial"/>
          <w:i/>
          <w:color w:val="auto"/>
          <w:sz w:val="18"/>
          <w:szCs w:val="18"/>
        </w:rPr>
      </w:pPr>
      <w:r w:rsidRPr="0052418C">
        <w:rPr>
          <w:rFonts w:ascii="ITC Avant Garde" w:hAnsi="ITC Avant Garde" w:cs="Arial"/>
          <w:i/>
          <w:color w:val="auto"/>
          <w:sz w:val="18"/>
          <w:szCs w:val="18"/>
        </w:rPr>
        <w:t xml:space="preserve">Si habiendo realizado adecuaciones para la prestación de los servicios, los costos de tales adecuaciones ya hubieren sido absorbidos por otro </w:t>
      </w:r>
      <w:r w:rsidR="00CE016F" w:rsidRPr="0052418C">
        <w:rPr>
          <w:rFonts w:ascii="ITC Avant Garde" w:hAnsi="ITC Avant Garde" w:cs="Arial"/>
          <w:i/>
          <w:color w:val="auto"/>
          <w:sz w:val="18"/>
          <w:szCs w:val="18"/>
        </w:rPr>
        <w:t>c</w:t>
      </w:r>
      <w:r w:rsidRPr="0052418C">
        <w:rPr>
          <w:rFonts w:ascii="ITC Avant Garde" w:hAnsi="ITC Avant Garde" w:cs="Arial"/>
          <w:i/>
          <w:color w:val="auto"/>
          <w:sz w:val="18"/>
          <w:szCs w:val="18"/>
        </w:rPr>
        <w:t xml:space="preserve">oncesionario </w:t>
      </w:r>
      <w:r w:rsidR="00CE016F" w:rsidRPr="0052418C">
        <w:rPr>
          <w:rFonts w:ascii="ITC Avant Garde" w:hAnsi="ITC Avant Garde" w:cs="Arial"/>
          <w:i/>
          <w:color w:val="auto"/>
          <w:sz w:val="18"/>
          <w:szCs w:val="18"/>
        </w:rPr>
        <w:t>s</w:t>
      </w:r>
      <w:r w:rsidRPr="0052418C">
        <w:rPr>
          <w:rFonts w:ascii="ITC Avant Garde" w:hAnsi="ITC Avant Garde" w:cs="Arial"/>
          <w:i/>
          <w:color w:val="auto"/>
          <w:sz w:val="18"/>
          <w:szCs w:val="18"/>
        </w:rPr>
        <w:t>olicitante</w:t>
      </w:r>
      <w:r w:rsidR="001F0E36" w:rsidRPr="0052418C">
        <w:rPr>
          <w:rFonts w:ascii="ITC Avant Garde" w:hAnsi="ITC Avant Garde" w:cs="Arial"/>
          <w:i/>
          <w:color w:val="auto"/>
          <w:sz w:val="18"/>
          <w:szCs w:val="18"/>
        </w:rPr>
        <w:t>, y</w:t>
      </w:r>
    </w:p>
    <w:p w14:paraId="357236C0" w14:textId="77777777" w:rsidR="005C16EF" w:rsidRPr="0052418C" w:rsidRDefault="005C16EF" w:rsidP="0052418C">
      <w:pPr>
        <w:spacing w:after="0" w:line="276" w:lineRule="auto"/>
        <w:ind w:left="709" w:right="567" w:hanging="567"/>
        <w:rPr>
          <w:rFonts w:ascii="ITC Avant Garde" w:hAnsi="ITC Avant Garde" w:cs="Arial"/>
          <w:i/>
          <w:color w:val="auto"/>
          <w:sz w:val="18"/>
          <w:szCs w:val="18"/>
        </w:rPr>
      </w:pPr>
    </w:p>
    <w:p w14:paraId="79AB46A7" w14:textId="06AE3205" w:rsidR="001F0E36" w:rsidRPr="0052418C" w:rsidRDefault="001F0E36" w:rsidP="0052418C">
      <w:pPr>
        <w:pStyle w:val="Prrafodelista"/>
        <w:numPr>
          <w:ilvl w:val="2"/>
          <w:numId w:val="91"/>
        </w:numPr>
        <w:tabs>
          <w:tab w:val="left" w:pos="851"/>
        </w:tabs>
        <w:spacing w:after="0" w:line="276" w:lineRule="auto"/>
        <w:ind w:left="709" w:right="567"/>
        <w:rPr>
          <w:rFonts w:ascii="ITC Avant Garde" w:hAnsi="ITC Avant Garde" w:cs="Arial"/>
          <w:i/>
          <w:color w:val="auto"/>
          <w:sz w:val="18"/>
          <w:szCs w:val="18"/>
        </w:rPr>
      </w:pPr>
      <w:r w:rsidRPr="0052418C">
        <w:rPr>
          <w:rFonts w:ascii="ITC Avant Garde" w:hAnsi="ITC Avant Garde" w:cs="Arial"/>
          <w:i/>
          <w:color w:val="auto"/>
          <w:sz w:val="18"/>
          <w:szCs w:val="18"/>
        </w:rPr>
        <w:t>Si para la prestación de los servicios se requieren elementos de red cuyo costo ya se encuentre incorporado en las tarifas determinadas por el Instituto para el servicio mayorista de enlaces dedicados.</w:t>
      </w:r>
      <w:r w:rsidR="00CE016F" w:rsidRPr="0052418C">
        <w:rPr>
          <w:rFonts w:ascii="ITC Avant Garde" w:hAnsi="ITC Avant Garde" w:cs="Arial"/>
          <w:i/>
          <w:color w:val="auto"/>
          <w:sz w:val="18"/>
          <w:szCs w:val="18"/>
        </w:rPr>
        <w:t>”</w:t>
      </w:r>
    </w:p>
    <w:p w14:paraId="3AC26BE1" w14:textId="27A45F12" w:rsidR="001F0E36" w:rsidRPr="0052418C" w:rsidRDefault="001F0E36" w:rsidP="0052418C">
      <w:pPr>
        <w:spacing w:after="0" w:line="276" w:lineRule="auto"/>
        <w:ind w:left="0" w:right="0" w:firstLine="0"/>
        <w:rPr>
          <w:rFonts w:ascii="ITC Avant Garde" w:hAnsi="ITC Avant Garde" w:cs="Arial"/>
          <w:color w:val="auto"/>
        </w:rPr>
      </w:pPr>
    </w:p>
    <w:p w14:paraId="528D0B92" w14:textId="77777777" w:rsidR="003112CE" w:rsidRPr="0052418C" w:rsidRDefault="003112CE" w:rsidP="0052418C">
      <w:pPr>
        <w:tabs>
          <w:tab w:val="left" w:pos="3015"/>
        </w:tabs>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MEGA CABLE:</w:t>
      </w:r>
    </w:p>
    <w:p w14:paraId="67DFFC58" w14:textId="450492F4" w:rsidR="003112CE" w:rsidRPr="0052418C" w:rsidRDefault="003112CE"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Sugirió ampliar la sección de los casos en donde </w:t>
      </w:r>
      <w:r w:rsidR="00EF0921" w:rsidRPr="0052418C">
        <w:rPr>
          <w:rFonts w:ascii="ITC Avant Garde" w:hAnsi="ITC Avant Garde" w:cs="Arial"/>
        </w:rPr>
        <w:t>Red Nacional</w:t>
      </w:r>
      <w:r w:rsidR="00EF0921" w:rsidRPr="0052418C">
        <w:rPr>
          <w:rFonts w:ascii="ITC Avant Garde" w:hAnsi="ITC Avant Garde"/>
          <w:bCs/>
          <w:color w:val="auto"/>
        </w:rPr>
        <w:t xml:space="preserve"> </w:t>
      </w:r>
      <w:r w:rsidRPr="0052418C">
        <w:rPr>
          <w:rFonts w:ascii="ITC Avant Garde" w:hAnsi="ITC Avant Garde" w:cs="Arial"/>
          <w:color w:val="auto"/>
        </w:rPr>
        <w:t>no puede</w:t>
      </w:r>
      <w:r w:rsidR="00EF0921" w:rsidRPr="0052418C">
        <w:rPr>
          <w:rFonts w:ascii="ITC Avant Garde" w:hAnsi="ITC Avant Garde" w:cs="Arial"/>
          <w:color w:val="auto"/>
        </w:rPr>
        <w:t>n</w:t>
      </w:r>
      <w:r w:rsidRPr="0052418C">
        <w:rPr>
          <w:rFonts w:ascii="ITC Avant Garde" w:hAnsi="ITC Avant Garde" w:cs="Arial"/>
          <w:color w:val="auto"/>
        </w:rPr>
        <w:t xml:space="preserve"> considerar como Proyecto Especial, con el objetivo de acotar este recurso que </w:t>
      </w:r>
      <w:r w:rsidR="00EF0921" w:rsidRPr="0052418C">
        <w:rPr>
          <w:rFonts w:ascii="ITC Avant Garde" w:hAnsi="ITC Avant Garde" w:cs="Arial"/>
        </w:rPr>
        <w:t>Red Nacional</w:t>
      </w:r>
      <w:r w:rsidR="00EF0921" w:rsidRPr="0052418C">
        <w:rPr>
          <w:rFonts w:ascii="ITC Avant Garde" w:hAnsi="ITC Avant Garde"/>
          <w:bCs/>
          <w:color w:val="auto"/>
        </w:rPr>
        <w:t xml:space="preserve"> </w:t>
      </w:r>
      <w:r w:rsidRPr="0052418C">
        <w:rPr>
          <w:rFonts w:ascii="ITC Avant Garde" w:hAnsi="ITC Avant Garde" w:cs="Arial"/>
          <w:color w:val="auto"/>
        </w:rPr>
        <w:t>puede utilizar para retardar, obstaculizar o encarecer la prestación del servicio de arrendamiento de enlaces dedicados a los CS o AS.</w:t>
      </w:r>
    </w:p>
    <w:p w14:paraId="449D2CCE" w14:textId="77777777" w:rsidR="003112CE" w:rsidRPr="0052418C" w:rsidRDefault="003112CE" w:rsidP="0052418C">
      <w:pPr>
        <w:spacing w:after="0" w:line="276" w:lineRule="auto"/>
        <w:ind w:left="0" w:right="0" w:firstLine="0"/>
        <w:rPr>
          <w:rFonts w:ascii="ITC Avant Garde" w:hAnsi="ITC Avant Garde" w:cs="Arial"/>
          <w:color w:val="auto"/>
        </w:rPr>
      </w:pPr>
    </w:p>
    <w:p w14:paraId="4FB17047" w14:textId="4CFD0091" w:rsidR="00814594" w:rsidRPr="0052418C" w:rsidRDefault="00814594"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23704C" w:rsidRPr="0052418C">
        <w:rPr>
          <w:rFonts w:ascii="ITC Avant Garde" w:hAnsi="ITC Avant Garde" w:cs="Arial"/>
          <w:b/>
          <w:color w:val="auto"/>
        </w:rPr>
        <w:t>:</w:t>
      </w:r>
    </w:p>
    <w:p w14:paraId="652D2FF4" w14:textId="15274FF5" w:rsidR="00FB5CC7" w:rsidRPr="0052418C" w:rsidRDefault="004765E6" w:rsidP="0052418C">
      <w:pPr>
        <w:spacing w:after="0" w:line="276" w:lineRule="auto"/>
        <w:ind w:left="0" w:right="0" w:firstLine="0"/>
        <w:rPr>
          <w:rFonts w:ascii="ITC Avant Garde" w:hAnsi="ITC Avant Garde" w:cs="Arial"/>
          <w:i/>
          <w:iCs/>
          <w:color w:val="auto"/>
        </w:rPr>
      </w:pPr>
      <w:r w:rsidRPr="0052418C">
        <w:rPr>
          <w:rFonts w:ascii="ITC Avant Garde" w:hAnsi="ITC Avant Garde" w:cs="Arial"/>
          <w:color w:val="auto"/>
        </w:rPr>
        <w:t>Al</w:t>
      </w:r>
      <w:r w:rsidR="00213268" w:rsidRPr="0052418C">
        <w:rPr>
          <w:rFonts w:ascii="ITC Avant Garde" w:hAnsi="ITC Avant Garde" w:cs="Arial"/>
          <w:color w:val="auto"/>
        </w:rPr>
        <w:t xml:space="preserve"> respecto,</w:t>
      </w:r>
      <w:r w:rsidR="00814594" w:rsidRPr="0052418C">
        <w:rPr>
          <w:rFonts w:ascii="ITC Avant Garde" w:hAnsi="ITC Avant Garde" w:cs="Arial"/>
          <w:color w:val="auto"/>
        </w:rPr>
        <w:t xml:space="preserve"> se delimit</w:t>
      </w:r>
      <w:r w:rsidR="00FB5CC7" w:rsidRPr="0052418C">
        <w:rPr>
          <w:rFonts w:ascii="ITC Avant Garde" w:hAnsi="ITC Avant Garde" w:cs="Arial"/>
          <w:color w:val="auto"/>
        </w:rPr>
        <w:t>aron</w:t>
      </w:r>
      <w:r w:rsidR="00814594" w:rsidRPr="0052418C">
        <w:rPr>
          <w:rFonts w:ascii="ITC Avant Garde" w:hAnsi="ITC Avant Garde" w:cs="Arial"/>
          <w:color w:val="auto"/>
        </w:rPr>
        <w:t xml:space="preserve"> </w:t>
      </w:r>
      <w:r w:rsidR="00FC6F15" w:rsidRPr="0052418C">
        <w:rPr>
          <w:rFonts w:ascii="ITC Avant Garde" w:hAnsi="ITC Avant Garde" w:cs="Arial"/>
          <w:color w:val="auto"/>
        </w:rPr>
        <w:t xml:space="preserve">los criterios </w:t>
      </w:r>
      <w:r w:rsidR="00814594" w:rsidRPr="0052418C">
        <w:rPr>
          <w:rFonts w:ascii="ITC Avant Garde" w:hAnsi="ITC Avant Garde" w:cs="Arial"/>
          <w:color w:val="auto"/>
        </w:rPr>
        <w:t xml:space="preserve">para que </w:t>
      </w:r>
      <w:r w:rsidR="00085911" w:rsidRPr="0052418C">
        <w:rPr>
          <w:rFonts w:ascii="ITC Avant Garde" w:hAnsi="ITC Avant Garde" w:cs="Arial"/>
          <w:color w:val="auto"/>
        </w:rPr>
        <w:t xml:space="preserve">una solicitud de servicios </w:t>
      </w:r>
      <w:r w:rsidR="00814594" w:rsidRPr="0052418C">
        <w:rPr>
          <w:rFonts w:ascii="ITC Avant Garde" w:hAnsi="ITC Avant Garde" w:cs="Arial"/>
          <w:color w:val="auto"/>
        </w:rPr>
        <w:t>pued</w:t>
      </w:r>
      <w:r w:rsidR="00BD0774" w:rsidRPr="0052418C">
        <w:rPr>
          <w:rFonts w:ascii="ITC Avant Garde" w:hAnsi="ITC Avant Garde" w:cs="Arial"/>
          <w:color w:val="auto"/>
        </w:rPr>
        <w:t>a</w:t>
      </w:r>
      <w:r w:rsidR="00814594" w:rsidRPr="0052418C">
        <w:rPr>
          <w:rFonts w:ascii="ITC Avant Garde" w:hAnsi="ITC Avant Garde" w:cs="Arial"/>
          <w:color w:val="auto"/>
        </w:rPr>
        <w:t xml:space="preserve"> calificarse como Proyecto Especial,</w:t>
      </w:r>
      <w:r w:rsidR="006A249D" w:rsidRPr="0052418C">
        <w:rPr>
          <w:rFonts w:ascii="ITC Avant Garde" w:hAnsi="ITC Avant Garde" w:cs="Arial"/>
          <w:color w:val="auto"/>
        </w:rPr>
        <w:t xml:space="preserve"> eliminando la adición de Red Nacional</w:t>
      </w:r>
      <w:r w:rsidR="00194E2B" w:rsidRPr="0052418C">
        <w:rPr>
          <w:rFonts w:ascii="ITC Avant Garde" w:hAnsi="ITC Avant Garde" w:cs="Arial"/>
          <w:color w:val="auto"/>
        </w:rPr>
        <w:t xml:space="preserve"> </w:t>
      </w:r>
      <w:r w:rsidR="006A249D" w:rsidRPr="0052418C">
        <w:rPr>
          <w:rFonts w:ascii="ITC Avant Garde" w:hAnsi="ITC Avant Garde" w:cs="Arial"/>
          <w:i/>
          <w:iCs/>
          <w:color w:val="auto"/>
        </w:rPr>
        <w:t>“siempre y cuando se cuente con infraestructura disponible para proporcionar el servicio”</w:t>
      </w:r>
      <w:r w:rsidR="00194E2B" w:rsidRPr="0052418C">
        <w:rPr>
          <w:rFonts w:ascii="ITC Avant Garde" w:hAnsi="ITC Avant Garde" w:cs="Arial"/>
          <w:color w:val="auto"/>
        </w:rPr>
        <w:t>.</w:t>
      </w:r>
      <w:r w:rsidR="006A249D" w:rsidRPr="0052418C">
        <w:rPr>
          <w:rFonts w:ascii="ITC Avant Garde" w:hAnsi="ITC Avant Garde" w:cs="Arial"/>
          <w:color w:val="auto"/>
        </w:rPr>
        <w:t xml:space="preserve"> </w:t>
      </w:r>
      <w:r w:rsidR="00194E2B" w:rsidRPr="0052418C">
        <w:rPr>
          <w:rFonts w:ascii="ITC Avant Garde" w:hAnsi="ITC Avant Garde" w:cs="Arial"/>
          <w:color w:val="auto"/>
        </w:rPr>
        <w:t>E</w:t>
      </w:r>
      <w:r w:rsidR="00D533D0" w:rsidRPr="0052418C">
        <w:rPr>
          <w:rFonts w:ascii="ITC Avant Garde" w:hAnsi="ITC Avant Garde" w:cs="Arial"/>
          <w:color w:val="auto"/>
        </w:rPr>
        <w:t xml:space="preserve">s así que, </w:t>
      </w:r>
      <w:r w:rsidR="006A249D" w:rsidRPr="0052418C">
        <w:rPr>
          <w:rFonts w:ascii="ITC Avant Garde" w:hAnsi="ITC Avant Garde"/>
          <w:color w:val="auto"/>
        </w:rPr>
        <w:t>de conformidad con la Medida Cuadragésima Primera de las Medidas Fijas, se modificó la oferta conforme a las condiciones de la ORE EM 202</w:t>
      </w:r>
      <w:r w:rsidR="00194E2B" w:rsidRPr="0052418C">
        <w:rPr>
          <w:rFonts w:ascii="ITC Avant Garde" w:hAnsi="ITC Avant Garde"/>
          <w:color w:val="auto"/>
        </w:rPr>
        <w:t>1</w:t>
      </w:r>
      <w:r w:rsidR="00FB5CC7" w:rsidRPr="0052418C">
        <w:rPr>
          <w:rFonts w:ascii="ITC Avant Garde" w:hAnsi="ITC Avant Garde" w:cs="Arial"/>
          <w:color w:val="auto"/>
        </w:rPr>
        <w:t>, en los siguientes términos:</w:t>
      </w:r>
    </w:p>
    <w:p w14:paraId="11958D84" w14:textId="77777777" w:rsidR="0023704C" w:rsidRPr="0052418C" w:rsidRDefault="0023704C" w:rsidP="0052418C">
      <w:pPr>
        <w:spacing w:after="0" w:line="276" w:lineRule="auto"/>
        <w:ind w:left="0" w:right="0" w:firstLine="0"/>
        <w:rPr>
          <w:rFonts w:ascii="ITC Avant Garde" w:hAnsi="ITC Avant Garde" w:cs="Arial"/>
          <w:color w:val="auto"/>
        </w:rPr>
      </w:pPr>
    </w:p>
    <w:p w14:paraId="3162CDAE" w14:textId="77777777" w:rsidR="0023704C" w:rsidRPr="005F42E6" w:rsidRDefault="0023704C" w:rsidP="0052418C">
      <w:pPr>
        <w:autoSpaceDE w:val="0"/>
        <w:autoSpaceDN w:val="0"/>
        <w:spacing w:after="0" w:line="276" w:lineRule="auto"/>
        <w:ind w:left="567" w:right="616"/>
        <w:rPr>
          <w:rFonts w:ascii="ITC Avant Garde" w:eastAsia="Calibri" w:hAnsi="ITC Avant Garde" w:cs="Arial"/>
          <w:b/>
          <w:i/>
          <w:sz w:val="18"/>
          <w:szCs w:val="18"/>
          <w:lang w:val="es-ES_tradnl" w:eastAsia="es-ES_tradnl"/>
        </w:rPr>
      </w:pPr>
      <w:r w:rsidRPr="005F42E6">
        <w:rPr>
          <w:rFonts w:ascii="ITC Avant Garde" w:eastAsia="Calibri" w:hAnsi="ITC Avant Garde" w:cs="Arial"/>
          <w:b/>
          <w:i/>
          <w:sz w:val="18"/>
          <w:szCs w:val="18"/>
          <w:lang w:val="es-ES_tradnl" w:eastAsia="es-ES_tradnl"/>
        </w:rPr>
        <w:t>“2.5.6.4 No se considerarán Proyectos Especiales, los siguientes casos:</w:t>
      </w:r>
    </w:p>
    <w:p w14:paraId="3679660D" w14:textId="77777777" w:rsidR="0023704C" w:rsidRPr="005F42E6" w:rsidRDefault="0023704C" w:rsidP="0052418C">
      <w:pPr>
        <w:autoSpaceDE w:val="0"/>
        <w:autoSpaceDN w:val="0"/>
        <w:spacing w:after="0" w:line="276" w:lineRule="auto"/>
        <w:ind w:left="709" w:right="709"/>
        <w:rPr>
          <w:rFonts w:ascii="ITC Avant Garde" w:eastAsia="Calibri" w:hAnsi="ITC Avant Garde" w:cs="Arial"/>
          <w:i/>
          <w:sz w:val="18"/>
          <w:szCs w:val="18"/>
          <w:lang w:val="es-ES_tradnl" w:eastAsia="es-ES_tradnl"/>
        </w:rPr>
      </w:pPr>
    </w:p>
    <w:p w14:paraId="790C1303" w14:textId="77777777" w:rsidR="002A18D3" w:rsidRPr="005F42E6" w:rsidRDefault="002A18D3" w:rsidP="0052418C">
      <w:pPr>
        <w:numPr>
          <w:ilvl w:val="0"/>
          <w:numId w:val="75"/>
        </w:numPr>
        <w:autoSpaceDE w:val="0"/>
        <w:autoSpaceDN w:val="0"/>
        <w:spacing w:after="0" w:line="276" w:lineRule="auto"/>
        <w:ind w:left="709" w:right="709" w:firstLine="0"/>
        <w:rPr>
          <w:rFonts w:ascii="ITC Avant Garde" w:eastAsia="Calibri" w:hAnsi="ITC Avant Garde"/>
          <w:i/>
          <w:sz w:val="18"/>
          <w:szCs w:val="18"/>
          <w:lang w:val="es-ES_tradnl"/>
        </w:rPr>
      </w:pPr>
      <w:bookmarkStart w:id="14" w:name="_Hlk45194297"/>
      <w:r w:rsidRPr="005F42E6">
        <w:rPr>
          <w:rFonts w:ascii="ITC Avant Garde" w:eastAsia="Calibri" w:hAnsi="ITC Avant Garde" w:cs="Arial"/>
          <w:i/>
          <w:sz w:val="18"/>
          <w:szCs w:val="18"/>
          <w:lang w:val="es-ES_tradnl"/>
        </w:rPr>
        <w:t xml:space="preserve">Cuando </w:t>
      </w:r>
      <w:r w:rsidRPr="005F42E6">
        <w:rPr>
          <w:rFonts w:ascii="ITC Avant Garde" w:eastAsia="Calibri" w:hAnsi="ITC Avant Garde" w:cs="Arial"/>
          <w:i/>
          <w:sz w:val="18"/>
          <w:szCs w:val="18"/>
          <w:lang w:val="es-ES_tradnl" w:eastAsia="es-ES_tradnl"/>
        </w:rPr>
        <w:t>Red Nacional</w:t>
      </w:r>
      <w:r w:rsidRPr="005F42E6">
        <w:rPr>
          <w:rFonts w:ascii="ITC Avant Garde" w:hAnsi="ITC Avant Garde" w:cs="Arial"/>
          <w:i/>
          <w:sz w:val="18"/>
          <w:szCs w:val="18"/>
        </w:rPr>
        <w:t>/Red Noroeste</w:t>
      </w:r>
      <w:r w:rsidRPr="005F42E6">
        <w:rPr>
          <w:rFonts w:ascii="ITC Avant Garde" w:eastAsia="Calibri" w:hAnsi="ITC Avant Garde" w:cs="Arial"/>
          <w:i/>
          <w:sz w:val="18"/>
          <w:szCs w:val="18"/>
          <w:lang w:val="es-ES_tradnl"/>
        </w:rPr>
        <w:t xml:space="preserve"> preste o haya prestado servicios al </w:t>
      </w:r>
      <w:r w:rsidRPr="005F42E6">
        <w:rPr>
          <w:rFonts w:ascii="ITC Avant Garde" w:eastAsia="Calibri" w:hAnsi="ITC Avant Garde" w:cs="Arial"/>
          <w:i/>
          <w:sz w:val="18"/>
          <w:szCs w:val="18"/>
          <w:lang w:val="es-ES_tradnl" w:eastAsia="es-ES_tradnl"/>
        </w:rPr>
        <w:t xml:space="preserve">CS </w:t>
      </w:r>
      <w:r w:rsidRPr="005F42E6">
        <w:rPr>
          <w:rFonts w:ascii="ITC Avant Garde" w:eastAsia="Calibri" w:hAnsi="ITC Avant Garde" w:cs="Arial"/>
          <w:i/>
          <w:sz w:val="18"/>
          <w:szCs w:val="18"/>
          <w:lang w:val="es-ES_tradnl"/>
        </w:rPr>
        <w:t xml:space="preserve">en un determinado domicilio, utilizando la misma tecnología </w:t>
      </w:r>
      <w:r w:rsidRPr="005F42E6">
        <w:rPr>
          <w:rFonts w:ascii="ITC Avant Garde" w:eastAsia="Calibri" w:hAnsi="ITC Avant Garde" w:cs="Arial"/>
          <w:i/>
          <w:sz w:val="18"/>
          <w:szCs w:val="18"/>
          <w:lang w:val="es-ES_tradnl" w:eastAsia="es-ES_tradnl"/>
        </w:rPr>
        <w:t>requerida</w:t>
      </w:r>
    </w:p>
    <w:p w14:paraId="5F425C2A" w14:textId="77777777" w:rsidR="002A18D3" w:rsidRPr="005F42E6" w:rsidRDefault="002A18D3" w:rsidP="0052418C">
      <w:pPr>
        <w:autoSpaceDE w:val="0"/>
        <w:autoSpaceDN w:val="0"/>
        <w:spacing w:after="0" w:line="276" w:lineRule="auto"/>
        <w:ind w:left="709" w:right="709"/>
        <w:rPr>
          <w:rFonts w:ascii="ITC Avant Garde" w:eastAsia="Calibri" w:hAnsi="ITC Avant Garde" w:cs="Arial"/>
          <w:i/>
          <w:sz w:val="18"/>
          <w:szCs w:val="18"/>
          <w:lang w:val="es-ES_tradnl" w:eastAsia="es-ES_tradnl"/>
        </w:rPr>
      </w:pPr>
    </w:p>
    <w:p w14:paraId="0FD69DB0" w14:textId="77777777" w:rsidR="002A18D3" w:rsidRPr="005F42E6" w:rsidRDefault="002A18D3" w:rsidP="0052418C">
      <w:pPr>
        <w:numPr>
          <w:ilvl w:val="0"/>
          <w:numId w:val="75"/>
        </w:numPr>
        <w:autoSpaceDE w:val="0"/>
        <w:autoSpaceDN w:val="0"/>
        <w:spacing w:after="0" w:line="276" w:lineRule="auto"/>
        <w:ind w:left="709" w:right="709" w:firstLine="0"/>
        <w:rPr>
          <w:rFonts w:ascii="ITC Avant Garde" w:eastAsia="Calibri" w:hAnsi="ITC Avant Garde" w:cs="Arial"/>
          <w:i/>
          <w:sz w:val="18"/>
          <w:szCs w:val="18"/>
          <w:lang w:val="es-ES_tradnl"/>
        </w:rPr>
      </w:pPr>
      <w:r w:rsidRPr="005F42E6">
        <w:rPr>
          <w:rFonts w:ascii="ITC Avant Garde" w:eastAsia="Calibri" w:hAnsi="ITC Avant Garde" w:cs="Arial"/>
          <w:i/>
          <w:sz w:val="18"/>
          <w:szCs w:val="18"/>
          <w:lang w:val="es-ES_tradnl" w:eastAsia="es-ES_tradnl"/>
        </w:rPr>
        <w:t>Cuando únicamente</w:t>
      </w:r>
      <w:r w:rsidRPr="005F42E6">
        <w:rPr>
          <w:rFonts w:ascii="ITC Avant Garde" w:eastAsia="Calibri" w:hAnsi="ITC Avant Garde" w:cs="Arial"/>
          <w:i/>
          <w:sz w:val="18"/>
          <w:szCs w:val="18"/>
          <w:lang w:val="es-ES_tradnl"/>
        </w:rPr>
        <w:t xml:space="preserve"> se </w:t>
      </w:r>
      <w:r w:rsidRPr="005F42E6">
        <w:rPr>
          <w:rFonts w:ascii="ITC Avant Garde" w:eastAsia="Calibri" w:hAnsi="ITC Avant Garde" w:cs="Arial"/>
          <w:i/>
          <w:sz w:val="18"/>
          <w:szCs w:val="18"/>
          <w:lang w:val="es-ES_tradnl" w:eastAsia="es-ES_tradnl"/>
        </w:rPr>
        <w:t>requiera utilizar un equipo</w:t>
      </w:r>
      <w:r w:rsidRPr="005F42E6">
        <w:rPr>
          <w:rFonts w:ascii="ITC Avant Garde" w:eastAsia="Calibri" w:hAnsi="ITC Avant Garde" w:cs="Arial"/>
          <w:i/>
          <w:sz w:val="18"/>
          <w:szCs w:val="18"/>
          <w:lang w:val="es-ES_tradnl"/>
        </w:rPr>
        <w:t xml:space="preserve"> con </w:t>
      </w:r>
      <w:r w:rsidRPr="005F42E6">
        <w:rPr>
          <w:rFonts w:ascii="ITC Avant Garde" w:eastAsia="Calibri" w:hAnsi="ITC Avant Garde" w:cs="Arial"/>
          <w:i/>
          <w:sz w:val="18"/>
          <w:szCs w:val="18"/>
          <w:lang w:val="es-ES_tradnl" w:eastAsia="es-ES_tradnl"/>
        </w:rPr>
        <w:t>diferente tecnología. En este caso será procedente</w:t>
      </w:r>
      <w:r w:rsidRPr="005F42E6">
        <w:rPr>
          <w:rFonts w:ascii="ITC Avant Garde" w:eastAsia="Calibri" w:hAnsi="ITC Avant Garde" w:cs="Arial"/>
          <w:i/>
          <w:sz w:val="18"/>
          <w:szCs w:val="18"/>
          <w:lang w:val="es-ES_tradnl"/>
        </w:rPr>
        <w:t xml:space="preserve"> el </w:t>
      </w:r>
      <w:r w:rsidRPr="005F42E6">
        <w:rPr>
          <w:rFonts w:ascii="ITC Avant Garde" w:eastAsia="Calibri" w:hAnsi="ITC Avant Garde" w:cs="Arial"/>
          <w:i/>
          <w:sz w:val="18"/>
          <w:szCs w:val="18"/>
          <w:lang w:val="es-ES_tradnl" w:eastAsia="es-ES_tradnl"/>
        </w:rPr>
        <w:t>cobro de los gastos de instalación de dicho equipo y la renta mensual asociada a dicho enlace, de conformidad con los precios y tarifas de la presente Oferta;</w:t>
      </w:r>
    </w:p>
    <w:bookmarkEnd w:id="14"/>
    <w:p w14:paraId="376C2807" w14:textId="77777777" w:rsidR="002A18D3" w:rsidRPr="005F42E6" w:rsidRDefault="002A18D3" w:rsidP="0052418C">
      <w:pPr>
        <w:autoSpaceDE w:val="0"/>
        <w:autoSpaceDN w:val="0"/>
        <w:spacing w:after="0" w:line="276" w:lineRule="auto"/>
        <w:ind w:left="709" w:right="709"/>
        <w:rPr>
          <w:rFonts w:ascii="ITC Avant Garde" w:eastAsia="Calibri" w:hAnsi="ITC Avant Garde" w:cs="Arial"/>
          <w:i/>
          <w:sz w:val="18"/>
          <w:szCs w:val="18"/>
          <w:lang w:val="es-ES_tradnl"/>
        </w:rPr>
      </w:pPr>
    </w:p>
    <w:p w14:paraId="4B486C22" w14:textId="77777777" w:rsidR="002A18D3" w:rsidRPr="005F42E6" w:rsidRDefault="002A18D3" w:rsidP="0052418C">
      <w:pPr>
        <w:numPr>
          <w:ilvl w:val="0"/>
          <w:numId w:val="75"/>
        </w:numPr>
        <w:autoSpaceDE w:val="0"/>
        <w:autoSpaceDN w:val="0"/>
        <w:spacing w:after="0" w:line="276" w:lineRule="auto"/>
        <w:ind w:left="709" w:right="709" w:firstLine="0"/>
        <w:rPr>
          <w:rFonts w:ascii="ITC Avant Garde" w:eastAsia="Calibri" w:hAnsi="ITC Avant Garde" w:cs="Arial"/>
          <w:i/>
          <w:sz w:val="18"/>
          <w:szCs w:val="18"/>
          <w:lang w:val="es-ES_tradnl"/>
        </w:rPr>
      </w:pPr>
      <w:r w:rsidRPr="005F42E6">
        <w:rPr>
          <w:rFonts w:ascii="ITC Avant Garde" w:eastAsia="Calibri" w:hAnsi="ITC Avant Garde" w:cs="Arial"/>
          <w:i/>
          <w:sz w:val="18"/>
          <w:szCs w:val="18"/>
          <w:lang w:val="es-ES_tradnl"/>
        </w:rPr>
        <w:t xml:space="preserve">Si habiendo realizado adecuaciones para la prestación de los Servicios, los costos de tales adecuaciones ya hubieren sido absorbidos por otro </w:t>
      </w:r>
      <w:r w:rsidRPr="005F42E6">
        <w:rPr>
          <w:rFonts w:ascii="ITC Avant Garde" w:eastAsia="Calibri" w:hAnsi="ITC Avant Garde" w:cs="Arial"/>
          <w:i/>
          <w:sz w:val="18"/>
          <w:szCs w:val="18"/>
          <w:lang w:val="es-ES_tradnl" w:eastAsia="es-ES_tradnl"/>
        </w:rPr>
        <w:t>CS</w:t>
      </w:r>
      <w:r w:rsidRPr="005F42E6">
        <w:rPr>
          <w:rFonts w:ascii="ITC Avant Garde" w:eastAsia="Calibri" w:hAnsi="ITC Avant Garde" w:cs="Arial"/>
          <w:i/>
          <w:sz w:val="18"/>
          <w:szCs w:val="18"/>
          <w:lang w:val="es-ES_tradnl"/>
        </w:rPr>
        <w:t>, y</w:t>
      </w:r>
    </w:p>
    <w:p w14:paraId="34693B27" w14:textId="77777777" w:rsidR="002A18D3" w:rsidRPr="005F42E6" w:rsidRDefault="002A18D3" w:rsidP="0052418C">
      <w:pPr>
        <w:pStyle w:val="Prrafodelista"/>
        <w:spacing w:line="276" w:lineRule="auto"/>
        <w:ind w:left="709" w:right="709"/>
        <w:rPr>
          <w:rFonts w:ascii="ITC Avant Garde" w:eastAsia="Calibri" w:hAnsi="ITC Avant Garde" w:cs="Arial"/>
          <w:i/>
          <w:sz w:val="18"/>
          <w:szCs w:val="18"/>
          <w:lang w:val="es-ES_tradnl"/>
        </w:rPr>
      </w:pPr>
    </w:p>
    <w:p w14:paraId="440F2919" w14:textId="3DB3FE92" w:rsidR="002A18D3" w:rsidRPr="005F42E6" w:rsidRDefault="002A18D3" w:rsidP="0052418C">
      <w:pPr>
        <w:numPr>
          <w:ilvl w:val="0"/>
          <w:numId w:val="75"/>
        </w:numPr>
        <w:autoSpaceDE w:val="0"/>
        <w:autoSpaceDN w:val="0"/>
        <w:spacing w:after="0" w:line="276" w:lineRule="auto"/>
        <w:ind w:left="709" w:right="709" w:firstLine="0"/>
        <w:rPr>
          <w:rFonts w:ascii="ITC Avant Garde" w:hAnsi="ITC Avant Garde" w:cs="Arial"/>
          <w:i/>
          <w:sz w:val="18"/>
          <w:szCs w:val="18"/>
        </w:rPr>
      </w:pPr>
      <w:r w:rsidRPr="005F42E6">
        <w:rPr>
          <w:rFonts w:ascii="ITC Avant Garde" w:eastAsia="Calibri" w:hAnsi="ITC Avant Garde" w:cs="Arial"/>
          <w:i/>
          <w:sz w:val="18"/>
          <w:szCs w:val="18"/>
          <w:lang w:val="es-ES_tradnl"/>
        </w:rPr>
        <w:t xml:space="preserve"> Si para la prestación de los servicios se requieren elementos de red cuyo costo ya se encuentre incorporado en las tarifas determinadas por el Instituto para el </w:t>
      </w:r>
      <w:r w:rsidRPr="005F42E6">
        <w:rPr>
          <w:rFonts w:ascii="ITC Avant Garde" w:eastAsia="Calibri" w:hAnsi="ITC Avant Garde" w:cs="Arial"/>
          <w:i/>
          <w:sz w:val="18"/>
          <w:szCs w:val="18"/>
          <w:lang w:val="es-ES_tradnl" w:eastAsia="es-ES_tradnl"/>
        </w:rPr>
        <w:t>Servicio</w:t>
      </w:r>
      <w:r w:rsidRPr="005F42E6">
        <w:rPr>
          <w:rFonts w:ascii="ITC Avant Garde" w:eastAsia="Calibri" w:hAnsi="ITC Avant Garde" w:cs="Arial"/>
          <w:i/>
          <w:sz w:val="18"/>
          <w:szCs w:val="18"/>
          <w:lang w:val="es-ES_tradnl"/>
        </w:rPr>
        <w:t xml:space="preserve"> mayorista de enlaces dedicados.”</w:t>
      </w:r>
    </w:p>
    <w:p w14:paraId="1D96A4B2" w14:textId="77777777" w:rsidR="00814594" w:rsidRPr="0052418C" w:rsidRDefault="00814594" w:rsidP="0052418C">
      <w:pPr>
        <w:autoSpaceDE w:val="0"/>
        <w:autoSpaceDN w:val="0"/>
        <w:spacing w:after="0" w:line="276" w:lineRule="auto"/>
        <w:ind w:left="0" w:right="616" w:firstLine="0"/>
        <w:rPr>
          <w:rFonts w:ascii="ITC Avant Garde" w:hAnsi="ITC Avant Garde" w:cs="Arial"/>
          <w:color w:val="auto"/>
        </w:rPr>
      </w:pPr>
    </w:p>
    <w:p w14:paraId="6154FA3A" w14:textId="1FFC9D46" w:rsidR="00175CEA" w:rsidRPr="0052418C" w:rsidRDefault="00DA60CB" w:rsidP="0052418C">
      <w:pPr>
        <w:pStyle w:val="Ttulo2"/>
        <w:spacing w:before="0" w:after="0" w:line="276" w:lineRule="auto"/>
        <w:ind w:firstLine="0"/>
        <w:rPr>
          <w:rFonts w:ascii="ITC Avant Garde" w:eastAsiaTheme="majorEastAsia" w:hAnsi="ITC Avant Garde" w:cs="Arial"/>
          <w:bCs w:val="0"/>
          <w:sz w:val="22"/>
          <w:szCs w:val="22"/>
          <w:u w:val="single"/>
          <w:lang w:val="es-ES_tradnl" w:eastAsia="es-MX"/>
        </w:rPr>
      </w:pPr>
      <w:r w:rsidRPr="0052418C">
        <w:rPr>
          <w:rFonts w:ascii="ITC Avant Garde" w:eastAsiaTheme="majorEastAsia" w:hAnsi="ITC Avant Garde" w:cs="Arial"/>
          <w:bCs w:val="0"/>
          <w:sz w:val="22"/>
          <w:szCs w:val="22"/>
          <w:u w:val="single"/>
          <w:lang w:val="es-ES_tradnl" w:eastAsia="es-MX"/>
        </w:rPr>
        <w:t>2.5.7</w:t>
      </w:r>
      <w:r w:rsidR="00B71979" w:rsidRPr="0052418C">
        <w:rPr>
          <w:rFonts w:ascii="ITC Avant Garde" w:eastAsiaTheme="majorEastAsia" w:hAnsi="ITC Avant Garde" w:cs="Arial"/>
          <w:bCs w:val="0"/>
          <w:sz w:val="22"/>
          <w:szCs w:val="22"/>
          <w:u w:val="single"/>
          <w:lang w:val="es-ES_tradnl" w:eastAsia="es-MX"/>
        </w:rPr>
        <w:t>.</w:t>
      </w:r>
    </w:p>
    <w:p w14:paraId="58EAF98D" w14:textId="72FBC7F2" w:rsidR="000707CE" w:rsidRPr="0052418C" w:rsidRDefault="003937CA"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GRUPO AT&amp;T:</w:t>
      </w:r>
    </w:p>
    <w:p w14:paraId="4974741C" w14:textId="22261481" w:rsidR="001F0E36" w:rsidRPr="0052418C" w:rsidRDefault="00E15C47"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Señaló </w:t>
      </w:r>
      <w:r w:rsidR="0077410A">
        <w:rPr>
          <w:rFonts w:ascii="ITC Avant Garde" w:hAnsi="ITC Avant Garde" w:cs="Arial"/>
          <w:color w:val="auto"/>
        </w:rPr>
        <w:t xml:space="preserve">la siguiente redacción ya </w:t>
      </w:r>
      <w:r w:rsidR="00E60C62" w:rsidRPr="0052418C">
        <w:rPr>
          <w:rFonts w:ascii="ITC Avant Garde" w:hAnsi="ITC Avant Garde" w:cs="Arial"/>
          <w:color w:val="auto"/>
        </w:rPr>
        <w:t>que es una práctica común en la industria permitir los aumentos de velocidad</w:t>
      </w:r>
      <w:r w:rsidRPr="0052418C">
        <w:rPr>
          <w:rFonts w:ascii="ITC Avant Garde" w:hAnsi="ITC Avant Garde" w:cs="Arial"/>
          <w:color w:val="auto"/>
        </w:rPr>
        <w:t xml:space="preserve"> </w:t>
      </w:r>
      <w:r w:rsidR="00E60C62" w:rsidRPr="0052418C">
        <w:rPr>
          <w:rFonts w:ascii="ITC Avant Garde" w:hAnsi="ITC Avant Garde" w:cs="Arial"/>
          <w:color w:val="auto"/>
        </w:rPr>
        <w:t xml:space="preserve">sin penalidad por plazo forzoso y </w:t>
      </w:r>
      <w:r w:rsidR="0077410A">
        <w:rPr>
          <w:rFonts w:ascii="ITC Avant Garde" w:hAnsi="ITC Avant Garde" w:cs="Arial"/>
          <w:color w:val="auto"/>
        </w:rPr>
        <w:t>mucho menos</w:t>
      </w:r>
      <w:r w:rsidR="00E60C62" w:rsidRPr="0052418C">
        <w:rPr>
          <w:rFonts w:ascii="ITC Avant Garde" w:hAnsi="ITC Avant Garde" w:cs="Arial"/>
          <w:color w:val="auto"/>
        </w:rPr>
        <w:t xml:space="preserve"> cobro de proyectos especiales</w:t>
      </w:r>
      <w:r w:rsidR="00444389" w:rsidRPr="0052418C">
        <w:rPr>
          <w:rFonts w:ascii="ITC Avant Garde" w:hAnsi="ITC Avant Garde" w:cs="Arial"/>
          <w:color w:val="auto"/>
        </w:rPr>
        <w:t>:</w:t>
      </w:r>
    </w:p>
    <w:p w14:paraId="13972081" w14:textId="77777777" w:rsidR="001F0E36" w:rsidRPr="0052418C" w:rsidRDefault="001F0E36" w:rsidP="0052418C">
      <w:pPr>
        <w:tabs>
          <w:tab w:val="left" w:pos="8222"/>
        </w:tabs>
        <w:spacing w:after="0" w:line="276" w:lineRule="auto"/>
        <w:ind w:left="0" w:right="0" w:firstLine="0"/>
        <w:rPr>
          <w:rFonts w:ascii="ITC Avant Garde" w:hAnsi="ITC Avant Garde" w:cs="Arial"/>
          <w:color w:val="auto"/>
          <w:sz w:val="18"/>
          <w:szCs w:val="18"/>
        </w:rPr>
      </w:pPr>
    </w:p>
    <w:p w14:paraId="33B855EF" w14:textId="5C64B4CB" w:rsidR="0077410A" w:rsidRPr="0077410A" w:rsidRDefault="008C374F" w:rsidP="0077410A">
      <w:pPr>
        <w:tabs>
          <w:tab w:val="left" w:pos="8222"/>
        </w:tabs>
        <w:spacing w:after="0" w:line="276" w:lineRule="auto"/>
        <w:ind w:left="567" w:right="474" w:firstLine="0"/>
        <w:rPr>
          <w:rFonts w:ascii="ITC Avant Garde" w:hAnsi="ITC Avant Garde" w:cs="Arial"/>
          <w:i/>
          <w:color w:val="auto"/>
          <w:sz w:val="18"/>
          <w:szCs w:val="18"/>
        </w:rPr>
      </w:pPr>
      <w:r w:rsidRPr="0077410A">
        <w:rPr>
          <w:rFonts w:ascii="ITC Avant Garde" w:hAnsi="ITC Avant Garde" w:cs="Arial"/>
          <w:i/>
          <w:color w:val="auto"/>
          <w:sz w:val="18"/>
          <w:szCs w:val="18"/>
        </w:rPr>
        <w:t>“</w:t>
      </w:r>
      <w:r w:rsidR="0077410A" w:rsidRPr="0077410A">
        <w:rPr>
          <w:rFonts w:ascii="ITC Avant Garde" w:hAnsi="ITC Avant Garde" w:cs="Arial"/>
          <w:i/>
          <w:color w:val="auto"/>
          <w:sz w:val="18"/>
          <w:szCs w:val="18"/>
        </w:rPr>
        <w:t>En el caso de los aumentos de velocidad que no impliquen cambio de tecnología sino</w:t>
      </w:r>
    </w:p>
    <w:p w14:paraId="41C58EF6" w14:textId="77777777" w:rsidR="0077410A" w:rsidRPr="0077410A" w:rsidRDefault="0077410A" w:rsidP="0077410A">
      <w:pPr>
        <w:tabs>
          <w:tab w:val="left" w:pos="8222"/>
        </w:tabs>
        <w:spacing w:after="0" w:line="276" w:lineRule="auto"/>
        <w:ind w:left="567" w:right="474" w:firstLine="0"/>
        <w:rPr>
          <w:rFonts w:ascii="ITC Avant Garde" w:hAnsi="ITC Avant Garde" w:cs="Arial"/>
          <w:i/>
          <w:color w:val="auto"/>
          <w:sz w:val="18"/>
          <w:szCs w:val="18"/>
        </w:rPr>
      </w:pPr>
      <w:r w:rsidRPr="0077410A">
        <w:rPr>
          <w:rFonts w:ascii="ITC Avant Garde" w:hAnsi="ITC Avant Garde" w:cs="Arial"/>
          <w:i/>
          <w:color w:val="auto"/>
          <w:sz w:val="18"/>
          <w:szCs w:val="18"/>
        </w:rPr>
        <w:t>solamente cambio o modificación en los equipos terminales, no existirá penalidad por el</w:t>
      </w:r>
    </w:p>
    <w:p w14:paraId="530A44BD" w14:textId="77777777" w:rsidR="0077410A" w:rsidRPr="0077410A" w:rsidRDefault="0077410A" w:rsidP="0077410A">
      <w:pPr>
        <w:tabs>
          <w:tab w:val="left" w:pos="8222"/>
        </w:tabs>
        <w:spacing w:after="0" w:line="276" w:lineRule="auto"/>
        <w:ind w:left="567" w:right="474" w:firstLine="0"/>
        <w:rPr>
          <w:rFonts w:ascii="ITC Avant Garde" w:hAnsi="ITC Avant Garde" w:cs="Arial"/>
          <w:i/>
          <w:color w:val="auto"/>
          <w:sz w:val="18"/>
          <w:szCs w:val="18"/>
        </w:rPr>
      </w:pPr>
      <w:r w:rsidRPr="0077410A">
        <w:rPr>
          <w:rFonts w:ascii="ITC Avant Garde" w:hAnsi="ITC Avant Garde" w:cs="Arial"/>
          <w:i/>
          <w:color w:val="auto"/>
          <w:sz w:val="18"/>
          <w:szCs w:val="18"/>
        </w:rPr>
        <w:t>incumplimiento del plazo forzoso del enlace anterior en tanto el plazo forzoso del nuevo</w:t>
      </w:r>
    </w:p>
    <w:p w14:paraId="6167A9AF" w14:textId="1275FFD1" w:rsidR="001F0E36" w:rsidRPr="0077410A" w:rsidRDefault="0077410A" w:rsidP="0077410A">
      <w:pPr>
        <w:tabs>
          <w:tab w:val="left" w:pos="8222"/>
        </w:tabs>
        <w:spacing w:after="0" w:line="276" w:lineRule="auto"/>
        <w:ind w:left="567" w:right="474" w:firstLine="0"/>
        <w:rPr>
          <w:rFonts w:ascii="ITC Avant Garde" w:hAnsi="ITC Avant Garde" w:cs="Arial"/>
          <w:i/>
          <w:color w:val="auto"/>
          <w:sz w:val="18"/>
          <w:szCs w:val="18"/>
        </w:rPr>
      </w:pPr>
      <w:r w:rsidRPr="0077410A">
        <w:rPr>
          <w:rFonts w:ascii="ITC Avant Garde" w:hAnsi="ITC Avant Garde" w:cs="Arial"/>
          <w:i/>
          <w:color w:val="auto"/>
          <w:sz w:val="18"/>
          <w:szCs w:val="18"/>
        </w:rPr>
        <w:t>enlace que lo sustituye sea mayor al tiempo remanente del enlace anterior</w:t>
      </w:r>
      <w:r w:rsidR="00E60C62" w:rsidRPr="0077410A">
        <w:rPr>
          <w:rFonts w:ascii="ITC Avant Garde" w:hAnsi="ITC Avant Garde" w:cs="Arial"/>
          <w:i/>
          <w:color w:val="auto"/>
          <w:sz w:val="18"/>
          <w:szCs w:val="18"/>
        </w:rPr>
        <w:t>”</w:t>
      </w:r>
    </w:p>
    <w:p w14:paraId="60E590C3" w14:textId="7AAD5FD6" w:rsidR="001F0E36" w:rsidRPr="0052418C" w:rsidRDefault="001F0E36" w:rsidP="0052418C">
      <w:pPr>
        <w:spacing w:after="0" w:line="276" w:lineRule="auto"/>
        <w:ind w:left="0" w:right="0" w:firstLine="0"/>
        <w:rPr>
          <w:rFonts w:ascii="ITC Avant Garde" w:hAnsi="ITC Avant Garde" w:cs="Arial"/>
          <w:color w:val="auto"/>
        </w:rPr>
      </w:pPr>
    </w:p>
    <w:p w14:paraId="2614FC9A" w14:textId="77777777" w:rsidR="00F40EB0" w:rsidRPr="0052418C" w:rsidRDefault="00F40EB0" w:rsidP="0052418C">
      <w:pPr>
        <w:spacing w:after="0" w:line="276" w:lineRule="auto"/>
        <w:ind w:left="0" w:right="0" w:firstLine="0"/>
        <w:rPr>
          <w:rFonts w:ascii="ITC Avant Garde" w:hAnsi="ITC Avant Garde"/>
          <w:b/>
          <w:bCs/>
          <w:color w:val="auto"/>
        </w:rPr>
      </w:pPr>
      <w:r w:rsidRPr="0052418C">
        <w:rPr>
          <w:rFonts w:ascii="ITC Avant Garde" w:hAnsi="ITC Avant Garde"/>
          <w:b/>
          <w:bCs/>
          <w:color w:val="auto"/>
        </w:rPr>
        <w:t>AXTEL:</w:t>
      </w:r>
    </w:p>
    <w:p w14:paraId="0E2B77FD" w14:textId="6490EDF0" w:rsidR="00F40EB0" w:rsidRPr="0052418C" w:rsidRDefault="00767901" w:rsidP="0052418C">
      <w:pPr>
        <w:spacing w:after="0" w:line="276" w:lineRule="auto"/>
        <w:ind w:left="0" w:right="0" w:firstLine="0"/>
        <w:rPr>
          <w:rFonts w:ascii="ITC Avant Garde" w:hAnsi="ITC Avant Garde"/>
          <w:color w:val="auto"/>
        </w:rPr>
      </w:pPr>
      <w:r w:rsidRPr="0052418C">
        <w:rPr>
          <w:rFonts w:ascii="ITC Avant Garde" w:hAnsi="ITC Avant Garde"/>
          <w:color w:val="auto"/>
        </w:rPr>
        <w:t>S</w:t>
      </w:r>
      <w:r w:rsidR="00F40EB0" w:rsidRPr="0052418C">
        <w:rPr>
          <w:rFonts w:ascii="ITC Avant Garde" w:hAnsi="ITC Avant Garde"/>
          <w:color w:val="auto"/>
        </w:rPr>
        <w:t>olicitó al Instituto que, para una óptima administración de los servicios, en los casos donde el CS solicite cambio de domicilio, cambio de ubicación y cambios de velocidad, el AEP deberá de generar la baja de manera automática al momento de liquidar el servicio nuevo.</w:t>
      </w:r>
    </w:p>
    <w:p w14:paraId="66F48548" w14:textId="77777777" w:rsidR="00F40EB0" w:rsidRPr="0052418C" w:rsidRDefault="00F40EB0" w:rsidP="0052418C">
      <w:pPr>
        <w:spacing w:after="0" w:line="276" w:lineRule="auto"/>
        <w:ind w:left="0" w:right="0" w:firstLine="0"/>
        <w:rPr>
          <w:rFonts w:ascii="ITC Avant Garde" w:hAnsi="ITC Avant Garde" w:cs="Arial"/>
          <w:color w:val="auto"/>
        </w:rPr>
      </w:pPr>
    </w:p>
    <w:p w14:paraId="61EF8226" w14:textId="040FE607" w:rsidR="00441E2D" w:rsidRPr="0052418C" w:rsidRDefault="002A67E7"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3E7853" w:rsidRPr="0052418C">
        <w:rPr>
          <w:rFonts w:ascii="ITC Avant Garde" w:hAnsi="ITC Avant Garde" w:cs="Arial"/>
          <w:b/>
          <w:color w:val="auto"/>
        </w:rPr>
        <w:t>:</w:t>
      </w:r>
    </w:p>
    <w:p w14:paraId="5B790482" w14:textId="5694B395" w:rsidR="00F14207" w:rsidRPr="0052418C" w:rsidRDefault="00F14207" w:rsidP="0052418C">
      <w:pPr>
        <w:autoSpaceDE w:val="0"/>
        <w:autoSpaceDN w:val="0"/>
        <w:spacing w:after="0" w:line="276" w:lineRule="auto"/>
        <w:rPr>
          <w:rFonts w:ascii="ITC Avant Garde" w:hAnsi="ITC Avant Garde"/>
          <w:color w:val="auto"/>
        </w:rPr>
      </w:pPr>
      <w:r w:rsidRPr="0052418C">
        <w:rPr>
          <w:rFonts w:ascii="ITC Avant Garde" w:hAnsi="ITC Avant Garde" w:cs="Times New Roman"/>
          <w:color w:val="auto"/>
        </w:rPr>
        <w:t>Conforme a lo señalado por</w:t>
      </w:r>
      <w:r w:rsidRPr="0052418C">
        <w:rPr>
          <w:rFonts w:ascii="ITC Avant Garde" w:hAnsi="ITC Avant Garde"/>
          <w:color w:val="auto"/>
        </w:rPr>
        <w:t xml:space="preserve"> Grupo AT&amp;T de los plazos forzosos cabe señalar que, dicho supuesto dej</w:t>
      </w:r>
      <w:r w:rsidR="008E5C65" w:rsidRPr="0052418C">
        <w:rPr>
          <w:rFonts w:ascii="ITC Avant Garde" w:hAnsi="ITC Avant Garde"/>
          <w:color w:val="auto"/>
        </w:rPr>
        <w:t>ó</w:t>
      </w:r>
      <w:r w:rsidRPr="0052418C">
        <w:rPr>
          <w:rFonts w:ascii="ITC Avant Garde" w:hAnsi="ITC Avant Garde"/>
          <w:color w:val="auto"/>
        </w:rPr>
        <w:t xml:space="preserve"> de ser considerado a partir de la </w:t>
      </w:r>
      <w:r w:rsidR="00767901" w:rsidRPr="0052418C">
        <w:rPr>
          <w:rFonts w:ascii="ITC Avant Garde" w:hAnsi="ITC Avant Garde"/>
          <w:color w:val="auto"/>
        </w:rPr>
        <w:t>O</w:t>
      </w:r>
      <w:r w:rsidRPr="0052418C">
        <w:rPr>
          <w:rFonts w:ascii="ITC Avant Garde" w:hAnsi="ITC Avant Garde"/>
          <w:color w:val="auto"/>
        </w:rPr>
        <w:t xml:space="preserve">ferta de </w:t>
      </w:r>
      <w:r w:rsidR="00767901" w:rsidRPr="0052418C">
        <w:rPr>
          <w:rFonts w:ascii="ITC Avant Garde" w:hAnsi="ITC Avant Garde"/>
          <w:color w:val="auto"/>
        </w:rPr>
        <w:t>R</w:t>
      </w:r>
      <w:r w:rsidRPr="0052418C">
        <w:rPr>
          <w:rFonts w:ascii="ITC Avant Garde" w:hAnsi="ITC Avant Garde"/>
          <w:color w:val="auto"/>
        </w:rPr>
        <w:t xml:space="preserve">eferencia de enlaces dedicados que estuvo vigente para 2018 en virtud del cambio de metodología de costos aplicada. </w:t>
      </w:r>
    </w:p>
    <w:p w14:paraId="0B166425" w14:textId="403F826F" w:rsidR="00750471" w:rsidRPr="0052418C" w:rsidRDefault="00750471" w:rsidP="0052418C">
      <w:pPr>
        <w:spacing w:line="276" w:lineRule="auto"/>
        <w:ind w:right="49"/>
        <w:rPr>
          <w:rFonts w:ascii="ITC Avant Garde" w:hAnsi="ITC Avant Garde" w:cs="Arial"/>
        </w:rPr>
      </w:pPr>
    </w:p>
    <w:p w14:paraId="6F8A7ED2" w14:textId="55721EEA" w:rsidR="00767901" w:rsidRPr="0052418C" w:rsidRDefault="00F40EB0" w:rsidP="0052418C">
      <w:pPr>
        <w:spacing w:after="0" w:line="276" w:lineRule="auto"/>
        <w:ind w:left="0" w:right="0" w:firstLine="0"/>
        <w:rPr>
          <w:rFonts w:ascii="ITC Avant Garde" w:hAnsi="ITC Avant Garde"/>
          <w:b/>
          <w:i/>
          <w:color w:val="auto"/>
          <w:sz w:val="18"/>
          <w:u w:val="single"/>
        </w:rPr>
      </w:pPr>
      <w:r w:rsidRPr="0052418C">
        <w:rPr>
          <w:rFonts w:ascii="ITC Avant Garde" w:hAnsi="ITC Avant Garde" w:cs="Times New Roman"/>
          <w:bCs/>
          <w:color w:val="auto"/>
        </w:rPr>
        <w:t xml:space="preserve">Por otro lado, referente al comentario de Axtel es responsabilidad de los CS o AS cumplir con el proceso de bajas establecido en la cláusula Décima del convenio, la cual establece que para la baja de un servicio el CS o AS deberá presentar su solicitud oficial de baja mediante el </w:t>
      </w:r>
      <w:r w:rsidR="0084549E" w:rsidRPr="0052418C">
        <w:rPr>
          <w:rFonts w:ascii="ITC Avant Garde" w:hAnsi="ITC Avant Garde" w:cs="Times New Roman"/>
          <w:bCs/>
          <w:color w:val="auto"/>
        </w:rPr>
        <w:t>SIPO</w:t>
      </w:r>
      <w:r w:rsidRPr="0052418C">
        <w:rPr>
          <w:rFonts w:ascii="ITC Avant Garde" w:hAnsi="ITC Avant Garde" w:cs="Times New Roman"/>
          <w:bCs/>
          <w:color w:val="auto"/>
        </w:rPr>
        <w:t xml:space="preserve">, </w:t>
      </w:r>
      <w:r w:rsidR="00767901" w:rsidRPr="0052418C">
        <w:rPr>
          <w:rFonts w:ascii="ITC Avant Garde" w:hAnsi="ITC Avant Garde" w:cs="Times New Roman"/>
          <w:bCs/>
          <w:color w:val="auto"/>
        </w:rPr>
        <w:t>lo anterior en virtud de que se trata de un servicio contratado por los CS y AS y no por Red Nacional, por lo que no podría ser responsabilidad de este último dar de baja un servicio de manera automática.</w:t>
      </w:r>
    </w:p>
    <w:p w14:paraId="729FEA32" w14:textId="77777777" w:rsidR="00AC153E" w:rsidRPr="0052418C" w:rsidRDefault="00AC153E" w:rsidP="0052418C">
      <w:pPr>
        <w:spacing w:after="0" w:line="276" w:lineRule="auto"/>
        <w:ind w:left="0" w:right="0" w:firstLine="0"/>
        <w:rPr>
          <w:rFonts w:ascii="ITC Avant Garde" w:hAnsi="ITC Avant Garde" w:cs="Arial"/>
        </w:rPr>
      </w:pPr>
    </w:p>
    <w:p w14:paraId="2B8FAE29" w14:textId="7C777C39" w:rsidR="0017422B" w:rsidRPr="0052418C" w:rsidRDefault="0017422B" w:rsidP="0052418C">
      <w:pPr>
        <w:pStyle w:val="IFTnormal"/>
        <w:spacing w:after="0"/>
        <w:ind w:left="0"/>
        <w:rPr>
          <w:rFonts w:eastAsiaTheme="majorEastAsia" w:cs="Arial"/>
          <w:b/>
          <w:u w:val="single"/>
        </w:rPr>
      </w:pPr>
      <w:r w:rsidRPr="0052418C">
        <w:rPr>
          <w:rFonts w:eastAsiaTheme="majorEastAsia" w:cs="Arial"/>
          <w:b/>
          <w:u w:val="single"/>
        </w:rPr>
        <w:t>2.6 Operación y Mantenimiento</w:t>
      </w:r>
      <w:r w:rsidR="00CD3FCF" w:rsidRPr="0052418C">
        <w:rPr>
          <w:rFonts w:eastAsiaTheme="majorEastAsia" w:cs="Arial"/>
          <w:b/>
          <w:u w:val="single"/>
        </w:rPr>
        <w:t>.</w:t>
      </w:r>
      <w:r w:rsidRPr="0052418C">
        <w:rPr>
          <w:rFonts w:eastAsiaTheme="majorEastAsia" w:cs="Arial"/>
          <w:b/>
          <w:u w:val="single"/>
        </w:rPr>
        <w:t xml:space="preserve"> </w:t>
      </w:r>
    </w:p>
    <w:p w14:paraId="4286617B" w14:textId="2B06FF21" w:rsidR="00B23388" w:rsidRPr="0052418C" w:rsidRDefault="00B23388" w:rsidP="0052418C">
      <w:pPr>
        <w:spacing w:after="0" w:line="276" w:lineRule="auto"/>
        <w:ind w:left="0" w:right="0" w:firstLine="0"/>
        <w:rPr>
          <w:rFonts w:ascii="ITC Avant Garde" w:hAnsi="ITC Avant Garde" w:cs="Arial"/>
          <w:b/>
          <w:color w:val="auto"/>
          <w:u w:val="single"/>
        </w:rPr>
      </w:pPr>
      <w:r w:rsidRPr="0052418C">
        <w:rPr>
          <w:rFonts w:ascii="ITC Avant Garde" w:hAnsi="ITC Avant Garde" w:cs="Arial"/>
          <w:b/>
          <w:color w:val="auto"/>
          <w:u w:val="single"/>
        </w:rPr>
        <w:t xml:space="preserve">2.6.1 </w:t>
      </w:r>
      <w:r w:rsidR="00D8767B" w:rsidRPr="0052418C">
        <w:rPr>
          <w:rFonts w:ascii="ITC Avant Garde" w:hAnsi="ITC Avant Garde" w:cs="Arial"/>
          <w:b/>
          <w:color w:val="auto"/>
          <w:u w:val="single"/>
        </w:rPr>
        <w:t>Operación y Mantenimiento</w:t>
      </w:r>
      <w:r w:rsidR="00235B2D" w:rsidRPr="0052418C">
        <w:rPr>
          <w:rFonts w:ascii="ITC Avant Garde" w:hAnsi="ITC Avant Garde" w:cs="Arial"/>
          <w:b/>
          <w:color w:val="auto"/>
          <w:u w:val="single"/>
        </w:rPr>
        <w:t xml:space="preserve"> de los Servicios.</w:t>
      </w:r>
    </w:p>
    <w:p w14:paraId="57DA04BA" w14:textId="5394317E" w:rsidR="00B23388" w:rsidRPr="0052418C" w:rsidRDefault="004B4F59" w:rsidP="0052418C">
      <w:pPr>
        <w:spacing w:after="0" w:line="276" w:lineRule="auto"/>
        <w:ind w:left="0" w:right="0" w:firstLine="0"/>
        <w:rPr>
          <w:rFonts w:ascii="ITC Avant Garde" w:eastAsia="Times New Roman" w:hAnsi="ITC Avant Garde" w:cs="Arial"/>
          <w:b/>
          <w:color w:val="auto"/>
        </w:rPr>
      </w:pPr>
      <w:r w:rsidRPr="0052418C">
        <w:rPr>
          <w:rFonts w:ascii="ITC Avant Garde" w:eastAsia="Times New Roman" w:hAnsi="ITC Avant Garde" w:cs="Arial"/>
          <w:b/>
          <w:color w:val="auto"/>
        </w:rPr>
        <w:t>AXTEL:</w:t>
      </w:r>
    </w:p>
    <w:p w14:paraId="61F43CB1" w14:textId="2B8E3956" w:rsidR="00B23388" w:rsidRPr="0052418C" w:rsidRDefault="0016541D" w:rsidP="0052418C">
      <w:pPr>
        <w:spacing w:after="0" w:line="276" w:lineRule="auto"/>
        <w:ind w:left="0" w:right="0" w:firstLine="0"/>
        <w:rPr>
          <w:rFonts w:ascii="ITC Avant Garde" w:eastAsia="Times New Roman" w:hAnsi="ITC Avant Garde" w:cs="Arial"/>
          <w:color w:val="auto"/>
        </w:rPr>
      </w:pPr>
      <w:r>
        <w:rPr>
          <w:rFonts w:ascii="ITC Avant Garde" w:eastAsia="Times New Roman" w:hAnsi="ITC Avant Garde" w:cs="Arial"/>
          <w:color w:val="auto"/>
        </w:rPr>
        <w:t>S</w:t>
      </w:r>
      <w:r w:rsidR="00CA5053" w:rsidRPr="0052418C">
        <w:rPr>
          <w:rFonts w:ascii="ITC Avant Garde" w:eastAsia="Times New Roman" w:hAnsi="ITC Avant Garde" w:cs="Arial"/>
          <w:color w:val="auto"/>
        </w:rPr>
        <w:t xml:space="preserve">olicitó </w:t>
      </w:r>
      <w:r w:rsidR="00B23388" w:rsidRPr="0052418C">
        <w:rPr>
          <w:rFonts w:ascii="ITC Avant Garde" w:eastAsia="Times New Roman" w:hAnsi="ITC Avant Garde" w:cs="Arial"/>
          <w:color w:val="auto"/>
        </w:rPr>
        <w:t xml:space="preserve">al Instituto que el formato del Acta de Recepción que se encuentra en el “Anexo A” de </w:t>
      </w:r>
      <w:r w:rsidR="007E4AA1" w:rsidRPr="0052418C">
        <w:rPr>
          <w:rFonts w:ascii="ITC Avant Garde" w:eastAsia="Times New Roman" w:hAnsi="ITC Avant Garde" w:cs="Arial"/>
          <w:color w:val="auto"/>
        </w:rPr>
        <w:t xml:space="preserve">la </w:t>
      </w:r>
      <w:r w:rsidR="00B23388" w:rsidRPr="0052418C">
        <w:rPr>
          <w:rFonts w:ascii="ITC Avant Garde" w:eastAsia="Times New Roman" w:hAnsi="ITC Avant Garde" w:cs="Arial"/>
          <w:color w:val="auto"/>
        </w:rPr>
        <w:t>Oferta, sea cargados al SEG</w:t>
      </w:r>
      <w:r w:rsidR="00755273" w:rsidRPr="0052418C">
        <w:rPr>
          <w:rFonts w:ascii="ITC Avant Garde" w:eastAsia="Times New Roman" w:hAnsi="ITC Avant Garde" w:cs="Arial"/>
          <w:color w:val="auto"/>
        </w:rPr>
        <w:t>/</w:t>
      </w:r>
      <w:r w:rsidR="00BE50CC" w:rsidRPr="0052418C">
        <w:rPr>
          <w:rFonts w:ascii="ITC Avant Garde" w:eastAsia="Times New Roman" w:hAnsi="ITC Avant Garde" w:cs="Arial"/>
          <w:color w:val="auto"/>
        </w:rPr>
        <w:t>SIPO</w:t>
      </w:r>
      <w:r w:rsidR="00B23388" w:rsidRPr="0052418C">
        <w:rPr>
          <w:rFonts w:ascii="ITC Avant Garde" w:eastAsia="Times New Roman" w:hAnsi="ITC Avant Garde" w:cs="Arial"/>
          <w:color w:val="auto"/>
        </w:rPr>
        <w:t xml:space="preserve"> una vez que </w:t>
      </w:r>
      <w:r w:rsidR="007E4AA1" w:rsidRPr="0052418C">
        <w:rPr>
          <w:rFonts w:ascii="ITC Avant Garde" w:eastAsia="Times New Roman" w:hAnsi="ITC Avant Garde" w:cs="Arial"/>
          <w:color w:val="auto"/>
        </w:rPr>
        <w:t xml:space="preserve">se </w:t>
      </w:r>
      <w:r w:rsidR="00B23388" w:rsidRPr="0052418C">
        <w:rPr>
          <w:rFonts w:ascii="ITC Avant Garde" w:eastAsia="Times New Roman" w:hAnsi="ITC Avant Garde" w:cs="Arial"/>
          <w:color w:val="auto"/>
        </w:rPr>
        <w:t xml:space="preserve">entregue el servicio y que las características del equipo terminal instalado en el sitio del cliente sean agregados al </w:t>
      </w:r>
      <w:r w:rsidR="005703FE" w:rsidRPr="0052418C">
        <w:rPr>
          <w:rFonts w:ascii="ITC Avant Garde" w:eastAsia="Times New Roman" w:hAnsi="ITC Avant Garde" w:cs="Arial"/>
          <w:color w:val="auto"/>
        </w:rPr>
        <w:t>SIPO</w:t>
      </w:r>
      <w:r w:rsidR="00B23388" w:rsidRPr="0052418C">
        <w:rPr>
          <w:rFonts w:ascii="ITC Avant Garde" w:eastAsia="Times New Roman" w:hAnsi="ITC Avant Garde" w:cs="Arial"/>
          <w:color w:val="auto"/>
        </w:rPr>
        <w:t xml:space="preserve"> según corresponda: Marca, modelo y número de serie, por lo menos. </w:t>
      </w:r>
    </w:p>
    <w:p w14:paraId="71C94C6E" w14:textId="77777777" w:rsidR="00B23388" w:rsidRPr="0052418C" w:rsidRDefault="00B23388" w:rsidP="0052418C">
      <w:pPr>
        <w:spacing w:after="0" w:line="276" w:lineRule="auto"/>
        <w:ind w:left="0" w:right="0" w:firstLine="0"/>
        <w:rPr>
          <w:rFonts w:ascii="ITC Avant Garde" w:eastAsia="Times New Roman" w:hAnsi="ITC Avant Garde" w:cs="Arial"/>
          <w:color w:val="auto"/>
        </w:rPr>
      </w:pPr>
    </w:p>
    <w:p w14:paraId="1EF92E67" w14:textId="570C7E8B" w:rsidR="00B23388" w:rsidRPr="0052418C" w:rsidRDefault="00B23388" w:rsidP="0052418C">
      <w:pPr>
        <w:spacing w:after="0" w:line="276" w:lineRule="auto"/>
        <w:ind w:left="0" w:right="0" w:firstLine="0"/>
        <w:rPr>
          <w:rFonts w:ascii="ITC Avant Garde" w:eastAsia="Times New Roman" w:hAnsi="ITC Avant Garde" w:cs="Arial"/>
          <w:b/>
          <w:color w:val="auto"/>
        </w:rPr>
      </w:pPr>
      <w:r w:rsidRPr="0052418C">
        <w:rPr>
          <w:rFonts w:ascii="ITC Avant Garde" w:eastAsia="Times New Roman" w:hAnsi="ITC Avant Garde" w:cs="Arial"/>
          <w:b/>
          <w:color w:val="auto"/>
        </w:rPr>
        <w:t>Consideraciones del Instituto:</w:t>
      </w:r>
    </w:p>
    <w:p w14:paraId="4FD27C1E" w14:textId="5516442B" w:rsidR="0082055F" w:rsidRPr="0052418C" w:rsidRDefault="00B23388" w:rsidP="0052418C">
      <w:pPr>
        <w:autoSpaceDE w:val="0"/>
        <w:autoSpaceDN w:val="0"/>
        <w:spacing w:after="0" w:line="276" w:lineRule="auto"/>
        <w:ind w:left="0" w:right="0"/>
        <w:rPr>
          <w:rFonts w:ascii="ITC Avant Garde" w:hAnsi="ITC Avant Garde" w:cs="Arial"/>
        </w:rPr>
      </w:pPr>
      <w:r w:rsidRPr="0052418C">
        <w:rPr>
          <w:rFonts w:ascii="ITC Avant Garde" w:hAnsi="ITC Avant Garde" w:cs="Arial"/>
        </w:rPr>
        <w:t xml:space="preserve">Al respecto se </w:t>
      </w:r>
      <w:r w:rsidR="0082055F" w:rsidRPr="0052418C">
        <w:rPr>
          <w:rFonts w:ascii="ITC Avant Garde" w:hAnsi="ITC Avant Garde" w:cs="Arial"/>
        </w:rPr>
        <w:t xml:space="preserve">adicionó </w:t>
      </w:r>
      <w:r w:rsidR="00DD46BC" w:rsidRPr="0052418C">
        <w:rPr>
          <w:rFonts w:ascii="ITC Avant Garde" w:hAnsi="ITC Avant Garde" w:cs="Arial"/>
        </w:rPr>
        <w:t>la obligación de Red Nacional</w:t>
      </w:r>
      <w:r w:rsidR="0082055F" w:rsidRPr="0052418C">
        <w:rPr>
          <w:rFonts w:ascii="ITC Avant Garde" w:hAnsi="ITC Avant Garde" w:cs="Arial"/>
        </w:rPr>
        <w:t xml:space="preserve"> para </w:t>
      </w:r>
      <w:r w:rsidR="006037D3" w:rsidRPr="0052418C">
        <w:rPr>
          <w:rFonts w:ascii="ITC Avant Garde" w:hAnsi="ITC Avant Garde" w:cs="Arial"/>
        </w:rPr>
        <w:t>que,</w:t>
      </w:r>
      <w:r w:rsidR="0082055F" w:rsidRPr="0052418C">
        <w:rPr>
          <w:rFonts w:ascii="ITC Avant Garde" w:hAnsi="ITC Avant Garde" w:cs="Arial"/>
        </w:rPr>
        <w:t xml:space="preserve"> una vez validado el Servicio, al día hábil siguiente adjunte dicha Acta de Entrega, correo electrónico u otro medio fehaciente mediante el cual se haya validado la entrega del servicio en el </w:t>
      </w:r>
      <w:r w:rsidR="00DD46BC" w:rsidRPr="0052418C">
        <w:rPr>
          <w:rFonts w:ascii="ITC Avant Garde" w:hAnsi="ITC Avant Garde" w:cs="Arial"/>
        </w:rPr>
        <w:t>SIPO</w:t>
      </w:r>
      <w:r w:rsidR="0082055F" w:rsidRPr="0052418C">
        <w:rPr>
          <w:rFonts w:ascii="ITC Avant Garde" w:hAnsi="ITC Avant Garde" w:cs="Arial"/>
        </w:rPr>
        <w:t>.</w:t>
      </w:r>
    </w:p>
    <w:p w14:paraId="7EE516CB" w14:textId="38484323" w:rsidR="001E45AA" w:rsidRPr="0052418C" w:rsidRDefault="001E45AA" w:rsidP="0052418C">
      <w:pPr>
        <w:autoSpaceDE w:val="0"/>
        <w:autoSpaceDN w:val="0"/>
        <w:spacing w:after="0" w:line="276" w:lineRule="auto"/>
        <w:ind w:left="567" w:right="567"/>
        <w:rPr>
          <w:rFonts w:ascii="ITC Avant Garde" w:hAnsi="ITC Avant Garde" w:cs="Arial"/>
          <w:i/>
          <w:sz w:val="18"/>
        </w:rPr>
      </w:pPr>
    </w:p>
    <w:p w14:paraId="6795F780" w14:textId="493FAB3F" w:rsidR="00AF59B3" w:rsidRPr="0052418C" w:rsidRDefault="00AF59B3" w:rsidP="0052418C">
      <w:pPr>
        <w:autoSpaceDE w:val="0"/>
        <w:autoSpaceDN w:val="0"/>
        <w:spacing w:after="0" w:line="276" w:lineRule="auto"/>
        <w:ind w:left="567" w:right="567"/>
        <w:rPr>
          <w:rFonts w:ascii="ITC Avant Garde" w:hAnsi="ITC Avant Garde" w:cs="Arial"/>
          <w:i/>
          <w:sz w:val="18"/>
          <w:lang w:val="es-ES"/>
        </w:rPr>
      </w:pPr>
      <w:r w:rsidRPr="0052418C">
        <w:rPr>
          <w:rFonts w:ascii="ITC Avant Garde" w:hAnsi="ITC Avant Garde" w:cs="Arial"/>
          <w:i/>
          <w:sz w:val="18"/>
          <w:lang w:val="es-ES"/>
        </w:rPr>
        <w:t>“[…]</w:t>
      </w:r>
    </w:p>
    <w:p w14:paraId="3E245C02" w14:textId="04A2B91A" w:rsidR="00737CAE" w:rsidRPr="0052418C" w:rsidRDefault="00737CAE" w:rsidP="0052418C">
      <w:pPr>
        <w:autoSpaceDE w:val="0"/>
        <w:autoSpaceDN w:val="0"/>
        <w:spacing w:after="0" w:line="276" w:lineRule="auto"/>
        <w:ind w:left="567" w:right="567"/>
        <w:rPr>
          <w:rFonts w:ascii="ITC Avant Garde" w:hAnsi="ITC Avant Garde" w:cs="Arial"/>
          <w:i/>
          <w:sz w:val="18"/>
        </w:rPr>
      </w:pPr>
      <w:r w:rsidRPr="0052418C">
        <w:rPr>
          <w:rFonts w:ascii="ITC Avant Garde" w:hAnsi="ITC Avant Garde" w:cs="Arial"/>
          <w:i/>
          <w:sz w:val="18"/>
          <w:lang w:val="es-ES"/>
        </w:rPr>
        <w:t xml:space="preserve">Una vez entregado el servicio, éste se validará a través de la suscripción de un Acta de Entrega, o bien mediante el envío de un correo electrónico, o cualquier medio fehaciente que demuestre la aceptación del servicio, debiendo quedar constancia de dicha aceptación por parte del CS, de conformidad con el Anexo “A” de la presente Oferta. </w:t>
      </w:r>
      <w:r w:rsidRPr="0052418C">
        <w:rPr>
          <w:rFonts w:ascii="ITC Avant Garde" w:hAnsi="ITC Avant Garde" w:cs="Arial"/>
          <w:i/>
          <w:sz w:val="18"/>
          <w:u w:val="single"/>
          <w:lang w:val="es-ES"/>
        </w:rPr>
        <w:t>Una vez validado el Servicio, Red Nacional</w:t>
      </w:r>
      <w:r w:rsidRPr="0052418C">
        <w:rPr>
          <w:rFonts w:ascii="ITC Avant Garde" w:hAnsi="ITC Avant Garde" w:cs="Arial"/>
          <w:i/>
          <w:sz w:val="18"/>
          <w:u w:val="single"/>
        </w:rPr>
        <w:t>/Red Noroeste</w:t>
      </w:r>
      <w:r w:rsidRPr="0052418C">
        <w:rPr>
          <w:rFonts w:ascii="ITC Avant Garde" w:hAnsi="ITC Avant Garde" w:cs="Arial"/>
          <w:i/>
          <w:sz w:val="18"/>
          <w:u w:val="single"/>
          <w:lang w:val="es-ES"/>
        </w:rPr>
        <w:t xml:space="preserve"> </w:t>
      </w:r>
      <w:r w:rsidR="000A2BB1" w:rsidRPr="0052418C">
        <w:rPr>
          <w:rFonts w:ascii="ITC Avant Garde" w:hAnsi="ITC Avant Garde" w:cs="Arial"/>
          <w:i/>
          <w:sz w:val="18"/>
          <w:u w:val="single"/>
          <w:lang w:val="es-ES"/>
        </w:rPr>
        <w:t xml:space="preserve">al día hábil siguiente, </w:t>
      </w:r>
      <w:r w:rsidRPr="0052418C">
        <w:rPr>
          <w:rFonts w:ascii="ITC Avant Garde" w:hAnsi="ITC Avant Garde" w:cs="Arial"/>
          <w:i/>
          <w:sz w:val="18"/>
          <w:u w:val="single"/>
          <w:lang w:val="es-ES"/>
        </w:rPr>
        <w:t>adjuntará dicha Acta de Entrega, correo electrónico u otro medio fehaciente en el SEG/SIPO.</w:t>
      </w:r>
      <w:r w:rsidR="0016541D">
        <w:rPr>
          <w:rFonts w:ascii="ITC Avant Garde" w:hAnsi="ITC Avant Garde" w:cs="Arial"/>
          <w:i/>
          <w:sz w:val="18"/>
          <w:u w:val="single"/>
          <w:lang w:val="es-ES"/>
        </w:rPr>
        <w:t>”</w:t>
      </w:r>
    </w:p>
    <w:p w14:paraId="2C3FFAC6" w14:textId="05361F8D" w:rsidR="00AF59B3" w:rsidRPr="0077410A" w:rsidRDefault="00AF59B3" w:rsidP="0052418C">
      <w:pPr>
        <w:spacing w:after="0" w:line="276" w:lineRule="auto"/>
        <w:ind w:left="0" w:right="616" w:firstLine="0"/>
        <w:jc w:val="right"/>
        <w:rPr>
          <w:rFonts w:ascii="ITC Avant Garde" w:eastAsia="Times New Roman" w:hAnsi="ITC Avant Garde" w:cs="Times New Roman"/>
          <w:iCs/>
          <w:color w:val="auto"/>
          <w:sz w:val="18"/>
          <w:szCs w:val="18"/>
        </w:rPr>
      </w:pPr>
      <w:r w:rsidRPr="0077410A">
        <w:rPr>
          <w:rFonts w:ascii="ITC Avant Garde" w:eastAsia="Times New Roman" w:hAnsi="ITC Avant Garde" w:cs="Times New Roman"/>
          <w:iCs/>
          <w:color w:val="auto"/>
          <w:sz w:val="18"/>
          <w:szCs w:val="18"/>
        </w:rPr>
        <w:lastRenderedPageBreak/>
        <w:t>(Énfasis añadido)</w:t>
      </w:r>
    </w:p>
    <w:p w14:paraId="700FD6FB" w14:textId="536C2961" w:rsidR="001E45AA" w:rsidRPr="0052418C" w:rsidRDefault="001E45AA" w:rsidP="0052418C">
      <w:pPr>
        <w:autoSpaceDE w:val="0"/>
        <w:autoSpaceDN w:val="0"/>
        <w:spacing w:after="0" w:line="276" w:lineRule="auto"/>
        <w:ind w:left="0" w:right="0"/>
        <w:rPr>
          <w:rFonts w:ascii="ITC Avant Garde" w:hAnsi="ITC Avant Garde" w:cs="Arial"/>
        </w:rPr>
      </w:pPr>
    </w:p>
    <w:p w14:paraId="353C4750" w14:textId="649AB99E" w:rsidR="00661A44" w:rsidRPr="0052418C" w:rsidRDefault="0058367B" w:rsidP="0052418C">
      <w:pPr>
        <w:pStyle w:val="IFTnormal"/>
        <w:spacing w:after="0"/>
        <w:ind w:left="0"/>
        <w:rPr>
          <w:rFonts w:eastAsiaTheme="majorEastAsia" w:cs="Arial"/>
          <w:b/>
          <w:u w:val="single"/>
        </w:rPr>
      </w:pPr>
      <w:r w:rsidRPr="0052418C" w:rsidDel="0058367B">
        <w:rPr>
          <w:rFonts w:cs="Arial"/>
        </w:rPr>
        <w:t xml:space="preserve"> </w:t>
      </w:r>
      <w:bookmarkStart w:id="15" w:name="client"/>
      <w:bookmarkStart w:id="16" w:name="domfac"/>
      <w:bookmarkStart w:id="17" w:name="col"/>
      <w:bookmarkStart w:id="18" w:name="dele"/>
      <w:bookmarkStart w:id="19" w:name="cp"/>
      <w:bookmarkStart w:id="20" w:name="ciudad"/>
      <w:bookmarkStart w:id="21" w:name="cantidad"/>
      <w:bookmarkStart w:id="22" w:name="numfac2"/>
      <w:bookmarkStart w:id="23" w:name="trondig"/>
      <w:bookmarkStart w:id="24" w:name="cld"/>
      <w:bookmarkStart w:id="25" w:name="dir_ptaa"/>
      <w:bookmarkStart w:id="26" w:name="dir_ptab"/>
      <w:bookmarkEnd w:id="15"/>
      <w:bookmarkEnd w:id="16"/>
      <w:bookmarkEnd w:id="17"/>
      <w:bookmarkEnd w:id="18"/>
      <w:bookmarkEnd w:id="19"/>
      <w:bookmarkEnd w:id="20"/>
      <w:bookmarkEnd w:id="21"/>
      <w:bookmarkEnd w:id="22"/>
      <w:bookmarkEnd w:id="23"/>
      <w:bookmarkEnd w:id="24"/>
      <w:bookmarkEnd w:id="25"/>
      <w:bookmarkEnd w:id="26"/>
      <w:r w:rsidR="00661A44" w:rsidRPr="0052418C">
        <w:rPr>
          <w:rFonts w:eastAsiaTheme="majorEastAsia" w:cs="Arial"/>
          <w:b/>
          <w:u w:val="single"/>
        </w:rPr>
        <w:t>2.6.2.</w:t>
      </w:r>
      <w:r w:rsidR="008F718A" w:rsidRPr="0052418C">
        <w:rPr>
          <w:rFonts w:eastAsiaTheme="majorEastAsia" w:cs="Arial"/>
          <w:b/>
          <w:u w:val="single"/>
        </w:rPr>
        <w:t xml:space="preserve"> </w:t>
      </w:r>
    </w:p>
    <w:p w14:paraId="64888C05" w14:textId="23F89EAF" w:rsidR="00661A44" w:rsidRPr="0052418C" w:rsidRDefault="009C4FE8"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 xml:space="preserve">GRUPO AT&amp;T: </w:t>
      </w:r>
    </w:p>
    <w:p w14:paraId="088D4534" w14:textId="1505E9F5" w:rsidR="00661A44" w:rsidRPr="0052418C" w:rsidRDefault="00661A44" w:rsidP="0052418C">
      <w:pPr>
        <w:spacing w:after="0" w:line="276" w:lineRule="auto"/>
        <w:ind w:left="0" w:right="0" w:firstLine="0"/>
        <w:rPr>
          <w:rFonts w:ascii="ITC Avant Garde" w:hAnsi="ITC Avant Garde"/>
          <w:color w:val="auto"/>
        </w:rPr>
      </w:pPr>
      <w:r w:rsidRPr="0052418C">
        <w:rPr>
          <w:rFonts w:ascii="ITC Avant Garde" w:hAnsi="ITC Avant Garde"/>
          <w:color w:val="auto"/>
        </w:rPr>
        <w:t>Señal</w:t>
      </w:r>
      <w:r w:rsidR="00BD2696" w:rsidRPr="0052418C">
        <w:rPr>
          <w:rFonts w:ascii="ITC Avant Garde" w:hAnsi="ITC Avant Garde"/>
          <w:color w:val="auto"/>
        </w:rPr>
        <w:t>ó</w:t>
      </w:r>
      <w:r w:rsidRPr="0052418C">
        <w:rPr>
          <w:rFonts w:ascii="ITC Avant Garde" w:hAnsi="ITC Avant Garde"/>
          <w:color w:val="auto"/>
        </w:rPr>
        <w:t xml:space="preserve"> que los </w:t>
      </w:r>
      <w:r w:rsidR="006037D3" w:rsidRPr="0052418C">
        <w:rPr>
          <w:rFonts w:ascii="ITC Avant Garde" w:hAnsi="ITC Avant Garde"/>
          <w:color w:val="auto"/>
        </w:rPr>
        <w:t xml:space="preserve">plazos máximos de reparación de Enlaces Dedicados </w:t>
      </w:r>
      <w:r w:rsidRPr="0052418C">
        <w:rPr>
          <w:rFonts w:ascii="ITC Avant Garde" w:hAnsi="ITC Avant Garde"/>
          <w:color w:val="auto"/>
        </w:rPr>
        <w:t xml:space="preserve">de la </w:t>
      </w:r>
      <w:r w:rsidR="004634C2" w:rsidRPr="0052418C">
        <w:rPr>
          <w:rFonts w:ascii="ITC Avant Garde" w:hAnsi="ITC Avant Garde"/>
          <w:color w:val="auto"/>
        </w:rPr>
        <w:t>Oferta</w:t>
      </w:r>
      <w:r w:rsidR="0024640C" w:rsidRPr="0052418C">
        <w:rPr>
          <w:rFonts w:ascii="ITC Avant Garde" w:hAnsi="ITC Avant Garde"/>
          <w:color w:val="auto"/>
        </w:rPr>
        <w:t xml:space="preserve"> </w:t>
      </w:r>
      <w:r w:rsidR="006037D3" w:rsidRPr="0052418C">
        <w:rPr>
          <w:rFonts w:ascii="ITC Avant Garde" w:hAnsi="ITC Avant Garde"/>
          <w:color w:val="auto"/>
        </w:rPr>
        <w:t>vigente</w:t>
      </w:r>
      <w:r w:rsidR="008C374F" w:rsidRPr="0052418C">
        <w:rPr>
          <w:rFonts w:ascii="ITC Avant Garde" w:hAnsi="ITC Avant Garde"/>
          <w:color w:val="auto"/>
        </w:rPr>
        <w:t xml:space="preserve"> </w:t>
      </w:r>
      <w:r w:rsidRPr="0052418C">
        <w:rPr>
          <w:rFonts w:ascii="ITC Avant Garde" w:hAnsi="ITC Avant Garde"/>
          <w:color w:val="auto"/>
        </w:rPr>
        <w:t>son razonables, por lo que se deben de mantener, ya que no hay razón justificable para aumentarlos</w:t>
      </w:r>
      <w:r w:rsidR="004C793F" w:rsidRPr="0052418C">
        <w:rPr>
          <w:rFonts w:ascii="ITC Avant Garde" w:hAnsi="ITC Avant Garde"/>
          <w:color w:val="auto"/>
        </w:rPr>
        <w:t>.</w:t>
      </w:r>
    </w:p>
    <w:p w14:paraId="339CF9FF" w14:textId="77777777" w:rsidR="004C793F" w:rsidRPr="0052418C" w:rsidRDefault="004C793F" w:rsidP="0052418C">
      <w:pPr>
        <w:spacing w:after="0" w:line="276" w:lineRule="auto"/>
        <w:ind w:left="0" w:right="0" w:firstLine="0"/>
        <w:outlineLvl w:val="0"/>
        <w:rPr>
          <w:rFonts w:ascii="ITC Avant Garde" w:eastAsiaTheme="majorEastAsia" w:hAnsi="ITC Avant Garde" w:cs="Arial"/>
          <w:b/>
          <w:color w:val="auto"/>
          <w:lang w:val="es-ES_tradnl"/>
        </w:rPr>
      </w:pPr>
    </w:p>
    <w:p w14:paraId="0DC0BFA8" w14:textId="357751B7" w:rsidR="00AD6FE3" w:rsidRPr="0052418C" w:rsidRDefault="004D6FB4" w:rsidP="0052418C">
      <w:pPr>
        <w:spacing w:after="0" w:line="276" w:lineRule="auto"/>
        <w:ind w:left="0" w:right="0" w:firstLine="0"/>
        <w:outlineLvl w:val="0"/>
        <w:rPr>
          <w:rFonts w:ascii="ITC Avant Garde" w:eastAsiaTheme="majorEastAsia" w:hAnsi="ITC Avant Garde" w:cs="Arial"/>
          <w:b/>
          <w:color w:val="auto"/>
          <w:lang w:val="es-ES_tradnl"/>
        </w:rPr>
      </w:pPr>
      <w:r w:rsidRPr="0052418C">
        <w:rPr>
          <w:rFonts w:ascii="ITC Avant Garde" w:eastAsiaTheme="majorEastAsia" w:hAnsi="ITC Avant Garde" w:cs="Arial"/>
          <w:b/>
          <w:color w:val="auto"/>
          <w:lang w:val="es-ES_tradnl"/>
        </w:rPr>
        <w:t>AXTEL</w:t>
      </w:r>
      <w:r w:rsidR="008400C1" w:rsidRPr="0052418C">
        <w:rPr>
          <w:rFonts w:ascii="ITC Avant Garde" w:eastAsiaTheme="majorEastAsia" w:hAnsi="ITC Avant Garde" w:cs="Arial"/>
          <w:b/>
          <w:color w:val="auto"/>
          <w:lang w:val="es-ES_tradnl"/>
        </w:rPr>
        <w:t>:</w:t>
      </w:r>
    </w:p>
    <w:p w14:paraId="2D698730" w14:textId="2C34BDF9" w:rsidR="00AD6FE3" w:rsidRPr="0052418C" w:rsidRDefault="00AD6FE3" w:rsidP="0052418C">
      <w:pPr>
        <w:spacing w:after="0" w:line="276" w:lineRule="auto"/>
        <w:ind w:left="0" w:right="0" w:firstLine="0"/>
        <w:rPr>
          <w:rFonts w:ascii="ITC Avant Garde" w:hAnsi="ITC Avant Garde"/>
          <w:color w:val="auto"/>
        </w:rPr>
      </w:pPr>
      <w:r w:rsidRPr="0052418C">
        <w:rPr>
          <w:rFonts w:ascii="ITC Avant Garde" w:hAnsi="ITC Avant Garde"/>
          <w:color w:val="auto"/>
        </w:rPr>
        <w:t>Manifest</w:t>
      </w:r>
      <w:r w:rsidR="00C10E18" w:rsidRPr="0052418C">
        <w:rPr>
          <w:rFonts w:ascii="ITC Avant Garde" w:hAnsi="ITC Avant Garde"/>
          <w:color w:val="auto"/>
        </w:rPr>
        <w:t>ó</w:t>
      </w:r>
      <w:r w:rsidRPr="0052418C">
        <w:rPr>
          <w:rFonts w:ascii="ITC Avant Garde" w:hAnsi="ITC Avant Garde"/>
          <w:color w:val="auto"/>
        </w:rPr>
        <w:t xml:space="preserve"> que </w:t>
      </w:r>
      <w:r w:rsidR="00CA5053" w:rsidRPr="0052418C">
        <w:rPr>
          <w:rFonts w:ascii="ITC Avant Garde" w:hAnsi="ITC Avant Garde"/>
          <w:color w:val="auto"/>
        </w:rPr>
        <w:t xml:space="preserve">el AEP </w:t>
      </w:r>
      <w:r w:rsidR="00C10E18" w:rsidRPr="0052418C">
        <w:rPr>
          <w:rFonts w:ascii="ITC Avant Garde" w:hAnsi="ITC Avant Garde"/>
          <w:color w:val="auto"/>
        </w:rPr>
        <w:t>plante</w:t>
      </w:r>
      <w:r w:rsidR="00CA5053" w:rsidRPr="0052418C">
        <w:rPr>
          <w:rFonts w:ascii="ITC Avant Garde" w:hAnsi="ITC Avant Garde"/>
          <w:color w:val="auto"/>
        </w:rPr>
        <w:t>ó</w:t>
      </w:r>
      <w:r w:rsidRPr="0052418C">
        <w:rPr>
          <w:rFonts w:ascii="ITC Avant Garde" w:hAnsi="ITC Avant Garde"/>
          <w:color w:val="auto"/>
        </w:rPr>
        <w:t xml:space="preserve"> plazos para la reparación de fallas superiores a los plazos establecidos en la oferta vigente, por lo que solicita se reestablezcan como mínimo conforme a la oferta vigente.</w:t>
      </w:r>
    </w:p>
    <w:p w14:paraId="682F71D8" w14:textId="483DB595" w:rsidR="00AD6FE3" w:rsidRPr="0052418C" w:rsidRDefault="00AD6FE3" w:rsidP="0052418C">
      <w:pPr>
        <w:spacing w:after="0" w:line="276" w:lineRule="auto"/>
        <w:ind w:left="0" w:right="0" w:firstLine="0"/>
        <w:rPr>
          <w:rFonts w:ascii="ITC Avant Garde" w:hAnsi="ITC Avant Garde"/>
          <w:color w:val="auto"/>
        </w:rPr>
      </w:pPr>
    </w:p>
    <w:p w14:paraId="4FAA6931" w14:textId="77777777" w:rsidR="00CA5053" w:rsidRPr="0052418C" w:rsidRDefault="00CA5053" w:rsidP="0052418C">
      <w:pPr>
        <w:spacing w:after="0" w:line="276" w:lineRule="auto"/>
        <w:ind w:left="0" w:right="0" w:firstLine="0"/>
        <w:rPr>
          <w:rFonts w:ascii="ITC Avant Garde" w:hAnsi="ITC Avant Garde"/>
          <w:color w:val="auto"/>
        </w:rPr>
      </w:pPr>
      <w:r w:rsidRPr="0052418C">
        <w:rPr>
          <w:rFonts w:ascii="ITC Avant Garde" w:hAnsi="ITC Avant Garde"/>
          <w:color w:val="auto"/>
        </w:rPr>
        <w:t>Asimismo, solicitó al Instituto mantener, o en su caso, mejorar los tiempos de atención para la reparación de los servicios que presenten fallas.</w:t>
      </w:r>
    </w:p>
    <w:p w14:paraId="68D5C67E" w14:textId="6C2CCFE6" w:rsidR="003112CE" w:rsidRPr="0052418C" w:rsidRDefault="003112CE" w:rsidP="0052418C">
      <w:pPr>
        <w:spacing w:after="0" w:line="276" w:lineRule="auto"/>
        <w:ind w:left="0" w:right="0" w:firstLine="0"/>
        <w:rPr>
          <w:rFonts w:ascii="ITC Avant Garde" w:hAnsi="ITC Avant Garde"/>
          <w:color w:val="auto"/>
        </w:rPr>
      </w:pPr>
    </w:p>
    <w:p w14:paraId="31243337" w14:textId="77777777" w:rsidR="003112CE" w:rsidRPr="0052418C" w:rsidRDefault="003112CE" w:rsidP="0052418C">
      <w:pPr>
        <w:spacing w:after="0" w:line="276" w:lineRule="auto"/>
        <w:ind w:left="0" w:right="0" w:firstLine="0"/>
        <w:rPr>
          <w:rFonts w:ascii="ITC Avant Garde" w:eastAsia="Times New Roman" w:hAnsi="ITC Avant Garde" w:cs="Arial"/>
          <w:b/>
          <w:color w:val="auto"/>
        </w:rPr>
      </w:pPr>
      <w:r w:rsidRPr="0052418C">
        <w:rPr>
          <w:rFonts w:ascii="ITC Avant Garde" w:eastAsia="Times New Roman" w:hAnsi="ITC Avant Garde" w:cs="Arial"/>
          <w:b/>
          <w:color w:val="auto"/>
        </w:rPr>
        <w:t>MEGA CABLE:</w:t>
      </w:r>
    </w:p>
    <w:p w14:paraId="0E309BA0" w14:textId="78180DD0" w:rsidR="003112CE" w:rsidRPr="0052418C" w:rsidRDefault="003112CE" w:rsidP="0052418C">
      <w:pPr>
        <w:spacing w:after="0" w:line="276" w:lineRule="auto"/>
        <w:ind w:left="0" w:right="0" w:firstLine="0"/>
        <w:rPr>
          <w:rFonts w:ascii="ITC Avant Garde" w:hAnsi="ITC Avant Garde"/>
          <w:color w:val="auto"/>
        </w:rPr>
      </w:pPr>
      <w:r w:rsidRPr="0052418C">
        <w:rPr>
          <w:rFonts w:ascii="ITC Avant Garde" w:hAnsi="ITC Avant Garde"/>
          <w:color w:val="auto"/>
        </w:rPr>
        <w:t xml:space="preserve">Señaló que </w:t>
      </w:r>
      <w:r w:rsidR="00552CE3">
        <w:rPr>
          <w:rFonts w:ascii="ITC Avant Garde" w:hAnsi="ITC Avant Garde"/>
          <w:color w:val="auto"/>
        </w:rPr>
        <w:t xml:space="preserve">en </w:t>
      </w:r>
      <w:r w:rsidR="004634C2" w:rsidRPr="0052418C">
        <w:rPr>
          <w:rFonts w:ascii="ITC Avant Garde" w:hAnsi="ITC Avant Garde"/>
          <w:color w:val="auto"/>
        </w:rPr>
        <w:t>la Propuesta de Oferta</w:t>
      </w:r>
      <w:r w:rsidRPr="0052418C">
        <w:rPr>
          <w:rFonts w:ascii="ITC Avant Garde" w:hAnsi="ITC Avant Garde"/>
          <w:color w:val="auto"/>
        </w:rPr>
        <w:t xml:space="preserve"> se intentó extender los plazos máximos de reparación y hacer más complejos los parámetros de calidad.</w:t>
      </w:r>
      <w:r w:rsidR="004634C2" w:rsidRPr="0052418C">
        <w:rPr>
          <w:rFonts w:ascii="ITC Avant Garde" w:hAnsi="ITC Avant Garde"/>
          <w:color w:val="auto"/>
        </w:rPr>
        <w:t xml:space="preserve"> En este sentido, </w:t>
      </w:r>
      <w:r w:rsidRPr="0052418C">
        <w:rPr>
          <w:rFonts w:ascii="ITC Avant Garde" w:hAnsi="ITC Avant Garde"/>
          <w:color w:val="auto"/>
        </w:rPr>
        <w:t>sugirió mantener los plazos y supuestos autorizados en la ORE</w:t>
      </w:r>
      <w:r w:rsidR="004634C2" w:rsidRPr="0052418C">
        <w:rPr>
          <w:rFonts w:ascii="ITC Avant Garde" w:hAnsi="ITC Avant Garde"/>
          <w:color w:val="auto"/>
        </w:rPr>
        <w:t xml:space="preserve"> EM</w:t>
      </w:r>
      <w:r w:rsidRPr="0052418C">
        <w:rPr>
          <w:rFonts w:ascii="ITC Avant Garde" w:hAnsi="ITC Avant Garde"/>
          <w:color w:val="auto"/>
        </w:rPr>
        <w:t xml:space="preserve"> 2021</w:t>
      </w:r>
      <w:r w:rsidR="00C65FCF" w:rsidRPr="0052418C">
        <w:rPr>
          <w:rFonts w:ascii="ITC Avant Garde" w:hAnsi="ITC Avant Garde"/>
          <w:color w:val="auto"/>
        </w:rPr>
        <w:t>.</w:t>
      </w:r>
      <w:r w:rsidRPr="0052418C">
        <w:rPr>
          <w:rFonts w:ascii="ITC Avant Garde" w:hAnsi="ITC Avant Garde"/>
          <w:color w:val="auto"/>
        </w:rPr>
        <w:t xml:space="preserve">  </w:t>
      </w:r>
    </w:p>
    <w:p w14:paraId="6E9DA37C" w14:textId="3095B912" w:rsidR="007124DF" w:rsidRPr="0052418C" w:rsidRDefault="007124DF" w:rsidP="0052418C">
      <w:pPr>
        <w:spacing w:after="0" w:line="276" w:lineRule="auto"/>
        <w:ind w:left="0" w:right="0" w:firstLine="0"/>
        <w:rPr>
          <w:rFonts w:ascii="ITC Avant Garde" w:hAnsi="ITC Avant Garde"/>
          <w:color w:val="auto"/>
        </w:rPr>
      </w:pPr>
    </w:p>
    <w:p w14:paraId="7AE9A61A" w14:textId="219E0F37" w:rsidR="007124DF" w:rsidRPr="0052418C" w:rsidRDefault="004634C2" w:rsidP="0052418C">
      <w:pPr>
        <w:spacing w:after="0" w:line="276" w:lineRule="auto"/>
        <w:ind w:left="0" w:right="0" w:firstLine="0"/>
        <w:rPr>
          <w:rFonts w:ascii="ITC Avant Garde" w:hAnsi="ITC Avant Garde"/>
          <w:b/>
          <w:bCs/>
          <w:color w:val="auto"/>
        </w:rPr>
      </w:pPr>
      <w:r w:rsidRPr="0052418C">
        <w:rPr>
          <w:rFonts w:ascii="ITC Avant Garde" w:hAnsi="ITC Avant Garde"/>
          <w:b/>
          <w:bCs/>
          <w:color w:val="auto"/>
        </w:rPr>
        <w:t>PEGASO:</w:t>
      </w:r>
    </w:p>
    <w:p w14:paraId="07E410F5" w14:textId="376EB0DF" w:rsidR="00C65FCF" w:rsidRPr="0052418C" w:rsidRDefault="002A2137" w:rsidP="0052418C">
      <w:pPr>
        <w:spacing w:after="0" w:line="276" w:lineRule="auto"/>
        <w:ind w:left="0" w:right="0" w:firstLine="0"/>
        <w:rPr>
          <w:rFonts w:ascii="ITC Avant Garde" w:hAnsi="ITC Avant Garde"/>
          <w:color w:val="auto"/>
        </w:rPr>
      </w:pPr>
      <w:r>
        <w:rPr>
          <w:rFonts w:ascii="ITC Avant Garde" w:hAnsi="ITC Avant Garde"/>
          <w:color w:val="auto"/>
        </w:rPr>
        <w:t>Manifestó</w:t>
      </w:r>
      <w:r w:rsidR="007124DF" w:rsidRPr="0052418C">
        <w:rPr>
          <w:rFonts w:ascii="ITC Avant Garde" w:hAnsi="ITC Avant Garde"/>
          <w:color w:val="auto"/>
        </w:rPr>
        <w:t xml:space="preserve"> que</w:t>
      </w:r>
      <w:r w:rsidR="004634C2" w:rsidRPr="0052418C">
        <w:rPr>
          <w:rFonts w:ascii="ITC Avant Garde" w:hAnsi="ITC Avant Garde"/>
          <w:color w:val="auto"/>
        </w:rPr>
        <w:t>,</w:t>
      </w:r>
      <w:r w:rsidR="007124DF" w:rsidRPr="0052418C">
        <w:rPr>
          <w:rFonts w:ascii="ITC Avant Garde" w:hAnsi="ITC Avant Garde"/>
          <w:color w:val="auto"/>
        </w:rPr>
        <w:t xml:space="preserve"> el AEP </w:t>
      </w:r>
      <w:r>
        <w:rPr>
          <w:rFonts w:ascii="ITC Avant Garde" w:hAnsi="ITC Avant Garde"/>
          <w:color w:val="auto"/>
        </w:rPr>
        <w:t xml:space="preserve">señala </w:t>
      </w:r>
      <w:r w:rsidR="00B4450C" w:rsidRPr="0052418C">
        <w:rPr>
          <w:rFonts w:ascii="ITC Avant Garde" w:hAnsi="ITC Avant Garde"/>
          <w:color w:val="auto"/>
        </w:rPr>
        <w:t>que</w:t>
      </w:r>
      <w:r w:rsidR="004634C2" w:rsidRPr="0052418C">
        <w:rPr>
          <w:rFonts w:ascii="ITC Avant Garde" w:hAnsi="ITC Avant Garde"/>
          <w:color w:val="auto"/>
        </w:rPr>
        <w:t xml:space="preserve"> </w:t>
      </w:r>
      <w:r w:rsidR="007124DF" w:rsidRPr="0052418C">
        <w:rPr>
          <w:rFonts w:ascii="ITC Avant Garde" w:hAnsi="ITC Avant Garde"/>
          <w:color w:val="auto"/>
        </w:rPr>
        <w:t>resulta contradictorio al establecer que los plazos de reparación de enlaces de interconexión y los enlaces dedicados pueden ser distintos</w:t>
      </w:r>
      <w:r w:rsidR="00C65FCF" w:rsidRPr="0052418C">
        <w:rPr>
          <w:rFonts w:ascii="ITC Avant Garde" w:hAnsi="ITC Avant Garde"/>
          <w:color w:val="auto"/>
        </w:rPr>
        <w:t xml:space="preserve">, cuando el modelo de costos del Instituto es el mismo para ambos tipos de enlace. </w:t>
      </w:r>
      <w:r w:rsidR="00B4450C" w:rsidRPr="0052418C">
        <w:rPr>
          <w:rFonts w:ascii="ITC Avant Garde" w:hAnsi="ITC Avant Garde"/>
          <w:color w:val="auto"/>
        </w:rPr>
        <w:t>Asimismo, señal</w:t>
      </w:r>
      <w:r w:rsidR="004D6F7E">
        <w:rPr>
          <w:rFonts w:ascii="ITC Avant Garde" w:hAnsi="ITC Avant Garde"/>
          <w:color w:val="auto"/>
        </w:rPr>
        <w:t>ó</w:t>
      </w:r>
      <w:r w:rsidR="00B4450C" w:rsidRPr="0052418C">
        <w:rPr>
          <w:rFonts w:ascii="ITC Avant Garde" w:hAnsi="ITC Avant Garde"/>
          <w:color w:val="auto"/>
        </w:rPr>
        <w:t xml:space="preserve"> que Red Nacional </w:t>
      </w:r>
      <w:r w:rsidR="00C65FCF" w:rsidRPr="0052418C">
        <w:rPr>
          <w:rFonts w:ascii="ITC Avant Garde" w:hAnsi="ITC Avant Garde"/>
          <w:color w:val="auto"/>
        </w:rPr>
        <w:t>propone unos plazos de reparación de fallas mayores a los actuales sin justificar, y que estos plazos sean los mismos tanto para enlaces de interconexión como de enlaces dedicados.</w:t>
      </w:r>
    </w:p>
    <w:p w14:paraId="556175D2" w14:textId="77777777" w:rsidR="00C65FCF" w:rsidRPr="0052418C" w:rsidRDefault="00C65FCF" w:rsidP="0052418C">
      <w:pPr>
        <w:spacing w:after="0" w:line="276" w:lineRule="auto"/>
        <w:ind w:left="0" w:right="0" w:firstLine="0"/>
        <w:rPr>
          <w:rFonts w:ascii="ITC Avant Garde" w:hAnsi="ITC Avant Garde"/>
          <w:color w:val="auto"/>
        </w:rPr>
      </w:pPr>
    </w:p>
    <w:p w14:paraId="0A693F50" w14:textId="51073689" w:rsidR="007124DF" w:rsidRPr="0052418C" w:rsidRDefault="00C65FCF" w:rsidP="0052418C">
      <w:pPr>
        <w:spacing w:after="0" w:line="276" w:lineRule="auto"/>
        <w:ind w:left="0" w:right="0" w:firstLine="0"/>
        <w:rPr>
          <w:rFonts w:ascii="ITC Avant Garde" w:hAnsi="ITC Avant Garde"/>
          <w:color w:val="auto"/>
        </w:rPr>
      </w:pPr>
      <w:r w:rsidRPr="0052418C">
        <w:rPr>
          <w:rFonts w:ascii="ITC Avant Garde" w:hAnsi="ITC Avant Garde"/>
          <w:color w:val="auto"/>
        </w:rPr>
        <w:t xml:space="preserve">Pegaso argumentó que los plazos para los enlaces de interconexión hoy en día son </w:t>
      </w:r>
      <w:r w:rsidR="006037D3" w:rsidRPr="0052418C">
        <w:rPr>
          <w:rFonts w:ascii="ITC Avant Garde" w:hAnsi="ITC Avant Garde"/>
          <w:color w:val="auto"/>
        </w:rPr>
        <w:t>más</w:t>
      </w:r>
      <w:r w:rsidRPr="0052418C">
        <w:rPr>
          <w:rFonts w:ascii="ITC Avant Garde" w:hAnsi="ITC Avant Garde"/>
          <w:color w:val="auto"/>
        </w:rPr>
        <w:t xml:space="preserve"> estrictos que para los enlaces dedicados, dada la importancia del servicio de interconexión, siendo además simétricos para todos los operadores. </w:t>
      </w:r>
    </w:p>
    <w:p w14:paraId="7EB802CB" w14:textId="77777777" w:rsidR="007124DF" w:rsidRPr="0052418C" w:rsidRDefault="007124DF" w:rsidP="0052418C">
      <w:pPr>
        <w:spacing w:after="0" w:line="276" w:lineRule="auto"/>
        <w:ind w:left="0" w:right="0" w:firstLine="0"/>
        <w:rPr>
          <w:rFonts w:ascii="ITC Avant Garde" w:hAnsi="ITC Avant Garde"/>
          <w:color w:val="auto"/>
        </w:rPr>
      </w:pPr>
    </w:p>
    <w:p w14:paraId="0CD47E55" w14:textId="403B1EDD" w:rsidR="003866C0" w:rsidRPr="0052418C" w:rsidRDefault="003866C0" w:rsidP="0052418C">
      <w:pPr>
        <w:spacing w:after="0" w:line="276" w:lineRule="auto"/>
        <w:ind w:left="0" w:right="0" w:firstLine="0"/>
        <w:rPr>
          <w:rFonts w:ascii="ITC Avant Garde" w:eastAsia="Times New Roman" w:hAnsi="ITC Avant Garde" w:cs="Arial"/>
          <w:b/>
          <w:color w:val="auto"/>
        </w:rPr>
      </w:pPr>
      <w:r w:rsidRPr="0052418C">
        <w:rPr>
          <w:rFonts w:ascii="ITC Avant Garde" w:eastAsia="Times New Roman" w:hAnsi="ITC Avant Garde" w:cs="Arial"/>
          <w:b/>
          <w:color w:val="auto"/>
        </w:rPr>
        <w:t>Consideraciones del Instituto:</w:t>
      </w:r>
    </w:p>
    <w:p w14:paraId="1D4A58ED" w14:textId="5BA4B6C0" w:rsidR="008400C1" w:rsidRPr="0052418C" w:rsidRDefault="008400C1" w:rsidP="0052418C">
      <w:pPr>
        <w:spacing w:after="0" w:line="276" w:lineRule="auto"/>
        <w:ind w:left="0" w:right="0" w:firstLine="0"/>
        <w:rPr>
          <w:rFonts w:ascii="ITC Avant Garde" w:hAnsi="ITC Avant Garde"/>
          <w:color w:val="auto"/>
        </w:rPr>
      </w:pPr>
      <w:r w:rsidRPr="0052418C">
        <w:rPr>
          <w:rFonts w:ascii="ITC Avant Garde" w:hAnsi="ITC Avant Garde"/>
          <w:color w:val="auto"/>
        </w:rPr>
        <w:t xml:space="preserve">De conformidad con la Medida Cuadragésima Primera de las Medidas Fijas, </w:t>
      </w:r>
      <w:r w:rsidR="00AD1AB3" w:rsidRPr="0052418C">
        <w:rPr>
          <w:rFonts w:ascii="ITC Avant Garde" w:hAnsi="ITC Avant Garde"/>
          <w:color w:val="auto"/>
        </w:rPr>
        <w:t>se modificaron</w:t>
      </w:r>
      <w:r w:rsidRPr="0052418C">
        <w:rPr>
          <w:rFonts w:ascii="ITC Avant Garde" w:hAnsi="ITC Avant Garde"/>
          <w:color w:val="auto"/>
        </w:rPr>
        <w:t xml:space="preserve"> los plazos máximos de reparación de fallas conforme a los establecidos en la </w:t>
      </w:r>
      <w:r w:rsidR="00B04D40" w:rsidRPr="0052418C">
        <w:rPr>
          <w:rFonts w:ascii="ITC Avant Garde" w:hAnsi="ITC Avant Garde"/>
          <w:color w:val="auto"/>
        </w:rPr>
        <w:t>ORE EM 2021</w:t>
      </w:r>
      <w:r w:rsidRPr="0052418C">
        <w:rPr>
          <w:rFonts w:ascii="ITC Avant Garde" w:hAnsi="ITC Avant Garde"/>
          <w:color w:val="auto"/>
        </w:rPr>
        <w:t xml:space="preserve">. </w:t>
      </w:r>
    </w:p>
    <w:p w14:paraId="3A50B3BF" w14:textId="6C00E161" w:rsidR="003866C0" w:rsidRPr="0052418C" w:rsidRDefault="003866C0" w:rsidP="0052418C">
      <w:pPr>
        <w:spacing w:after="0" w:line="276" w:lineRule="auto"/>
        <w:ind w:left="0" w:right="0" w:firstLine="0"/>
        <w:outlineLvl w:val="0"/>
        <w:rPr>
          <w:rFonts w:ascii="ITC Avant Garde" w:eastAsiaTheme="majorEastAsia" w:hAnsi="ITC Avant Garde" w:cs="Arial"/>
          <w:b/>
          <w:color w:val="auto"/>
          <w:lang w:val="es-ES_tradnl"/>
        </w:rPr>
      </w:pPr>
    </w:p>
    <w:p w14:paraId="2C9BDAC1" w14:textId="6E0E46A8" w:rsidR="00DA60CB" w:rsidRPr="0052418C" w:rsidRDefault="00DA60CB" w:rsidP="0052418C">
      <w:pPr>
        <w:pStyle w:val="IFTnormal"/>
        <w:spacing w:after="0"/>
        <w:ind w:left="0"/>
        <w:rPr>
          <w:rFonts w:eastAsiaTheme="majorEastAsia" w:cs="Arial"/>
          <w:b/>
          <w:u w:val="single"/>
        </w:rPr>
      </w:pPr>
      <w:r w:rsidRPr="0052418C">
        <w:rPr>
          <w:rFonts w:eastAsiaTheme="majorEastAsia" w:cs="Arial"/>
          <w:b/>
          <w:u w:val="single"/>
        </w:rPr>
        <w:t>2.6.4</w:t>
      </w:r>
      <w:r w:rsidR="00934D06" w:rsidRPr="0052418C">
        <w:rPr>
          <w:rFonts w:eastAsiaTheme="majorEastAsia" w:cs="Arial"/>
          <w:b/>
          <w:u w:val="single"/>
        </w:rPr>
        <w:t>.</w:t>
      </w:r>
    </w:p>
    <w:p w14:paraId="7223F853" w14:textId="7DF346A5" w:rsidR="00CC6061" w:rsidRPr="0052418C" w:rsidRDefault="004D6FB4"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 xml:space="preserve">GRUPO AT&amp;T: </w:t>
      </w:r>
    </w:p>
    <w:p w14:paraId="44587858" w14:textId="73B52C59" w:rsidR="003049E7" w:rsidRPr="0052418C" w:rsidRDefault="000B05CD"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lastRenderedPageBreak/>
        <w:t>Sugirió</w:t>
      </w:r>
      <w:r w:rsidR="00632A41" w:rsidRPr="0052418C">
        <w:rPr>
          <w:rFonts w:ascii="ITC Avant Garde" w:hAnsi="ITC Avant Garde" w:cs="Arial"/>
          <w:color w:val="auto"/>
        </w:rPr>
        <w:t xml:space="preserve"> que se incluya en la redacción del numeral 2.6.4</w:t>
      </w:r>
      <w:r w:rsidR="00632A41" w:rsidRPr="0052418C" w:rsidDel="00632A41">
        <w:rPr>
          <w:rFonts w:ascii="ITC Avant Garde" w:hAnsi="ITC Avant Garde" w:cs="Arial"/>
          <w:color w:val="auto"/>
        </w:rPr>
        <w:t xml:space="preserve"> </w:t>
      </w:r>
      <w:r w:rsidR="00441E2D" w:rsidRPr="0052418C">
        <w:rPr>
          <w:rFonts w:ascii="ITC Avant Garde" w:hAnsi="ITC Avant Garde" w:cs="Arial"/>
          <w:color w:val="auto"/>
        </w:rPr>
        <w:t>que</w:t>
      </w:r>
      <w:r w:rsidR="004C7C6B">
        <w:rPr>
          <w:rFonts w:ascii="ITC Avant Garde" w:hAnsi="ITC Avant Garde" w:cs="Arial"/>
          <w:color w:val="auto"/>
        </w:rPr>
        <w:t>,</w:t>
      </w:r>
      <w:r w:rsidR="00441E2D" w:rsidRPr="0052418C">
        <w:rPr>
          <w:rFonts w:ascii="ITC Avant Garde" w:hAnsi="ITC Avant Garde" w:cs="Arial"/>
          <w:color w:val="auto"/>
        </w:rPr>
        <w:t xml:space="preserve"> </w:t>
      </w:r>
      <w:r w:rsidR="00955D27" w:rsidRPr="0052418C">
        <w:rPr>
          <w:rFonts w:ascii="ITC Avant Garde" w:hAnsi="ITC Avant Garde" w:cs="Arial"/>
          <w:color w:val="auto"/>
        </w:rPr>
        <w:t xml:space="preserve">en caso de presentarse </w:t>
      </w:r>
      <w:r w:rsidR="00441E2D" w:rsidRPr="0052418C">
        <w:rPr>
          <w:rFonts w:ascii="ITC Avant Garde" w:hAnsi="ITC Avant Garde" w:cs="Arial"/>
          <w:color w:val="auto"/>
        </w:rPr>
        <w:t xml:space="preserve">causas de fuerza mayor que interrumpan la prestación de los servicios, </w:t>
      </w:r>
      <w:r w:rsidR="00CF0468" w:rsidRPr="0052418C">
        <w:rPr>
          <w:rFonts w:ascii="ITC Avant Garde" w:hAnsi="ITC Avant Garde" w:cs="Arial"/>
          <w:color w:val="auto"/>
        </w:rPr>
        <w:t xml:space="preserve">Red Nacional </w:t>
      </w:r>
      <w:r w:rsidR="00441E2D" w:rsidRPr="0052418C">
        <w:rPr>
          <w:rFonts w:ascii="ITC Avant Garde" w:hAnsi="ITC Avant Garde" w:cs="Arial"/>
          <w:color w:val="auto"/>
        </w:rPr>
        <w:t>descontará de la renta la parte proporcional de los mismos que no fueron prestados</w:t>
      </w:r>
      <w:r w:rsidR="00B4450C" w:rsidRPr="0052418C">
        <w:rPr>
          <w:rFonts w:ascii="ITC Avant Garde" w:hAnsi="ITC Avant Garde" w:cs="Arial"/>
          <w:color w:val="auto"/>
        </w:rPr>
        <w:t xml:space="preserve"> más un 20%</w:t>
      </w:r>
      <w:r w:rsidR="00441E2D" w:rsidRPr="0052418C">
        <w:rPr>
          <w:rFonts w:ascii="ITC Avant Garde" w:hAnsi="ITC Avant Garde" w:cs="Arial"/>
          <w:color w:val="auto"/>
        </w:rPr>
        <w:t xml:space="preserve">. </w:t>
      </w:r>
      <w:r w:rsidR="00CF0468" w:rsidRPr="0052418C">
        <w:rPr>
          <w:rFonts w:ascii="ITC Avant Garde" w:hAnsi="ITC Avant Garde" w:cs="Arial"/>
          <w:color w:val="auto"/>
        </w:rPr>
        <w:t>Señalando que se trata de</w:t>
      </w:r>
      <w:r w:rsidR="007E04D0" w:rsidRPr="0052418C">
        <w:rPr>
          <w:rFonts w:ascii="ITC Avant Garde" w:hAnsi="ITC Avant Garde" w:cs="Arial"/>
          <w:color w:val="auto"/>
        </w:rPr>
        <w:t xml:space="preserve"> </w:t>
      </w:r>
      <w:r w:rsidR="00D636CA" w:rsidRPr="0052418C">
        <w:rPr>
          <w:rFonts w:ascii="ITC Avant Garde" w:hAnsi="ITC Avant Garde" w:cs="Arial"/>
          <w:color w:val="auto"/>
        </w:rPr>
        <w:t>una</w:t>
      </w:r>
      <w:r w:rsidR="007E04D0" w:rsidRPr="0052418C">
        <w:rPr>
          <w:rFonts w:ascii="ITC Avant Garde" w:hAnsi="ITC Avant Garde" w:cs="Arial"/>
          <w:color w:val="auto"/>
        </w:rPr>
        <w:t xml:space="preserve"> práctica normal de </w:t>
      </w:r>
      <w:r w:rsidR="002244F5" w:rsidRPr="0052418C">
        <w:rPr>
          <w:rFonts w:ascii="ITC Avant Garde" w:hAnsi="ITC Avant Garde" w:cs="Arial"/>
          <w:color w:val="auto"/>
        </w:rPr>
        <w:t>la</w:t>
      </w:r>
      <w:r w:rsidR="007E04D0" w:rsidRPr="0052418C">
        <w:rPr>
          <w:rFonts w:ascii="ITC Avant Garde" w:hAnsi="ITC Avant Garde" w:cs="Arial"/>
          <w:color w:val="auto"/>
        </w:rPr>
        <w:t xml:space="preserve"> industria </w:t>
      </w:r>
      <w:r w:rsidR="00D636CA" w:rsidRPr="0052418C">
        <w:rPr>
          <w:rFonts w:ascii="ITC Avant Garde" w:hAnsi="ITC Avant Garde" w:cs="Arial"/>
          <w:color w:val="auto"/>
        </w:rPr>
        <w:t>en la prestación de los servicios tanto a usuarios finales como entre operadores</w:t>
      </w:r>
      <w:r w:rsidR="00805272" w:rsidRPr="0052418C">
        <w:rPr>
          <w:rFonts w:ascii="ITC Avant Garde" w:hAnsi="ITC Avant Garde" w:cs="Arial"/>
          <w:color w:val="auto"/>
        </w:rPr>
        <w:t xml:space="preserve"> y</w:t>
      </w:r>
      <w:r w:rsidR="00D636CA" w:rsidRPr="0052418C">
        <w:rPr>
          <w:rFonts w:ascii="ITC Avant Garde" w:hAnsi="ITC Avant Garde" w:cs="Arial"/>
          <w:color w:val="auto"/>
        </w:rPr>
        <w:t xml:space="preserve"> no se considera una penalidad, simplemente no puede cobrarse por servicios que no se prestan</w:t>
      </w:r>
      <w:r w:rsidR="00805272" w:rsidRPr="0052418C">
        <w:rPr>
          <w:rFonts w:ascii="ITC Avant Garde" w:hAnsi="ITC Avant Garde" w:cs="Arial"/>
          <w:color w:val="auto"/>
        </w:rPr>
        <w:t xml:space="preserve">, por lo cual indica que </w:t>
      </w:r>
      <w:r w:rsidR="00D636CA" w:rsidRPr="0052418C">
        <w:rPr>
          <w:rFonts w:ascii="ITC Avant Garde" w:hAnsi="ITC Avant Garde" w:cs="Arial"/>
          <w:color w:val="auto"/>
        </w:rPr>
        <w:t>esto mismo debe aplicar por causas imputables a terceros.</w:t>
      </w:r>
    </w:p>
    <w:p w14:paraId="46DC02AF" w14:textId="79DEA391" w:rsidR="003049E7" w:rsidRPr="0052418C" w:rsidRDefault="003049E7" w:rsidP="0052418C">
      <w:pPr>
        <w:spacing w:after="0" w:line="276" w:lineRule="auto"/>
        <w:ind w:left="0" w:right="0" w:firstLine="0"/>
        <w:rPr>
          <w:rFonts w:ascii="ITC Avant Garde" w:hAnsi="ITC Avant Garde" w:cs="Arial"/>
          <w:color w:val="auto"/>
        </w:rPr>
      </w:pPr>
    </w:p>
    <w:p w14:paraId="6D35DFBE" w14:textId="6DFFAA8D" w:rsidR="006037D3" w:rsidRPr="0052418C" w:rsidRDefault="006037D3" w:rsidP="0052418C">
      <w:pPr>
        <w:spacing w:after="0" w:line="276" w:lineRule="auto"/>
        <w:ind w:left="0" w:right="0" w:firstLine="0"/>
        <w:rPr>
          <w:rFonts w:ascii="ITC Avant Garde" w:hAnsi="ITC Avant Garde" w:cs="Arial"/>
          <w:color w:val="auto"/>
        </w:rPr>
      </w:pPr>
      <w:r w:rsidRPr="0052418C">
        <w:rPr>
          <w:rFonts w:ascii="ITC Avant Garde" w:hAnsi="ITC Avant Garde"/>
          <w:color w:val="auto"/>
        </w:rPr>
        <w:t>Adicionó que, deben medirse los plazos que se están ofreciendo en la realidad a las empresas del Grupo comparados con los de los competidores, estos son los indicadores públicos que se utilizan en otros países para evaluar la igualdad de trato y la efectividad de las medidas asimétricas</w:t>
      </w:r>
    </w:p>
    <w:p w14:paraId="57A0037C" w14:textId="77777777" w:rsidR="006037D3" w:rsidRPr="0052418C" w:rsidRDefault="006037D3" w:rsidP="0052418C">
      <w:pPr>
        <w:spacing w:after="0" w:line="276" w:lineRule="auto"/>
        <w:ind w:left="0" w:right="0" w:firstLine="0"/>
        <w:rPr>
          <w:rFonts w:ascii="ITC Avant Garde" w:hAnsi="ITC Avant Garde" w:cs="Arial"/>
          <w:color w:val="auto"/>
        </w:rPr>
      </w:pPr>
    </w:p>
    <w:p w14:paraId="09342441" w14:textId="420D54DF" w:rsidR="00F2605A" w:rsidRPr="0052418C" w:rsidRDefault="004D6FB4"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AXTEL:</w:t>
      </w:r>
    </w:p>
    <w:p w14:paraId="0F90729B" w14:textId="77777777" w:rsidR="00CA5053" w:rsidRPr="0052418C" w:rsidRDefault="00CA5053" w:rsidP="0052418C">
      <w:pPr>
        <w:spacing w:after="0" w:line="276" w:lineRule="auto"/>
        <w:ind w:left="0" w:right="0" w:firstLine="0"/>
        <w:rPr>
          <w:rFonts w:ascii="ITC Avant Garde" w:hAnsi="ITC Avant Garde"/>
          <w:color w:val="auto"/>
        </w:rPr>
      </w:pPr>
      <w:r w:rsidRPr="0052418C">
        <w:rPr>
          <w:rFonts w:ascii="ITC Avant Garde" w:hAnsi="ITC Avant Garde"/>
          <w:color w:val="auto"/>
        </w:rPr>
        <w:t>Al respecto, Axtel señaló que los tiempos de traslado de personal y de los equipos deben estar considerados dentro de los tiempos establecidos para la atención de fallas, el AEP tiene presencia en todas las localidades y debe contar con un stock de refacciones para la atención de fallas. Debido a lo anterior, solicitó al Instituto, la eliminación de los Anexos de Tiempos de traslados y el inciso a) del numeral 2.6.4. de la Oferta propuesta</w:t>
      </w:r>
    </w:p>
    <w:p w14:paraId="33896712" w14:textId="77777777" w:rsidR="00CA5053" w:rsidRPr="0052418C" w:rsidRDefault="00CA5053" w:rsidP="0052418C">
      <w:pPr>
        <w:spacing w:after="0" w:line="276" w:lineRule="auto"/>
        <w:ind w:left="0" w:right="0" w:firstLine="0"/>
        <w:rPr>
          <w:rFonts w:ascii="ITC Avant Garde" w:hAnsi="ITC Avant Garde"/>
          <w:color w:val="auto"/>
        </w:rPr>
      </w:pPr>
    </w:p>
    <w:p w14:paraId="3943F14F" w14:textId="482446B1" w:rsidR="00CA5053" w:rsidRPr="0052418C" w:rsidRDefault="00CA5053" w:rsidP="0052418C">
      <w:pPr>
        <w:spacing w:after="0" w:line="276" w:lineRule="auto"/>
        <w:ind w:left="0" w:right="0" w:firstLine="0"/>
        <w:rPr>
          <w:rFonts w:ascii="ITC Avant Garde" w:hAnsi="ITC Avant Garde"/>
          <w:color w:val="auto"/>
        </w:rPr>
      </w:pPr>
      <w:r w:rsidRPr="0052418C">
        <w:rPr>
          <w:rFonts w:ascii="ITC Avant Garde" w:hAnsi="ITC Avant Garde"/>
          <w:color w:val="auto"/>
        </w:rPr>
        <w:t>Asimismo, solicitó al Instituto establecer de forma clara que constituye un evento imputable a terceros para evitar que el AEP tome provecho de esto para dilatar sin penalización alguna los tiempos de entrega, ya que es responsabilidad del AEP contar con un inventario de equipos y refracciones para el mantenimiento y atención de eventualidades. Por ende, solicitó que el tiempo en que el proveedor provea los equipos no afecte los plazos de atención a fallas o contar como tiempo de par</w:t>
      </w:r>
      <w:r w:rsidR="004C7C6B">
        <w:rPr>
          <w:rFonts w:ascii="ITC Avant Garde" w:hAnsi="ITC Avant Garde"/>
          <w:color w:val="auto"/>
        </w:rPr>
        <w:t>o</w:t>
      </w:r>
      <w:r w:rsidRPr="0052418C">
        <w:rPr>
          <w:rFonts w:ascii="ITC Avant Garde" w:hAnsi="ITC Avant Garde"/>
          <w:color w:val="auto"/>
        </w:rPr>
        <w:t xml:space="preserve"> de reloj. </w:t>
      </w:r>
    </w:p>
    <w:p w14:paraId="7E8D4062" w14:textId="77777777" w:rsidR="00CA5053" w:rsidRPr="0052418C" w:rsidRDefault="00CA5053" w:rsidP="0052418C">
      <w:pPr>
        <w:spacing w:after="0" w:line="276" w:lineRule="auto"/>
        <w:ind w:left="0" w:right="0" w:firstLine="0"/>
        <w:rPr>
          <w:rFonts w:ascii="ITC Avant Garde" w:hAnsi="ITC Avant Garde"/>
          <w:color w:val="auto"/>
        </w:rPr>
      </w:pPr>
    </w:p>
    <w:p w14:paraId="0BEBE3E5" w14:textId="77781F6E" w:rsidR="00CA5053" w:rsidRPr="0052418C" w:rsidRDefault="00CA5053" w:rsidP="0052418C">
      <w:pPr>
        <w:spacing w:after="0" w:line="276" w:lineRule="auto"/>
        <w:ind w:left="0" w:right="0" w:firstLine="0"/>
        <w:rPr>
          <w:rFonts w:ascii="ITC Avant Garde" w:hAnsi="ITC Avant Garde"/>
          <w:color w:val="auto"/>
        </w:rPr>
      </w:pPr>
      <w:r w:rsidRPr="0052418C">
        <w:rPr>
          <w:rFonts w:ascii="ITC Avant Garde" w:hAnsi="ITC Avant Garde"/>
          <w:color w:val="auto"/>
        </w:rPr>
        <w:t xml:space="preserve">Por otro lado, argumentó que el tiempo que tarde el AEP en la atención de tiempos por cortes de fibra óptica o cable de cobre, sean imputables a ellos, </w:t>
      </w:r>
      <w:r w:rsidR="00BA4624">
        <w:rPr>
          <w:rFonts w:ascii="ITC Avant Garde" w:hAnsi="ITC Avant Garde"/>
          <w:color w:val="auto"/>
        </w:rPr>
        <w:t xml:space="preserve">manifestó que, </w:t>
      </w:r>
      <w:r w:rsidRPr="0052418C">
        <w:rPr>
          <w:rFonts w:ascii="ITC Avant Garde" w:hAnsi="ITC Avant Garde"/>
          <w:color w:val="auto"/>
        </w:rPr>
        <w:t>es claro que el evento es totalmente externo al AEP. Adicionó que, por el contrario, el tiempo de atención debe ser atribuible al AEP,</w:t>
      </w:r>
      <w:r w:rsidR="00B04D40" w:rsidRPr="0052418C">
        <w:rPr>
          <w:rFonts w:ascii="ITC Avant Garde" w:hAnsi="ITC Avant Garde"/>
          <w:color w:val="auto"/>
        </w:rPr>
        <w:t xml:space="preserve"> </w:t>
      </w:r>
      <w:r w:rsidRPr="0052418C">
        <w:rPr>
          <w:rFonts w:ascii="ITC Avant Garde" w:hAnsi="ITC Avant Garde"/>
          <w:color w:val="auto"/>
        </w:rPr>
        <w:t xml:space="preserve">independientemente del evento ocurrido, en caso de caer en incidencias recurrentes, el AEP debe tener la obligación de presentar una solución alterna para mitigar o en su caso, eliminar la recurrencia. </w:t>
      </w:r>
    </w:p>
    <w:p w14:paraId="73927811" w14:textId="77777777" w:rsidR="00CA5053" w:rsidRPr="0052418C" w:rsidRDefault="00CA5053" w:rsidP="0052418C">
      <w:pPr>
        <w:spacing w:after="0" w:line="276" w:lineRule="auto"/>
        <w:ind w:left="0" w:right="0" w:firstLine="0"/>
        <w:rPr>
          <w:rFonts w:ascii="ITC Avant Garde" w:hAnsi="ITC Avant Garde"/>
          <w:color w:val="auto"/>
        </w:rPr>
      </w:pPr>
    </w:p>
    <w:p w14:paraId="55152700" w14:textId="5121E3A4" w:rsidR="00CA5053" w:rsidRPr="0052418C" w:rsidRDefault="00CA5053" w:rsidP="0052418C">
      <w:pPr>
        <w:spacing w:after="0" w:line="276" w:lineRule="auto"/>
        <w:ind w:left="0" w:right="0" w:firstLine="0"/>
        <w:rPr>
          <w:rFonts w:ascii="ITC Avant Garde" w:hAnsi="ITC Avant Garde"/>
          <w:color w:val="auto"/>
        </w:rPr>
      </w:pPr>
      <w:r w:rsidRPr="0052418C">
        <w:rPr>
          <w:rFonts w:ascii="ITC Avant Garde" w:hAnsi="ITC Avant Garde"/>
          <w:color w:val="auto"/>
        </w:rPr>
        <w:t xml:space="preserve">Asimismo, considera que el AEP en la </w:t>
      </w:r>
      <w:r w:rsidR="001A2F5F" w:rsidRPr="0052418C">
        <w:rPr>
          <w:rFonts w:ascii="ITC Avant Garde" w:hAnsi="ITC Avant Garde"/>
          <w:color w:val="auto"/>
        </w:rPr>
        <w:t>P</w:t>
      </w:r>
      <w:r w:rsidRPr="0052418C">
        <w:rPr>
          <w:rFonts w:ascii="ITC Avant Garde" w:hAnsi="ITC Avant Garde"/>
          <w:color w:val="auto"/>
        </w:rPr>
        <w:t xml:space="preserve">ropuesta de Oferta puntualizó que además del vandalismo, </w:t>
      </w:r>
      <w:r w:rsidR="004E33D3">
        <w:rPr>
          <w:rFonts w:ascii="ITC Avant Garde" w:hAnsi="ITC Avant Garde"/>
          <w:color w:val="auto"/>
        </w:rPr>
        <w:t xml:space="preserve">debe considerarse </w:t>
      </w:r>
      <w:r w:rsidRPr="0052418C">
        <w:rPr>
          <w:rFonts w:ascii="ITC Avant Garde" w:hAnsi="ITC Avant Garde"/>
          <w:color w:val="auto"/>
        </w:rPr>
        <w:t xml:space="preserve">el robo a la infraestructura del AEP como motivo de parada </w:t>
      </w:r>
      <w:r w:rsidR="004E33D3">
        <w:rPr>
          <w:rFonts w:ascii="ITC Avant Garde" w:hAnsi="ITC Avant Garde"/>
          <w:color w:val="auto"/>
        </w:rPr>
        <w:t xml:space="preserve">de </w:t>
      </w:r>
      <w:r w:rsidRPr="0052418C">
        <w:rPr>
          <w:rFonts w:ascii="ITC Avant Garde" w:hAnsi="ITC Avant Garde"/>
          <w:color w:val="auto"/>
        </w:rPr>
        <w:t>reloj y no contabilizar el tiempo en la solución de las fallas.</w:t>
      </w:r>
    </w:p>
    <w:p w14:paraId="27860A89" w14:textId="77777777" w:rsidR="00CA5053" w:rsidRPr="0052418C" w:rsidRDefault="00CA5053" w:rsidP="0052418C">
      <w:pPr>
        <w:spacing w:after="0" w:line="276" w:lineRule="auto"/>
        <w:ind w:left="0" w:right="0" w:firstLine="0"/>
        <w:rPr>
          <w:rFonts w:ascii="ITC Avant Garde" w:hAnsi="ITC Avant Garde"/>
          <w:color w:val="auto"/>
        </w:rPr>
      </w:pPr>
    </w:p>
    <w:p w14:paraId="6E813AD2" w14:textId="72065D19" w:rsidR="00CA5053" w:rsidRPr="0052418C" w:rsidRDefault="00CA5053" w:rsidP="0052418C">
      <w:pPr>
        <w:spacing w:after="0" w:line="276" w:lineRule="auto"/>
        <w:ind w:left="0" w:right="0" w:firstLine="0"/>
        <w:rPr>
          <w:rFonts w:ascii="ITC Avant Garde" w:hAnsi="ITC Avant Garde"/>
          <w:color w:val="auto"/>
        </w:rPr>
      </w:pPr>
      <w:r w:rsidRPr="0052418C">
        <w:rPr>
          <w:rFonts w:ascii="ITC Avant Garde" w:hAnsi="ITC Avant Garde"/>
          <w:color w:val="auto"/>
        </w:rPr>
        <w:t>Axtel señaló al Instituto que esto aumenta los tiempos y ocasiona una afectación a la operación de sus clientes, además del costo por el retraso en la restauración del servicio al cliente final. Adicional a lo anterior, Axtel señaló que el AEP pretende cobrar todas aquellas actividades efectuadas por el AEP para la reparación de fallas que resulten imputables al CS, como se encuentra en la Oferta propuesta. Es así que, nuevamente quedan a discreción los cargos que pudiera cobrar el AEP en este tipo de actividades, las cuales están cubiertas por los gastos de instalación de los servicios.</w:t>
      </w:r>
      <w:r w:rsidR="00B34186" w:rsidRPr="0052418C">
        <w:rPr>
          <w:rFonts w:ascii="ITC Avant Garde" w:hAnsi="ITC Avant Garde"/>
          <w:color w:val="auto"/>
        </w:rPr>
        <w:t xml:space="preserve"> </w:t>
      </w:r>
      <w:r w:rsidRPr="0052418C">
        <w:rPr>
          <w:rFonts w:ascii="ITC Avant Garde" w:hAnsi="ITC Avant Garde"/>
          <w:color w:val="auto"/>
        </w:rPr>
        <w:t xml:space="preserve">Es debido a lo anterior que Axtel solicita al Instituto que se elimine la condición antes señalada dentro de la oferta propuesta por </w:t>
      </w:r>
      <w:r w:rsidR="00EF0921" w:rsidRPr="0052418C">
        <w:rPr>
          <w:rFonts w:ascii="ITC Avant Garde" w:hAnsi="ITC Avant Garde" w:cs="Arial"/>
        </w:rPr>
        <w:t>Red Nacional</w:t>
      </w:r>
      <w:r w:rsidRPr="0052418C">
        <w:rPr>
          <w:rFonts w:ascii="ITC Avant Garde" w:hAnsi="ITC Avant Garde"/>
          <w:color w:val="auto"/>
        </w:rPr>
        <w:t>.</w:t>
      </w:r>
    </w:p>
    <w:p w14:paraId="18AAAC93" w14:textId="66AB46D6" w:rsidR="00B34186" w:rsidRPr="0052418C" w:rsidRDefault="00B34186" w:rsidP="0052418C">
      <w:pPr>
        <w:spacing w:after="0" w:line="276" w:lineRule="auto"/>
        <w:ind w:left="0" w:right="0" w:firstLine="0"/>
        <w:rPr>
          <w:rFonts w:ascii="ITC Avant Garde" w:hAnsi="ITC Avant Garde"/>
          <w:color w:val="auto"/>
        </w:rPr>
      </w:pPr>
    </w:p>
    <w:p w14:paraId="604B682A" w14:textId="4E7F65C0" w:rsidR="00B34186" w:rsidRPr="0052418C" w:rsidRDefault="0052158E" w:rsidP="0052418C">
      <w:pPr>
        <w:spacing w:after="0" w:line="276" w:lineRule="auto"/>
        <w:ind w:left="0" w:right="0" w:firstLine="0"/>
        <w:rPr>
          <w:rFonts w:ascii="ITC Avant Garde" w:hAnsi="ITC Avant Garde"/>
          <w:color w:val="auto"/>
        </w:rPr>
      </w:pPr>
      <w:r w:rsidRPr="0052418C">
        <w:rPr>
          <w:rFonts w:ascii="ITC Avant Garde" w:hAnsi="ITC Avant Garde"/>
          <w:color w:val="auto"/>
        </w:rPr>
        <w:t>Finalmente, Axtel mencionó que, dentro del proceso de gestión, Axtel coordina actividades de entrega, validación, entrega</w:t>
      </w:r>
      <w:r w:rsidR="00E03089" w:rsidRPr="0052418C">
        <w:rPr>
          <w:rFonts w:ascii="ITC Avant Garde" w:hAnsi="ITC Avant Garde"/>
          <w:color w:val="auto"/>
        </w:rPr>
        <w:t xml:space="preserve"> y</w:t>
      </w:r>
      <w:r w:rsidRPr="0052418C">
        <w:rPr>
          <w:rFonts w:ascii="ITC Avant Garde" w:hAnsi="ITC Avant Garde"/>
          <w:color w:val="auto"/>
        </w:rPr>
        <w:t xml:space="preserve"> recepción del servicio en conjunto entre las tres partes (Axtel, </w:t>
      </w:r>
      <w:r w:rsidR="00B34186" w:rsidRPr="0052418C">
        <w:rPr>
          <w:rFonts w:ascii="ITC Avant Garde" w:hAnsi="ITC Avant Garde"/>
          <w:color w:val="auto"/>
        </w:rPr>
        <w:t>Clientes,</w:t>
      </w:r>
      <w:r w:rsidRPr="0052418C">
        <w:rPr>
          <w:rFonts w:ascii="ITC Avant Garde" w:hAnsi="ITC Avant Garde"/>
          <w:color w:val="auto"/>
        </w:rPr>
        <w:t xml:space="preserve"> </w:t>
      </w:r>
      <w:r w:rsidR="00B34186" w:rsidRPr="0052418C">
        <w:rPr>
          <w:rFonts w:ascii="ITC Avant Garde" w:hAnsi="ITC Avant Garde"/>
          <w:color w:val="auto"/>
        </w:rPr>
        <w:t xml:space="preserve">AEP), y en ocasiones, </w:t>
      </w:r>
      <w:r w:rsidRPr="0052418C">
        <w:rPr>
          <w:rFonts w:ascii="ITC Avant Garde" w:hAnsi="ITC Avant Garde"/>
          <w:color w:val="auto"/>
        </w:rPr>
        <w:t>también</w:t>
      </w:r>
      <w:r w:rsidR="00B34186" w:rsidRPr="0052418C">
        <w:rPr>
          <w:rFonts w:ascii="ITC Avant Garde" w:hAnsi="ITC Avant Garde"/>
          <w:color w:val="auto"/>
        </w:rPr>
        <w:t xml:space="preserve"> el CS se desplaza a los sitios del cliente final para recibir los servicios. No hay razón alguna para que la EM pretenda cobrar adicionalmente por un servicio, siendo que cobran gastos de instalación, mismos que cubren las actividades de entrega. </w:t>
      </w:r>
    </w:p>
    <w:p w14:paraId="40D94F9B" w14:textId="77777777" w:rsidR="00E03089" w:rsidRPr="0052418C" w:rsidRDefault="00E03089" w:rsidP="0052418C">
      <w:pPr>
        <w:spacing w:after="0" w:line="276" w:lineRule="auto"/>
        <w:ind w:left="0" w:right="0" w:firstLine="0"/>
        <w:rPr>
          <w:rFonts w:ascii="ITC Avant Garde" w:hAnsi="ITC Avant Garde"/>
          <w:color w:val="auto"/>
        </w:rPr>
      </w:pPr>
    </w:p>
    <w:p w14:paraId="53C96BDD" w14:textId="64FDA7ED" w:rsidR="00B34186" w:rsidRPr="0052418C" w:rsidRDefault="00B34186" w:rsidP="0052418C">
      <w:pPr>
        <w:spacing w:after="0" w:line="276" w:lineRule="auto"/>
        <w:ind w:left="0" w:right="0" w:firstLine="0"/>
        <w:rPr>
          <w:rFonts w:ascii="ITC Avant Garde" w:hAnsi="ITC Avant Garde"/>
          <w:color w:val="auto"/>
        </w:rPr>
      </w:pPr>
      <w:r w:rsidRPr="0052418C">
        <w:rPr>
          <w:rFonts w:ascii="ITC Avant Garde" w:hAnsi="ITC Avant Garde"/>
          <w:color w:val="auto"/>
        </w:rPr>
        <w:t xml:space="preserve">Por lo anterior, Axtel solicita la eliminación de dicha condición dentro </w:t>
      </w:r>
      <w:r w:rsidR="00E03089" w:rsidRPr="0052418C">
        <w:rPr>
          <w:rFonts w:ascii="ITC Avant Garde" w:hAnsi="ITC Avant Garde"/>
          <w:color w:val="auto"/>
        </w:rPr>
        <w:t>d</w:t>
      </w:r>
      <w:r w:rsidRPr="0052418C">
        <w:rPr>
          <w:rFonts w:ascii="ITC Avant Garde" w:hAnsi="ITC Avant Garde"/>
          <w:color w:val="auto"/>
        </w:rPr>
        <w:t xml:space="preserve">e la Oferta propuesta por la Empresa Mayorista. </w:t>
      </w:r>
    </w:p>
    <w:p w14:paraId="148C8287" w14:textId="77777777" w:rsidR="00232268" w:rsidRPr="0052418C" w:rsidRDefault="00232268" w:rsidP="0052418C">
      <w:pPr>
        <w:spacing w:after="0" w:line="276" w:lineRule="auto"/>
        <w:ind w:left="0" w:right="0" w:firstLine="0"/>
        <w:rPr>
          <w:rFonts w:ascii="ITC Avant Garde" w:hAnsi="ITC Avant Garde" w:cs="Arial"/>
          <w:color w:val="auto"/>
        </w:rPr>
      </w:pPr>
    </w:p>
    <w:p w14:paraId="6D78309C" w14:textId="06F87B95" w:rsidR="00CA1BC9" w:rsidRPr="0052418C" w:rsidRDefault="00CA1BC9"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9E62D4" w:rsidRPr="0052418C">
        <w:rPr>
          <w:rFonts w:ascii="ITC Avant Garde" w:hAnsi="ITC Avant Garde" w:cs="Arial"/>
          <w:b/>
          <w:color w:val="auto"/>
        </w:rPr>
        <w:t>:</w:t>
      </w:r>
    </w:p>
    <w:p w14:paraId="36EDBA06" w14:textId="08888D8F" w:rsidR="00CA1BC9" w:rsidRPr="0052418C" w:rsidRDefault="00CA1BC9"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De conformidad con la Medida Cuadragésima Primera de las Medidas Fijas, </w:t>
      </w:r>
      <w:r w:rsidR="002469A5" w:rsidRPr="0052418C">
        <w:rPr>
          <w:rFonts w:ascii="ITC Avant Garde" w:hAnsi="ITC Avant Garde" w:cs="Arial"/>
          <w:color w:val="auto"/>
        </w:rPr>
        <w:t xml:space="preserve">se modificó </w:t>
      </w:r>
      <w:r w:rsidRPr="0052418C">
        <w:rPr>
          <w:rFonts w:ascii="ITC Avant Garde" w:hAnsi="ITC Avant Garde" w:cs="Arial"/>
          <w:color w:val="auto"/>
        </w:rPr>
        <w:t>la</w:t>
      </w:r>
      <w:r w:rsidR="002469A5" w:rsidRPr="0052418C">
        <w:rPr>
          <w:rFonts w:ascii="ITC Avant Garde" w:hAnsi="ITC Avant Garde" w:cs="Arial"/>
          <w:color w:val="auto"/>
        </w:rPr>
        <w:t xml:space="preserve"> oferta conforme a</w:t>
      </w:r>
      <w:r w:rsidRPr="0052418C">
        <w:rPr>
          <w:rFonts w:ascii="ITC Avant Garde" w:hAnsi="ITC Avant Garde" w:cs="Arial"/>
          <w:color w:val="auto"/>
        </w:rPr>
        <w:t xml:space="preserve"> las condiciones</w:t>
      </w:r>
      <w:r w:rsidR="00C036EC" w:rsidRPr="0052418C">
        <w:rPr>
          <w:rFonts w:ascii="ITC Avant Garde" w:hAnsi="ITC Avant Garde" w:cs="Arial"/>
          <w:color w:val="auto"/>
        </w:rPr>
        <w:t xml:space="preserve"> de</w:t>
      </w:r>
      <w:r w:rsidRPr="0052418C">
        <w:rPr>
          <w:rFonts w:ascii="ITC Avant Garde" w:hAnsi="ITC Avant Garde" w:cs="Arial"/>
          <w:color w:val="auto"/>
        </w:rPr>
        <w:t xml:space="preserve"> la ORE</w:t>
      </w:r>
      <w:r w:rsidR="0024640C" w:rsidRPr="0052418C">
        <w:rPr>
          <w:rFonts w:ascii="ITC Avant Garde" w:hAnsi="ITC Avant Garde" w:cs="Arial"/>
          <w:color w:val="auto"/>
        </w:rPr>
        <w:t xml:space="preserve"> EM</w:t>
      </w:r>
      <w:r w:rsidRPr="0052418C">
        <w:rPr>
          <w:rFonts w:ascii="ITC Avant Garde" w:hAnsi="ITC Avant Garde" w:cs="Arial"/>
          <w:color w:val="auto"/>
        </w:rPr>
        <w:t xml:space="preserve"> </w:t>
      </w:r>
      <w:r w:rsidR="00B04D40" w:rsidRPr="0052418C">
        <w:rPr>
          <w:rFonts w:ascii="ITC Avant Garde" w:hAnsi="ITC Avant Garde" w:cs="Arial"/>
          <w:color w:val="auto"/>
        </w:rPr>
        <w:t>2021</w:t>
      </w:r>
      <w:r w:rsidRPr="0052418C">
        <w:rPr>
          <w:rFonts w:ascii="ITC Avant Garde" w:hAnsi="ITC Avant Garde" w:cs="Arial"/>
          <w:color w:val="auto"/>
        </w:rPr>
        <w:t xml:space="preserve">. Asimismo, el apartado 2.6.4 inciso d) de la ORE </w:t>
      </w:r>
      <w:r w:rsidR="009C2D77" w:rsidRPr="0052418C">
        <w:rPr>
          <w:rFonts w:ascii="ITC Avant Garde" w:hAnsi="ITC Avant Garde" w:cs="Arial"/>
          <w:color w:val="auto"/>
        </w:rPr>
        <w:t xml:space="preserve">EM </w:t>
      </w:r>
      <w:r w:rsidR="00005595" w:rsidRPr="0052418C">
        <w:rPr>
          <w:rFonts w:ascii="ITC Avant Garde" w:hAnsi="ITC Avant Garde" w:cs="Arial"/>
          <w:color w:val="auto"/>
        </w:rPr>
        <w:t>202</w:t>
      </w:r>
      <w:r w:rsidR="0049102E" w:rsidRPr="0052418C">
        <w:rPr>
          <w:rFonts w:ascii="ITC Avant Garde" w:hAnsi="ITC Avant Garde" w:cs="Arial"/>
          <w:color w:val="auto"/>
        </w:rPr>
        <w:t>1</w:t>
      </w:r>
      <w:r w:rsidR="00005595" w:rsidRPr="0052418C">
        <w:rPr>
          <w:rFonts w:ascii="ITC Avant Garde" w:hAnsi="ITC Avant Garde" w:cs="Arial"/>
          <w:color w:val="auto"/>
        </w:rPr>
        <w:t xml:space="preserve"> se </w:t>
      </w:r>
      <w:r w:rsidRPr="0052418C">
        <w:rPr>
          <w:rFonts w:ascii="ITC Avant Garde" w:hAnsi="ITC Avant Garde" w:cs="Arial"/>
          <w:color w:val="auto"/>
        </w:rPr>
        <w:t xml:space="preserve">menciona el tiempo máximo en que </w:t>
      </w:r>
      <w:r w:rsidR="004F02C7" w:rsidRPr="0052418C">
        <w:rPr>
          <w:rFonts w:ascii="ITC Avant Garde" w:hAnsi="ITC Avant Garde" w:cs="Arial"/>
          <w:color w:val="auto"/>
        </w:rPr>
        <w:t>se</w:t>
      </w:r>
      <w:r w:rsidRPr="0052418C">
        <w:rPr>
          <w:rFonts w:ascii="ITC Avant Garde" w:hAnsi="ITC Avant Garde" w:cs="Arial"/>
          <w:color w:val="auto"/>
        </w:rPr>
        <w:t xml:space="preserve"> tendrá que suministrar los equipos. En este sentido, se menciona que contar con un stock adecuado de componentes y equipos activos para atender fallas en el equipo es una buena práctica en materia de operación y mantenimiento de redes. No obstante, habrá casos en los que no se cuenta con el equipo en el stock por lo que, en estos casos, la </w:t>
      </w:r>
      <w:r w:rsidR="00B34186" w:rsidRPr="0052418C">
        <w:rPr>
          <w:rFonts w:ascii="ITC Avant Garde" w:hAnsi="ITC Avant Garde" w:cs="Arial"/>
          <w:color w:val="auto"/>
        </w:rPr>
        <w:t>ORE EM 2022</w:t>
      </w:r>
      <w:r w:rsidRPr="0052418C">
        <w:rPr>
          <w:rFonts w:ascii="ITC Avant Garde" w:hAnsi="ITC Avant Garde" w:cs="Arial"/>
          <w:color w:val="auto"/>
        </w:rPr>
        <w:t xml:space="preserve"> considera que no se contabilizarán los plazos correspondientes.</w:t>
      </w:r>
    </w:p>
    <w:p w14:paraId="59063AA4" w14:textId="77777777" w:rsidR="00CA1BC9" w:rsidRPr="0052418C" w:rsidRDefault="00CA1BC9" w:rsidP="0052418C">
      <w:pPr>
        <w:spacing w:after="0" w:line="276" w:lineRule="auto"/>
        <w:ind w:left="0" w:right="0" w:firstLine="0"/>
        <w:rPr>
          <w:rFonts w:ascii="ITC Avant Garde" w:hAnsi="ITC Avant Garde" w:cs="Arial"/>
          <w:color w:val="auto"/>
        </w:rPr>
      </w:pPr>
    </w:p>
    <w:p w14:paraId="5F0483D6" w14:textId="4F9FF0B5" w:rsidR="00CA1BC9" w:rsidRPr="0052418C" w:rsidRDefault="00CA1BC9" w:rsidP="0052418C">
      <w:pPr>
        <w:tabs>
          <w:tab w:val="left" w:pos="284"/>
        </w:tabs>
        <w:spacing w:after="0" w:line="276" w:lineRule="auto"/>
        <w:ind w:left="0" w:right="0" w:firstLine="0"/>
        <w:rPr>
          <w:rFonts w:ascii="ITC Avant Garde" w:eastAsiaTheme="minorHAnsi" w:hAnsi="ITC Avant Garde" w:cs="Arial"/>
          <w:color w:val="auto"/>
          <w:lang w:val="es-ES_tradnl" w:eastAsia="es-ES_tradnl"/>
        </w:rPr>
      </w:pPr>
      <w:r w:rsidRPr="0052418C">
        <w:rPr>
          <w:rFonts w:ascii="ITC Avant Garde" w:eastAsiaTheme="minorHAnsi" w:hAnsi="ITC Avant Garde" w:cs="Arial"/>
          <w:color w:val="auto"/>
          <w:lang w:val="es-ES_tradnl" w:eastAsia="es-ES_tradnl"/>
        </w:rPr>
        <w:t>Por otro lado, con relación a los eventos en los cuales se presenta un caso fortuito o de fuerza mayor, se precisa que son situaciones que están fuera de</w:t>
      </w:r>
      <w:r w:rsidR="00AD1AB3" w:rsidRPr="0052418C">
        <w:rPr>
          <w:rFonts w:ascii="ITC Avant Garde" w:eastAsiaTheme="minorHAnsi" w:hAnsi="ITC Avant Garde" w:cs="Arial"/>
          <w:color w:val="auto"/>
          <w:lang w:val="es-ES_tradnl" w:eastAsia="es-ES_tradnl"/>
        </w:rPr>
        <w:t>l</w:t>
      </w:r>
      <w:r w:rsidRPr="0052418C">
        <w:rPr>
          <w:rFonts w:ascii="ITC Avant Garde" w:eastAsiaTheme="minorHAnsi" w:hAnsi="ITC Avant Garde" w:cs="Arial"/>
          <w:color w:val="auto"/>
          <w:lang w:val="es-ES_tradnl" w:eastAsia="es-ES_tradnl"/>
        </w:rPr>
        <w:t xml:space="preserve"> control</w:t>
      </w:r>
      <w:r w:rsidR="00AD1AB3" w:rsidRPr="0052418C">
        <w:rPr>
          <w:rFonts w:ascii="ITC Avant Garde" w:eastAsiaTheme="minorHAnsi" w:hAnsi="ITC Avant Garde" w:cs="Arial"/>
          <w:color w:val="auto"/>
          <w:lang w:val="es-ES_tradnl" w:eastAsia="es-ES_tradnl"/>
        </w:rPr>
        <w:t xml:space="preserve"> de las partes</w:t>
      </w:r>
      <w:r w:rsidRPr="0052418C">
        <w:rPr>
          <w:rFonts w:ascii="ITC Avant Garde" w:eastAsiaTheme="minorHAnsi" w:hAnsi="ITC Avant Garde" w:cs="Arial"/>
          <w:color w:val="auto"/>
          <w:lang w:val="es-ES_tradnl" w:eastAsia="es-ES_tradnl"/>
        </w:rPr>
        <w:t>, en el sentido de que las secuelas (averías) provenientes de estos sucesos, inesperados e incontrolables, originan afectaciones que son inatendibles dentro de los plazos establecidos, ya que el</w:t>
      </w:r>
      <w:r w:rsidR="0049102E" w:rsidRPr="0052418C">
        <w:rPr>
          <w:rFonts w:ascii="ITC Avant Garde" w:hAnsi="ITC Avant Garde" w:cs="Arial"/>
          <w:color w:val="auto"/>
        </w:rPr>
        <w:t xml:space="preserve"> Red Nacional</w:t>
      </w:r>
      <w:r w:rsidR="0049102E" w:rsidRPr="0052418C">
        <w:rPr>
          <w:rFonts w:ascii="ITC Avant Garde" w:eastAsiaTheme="minorHAnsi" w:hAnsi="ITC Avant Garde" w:cs="Arial"/>
          <w:color w:val="auto"/>
          <w:lang w:val="es-ES_tradnl" w:eastAsia="es-ES_tradnl"/>
        </w:rPr>
        <w:t xml:space="preserve"> </w:t>
      </w:r>
      <w:r w:rsidRPr="0052418C">
        <w:rPr>
          <w:rFonts w:ascii="ITC Avant Garde" w:eastAsiaTheme="minorHAnsi" w:hAnsi="ITC Avant Garde" w:cs="Arial"/>
          <w:color w:val="auto"/>
          <w:lang w:val="es-ES_tradnl" w:eastAsia="es-ES_tradnl"/>
        </w:rPr>
        <w:t>no cuenta con los medios necesarios o suficientes para dar una solución expedita a la problemática. De este modo, los fallos que tienen origen en un caso fortuito o de fuerza mayor no recaen dentro del ámbito de la responsabilidad de</w:t>
      </w:r>
      <w:r w:rsidR="00546A33" w:rsidRPr="0052418C">
        <w:rPr>
          <w:rFonts w:ascii="ITC Avant Garde" w:eastAsiaTheme="minorHAnsi" w:hAnsi="ITC Avant Garde" w:cs="Arial"/>
          <w:color w:val="auto"/>
          <w:lang w:val="es-ES_tradnl" w:eastAsia="es-ES_tradnl"/>
        </w:rPr>
        <w:t xml:space="preserve"> </w:t>
      </w:r>
      <w:r w:rsidR="00546A33" w:rsidRPr="0052418C">
        <w:rPr>
          <w:rFonts w:ascii="ITC Avant Garde" w:hAnsi="ITC Avant Garde" w:cs="Arial"/>
          <w:color w:val="auto"/>
        </w:rPr>
        <w:t>Red Nacional</w:t>
      </w:r>
      <w:r w:rsidR="00B741B7" w:rsidRPr="0052418C">
        <w:rPr>
          <w:rFonts w:ascii="ITC Avant Garde" w:hAnsi="ITC Avant Garde" w:cs="Arial"/>
          <w:color w:val="auto"/>
        </w:rPr>
        <w:t>.</w:t>
      </w:r>
    </w:p>
    <w:p w14:paraId="0096CCA8" w14:textId="77777777" w:rsidR="00CA1BC9" w:rsidRPr="0052418C" w:rsidRDefault="00CA1BC9" w:rsidP="0052418C">
      <w:pPr>
        <w:spacing w:after="0" w:line="276" w:lineRule="auto"/>
        <w:ind w:left="0" w:right="0" w:firstLine="0"/>
        <w:rPr>
          <w:rFonts w:ascii="ITC Avant Garde" w:hAnsi="ITC Avant Garde" w:cs="Arial"/>
          <w:color w:val="auto"/>
        </w:rPr>
      </w:pPr>
    </w:p>
    <w:p w14:paraId="343604D3" w14:textId="3374F379" w:rsidR="00DA60CB" w:rsidRPr="0052418C" w:rsidRDefault="00DA60CB" w:rsidP="0052418C">
      <w:pPr>
        <w:pStyle w:val="IFTnormal"/>
        <w:spacing w:after="0"/>
        <w:ind w:left="0"/>
        <w:rPr>
          <w:rFonts w:eastAsiaTheme="majorEastAsia" w:cs="Arial"/>
          <w:b/>
          <w:u w:val="single"/>
        </w:rPr>
      </w:pPr>
      <w:r w:rsidRPr="0052418C">
        <w:rPr>
          <w:rFonts w:eastAsiaTheme="majorEastAsia" w:cs="Arial"/>
          <w:b/>
          <w:u w:val="single"/>
        </w:rPr>
        <w:lastRenderedPageBreak/>
        <w:t>2.6.5</w:t>
      </w:r>
      <w:r w:rsidR="00934D06" w:rsidRPr="0052418C">
        <w:rPr>
          <w:rFonts w:eastAsiaTheme="majorEastAsia" w:cs="Arial"/>
          <w:b/>
          <w:u w:val="single"/>
        </w:rPr>
        <w:t>.</w:t>
      </w:r>
    </w:p>
    <w:p w14:paraId="1763EA8C" w14:textId="29C85079" w:rsidR="00DF75B1" w:rsidRPr="0052418C" w:rsidRDefault="004D6FB4"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AXTEL:</w:t>
      </w:r>
    </w:p>
    <w:p w14:paraId="6F29BE4F" w14:textId="45895581" w:rsidR="00EF52DE" w:rsidRPr="0052418C" w:rsidRDefault="00EF52DE"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Solicit</w:t>
      </w:r>
      <w:r w:rsidR="00060F10" w:rsidRPr="0052418C">
        <w:rPr>
          <w:rFonts w:ascii="ITC Avant Garde" w:hAnsi="ITC Avant Garde" w:cs="Arial"/>
          <w:color w:val="auto"/>
        </w:rPr>
        <w:t>ó</w:t>
      </w:r>
      <w:r w:rsidRPr="0052418C">
        <w:rPr>
          <w:rFonts w:ascii="ITC Avant Garde" w:hAnsi="ITC Avant Garde" w:cs="Arial"/>
          <w:color w:val="auto"/>
        </w:rPr>
        <w:t xml:space="preserve"> al </w:t>
      </w:r>
      <w:r w:rsidR="00323AF6" w:rsidRPr="0052418C">
        <w:rPr>
          <w:rFonts w:ascii="ITC Avant Garde" w:hAnsi="ITC Avant Garde" w:cs="Arial"/>
          <w:color w:val="auto"/>
        </w:rPr>
        <w:t xml:space="preserve">Instituto </w:t>
      </w:r>
      <w:r w:rsidRPr="0052418C">
        <w:rPr>
          <w:rFonts w:ascii="ITC Avant Garde" w:hAnsi="ITC Avant Garde" w:cs="Arial"/>
          <w:color w:val="auto"/>
        </w:rPr>
        <w:t xml:space="preserve">mejorar los parámetros de calidad que existen en la Oferta vigente </w:t>
      </w:r>
      <w:r w:rsidR="00CA5053" w:rsidRPr="0052418C">
        <w:rPr>
          <w:rFonts w:ascii="ITC Avant Garde" w:hAnsi="ITC Avant Garde" w:cs="Arial"/>
          <w:color w:val="auto"/>
        </w:rPr>
        <w:t>y no aplicar condiciones que sean inferiores o retrogradas</w:t>
      </w:r>
      <w:r w:rsidRPr="0052418C">
        <w:rPr>
          <w:rFonts w:ascii="ITC Avant Garde" w:hAnsi="ITC Avant Garde" w:cs="Arial"/>
          <w:color w:val="auto"/>
        </w:rPr>
        <w:t>.</w:t>
      </w:r>
    </w:p>
    <w:p w14:paraId="2F76BCCC" w14:textId="77777777" w:rsidR="00EF52DE" w:rsidRPr="0052418C" w:rsidRDefault="00EF52DE" w:rsidP="0052418C">
      <w:pPr>
        <w:spacing w:after="0" w:line="276" w:lineRule="auto"/>
        <w:ind w:left="0" w:right="0" w:firstLine="0"/>
        <w:rPr>
          <w:rFonts w:ascii="ITC Avant Garde" w:hAnsi="ITC Avant Garde" w:cs="Arial"/>
          <w:color w:val="auto"/>
        </w:rPr>
      </w:pPr>
    </w:p>
    <w:p w14:paraId="7935A31D" w14:textId="125A1682" w:rsidR="00EF52DE" w:rsidRPr="0052418C" w:rsidRDefault="00323AF6"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Por otro lado</w:t>
      </w:r>
      <w:r w:rsidR="00EF52DE" w:rsidRPr="0052418C">
        <w:rPr>
          <w:rFonts w:ascii="ITC Avant Garde" w:hAnsi="ITC Avant Garde" w:cs="Arial"/>
          <w:color w:val="auto"/>
        </w:rPr>
        <w:t>, Axtel solicit</w:t>
      </w:r>
      <w:r w:rsidR="00060F10" w:rsidRPr="0052418C">
        <w:rPr>
          <w:rFonts w:ascii="ITC Avant Garde" w:hAnsi="ITC Avant Garde" w:cs="Arial"/>
          <w:color w:val="auto"/>
        </w:rPr>
        <w:t>ó</w:t>
      </w:r>
      <w:r w:rsidR="00EF52DE" w:rsidRPr="0052418C">
        <w:rPr>
          <w:rFonts w:ascii="ITC Avant Garde" w:hAnsi="ITC Avant Garde" w:cs="Arial"/>
          <w:color w:val="auto"/>
        </w:rPr>
        <w:t xml:space="preserve"> al </w:t>
      </w:r>
      <w:r w:rsidRPr="0052418C">
        <w:rPr>
          <w:rFonts w:ascii="ITC Avant Garde" w:hAnsi="ITC Avant Garde" w:cs="Arial"/>
          <w:color w:val="auto"/>
        </w:rPr>
        <w:t xml:space="preserve">Instituto </w:t>
      </w:r>
      <w:r w:rsidR="00EF52DE" w:rsidRPr="0052418C">
        <w:rPr>
          <w:rFonts w:ascii="ITC Avant Garde" w:hAnsi="ITC Avant Garde" w:cs="Arial"/>
          <w:color w:val="auto"/>
        </w:rPr>
        <w:t>que defina el servicio de Enlace Dedicado con redundancia y baj</w:t>
      </w:r>
      <w:r w:rsidR="00FC07B4" w:rsidRPr="0052418C">
        <w:rPr>
          <w:rFonts w:ascii="ITC Avant Garde" w:hAnsi="ITC Avant Garde" w:cs="Arial"/>
          <w:color w:val="auto"/>
        </w:rPr>
        <w:t>o</w:t>
      </w:r>
      <w:r w:rsidR="00EF52DE" w:rsidRPr="0052418C">
        <w:rPr>
          <w:rFonts w:ascii="ITC Avant Garde" w:hAnsi="ITC Avant Garde" w:cs="Arial"/>
          <w:color w:val="auto"/>
        </w:rPr>
        <w:t xml:space="preserve"> </w:t>
      </w:r>
      <w:r w:rsidR="0008347E" w:rsidRPr="0052418C">
        <w:rPr>
          <w:rFonts w:ascii="ITC Avant Garde" w:hAnsi="ITC Avant Garde" w:cs="Arial"/>
          <w:color w:val="auto"/>
        </w:rPr>
        <w:t>qué</w:t>
      </w:r>
      <w:r w:rsidR="00EF52DE" w:rsidRPr="0052418C">
        <w:rPr>
          <w:rFonts w:ascii="ITC Avant Garde" w:hAnsi="ITC Avant Garde" w:cs="Arial"/>
          <w:color w:val="auto"/>
        </w:rPr>
        <w:t xml:space="preserve"> características de operación debe </w:t>
      </w:r>
      <w:r w:rsidR="00437F8E" w:rsidRPr="0052418C">
        <w:rPr>
          <w:rFonts w:ascii="ITC Avant Garde" w:hAnsi="ITC Avant Garde" w:cs="Arial"/>
          <w:color w:val="auto"/>
        </w:rPr>
        <w:t>Red Nacional</w:t>
      </w:r>
      <w:r w:rsidR="00437F8E" w:rsidRPr="0052418C" w:rsidDel="00437F8E">
        <w:rPr>
          <w:rFonts w:ascii="ITC Avant Garde" w:hAnsi="ITC Avant Garde" w:cs="Arial"/>
          <w:color w:val="auto"/>
        </w:rPr>
        <w:t xml:space="preserve"> </w:t>
      </w:r>
      <w:r w:rsidR="00EF52DE" w:rsidRPr="0052418C">
        <w:rPr>
          <w:rFonts w:ascii="ITC Avant Garde" w:hAnsi="ITC Avant Garde" w:cs="Arial"/>
          <w:color w:val="auto"/>
        </w:rPr>
        <w:t>prestar este servicio.</w:t>
      </w:r>
      <w:r w:rsidR="005F23D0" w:rsidRPr="0052418C">
        <w:rPr>
          <w:rFonts w:ascii="ITC Avant Garde" w:hAnsi="ITC Avant Garde" w:cs="Arial"/>
          <w:color w:val="auto"/>
        </w:rPr>
        <w:t xml:space="preserve"> Manifestó</w:t>
      </w:r>
      <w:r w:rsidR="000233BB" w:rsidRPr="0052418C">
        <w:rPr>
          <w:rFonts w:ascii="ITC Avant Garde" w:hAnsi="ITC Avant Garde" w:cs="Arial"/>
          <w:color w:val="auto"/>
        </w:rPr>
        <w:t xml:space="preserve"> que no hay dentro de la Oferta condiciones de contratación</w:t>
      </w:r>
      <w:r w:rsidR="008B30D5" w:rsidRPr="0052418C">
        <w:rPr>
          <w:rFonts w:ascii="ITC Avant Garde" w:hAnsi="ITC Avant Garde" w:cs="Arial"/>
          <w:color w:val="auto"/>
        </w:rPr>
        <w:t xml:space="preserve"> y operación a las que deben estar sujetas, así como establecer</w:t>
      </w:r>
      <w:r w:rsidR="000B2B69" w:rsidRPr="0052418C">
        <w:rPr>
          <w:rFonts w:ascii="ITC Avant Garde" w:hAnsi="ITC Avant Garde" w:cs="Arial"/>
          <w:color w:val="auto"/>
        </w:rPr>
        <w:t xml:space="preserve"> si es</w:t>
      </w:r>
      <w:r w:rsidR="008B30D5" w:rsidRPr="0052418C">
        <w:rPr>
          <w:rFonts w:ascii="ITC Avant Garde" w:hAnsi="ITC Avant Garde" w:cs="Arial"/>
          <w:color w:val="auto"/>
        </w:rPr>
        <w:t xml:space="preserve"> redundancia</w:t>
      </w:r>
      <w:r w:rsidR="000B2B69" w:rsidRPr="0052418C">
        <w:rPr>
          <w:rFonts w:ascii="ITC Avant Garde" w:hAnsi="ITC Avant Garde" w:cs="Arial"/>
          <w:color w:val="auto"/>
        </w:rPr>
        <w:t xml:space="preserve"> de medio o de ruta.</w:t>
      </w:r>
    </w:p>
    <w:p w14:paraId="19BF9AE8" w14:textId="5C1FA218" w:rsidR="00DF75B1" w:rsidRPr="0052418C" w:rsidRDefault="00DF75B1" w:rsidP="0052418C">
      <w:pPr>
        <w:spacing w:after="0" w:line="276" w:lineRule="auto"/>
        <w:ind w:left="0" w:right="0" w:firstLine="0"/>
        <w:rPr>
          <w:rFonts w:ascii="ITC Avant Garde" w:hAnsi="ITC Avant Garde" w:cs="Arial"/>
          <w:color w:val="auto"/>
        </w:rPr>
      </w:pPr>
    </w:p>
    <w:p w14:paraId="37B66A9B" w14:textId="3491062A" w:rsidR="00B670E4" w:rsidRPr="0052418C" w:rsidRDefault="00B670E4" w:rsidP="0052418C">
      <w:pPr>
        <w:spacing w:after="0" w:line="276" w:lineRule="auto"/>
        <w:ind w:left="0" w:right="0" w:firstLine="0"/>
        <w:rPr>
          <w:rFonts w:ascii="ITC Avant Garde" w:hAnsi="ITC Avant Garde"/>
          <w:color w:val="auto"/>
        </w:rPr>
      </w:pPr>
      <w:r w:rsidRPr="0052418C">
        <w:rPr>
          <w:rFonts w:ascii="ITC Avant Garde" w:hAnsi="ITC Avant Garde"/>
          <w:color w:val="auto"/>
        </w:rPr>
        <w:t xml:space="preserve">Aunado a lo anterior, Axtel </w:t>
      </w:r>
      <w:r w:rsidR="00226038" w:rsidRPr="0052418C">
        <w:rPr>
          <w:rFonts w:ascii="ITC Avant Garde" w:hAnsi="ITC Avant Garde"/>
          <w:color w:val="auto"/>
        </w:rPr>
        <w:t xml:space="preserve">puntualizó que </w:t>
      </w:r>
      <w:r w:rsidRPr="0052418C">
        <w:rPr>
          <w:rFonts w:ascii="ITC Avant Garde" w:hAnsi="ITC Avant Garde"/>
          <w:color w:val="auto"/>
        </w:rPr>
        <w:t xml:space="preserve">está invirtiendo e implementando diferentes puntos a nivel nacional para lograr la migración a tecnología Ethernet, aun sin que sea un servicio maduro, además que en la Oferta Propuesta no están claros los parámetros de configuración. </w:t>
      </w:r>
    </w:p>
    <w:p w14:paraId="76C419D3" w14:textId="77777777" w:rsidR="00B670E4" w:rsidRPr="0052418C" w:rsidRDefault="00B670E4" w:rsidP="0052418C">
      <w:pPr>
        <w:spacing w:after="0" w:line="276" w:lineRule="auto"/>
        <w:ind w:left="0" w:right="0" w:firstLine="0"/>
        <w:rPr>
          <w:rFonts w:ascii="ITC Avant Garde" w:hAnsi="ITC Avant Garde" w:cs="Arial"/>
          <w:color w:val="auto"/>
        </w:rPr>
      </w:pPr>
    </w:p>
    <w:p w14:paraId="66A6640F" w14:textId="52EA85C8" w:rsidR="00EF52DE" w:rsidRPr="0052418C" w:rsidRDefault="000A416B"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Asimismo,</w:t>
      </w:r>
      <w:r w:rsidR="00EF52DE" w:rsidRPr="0052418C">
        <w:rPr>
          <w:rFonts w:ascii="ITC Avant Garde" w:hAnsi="ITC Avant Garde" w:cs="Arial"/>
          <w:color w:val="auto"/>
        </w:rPr>
        <w:t xml:space="preserve"> </w:t>
      </w:r>
      <w:r w:rsidR="00060F10" w:rsidRPr="0052418C">
        <w:rPr>
          <w:rFonts w:ascii="ITC Avant Garde" w:hAnsi="ITC Avant Garde" w:cs="Arial"/>
          <w:color w:val="auto"/>
        </w:rPr>
        <w:t>solicitó</w:t>
      </w:r>
      <w:r w:rsidR="00EF52DE" w:rsidRPr="0052418C">
        <w:rPr>
          <w:rFonts w:ascii="ITC Avant Garde" w:hAnsi="ITC Avant Garde" w:cs="Arial"/>
          <w:color w:val="auto"/>
        </w:rPr>
        <w:t xml:space="preserve"> que </w:t>
      </w:r>
      <w:r w:rsidR="0047269B" w:rsidRPr="0052418C">
        <w:rPr>
          <w:rFonts w:ascii="ITC Avant Garde" w:hAnsi="ITC Avant Garde" w:cs="Arial"/>
          <w:color w:val="auto"/>
        </w:rPr>
        <w:t>se incluya dentro de la Oferta los parámetros de configuración</w:t>
      </w:r>
      <w:r w:rsidR="008F4676" w:rsidRPr="0052418C">
        <w:rPr>
          <w:rFonts w:ascii="ITC Avant Garde" w:hAnsi="ITC Avant Garde" w:cs="Arial"/>
          <w:color w:val="auto"/>
        </w:rPr>
        <w:t xml:space="preserve"> de los enlaces denominados de altas velocidades</w:t>
      </w:r>
      <w:r w:rsidR="001407C5" w:rsidRPr="0052418C">
        <w:rPr>
          <w:rFonts w:ascii="ITC Avant Garde" w:hAnsi="ITC Avant Garde" w:cs="Arial"/>
          <w:color w:val="auto"/>
        </w:rPr>
        <w:t xml:space="preserve">, que </w:t>
      </w:r>
      <w:r w:rsidR="00EF52DE" w:rsidRPr="0052418C">
        <w:rPr>
          <w:rFonts w:ascii="ITC Avant Garde" w:hAnsi="ITC Avant Garde" w:cs="Arial"/>
          <w:color w:val="auto"/>
        </w:rPr>
        <w:t>los parámetros de configuración de los enlaces</w:t>
      </w:r>
      <w:r w:rsidR="006B4C1E" w:rsidRPr="0052418C">
        <w:rPr>
          <w:rFonts w:ascii="ITC Avant Garde" w:hAnsi="ITC Avant Garde" w:cs="Arial"/>
          <w:color w:val="auto"/>
        </w:rPr>
        <w:t xml:space="preserve"> de altas velocidades</w:t>
      </w:r>
      <w:r w:rsidR="000F50CB" w:rsidRPr="0052418C">
        <w:rPr>
          <w:rFonts w:ascii="ITC Avant Garde" w:hAnsi="ITC Avant Garde" w:cs="Arial"/>
          <w:color w:val="auto"/>
        </w:rPr>
        <w:t xml:space="preserve"> Ethernet a partir de 1 Gbps</w:t>
      </w:r>
      <w:r w:rsidR="00B04D40" w:rsidRPr="0052418C">
        <w:rPr>
          <w:rFonts w:ascii="ITC Avant Garde" w:hAnsi="ITC Avant Garde"/>
          <w:color w:val="auto"/>
        </w:rPr>
        <w:t xml:space="preserve"> y en adelante al menos con los siguientes parámetros de configuración:</w:t>
      </w:r>
    </w:p>
    <w:p w14:paraId="185992FB" w14:textId="77777777" w:rsidR="00EF52DE" w:rsidRPr="0052418C" w:rsidRDefault="00EF52DE" w:rsidP="0052418C">
      <w:pPr>
        <w:spacing w:after="0" w:line="276" w:lineRule="auto"/>
        <w:ind w:left="0" w:right="0" w:firstLine="0"/>
        <w:rPr>
          <w:rFonts w:ascii="ITC Avant Garde" w:hAnsi="ITC Avant Garde" w:cs="Arial"/>
          <w:color w:val="auto"/>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4"/>
        <w:gridCol w:w="5246"/>
      </w:tblGrid>
      <w:tr w:rsidR="006B4C1E" w:rsidRPr="0040310F" w14:paraId="70B4342A" w14:textId="77777777" w:rsidTr="00971200">
        <w:trPr>
          <w:trHeight w:val="315"/>
          <w:jc w:val="center"/>
        </w:trPr>
        <w:tc>
          <w:tcPr>
            <w:tcW w:w="8080" w:type="dxa"/>
            <w:gridSpan w:val="2"/>
            <w:tcBorders>
              <w:top w:val="single" w:sz="4" w:space="0" w:color="auto"/>
              <w:left w:val="single" w:sz="4" w:space="0" w:color="auto"/>
              <w:bottom w:val="single" w:sz="4" w:space="0" w:color="auto"/>
              <w:right w:val="single" w:sz="4" w:space="0" w:color="auto"/>
            </w:tcBorders>
            <w:noWrap/>
            <w:vAlign w:val="bottom"/>
            <w:hideMark/>
          </w:tcPr>
          <w:p w14:paraId="520CDD7C" w14:textId="73212DFB" w:rsidR="006B4C1E" w:rsidRPr="00EE2397" w:rsidRDefault="006B4C1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Detalles técnicos adicionales (aplica para todos los enlaces requeridos)</w:t>
            </w:r>
          </w:p>
        </w:tc>
      </w:tr>
      <w:tr w:rsidR="006B4C1E" w:rsidRPr="0040310F" w14:paraId="1126560C" w14:textId="77777777" w:rsidTr="00971200">
        <w:trPr>
          <w:trHeight w:val="315"/>
          <w:jc w:val="center"/>
        </w:trPr>
        <w:tc>
          <w:tcPr>
            <w:tcW w:w="2834" w:type="dxa"/>
            <w:tcBorders>
              <w:top w:val="single" w:sz="4" w:space="0" w:color="auto"/>
              <w:left w:val="single" w:sz="4" w:space="0" w:color="auto"/>
              <w:bottom w:val="single" w:sz="4" w:space="0" w:color="auto"/>
              <w:right w:val="single" w:sz="4" w:space="0" w:color="auto"/>
            </w:tcBorders>
            <w:noWrap/>
            <w:vAlign w:val="bottom"/>
          </w:tcPr>
          <w:p w14:paraId="6B6F168C" w14:textId="50BFDC02" w:rsidR="006B4C1E" w:rsidRPr="00EE2397" w:rsidRDefault="006B4C1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Disponibilidad de ancho de banda garantizado</w:t>
            </w:r>
          </w:p>
        </w:tc>
        <w:tc>
          <w:tcPr>
            <w:tcW w:w="5246" w:type="dxa"/>
            <w:tcBorders>
              <w:top w:val="single" w:sz="4" w:space="0" w:color="auto"/>
              <w:left w:val="single" w:sz="4" w:space="0" w:color="auto"/>
              <w:bottom w:val="single" w:sz="4" w:space="0" w:color="auto"/>
              <w:right w:val="single" w:sz="4" w:space="0" w:color="auto"/>
            </w:tcBorders>
            <w:vAlign w:val="bottom"/>
          </w:tcPr>
          <w:p w14:paraId="1FC0DB18" w14:textId="51F4F322" w:rsidR="006B4C1E" w:rsidRPr="00EE2397" w:rsidRDefault="006B4C1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100%</w:t>
            </w:r>
          </w:p>
        </w:tc>
      </w:tr>
      <w:tr w:rsidR="006B4C1E" w:rsidRPr="0040310F" w14:paraId="7C77FD92" w14:textId="77777777" w:rsidTr="00971200">
        <w:trPr>
          <w:trHeight w:val="315"/>
          <w:jc w:val="center"/>
        </w:trPr>
        <w:tc>
          <w:tcPr>
            <w:tcW w:w="2834" w:type="dxa"/>
            <w:tcBorders>
              <w:top w:val="single" w:sz="4" w:space="0" w:color="auto"/>
              <w:left w:val="single" w:sz="4" w:space="0" w:color="auto"/>
              <w:bottom w:val="single" w:sz="4" w:space="0" w:color="auto"/>
              <w:right w:val="single" w:sz="4" w:space="0" w:color="auto"/>
            </w:tcBorders>
            <w:noWrap/>
          </w:tcPr>
          <w:p w14:paraId="39A2959C" w14:textId="75B9BBFE" w:rsidR="006B4C1E" w:rsidRPr="00EE2397" w:rsidRDefault="006B4C1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MTU Bytes</w:t>
            </w:r>
          </w:p>
        </w:tc>
        <w:tc>
          <w:tcPr>
            <w:tcW w:w="5246" w:type="dxa"/>
            <w:tcBorders>
              <w:top w:val="single" w:sz="4" w:space="0" w:color="auto"/>
              <w:left w:val="single" w:sz="4" w:space="0" w:color="auto"/>
              <w:bottom w:val="single" w:sz="4" w:space="0" w:color="auto"/>
              <w:right w:val="single" w:sz="4" w:space="0" w:color="auto"/>
            </w:tcBorders>
          </w:tcPr>
          <w:p w14:paraId="2D525FEF" w14:textId="1415BCEB" w:rsidR="006B4C1E" w:rsidRPr="00EE2397" w:rsidRDefault="006B4C1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Mínimo 9180</w:t>
            </w:r>
          </w:p>
        </w:tc>
      </w:tr>
      <w:tr w:rsidR="006B4C1E" w:rsidRPr="0040310F" w14:paraId="480EDE03" w14:textId="77777777" w:rsidTr="00971200">
        <w:trPr>
          <w:trHeight w:val="300"/>
          <w:jc w:val="center"/>
        </w:trPr>
        <w:tc>
          <w:tcPr>
            <w:tcW w:w="2834" w:type="dxa"/>
            <w:tcBorders>
              <w:top w:val="single" w:sz="4" w:space="0" w:color="auto"/>
              <w:left w:val="single" w:sz="4" w:space="0" w:color="auto"/>
              <w:bottom w:val="single" w:sz="4" w:space="0" w:color="auto"/>
              <w:right w:val="single" w:sz="4" w:space="0" w:color="auto"/>
            </w:tcBorders>
            <w:noWrap/>
            <w:vAlign w:val="bottom"/>
          </w:tcPr>
          <w:p w14:paraId="665252C8" w14:textId="6347687C" w:rsidR="006B4C1E" w:rsidRPr="00EE2397" w:rsidRDefault="006B4C1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Perdida de paquetes</w:t>
            </w:r>
          </w:p>
        </w:tc>
        <w:tc>
          <w:tcPr>
            <w:tcW w:w="5246" w:type="dxa"/>
            <w:tcBorders>
              <w:top w:val="single" w:sz="4" w:space="0" w:color="auto"/>
              <w:left w:val="single" w:sz="4" w:space="0" w:color="auto"/>
              <w:bottom w:val="single" w:sz="4" w:space="0" w:color="auto"/>
              <w:right w:val="single" w:sz="4" w:space="0" w:color="auto"/>
            </w:tcBorders>
            <w:vAlign w:val="bottom"/>
          </w:tcPr>
          <w:p w14:paraId="7F3EC135" w14:textId="76433B03" w:rsidR="006B4C1E" w:rsidRPr="00EE2397" w:rsidRDefault="006B4C1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Menor a 0.1%</w:t>
            </w:r>
          </w:p>
        </w:tc>
      </w:tr>
      <w:tr w:rsidR="006B4C1E" w:rsidRPr="0040310F" w14:paraId="031D9C02" w14:textId="77777777" w:rsidTr="00971200">
        <w:trPr>
          <w:trHeight w:val="300"/>
          <w:jc w:val="center"/>
        </w:trPr>
        <w:tc>
          <w:tcPr>
            <w:tcW w:w="2834" w:type="dxa"/>
            <w:tcBorders>
              <w:top w:val="single" w:sz="4" w:space="0" w:color="auto"/>
              <w:left w:val="single" w:sz="4" w:space="0" w:color="auto"/>
              <w:bottom w:val="single" w:sz="4" w:space="0" w:color="auto"/>
              <w:right w:val="single" w:sz="4" w:space="0" w:color="auto"/>
            </w:tcBorders>
            <w:noWrap/>
            <w:vAlign w:val="bottom"/>
          </w:tcPr>
          <w:p w14:paraId="02D50DC8" w14:textId="7EEB7B98" w:rsidR="006B4C1E" w:rsidRPr="00EE2397" w:rsidRDefault="006B4C1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Reflejar alarma link loss forwarding</w:t>
            </w:r>
          </w:p>
        </w:tc>
        <w:tc>
          <w:tcPr>
            <w:tcW w:w="5246" w:type="dxa"/>
            <w:tcBorders>
              <w:top w:val="single" w:sz="4" w:space="0" w:color="auto"/>
              <w:left w:val="single" w:sz="4" w:space="0" w:color="auto"/>
              <w:bottom w:val="single" w:sz="4" w:space="0" w:color="auto"/>
              <w:right w:val="single" w:sz="4" w:space="0" w:color="auto"/>
            </w:tcBorders>
            <w:vAlign w:val="bottom"/>
          </w:tcPr>
          <w:p w14:paraId="427E5207" w14:textId="5E845FD8" w:rsidR="006B4C1E" w:rsidRPr="00EE2397" w:rsidRDefault="006B4C1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Si</w:t>
            </w:r>
          </w:p>
        </w:tc>
      </w:tr>
      <w:tr w:rsidR="006B4C1E" w:rsidRPr="0040310F" w14:paraId="6E557687" w14:textId="77777777" w:rsidTr="00971200">
        <w:trPr>
          <w:trHeight w:val="300"/>
          <w:jc w:val="center"/>
        </w:trPr>
        <w:tc>
          <w:tcPr>
            <w:tcW w:w="2834" w:type="dxa"/>
            <w:tcBorders>
              <w:top w:val="single" w:sz="4" w:space="0" w:color="auto"/>
              <w:left w:val="single" w:sz="4" w:space="0" w:color="auto"/>
              <w:bottom w:val="single" w:sz="4" w:space="0" w:color="auto"/>
              <w:right w:val="single" w:sz="4" w:space="0" w:color="auto"/>
            </w:tcBorders>
            <w:noWrap/>
            <w:vAlign w:val="bottom"/>
          </w:tcPr>
          <w:p w14:paraId="38577385" w14:textId="4893E398" w:rsidR="006B4C1E" w:rsidRPr="00EE2397" w:rsidRDefault="006B4C1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Latencia Milisegundos</w:t>
            </w:r>
          </w:p>
        </w:tc>
        <w:tc>
          <w:tcPr>
            <w:tcW w:w="5246" w:type="dxa"/>
            <w:tcBorders>
              <w:top w:val="single" w:sz="4" w:space="0" w:color="auto"/>
              <w:left w:val="single" w:sz="4" w:space="0" w:color="auto"/>
              <w:bottom w:val="single" w:sz="4" w:space="0" w:color="auto"/>
              <w:right w:val="single" w:sz="4" w:space="0" w:color="auto"/>
            </w:tcBorders>
            <w:vAlign w:val="bottom"/>
          </w:tcPr>
          <w:p w14:paraId="0DF79680" w14:textId="287FFC27" w:rsidR="006B4C1E" w:rsidRPr="00EE2397" w:rsidRDefault="006B4C1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(se establece en base a un estimado)</w:t>
            </w:r>
          </w:p>
        </w:tc>
      </w:tr>
      <w:tr w:rsidR="006B4C1E" w:rsidRPr="0040310F" w14:paraId="2B7ACD67" w14:textId="77777777" w:rsidTr="00971200">
        <w:trPr>
          <w:trHeight w:val="300"/>
          <w:jc w:val="center"/>
        </w:trPr>
        <w:tc>
          <w:tcPr>
            <w:tcW w:w="2834" w:type="dxa"/>
            <w:tcBorders>
              <w:top w:val="single" w:sz="4" w:space="0" w:color="auto"/>
              <w:left w:val="single" w:sz="4" w:space="0" w:color="auto"/>
              <w:bottom w:val="single" w:sz="4" w:space="0" w:color="auto"/>
              <w:right w:val="single" w:sz="4" w:space="0" w:color="auto"/>
            </w:tcBorders>
            <w:noWrap/>
            <w:vAlign w:val="bottom"/>
          </w:tcPr>
          <w:p w14:paraId="05F1FC01" w14:textId="63BF183C" w:rsidR="006B4C1E" w:rsidRPr="00EE2397" w:rsidRDefault="006B4C1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Sin sobre suscripción (enlace dedicado)</w:t>
            </w:r>
          </w:p>
        </w:tc>
        <w:tc>
          <w:tcPr>
            <w:tcW w:w="5246" w:type="dxa"/>
            <w:tcBorders>
              <w:top w:val="single" w:sz="4" w:space="0" w:color="auto"/>
              <w:left w:val="single" w:sz="4" w:space="0" w:color="auto"/>
              <w:bottom w:val="single" w:sz="4" w:space="0" w:color="auto"/>
              <w:right w:val="single" w:sz="4" w:space="0" w:color="auto"/>
            </w:tcBorders>
            <w:vAlign w:val="bottom"/>
          </w:tcPr>
          <w:p w14:paraId="2F5D5B0D" w14:textId="497BD701" w:rsidR="006B4C1E" w:rsidRPr="00EE2397" w:rsidRDefault="006B4C1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Si</w:t>
            </w:r>
          </w:p>
        </w:tc>
      </w:tr>
      <w:tr w:rsidR="006B4C1E" w:rsidRPr="0040310F" w14:paraId="2A22E6F8" w14:textId="77777777" w:rsidTr="00971200">
        <w:trPr>
          <w:trHeight w:val="300"/>
          <w:jc w:val="center"/>
        </w:trPr>
        <w:tc>
          <w:tcPr>
            <w:tcW w:w="2834" w:type="dxa"/>
            <w:tcBorders>
              <w:top w:val="single" w:sz="4" w:space="0" w:color="auto"/>
              <w:left w:val="single" w:sz="4" w:space="0" w:color="auto"/>
              <w:bottom w:val="single" w:sz="4" w:space="0" w:color="auto"/>
              <w:right w:val="single" w:sz="4" w:space="0" w:color="auto"/>
            </w:tcBorders>
            <w:noWrap/>
            <w:vAlign w:val="bottom"/>
          </w:tcPr>
          <w:p w14:paraId="38230C82" w14:textId="103BC03F" w:rsidR="006B4C1E" w:rsidRPr="00EE2397" w:rsidRDefault="006B4C1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Sin restricción para manejos de protocolos IP y capa 2</w:t>
            </w:r>
          </w:p>
        </w:tc>
        <w:tc>
          <w:tcPr>
            <w:tcW w:w="5246" w:type="dxa"/>
            <w:tcBorders>
              <w:top w:val="single" w:sz="4" w:space="0" w:color="auto"/>
              <w:left w:val="single" w:sz="4" w:space="0" w:color="auto"/>
              <w:bottom w:val="single" w:sz="4" w:space="0" w:color="auto"/>
              <w:right w:val="single" w:sz="4" w:space="0" w:color="auto"/>
            </w:tcBorders>
            <w:vAlign w:val="bottom"/>
          </w:tcPr>
          <w:p w14:paraId="33A3B351" w14:textId="6634F16A" w:rsidR="006B4C1E" w:rsidRPr="00EE2397" w:rsidRDefault="006B4C1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Si</w:t>
            </w:r>
          </w:p>
        </w:tc>
      </w:tr>
      <w:tr w:rsidR="0091073E" w:rsidRPr="0040310F" w14:paraId="67E1F621" w14:textId="77777777" w:rsidTr="00971200">
        <w:trPr>
          <w:trHeight w:val="315"/>
          <w:jc w:val="center"/>
        </w:trPr>
        <w:tc>
          <w:tcPr>
            <w:tcW w:w="8080" w:type="dxa"/>
            <w:gridSpan w:val="2"/>
            <w:tcBorders>
              <w:top w:val="single" w:sz="4" w:space="0" w:color="auto"/>
              <w:left w:val="single" w:sz="4" w:space="0" w:color="auto"/>
              <w:bottom w:val="single" w:sz="4" w:space="0" w:color="auto"/>
              <w:right w:val="single" w:sz="4" w:space="0" w:color="auto"/>
            </w:tcBorders>
            <w:noWrap/>
            <w:vAlign w:val="bottom"/>
            <w:hideMark/>
          </w:tcPr>
          <w:p w14:paraId="1E4F6BA9" w14:textId="609F4179" w:rsidR="0091073E" w:rsidRPr="00EE2397" w:rsidRDefault="0091073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Detalles técnicos de la entrega del enlace</w:t>
            </w:r>
          </w:p>
        </w:tc>
      </w:tr>
      <w:tr w:rsidR="0091073E" w:rsidRPr="0040310F" w14:paraId="0FA9ECF6" w14:textId="77777777" w:rsidTr="00971200">
        <w:trPr>
          <w:trHeight w:val="315"/>
          <w:jc w:val="center"/>
        </w:trPr>
        <w:tc>
          <w:tcPr>
            <w:tcW w:w="2834" w:type="dxa"/>
            <w:tcBorders>
              <w:top w:val="single" w:sz="4" w:space="0" w:color="auto"/>
              <w:left w:val="single" w:sz="4" w:space="0" w:color="auto"/>
              <w:bottom w:val="single" w:sz="4" w:space="0" w:color="auto"/>
              <w:right w:val="single" w:sz="4" w:space="0" w:color="auto"/>
            </w:tcBorders>
            <w:noWrap/>
            <w:vAlign w:val="bottom"/>
          </w:tcPr>
          <w:p w14:paraId="62AC319E" w14:textId="66503B49" w:rsidR="0091073E" w:rsidRPr="00EE2397" w:rsidRDefault="0091073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Tipo de prueba</w:t>
            </w:r>
          </w:p>
        </w:tc>
        <w:tc>
          <w:tcPr>
            <w:tcW w:w="5246" w:type="dxa"/>
            <w:tcBorders>
              <w:top w:val="single" w:sz="4" w:space="0" w:color="auto"/>
              <w:left w:val="single" w:sz="4" w:space="0" w:color="auto"/>
              <w:bottom w:val="single" w:sz="4" w:space="0" w:color="auto"/>
              <w:right w:val="single" w:sz="4" w:space="0" w:color="auto"/>
            </w:tcBorders>
            <w:vAlign w:val="bottom"/>
          </w:tcPr>
          <w:p w14:paraId="02F86E3E" w14:textId="1B765BB8" w:rsidR="0091073E" w:rsidRPr="00EE2397" w:rsidRDefault="0091073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RFC2455/Y1564/BERT/Trafico Constante</w:t>
            </w:r>
          </w:p>
        </w:tc>
      </w:tr>
      <w:tr w:rsidR="0091073E" w:rsidRPr="0040310F" w14:paraId="548C04D6" w14:textId="77777777" w:rsidTr="00971200">
        <w:trPr>
          <w:trHeight w:val="315"/>
          <w:jc w:val="center"/>
        </w:trPr>
        <w:tc>
          <w:tcPr>
            <w:tcW w:w="2834" w:type="dxa"/>
            <w:tcBorders>
              <w:top w:val="single" w:sz="4" w:space="0" w:color="auto"/>
              <w:left w:val="single" w:sz="4" w:space="0" w:color="auto"/>
              <w:bottom w:val="single" w:sz="4" w:space="0" w:color="auto"/>
              <w:right w:val="single" w:sz="4" w:space="0" w:color="auto"/>
            </w:tcBorders>
            <w:noWrap/>
          </w:tcPr>
          <w:p w14:paraId="04F441D6" w14:textId="6AC94ED3" w:rsidR="0091073E" w:rsidRPr="00EE2397" w:rsidRDefault="0091073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Duración de la prueba</w:t>
            </w:r>
          </w:p>
        </w:tc>
        <w:tc>
          <w:tcPr>
            <w:tcW w:w="5246" w:type="dxa"/>
            <w:tcBorders>
              <w:top w:val="single" w:sz="4" w:space="0" w:color="auto"/>
              <w:left w:val="single" w:sz="4" w:space="0" w:color="auto"/>
              <w:bottom w:val="single" w:sz="4" w:space="0" w:color="auto"/>
              <w:right w:val="single" w:sz="4" w:space="0" w:color="auto"/>
            </w:tcBorders>
          </w:tcPr>
          <w:p w14:paraId="298E5628" w14:textId="3D288C88" w:rsidR="0091073E" w:rsidRPr="00EE2397" w:rsidRDefault="0091073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HH:MM</w:t>
            </w:r>
          </w:p>
        </w:tc>
      </w:tr>
      <w:tr w:rsidR="0091073E" w:rsidRPr="0040310F" w14:paraId="4EEF9402" w14:textId="77777777" w:rsidTr="00971200">
        <w:trPr>
          <w:trHeight w:val="300"/>
          <w:jc w:val="center"/>
        </w:trPr>
        <w:tc>
          <w:tcPr>
            <w:tcW w:w="2834" w:type="dxa"/>
            <w:tcBorders>
              <w:top w:val="single" w:sz="4" w:space="0" w:color="auto"/>
              <w:left w:val="single" w:sz="4" w:space="0" w:color="auto"/>
              <w:bottom w:val="single" w:sz="4" w:space="0" w:color="auto"/>
              <w:right w:val="single" w:sz="4" w:space="0" w:color="auto"/>
            </w:tcBorders>
            <w:noWrap/>
            <w:vAlign w:val="bottom"/>
          </w:tcPr>
          <w:p w14:paraId="1AA26A73" w14:textId="44659F43" w:rsidR="0091073E" w:rsidRPr="00EE2397" w:rsidRDefault="0091073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Tipo de auto negociación</w:t>
            </w:r>
          </w:p>
        </w:tc>
        <w:tc>
          <w:tcPr>
            <w:tcW w:w="5246" w:type="dxa"/>
            <w:tcBorders>
              <w:top w:val="single" w:sz="4" w:space="0" w:color="auto"/>
              <w:left w:val="single" w:sz="4" w:space="0" w:color="auto"/>
              <w:bottom w:val="single" w:sz="4" w:space="0" w:color="auto"/>
              <w:right w:val="single" w:sz="4" w:space="0" w:color="auto"/>
            </w:tcBorders>
            <w:vAlign w:val="bottom"/>
          </w:tcPr>
          <w:p w14:paraId="63DA760C" w14:textId="21DC44B2" w:rsidR="0091073E" w:rsidRPr="00EE2397" w:rsidRDefault="0091073E" w:rsidP="0052418C">
            <w:pPr>
              <w:spacing w:after="0" w:line="276" w:lineRule="auto"/>
              <w:ind w:left="0" w:right="0" w:firstLine="0"/>
              <w:jc w:val="center"/>
              <w:rPr>
                <w:rFonts w:ascii="ITC Avant Garde" w:eastAsia="Times New Roman" w:hAnsi="ITC Avant Garde" w:cs="Arial"/>
                <w:i/>
                <w:iCs/>
                <w:sz w:val="18"/>
                <w:szCs w:val="18"/>
                <w:lang w:eastAsia="en-US"/>
              </w:rPr>
            </w:pPr>
            <w:r w:rsidRPr="00EE2397">
              <w:rPr>
                <w:rFonts w:ascii="ITC Avant Garde" w:eastAsia="Times New Roman" w:hAnsi="ITC Avant Garde" w:cs="Arial"/>
                <w:i/>
                <w:iCs/>
                <w:sz w:val="18"/>
                <w:szCs w:val="18"/>
                <w:lang w:eastAsia="en-US"/>
              </w:rPr>
              <w:t>Manual/Automatico</w:t>
            </w:r>
          </w:p>
        </w:tc>
      </w:tr>
    </w:tbl>
    <w:p w14:paraId="0BE7FE06" w14:textId="77777777" w:rsidR="006A6D3E" w:rsidRPr="0052418C" w:rsidRDefault="006A6D3E" w:rsidP="0052418C">
      <w:pPr>
        <w:spacing w:after="0" w:line="276" w:lineRule="auto"/>
        <w:ind w:left="0" w:right="0" w:firstLine="0"/>
        <w:rPr>
          <w:rFonts w:ascii="ITC Avant Garde" w:hAnsi="ITC Avant Garde" w:cs="Arial"/>
          <w:color w:val="auto"/>
        </w:rPr>
      </w:pPr>
    </w:p>
    <w:p w14:paraId="5E08D769" w14:textId="6ECF5DAE" w:rsidR="00833A7D" w:rsidRPr="0052418C" w:rsidRDefault="00EC2637"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GRUPO AT&amp;T:</w:t>
      </w:r>
    </w:p>
    <w:p w14:paraId="143CCFEF" w14:textId="5F59FB03" w:rsidR="002C0ADE" w:rsidRPr="0052418C" w:rsidRDefault="002C0ADE"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Sugir</w:t>
      </w:r>
      <w:r w:rsidR="00DF59FF" w:rsidRPr="0052418C">
        <w:rPr>
          <w:rFonts w:ascii="ITC Avant Garde" w:hAnsi="ITC Avant Garde" w:cs="Arial"/>
          <w:color w:val="auto"/>
        </w:rPr>
        <w:t>ió</w:t>
      </w:r>
      <w:r w:rsidRPr="0052418C">
        <w:rPr>
          <w:rFonts w:ascii="ITC Avant Garde" w:hAnsi="ITC Avant Garde" w:cs="Arial"/>
          <w:color w:val="auto"/>
        </w:rPr>
        <w:t xml:space="preserve"> que la disponibilidad del Enlace Dedicado </w:t>
      </w:r>
      <w:r w:rsidR="00DC4A9B" w:rsidRPr="0052418C">
        <w:rPr>
          <w:rFonts w:ascii="ITC Avant Garde" w:hAnsi="ITC Avant Garde" w:cs="Arial"/>
          <w:color w:val="auto"/>
        </w:rPr>
        <w:t xml:space="preserve">sea de </w:t>
      </w:r>
      <w:r w:rsidRPr="0052418C">
        <w:rPr>
          <w:rFonts w:ascii="ITC Avant Garde" w:hAnsi="ITC Avant Garde" w:cs="Arial"/>
          <w:color w:val="auto"/>
        </w:rPr>
        <w:t>99.83% y 99.98% mensual</w:t>
      </w:r>
      <w:r w:rsidR="00DC4A9B" w:rsidRPr="0052418C">
        <w:rPr>
          <w:rFonts w:ascii="ITC Avant Garde" w:hAnsi="ITC Avant Garde" w:cs="Arial"/>
          <w:color w:val="auto"/>
        </w:rPr>
        <w:t xml:space="preserve"> misma que </w:t>
      </w:r>
      <w:r w:rsidRPr="0052418C">
        <w:rPr>
          <w:rFonts w:ascii="ITC Avant Garde" w:hAnsi="ITC Avant Garde" w:cs="Arial"/>
          <w:color w:val="auto"/>
        </w:rPr>
        <w:t xml:space="preserve">equivale a 73 minutos fuera del servicio por mes para enlaces sin redundancia y 10 minutos para enlace con redundancia, permitidos sin penalidad. </w:t>
      </w:r>
      <w:r w:rsidRPr="0052418C">
        <w:rPr>
          <w:rFonts w:ascii="ITC Avant Garde" w:hAnsi="ITC Avant Garde" w:cs="Arial"/>
          <w:color w:val="auto"/>
        </w:rPr>
        <w:lastRenderedPageBreak/>
        <w:t>Esto considera es una calidad inferior a los estándares de la industria en México y es, por lo tanto, perfectamente razonable.</w:t>
      </w:r>
    </w:p>
    <w:p w14:paraId="19FF96D5" w14:textId="7D4A1CB4" w:rsidR="009E04DA" w:rsidRPr="0052418C" w:rsidRDefault="009E04DA" w:rsidP="0052418C">
      <w:pPr>
        <w:spacing w:after="0" w:line="276" w:lineRule="auto"/>
        <w:ind w:left="0" w:right="0" w:firstLine="0"/>
        <w:rPr>
          <w:rFonts w:ascii="ITC Avant Garde" w:hAnsi="ITC Avant Garde" w:cs="Arial"/>
          <w:color w:val="auto"/>
        </w:rPr>
      </w:pPr>
    </w:p>
    <w:p w14:paraId="38576F02" w14:textId="0B20AF57" w:rsidR="000308BA" w:rsidRPr="0052418C" w:rsidRDefault="009E04DA" w:rsidP="00EE2397">
      <w:pPr>
        <w:pStyle w:val="IFTnormal"/>
        <w:tabs>
          <w:tab w:val="left" w:pos="709"/>
        </w:tabs>
        <w:ind w:left="0"/>
        <w:rPr>
          <w:rFonts w:cs="Arial"/>
        </w:rPr>
      </w:pPr>
      <w:r w:rsidRPr="0052418C">
        <w:rPr>
          <w:rFonts w:cs="Arial"/>
        </w:rPr>
        <w:t xml:space="preserve">Aunado a lo anterior, puntualizó que ello permitirá que un enlace critico estuviera fuera de servicio por más de 40 de horas y no existiera alguna penalidad, por lo que resulta importante de que se mida de forma mensual y se mantenga o mejores los porcentajes actuales. </w:t>
      </w:r>
    </w:p>
    <w:p w14:paraId="00176393" w14:textId="0BB8AC3D" w:rsidR="00655E4B" w:rsidRPr="0052418C" w:rsidRDefault="00FD60E4" w:rsidP="0052418C">
      <w:pPr>
        <w:pStyle w:val="IFTnormal"/>
        <w:spacing w:after="0"/>
        <w:ind w:left="0"/>
        <w:rPr>
          <w:rFonts w:cs="Arial"/>
        </w:rPr>
      </w:pPr>
      <w:r w:rsidRPr="0052418C">
        <w:rPr>
          <w:rFonts w:cs="Arial"/>
        </w:rPr>
        <w:t xml:space="preserve">Por otro lado, </w:t>
      </w:r>
      <w:r w:rsidR="00541D39" w:rsidRPr="0052418C">
        <w:rPr>
          <w:rFonts w:cs="Arial"/>
        </w:rPr>
        <w:t xml:space="preserve">señaló que </w:t>
      </w:r>
      <w:r w:rsidR="00DC4A9B" w:rsidRPr="0052418C">
        <w:rPr>
          <w:rFonts w:cs="Arial"/>
        </w:rPr>
        <w:t xml:space="preserve">debe de </w:t>
      </w:r>
      <w:r w:rsidRPr="0052418C">
        <w:rPr>
          <w:rFonts w:cs="Arial"/>
        </w:rPr>
        <w:t>considera</w:t>
      </w:r>
      <w:r w:rsidR="00DC4A9B" w:rsidRPr="0052418C">
        <w:rPr>
          <w:rFonts w:cs="Arial"/>
        </w:rPr>
        <w:t>rse</w:t>
      </w:r>
      <w:r w:rsidRPr="0052418C">
        <w:rPr>
          <w:rFonts w:cs="Arial"/>
        </w:rPr>
        <w:t xml:space="preserve"> la situación de fallas repe</w:t>
      </w:r>
      <w:r w:rsidR="006F0F10" w:rsidRPr="0052418C">
        <w:rPr>
          <w:rFonts w:cs="Arial"/>
        </w:rPr>
        <w:t>titivas</w:t>
      </w:r>
      <w:r w:rsidRPr="0052418C">
        <w:rPr>
          <w:rFonts w:cs="Arial"/>
        </w:rPr>
        <w:t xml:space="preserve"> que no hayan sido reparadas de forma adecuada (intermitencias, programaciones inadecuadas de las redundancias</w:t>
      </w:r>
      <w:r w:rsidR="00541D39" w:rsidRPr="0052418C">
        <w:rPr>
          <w:rFonts w:cs="Arial"/>
        </w:rPr>
        <w:t>, etc</w:t>
      </w:r>
      <w:r w:rsidR="003F1500" w:rsidRPr="0052418C">
        <w:rPr>
          <w:rFonts w:cs="Arial"/>
        </w:rPr>
        <w:t>.</w:t>
      </w:r>
      <w:r w:rsidRPr="0052418C">
        <w:rPr>
          <w:rFonts w:cs="Arial"/>
        </w:rPr>
        <w:t>)</w:t>
      </w:r>
      <w:r w:rsidR="00541D39" w:rsidRPr="0052418C">
        <w:rPr>
          <w:rFonts w:cs="Arial"/>
        </w:rPr>
        <w:t>.</w:t>
      </w:r>
    </w:p>
    <w:p w14:paraId="1C53A272" w14:textId="2C6A2692" w:rsidR="008B574B" w:rsidRPr="0052418C" w:rsidRDefault="008B574B" w:rsidP="0052418C">
      <w:pPr>
        <w:pStyle w:val="IFTnormal"/>
        <w:spacing w:after="0"/>
        <w:ind w:left="0"/>
        <w:rPr>
          <w:rFonts w:cs="Arial"/>
        </w:rPr>
      </w:pPr>
    </w:p>
    <w:p w14:paraId="7F2E6C8F" w14:textId="77777777" w:rsidR="003112CE" w:rsidRPr="0052418C" w:rsidRDefault="003112CE" w:rsidP="0052418C">
      <w:pPr>
        <w:spacing w:after="0" w:line="276" w:lineRule="auto"/>
        <w:ind w:left="0" w:right="0" w:firstLine="0"/>
        <w:rPr>
          <w:rFonts w:ascii="ITC Avant Garde" w:eastAsia="Times New Roman" w:hAnsi="ITC Avant Garde" w:cs="Arial"/>
          <w:b/>
          <w:color w:val="auto"/>
        </w:rPr>
      </w:pPr>
      <w:r w:rsidRPr="0052418C">
        <w:rPr>
          <w:rFonts w:ascii="ITC Avant Garde" w:eastAsia="Times New Roman" w:hAnsi="ITC Avant Garde" w:cs="Arial"/>
          <w:b/>
          <w:color w:val="auto"/>
        </w:rPr>
        <w:t>MEGA CABLE:</w:t>
      </w:r>
    </w:p>
    <w:p w14:paraId="7F56832E" w14:textId="73F42BA4" w:rsidR="003112CE" w:rsidRPr="0052418C" w:rsidRDefault="003112CE" w:rsidP="0052418C">
      <w:pPr>
        <w:pStyle w:val="IFTnormal"/>
        <w:spacing w:after="0"/>
        <w:ind w:left="0"/>
        <w:rPr>
          <w:rFonts w:cs="Arial"/>
        </w:rPr>
      </w:pPr>
      <w:r w:rsidRPr="0052418C">
        <w:rPr>
          <w:rFonts w:cs="Arial"/>
        </w:rPr>
        <w:t>Señal</w:t>
      </w:r>
      <w:r w:rsidR="004D6F7E">
        <w:rPr>
          <w:rFonts w:cs="Arial"/>
        </w:rPr>
        <w:t>ó</w:t>
      </w:r>
      <w:r w:rsidRPr="0052418C">
        <w:rPr>
          <w:rFonts w:cs="Arial"/>
        </w:rPr>
        <w:t xml:space="preserve"> que</w:t>
      </w:r>
      <w:r w:rsidR="00226038">
        <w:rPr>
          <w:rFonts w:cs="Arial"/>
        </w:rPr>
        <w:t xml:space="preserve"> en</w:t>
      </w:r>
      <w:r w:rsidRPr="0052418C">
        <w:rPr>
          <w:rFonts w:cs="Arial"/>
        </w:rPr>
        <w:t xml:space="preserve"> la </w:t>
      </w:r>
      <w:r w:rsidR="005B2520" w:rsidRPr="0052418C">
        <w:rPr>
          <w:rFonts w:cs="Arial"/>
        </w:rPr>
        <w:t>P</w:t>
      </w:r>
      <w:r w:rsidRPr="0052418C">
        <w:rPr>
          <w:rFonts w:cs="Arial"/>
        </w:rPr>
        <w:t xml:space="preserve">ropuesta de </w:t>
      </w:r>
      <w:r w:rsidR="005B2520" w:rsidRPr="0052418C">
        <w:rPr>
          <w:rFonts w:cs="Arial"/>
        </w:rPr>
        <w:t>Oferta</w:t>
      </w:r>
      <w:r w:rsidRPr="0052418C">
        <w:rPr>
          <w:rFonts w:cs="Arial"/>
        </w:rPr>
        <w:t xml:space="preserve"> se planteó sin una justificación valida niveles de disponibilidad de enlaces dedicados locales de interconexión menores a los establecidos en la ORE</w:t>
      </w:r>
      <w:r w:rsidR="005B2520" w:rsidRPr="0052418C">
        <w:rPr>
          <w:rFonts w:cs="Arial"/>
        </w:rPr>
        <w:t xml:space="preserve"> EM</w:t>
      </w:r>
      <w:r w:rsidRPr="0052418C">
        <w:rPr>
          <w:rFonts w:cs="Arial"/>
        </w:rPr>
        <w:t xml:space="preserve"> 2021</w:t>
      </w:r>
    </w:p>
    <w:p w14:paraId="2012216E" w14:textId="7299331A" w:rsidR="003112CE" w:rsidRPr="0052418C" w:rsidRDefault="003112CE" w:rsidP="0052418C">
      <w:pPr>
        <w:pStyle w:val="IFTnormal"/>
        <w:spacing w:after="0"/>
        <w:ind w:left="0"/>
        <w:rPr>
          <w:rFonts w:cs="Arial"/>
        </w:rPr>
      </w:pPr>
    </w:p>
    <w:p w14:paraId="7A4A6AD9" w14:textId="13C953C1" w:rsidR="003112CE" w:rsidRPr="0052418C" w:rsidRDefault="003112CE" w:rsidP="0052418C">
      <w:pPr>
        <w:pStyle w:val="IFTnormal"/>
        <w:spacing w:after="0"/>
        <w:ind w:left="0"/>
        <w:rPr>
          <w:rFonts w:cs="Arial"/>
        </w:rPr>
      </w:pPr>
      <w:r w:rsidRPr="0052418C">
        <w:rPr>
          <w:rFonts w:cs="Arial"/>
        </w:rPr>
        <w:t>Mega Cable señal</w:t>
      </w:r>
      <w:r w:rsidR="004D6F7E">
        <w:rPr>
          <w:rFonts w:cs="Arial"/>
        </w:rPr>
        <w:t>ó</w:t>
      </w:r>
      <w:r w:rsidRPr="0052418C">
        <w:rPr>
          <w:rFonts w:cs="Arial"/>
        </w:rPr>
        <w:t xml:space="preserve"> que </w:t>
      </w:r>
      <w:r w:rsidR="00B04D40" w:rsidRPr="0052418C">
        <w:rPr>
          <w:rFonts w:cs="Arial"/>
        </w:rPr>
        <w:t xml:space="preserve">se </w:t>
      </w:r>
      <w:r w:rsidRPr="0052418C">
        <w:rPr>
          <w:rFonts w:cs="Arial"/>
        </w:rPr>
        <w:t>debe modificar aquellos niveles al menos conforme se establecieron en la ORE</w:t>
      </w:r>
      <w:r w:rsidR="005B2520" w:rsidRPr="0052418C">
        <w:rPr>
          <w:rFonts w:cs="Arial"/>
        </w:rPr>
        <w:t xml:space="preserve"> EM</w:t>
      </w:r>
      <w:r w:rsidRPr="0052418C">
        <w:rPr>
          <w:rFonts w:cs="Arial"/>
        </w:rPr>
        <w:t xml:space="preserve"> 2021</w:t>
      </w:r>
    </w:p>
    <w:p w14:paraId="4A4BCF01" w14:textId="77777777" w:rsidR="00153D26" w:rsidRDefault="00153D26" w:rsidP="0052418C">
      <w:pPr>
        <w:spacing w:after="0" w:line="276" w:lineRule="auto"/>
        <w:ind w:left="0" w:right="0" w:firstLine="0"/>
        <w:rPr>
          <w:rFonts w:ascii="ITC Avant Garde" w:hAnsi="ITC Avant Garde" w:cs="Arial"/>
          <w:b/>
          <w:color w:val="auto"/>
        </w:rPr>
      </w:pPr>
    </w:p>
    <w:p w14:paraId="4F8BB10D" w14:textId="3C3EA4FA" w:rsidR="009821F3" w:rsidRPr="0052418C" w:rsidRDefault="009821F3"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E13092" w:rsidRPr="0052418C">
        <w:rPr>
          <w:rFonts w:ascii="ITC Avant Garde" w:hAnsi="ITC Avant Garde" w:cs="Arial"/>
          <w:b/>
          <w:color w:val="auto"/>
        </w:rPr>
        <w:t>:</w:t>
      </w:r>
    </w:p>
    <w:p w14:paraId="3D142BB2" w14:textId="4B477CA9" w:rsidR="00FD52EE" w:rsidRPr="0052418C" w:rsidRDefault="00780812" w:rsidP="0052418C">
      <w:pPr>
        <w:spacing w:after="0" w:line="276" w:lineRule="auto"/>
        <w:ind w:left="0" w:right="0" w:firstLine="0"/>
        <w:rPr>
          <w:rFonts w:ascii="ITC Avant Garde" w:hAnsi="ITC Avant Garde" w:cs="Arial"/>
        </w:rPr>
      </w:pPr>
      <w:r w:rsidRPr="0052418C">
        <w:rPr>
          <w:rFonts w:ascii="ITC Avant Garde" w:hAnsi="ITC Avant Garde" w:cs="Arial"/>
          <w:color w:val="auto"/>
        </w:rPr>
        <w:t xml:space="preserve">Con relación a los </w:t>
      </w:r>
      <w:r w:rsidR="007C4C3E" w:rsidRPr="0052418C">
        <w:rPr>
          <w:rFonts w:ascii="ITC Avant Garde" w:hAnsi="ITC Avant Garde" w:cs="Arial"/>
          <w:color w:val="auto"/>
        </w:rPr>
        <w:t>comentarios anteriores</w:t>
      </w:r>
      <w:r w:rsidRPr="0052418C">
        <w:rPr>
          <w:rFonts w:ascii="ITC Avant Garde" w:hAnsi="ITC Avant Garde" w:cs="Arial"/>
          <w:color w:val="auto"/>
        </w:rPr>
        <w:t xml:space="preserve">, </w:t>
      </w:r>
      <w:r w:rsidR="00B04D40" w:rsidRPr="0052418C">
        <w:rPr>
          <w:rFonts w:ascii="ITC Avant Garde" w:hAnsi="ITC Avant Garde" w:cs="Times New Roman"/>
          <w:color w:val="auto"/>
        </w:rPr>
        <w:t xml:space="preserve">y de conformidad a la </w:t>
      </w:r>
      <w:r w:rsidR="00B04D40" w:rsidRPr="0052418C">
        <w:rPr>
          <w:rFonts w:ascii="ITC Avant Garde" w:hAnsi="ITC Avant Garde"/>
          <w:color w:val="auto"/>
        </w:rPr>
        <w:t xml:space="preserve">Medida Cuadragésima Primera de las Medidas Fijas, se modificó la oferta conforme a las condiciones de la ORE </w:t>
      </w:r>
      <w:r w:rsidR="005B2520" w:rsidRPr="0052418C">
        <w:rPr>
          <w:rFonts w:ascii="ITC Avant Garde" w:hAnsi="ITC Avant Garde"/>
          <w:color w:val="auto"/>
        </w:rPr>
        <w:t>E</w:t>
      </w:r>
      <w:r w:rsidR="00B04D40" w:rsidRPr="0052418C">
        <w:rPr>
          <w:rFonts w:ascii="ITC Avant Garde" w:hAnsi="ITC Avant Garde"/>
          <w:color w:val="auto"/>
        </w:rPr>
        <w:t xml:space="preserve">M 2021, por lo que </w:t>
      </w:r>
      <w:r w:rsidRPr="0052418C">
        <w:rPr>
          <w:rFonts w:ascii="ITC Avant Garde" w:hAnsi="ITC Avant Garde" w:cs="Arial"/>
          <w:color w:val="auto"/>
        </w:rPr>
        <w:t xml:space="preserve">los parámetros de calidad han sido </w:t>
      </w:r>
      <w:r w:rsidR="001E5AAB" w:rsidRPr="0052418C">
        <w:rPr>
          <w:rFonts w:ascii="ITC Avant Garde" w:hAnsi="ITC Avant Garde" w:cs="Arial"/>
          <w:color w:val="auto"/>
        </w:rPr>
        <w:t>modifica</w:t>
      </w:r>
      <w:r w:rsidR="00B04D40" w:rsidRPr="0052418C">
        <w:rPr>
          <w:rFonts w:ascii="ITC Avant Garde" w:hAnsi="ITC Avant Garde" w:cs="Arial"/>
          <w:color w:val="auto"/>
        </w:rPr>
        <w:t>dos</w:t>
      </w:r>
      <w:r w:rsidR="001E5AAB" w:rsidRPr="0052418C">
        <w:rPr>
          <w:rFonts w:ascii="ITC Avant Garde" w:hAnsi="ITC Avant Garde" w:cs="Arial"/>
          <w:color w:val="auto"/>
        </w:rPr>
        <w:t xml:space="preserve">. Respecto </w:t>
      </w:r>
      <w:r w:rsidR="00995461" w:rsidRPr="0052418C">
        <w:rPr>
          <w:rFonts w:ascii="ITC Avant Garde" w:hAnsi="ITC Avant Garde" w:cs="Arial"/>
          <w:color w:val="auto"/>
        </w:rPr>
        <w:t>a definir el</w:t>
      </w:r>
      <w:r w:rsidR="007C48D4" w:rsidRPr="0052418C">
        <w:rPr>
          <w:rFonts w:ascii="ITC Avant Garde" w:hAnsi="ITC Avant Garde" w:cs="Arial"/>
          <w:color w:val="auto"/>
        </w:rPr>
        <w:t xml:space="preserve"> e</w:t>
      </w:r>
      <w:r w:rsidR="00FD52EE" w:rsidRPr="0052418C">
        <w:rPr>
          <w:rFonts w:ascii="ITC Avant Garde" w:hAnsi="ITC Avant Garde" w:cs="Arial"/>
          <w:color w:val="auto"/>
        </w:rPr>
        <w:t>nlace dedicado con redundancia</w:t>
      </w:r>
      <w:r w:rsidR="00995461" w:rsidRPr="0052418C">
        <w:rPr>
          <w:rFonts w:ascii="ITC Avant Garde" w:hAnsi="ITC Avant Garde" w:cs="Arial"/>
          <w:color w:val="auto"/>
        </w:rPr>
        <w:t>,</w:t>
      </w:r>
      <w:r w:rsidR="00FD52EE" w:rsidRPr="0052418C">
        <w:rPr>
          <w:rFonts w:ascii="ITC Avant Garde" w:hAnsi="ITC Avant Garde" w:cs="Arial"/>
          <w:color w:val="auto"/>
        </w:rPr>
        <w:t xml:space="preserve"> se menciona que </w:t>
      </w:r>
      <w:r w:rsidR="00FD52EE" w:rsidRPr="0052418C">
        <w:rPr>
          <w:rFonts w:ascii="ITC Avant Garde" w:eastAsiaTheme="minorHAnsi" w:hAnsi="ITC Avant Garde" w:cs="Arial"/>
        </w:rPr>
        <w:t xml:space="preserve">el concepto de redundancia </w:t>
      </w:r>
      <w:r w:rsidR="006C6782" w:rsidRPr="0052418C">
        <w:rPr>
          <w:rFonts w:ascii="ITC Avant Garde" w:hAnsi="ITC Avant Garde" w:cs="Arial"/>
        </w:rPr>
        <w:t>consiste en la duplicidad de componentes</w:t>
      </w:r>
      <w:r w:rsidR="00FD52EE" w:rsidRPr="0052418C">
        <w:rPr>
          <w:rFonts w:ascii="ITC Avant Garde" w:hAnsi="ITC Avant Garde" w:cs="Arial"/>
        </w:rPr>
        <w:t xml:space="preserve"> en este caso de un enlace</w:t>
      </w:r>
      <w:r w:rsidR="006C6782" w:rsidRPr="0052418C">
        <w:rPr>
          <w:rFonts w:ascii="ITC Avant Garde" w:hAnsi="ITC Avant Garde" w:cs="Arial"/>
        </w:rPr>
        <w:t xml:space="preserve"> para incrementar l</w:t>
      </w:r>
      <w:r w:rsidR="00FD52EE" w:rsidRPr="0052418C">
        <w:rPr>
          <w:rFonts w:ascii="ITC Avant Garde" w:hAnsi="ITC Avant Garde" w:cs="Arial"/>
        </w:rPr>
        <w:t>a disponibilidad de un sistema que</w:t>
      </w:r>
      <w:r w:rsidR="006C6782" w:rsidRPr="0052418C">
        <w:rPr>
          <w:rFonts w:ascii="ITC Avant Garde" w:hAnsi="ITC Avant Garde" w:cs="Arial"/>
        </w:rPr>
        <w:t xml:space="preserve"> permite garantizar la continuidad</w:t>
      </w:r>
      <w:r w:rsidR="00FD52EE" w:rsidRPr="0052418C">
        <w:rPr>
          <w:rFonts w:ascii="ITC Avant Garde" w:hAnsi="ITC Avant Garde" w:cs="Arial"/>
        </w:rPr>
        <w:t xml:space="preserve"> en la prestación de los servicios en caso de presentarse alguna falla, no obstante</w:t>
      </w:r>
      <w:r w:rsidR="007C48D4" w:rsidRPr="0052418C">
        <w:rPr>
          <w:rFonts w:ascii="ITC Avant Garde" w:hAnsi="ITC Avant Garde" w:cs="Arial"/>
        </w:rPr>
        <w:t>,</w:t>
      </w:r>
      <w:r w:rsidR="00FD52EE" w:rsidRPr="0052418C">
        <w:rPr>
          <w:rFonts w:ascii="ITC Avant Garde" w:hAnsi="ITC Avant Garde" w:cs="Arial"/>
        </w:rPr>
        <w:t xml:space="preserve"> no corresponde a algún tipo de servicio adicional o distinto</w:t>
      </w:r>
      <w:r w:rsidR="00995461" w:rsidRPr="0052418C">
        <w:rPr>
          <w:rFonts w:ascii="ITC Avant Garde" w:hAnsi="ITC Avant Garde" w:cs="Arial"/>
        </w:rPr>
        <w:t xml:space="preserve"> a los establecidos,</w:t>
      </w:r>
      <w:r w:rsidR="00FD52EE" w:rsidRPr="0052418C">
        <w:rPr>
          <w:rFonts w:ascii="ITC Avant Garde" w:hAnsi="ITC Avant Garde" w:cs="Arial"/>
        </w:rPr>
        <w:t xml:space="preserve"> si no a la contratación de un enlace dedicado adicional </w:t>
      </w:r>
      <w:r w:rsidR="00002D87" w:rsidRPr="0052418C">
        <w:rPr>
          <w:rFonts w:ascii="ITC Avant Garde" w:hAnsi="ITC Avant Garde" w:cs="Arial"/>
        </w:rPr>
        <w:t>como respaldo en caso</w:t>
      </w:r>
      <w:r w:rsidR="00FD52EE" w:rsidRPr="0052418C">
        <w:rPr>
          <w:rFonts w:ascii="ITC Avant Garde" w:hAnsi="ITC Avant Garde" w:cs="Arial"/>
        </w:rPr>
        <w:t xml:space="preserve"> de </w:t>
      </w:r>
      <w:r w:rsidR="00002D87" w:rsidRPr="0052418C">
        <w:rPr>
          <w:rFonts w:ascii="ITC Avant Garde" w:hAnsi="ITC Avant Garde" w:cs="Arial"/>
        </w:rPr>
        <w:t xml:space="preserve">que </w:t>
      </w:r>
      <w:r w:rsidR="008716A1" w:rsidRPr="0052418C">
        <w:rPr>
          <w:rFonts w:ascii="ITC Avant Garde" w:hAnsi="ITC Avant Garde" w:cs="Arial"/>
        </w:rPr>
        <w:t xml:space="preserve">el </w:t>
      </w:r>
      <w:r w:rsidR="00FD52EE" w:rsidRPr="0052418C">
        <w:rPr>
          <w:rFonts w:ascii="ITC Avant Garde" w:hAnsi="ITC Avant Garde" w:cs="Arial"/>
        </w:rPr>
        <w:t xml:space="preserve">enlace </w:t>
      </w:r>
      <w:r w:rsidR="008716A1" w:rsidRPr="0052418C">
        <w:rPr>
          <w:rFonts w:ascii="ITC Avant Garde" w:hAnsi="ITC Avant Garde" w:cs="Arial"/>
        </w:rPr>
        <w:t>falle</w:t>
      </w:r>
      <w:r w:rsidR="00FD52EE" w:rsidRPr="0052418C">
        <w:rPr>
          <w:rFonts w:ascii="ITC Avant Garde" w:hAnsi="ITC Avant Garde" w:cs="Arial"/>
        </w:rPr>
        <w:t>, en virtud de lo anterior no</w:t>
      </w:r>
      <w:r w:rsidR="00ED63DE" w:rsidRPr="0052418C">
        <w:rPr>
          <w:rFonts w:ascii="ITC Avant Garde" w:hAnsi="ITC Avant Garde" w:cs="Arial"/>
        </w:rPr>
        <w:t xml:space="preserve"> </w:t>
      </w:r>
      <w:r w:rsidR="008716A1" w:rsidRPr="0052418C">
        <w:rPr>
          <w:rFonts w:ascii="ITC Avant Garde" w:hAnsi="ITC Avant Garde" w:cs="Arial"/>
        </w:rPr>
        <w:t xml:space="preserve">se aprecia que sus </w:t>
      </w:r>
      <w:r w:rsidR="00FD52EE" w:rsidRPr="0052418C">
        <w:rPr>
          <w:rFonts w:ascii="ITC Avant Garde" w:hAnsi="ITC Avant Garde" w:cs="Arial"/>
        </w:rPr>
        <w:t xml:space="preserve">características </w:t>
      </w:r>
      <w:r w:rsidR="007F5A86" w:rsidRPr="0052418C">
        <w:rPr>
          <w:rFonts w:ascii="ITC Avant Garde" w:hAnsi="ITC Avant Garde" w:cs="Arial"/>
        </w:rPr>
        <w:t xml:space="preserve">o condiciones para su prestación sean diferentes </w:t>
      </w:r>
      <w:r w:rsidR="00FD52EE" w:rsidRPr="0052418C">
        <w:rPr>
          <w:rFonts w:ascii="ITC Avant Garde" w:hAnsi="ITC Avant Garde" w:cs="Arial"/>
        </w:rPr>
        <w:t xml:space="preserve">a </w:t>
      </w:r>
      <w:r w:rsidR="007F5A86" w:rsidRPr="0052418C">
        <w:rPr>
          <w:rFonts w:ascii="ITC Avant Garde" w:hAnsi="ITC Avant Garde" w:cs="Arial"/>
        </w:rPr>
        <w:t>lo establecido en la</w:t>
      </w:r>
      <w:r w:rsidR="0032395B" w:rsidRPr="0052418C">
        <w:rPr>
          <w:rFonts w:ascii="ITC Avant Garde" w:hAnsi="ITC Avant Garde" w:cs="Arial"/>
        </w:rPr>
        <w:t xml:space="preserve"> Oferta.</w:t>
      </w:r>
    </w:p>
    <w:p w14:paraId="49DD1BB0" w14:textId="77777777" w:rsidR="002E147B" w:rsidRPr="0052418C" w:rsidRDefault="002E147B" w:rsidP="0052418C">
      <w:pPr>
        <w:spacing w:after="0" w:line="276" w:lineRule="auto"/>
        <w:ind w:left="0" w:right="0" w:firstLine="0"/>
        <w:rPr>
          <w:rFonts w:ascii="ITC Avant Garde" w:hAnsi="ITC Avant Garde" w:cs="Arial"/>
        </w:rPr>
      </w:pPr>
    </w:p>
    <w:p w14:paraId="1AC28982" w14:textId="52EFD276" w:rsidR="00AD1AB3" w:rsidRPr="0052418C" w:rsidRDefault="009E748F" w:rsidP="0052418C">
      <w:pPr>
        <w:spacing w:after="0" w:line="276" w:lineRule="auto"/>
        <w:ind w:left="0" w:right="0" w:firstLine="0"/>
        <w:rPr>
          <w:rFonts w:ascii="ITC Avant Garde" w:hAnsi="ITC Avant Garde"/>
        </w:rPr>
      </w:pPr>
      <w:r w:rsidRPr="0052418C">
        <w:rPr>
          <w:rFonts w:ascii="ITC Avant Garde" w:hAnsi="ITC Avant Garde" w:cs="Arial"/>
        </w:rPr>
        <w:t>C</w:t>
      </w:r>
      <w:r w:rsidR="002E147B" w:rsidRPr="0052418C">
        <w:rPr>
          <w:rFonts w:ascii="ITC Avant Garde" w:hAnsi="ITC Avant Garde" w:cs="Arial"/>
        </w:rPr>
        <w:t xml:space="preserve">on relación a incluir </w:t>
      </w:r>
      <w:r w:rsidR="004D75B1" w:rsidRPr="0052418C">
        <w:rPr>
          <w:rFonts w:ascii="ITC Avant Garde" w:hAnsi="ITC Avant Garde" w:cs="Arial"/>
        </w:rPr>
        <w:t>dentro de la ORE</w:t>
      </w:r>
      <w:r w:rsidR="008400C1" w:rsidRPr="0052418C">
        <w:rPr>
          <w:rFonts w:ascii="ITC Avant Garde" w:hAnsi="ITC Avant Garde" w:cs="Arial"/>
        </w:rPr>
        <w:t xml:space="preserve"> EM</w:t>
      </w:r>
      <w:r w:rsidR="004D75B1" w:rsidRPr="0052418C">
        <w:rPr>
          <w:rFonts w:ascii="ITC Avant Garde" w:hAnsi="ITC Avant Garde" w:cs="Arial"/>
        </w:rPr>
        <w:t xml:space="preserve"> </w:t>
      </w:r>
      <w:r w:rsidR="00B04D40" w:rsidRPr="0052418C">
        <w:rPr>
          <w:rFonts w:ascii="ITC Avant Garde" w:hAnsi="ITC Avant Garde" w:cs="Arial"/>
        </w:rPr>
        <w:t xml:space="preserve">2022 </w:t>
      </w:r>
      <w:r w:rsidR="004D75B1" w:rsidRPr="0052418C">
        <w:rPr>
          <w:rFonts w:ascii="ITC Avant Garde" w:hAnsi="ITC Avant Garde" w:cs="Arial"/>
        </w:rPr>
        <w:t>los parámetros de configuración</w:t>
      </w:r>
      <w:r w:rsidR="00015CE9" w:rsidRPr="0052418C">
        <w:rPr>
          <w:rFonts w:ascii="ITC Avant Garde" w:hAnsi="ITC Avant Garde" w:cs="Arial"/>
        </w:rPr>
        <w:t xml:space="preserve"> </w:t>
      </w:r>
      <w:r w:rsidR="00B04D40" w:rsidRPr="0052418C">
        <w:rPr>
          <w:rFonts w:ascii="ITC Avant Garde" w:hAnsi="ITC Avant Garde"/>
        </w:rPr>
        <w:t>de los enlaces denominadas de altas velocidades Ethernet, a partir de 1 Gbps</w:t>
      </w:r>
      <w:r w:rsidR="00AD1AB3" w:rsidRPr="0052418C">
        <w:rPr>
          <w:rFonts w:ascii="ITC Avant Garde" w:hAnsi="ITC Avant Garde" w:cs="Arial"/>
        </w:rPr>
        <w:t>,</w:t>
      </w:r>
      <w:r w:rsidR="00AD1AB3" w:rsidRPr="0052418C">
        <w:rPr>
          <w:rFonts w:ascii="ITC Avant Garde" w:hAnsi="ITC Avant Garde"/>
        </w:rPr>
        <w:t xml:space="preserve"> los parámetros de calidad para el servicio mayorista de enlaces dedicados se encuentran </w:t>
      </w:r>
      <w:r w:rsidR="00B04D40" w:rsidRPr="0052418C">
        <w:rPr>
          <w:rFonts w:ascii="ITC Avant Garde" w:hAnsi="ITC Avant Garde"/>
        </w:rPr>
        <w:t xml:space="preserve">claramente </w:t>
      </w:r>
      <w:r w:rsidR="00AD1AB3" w:rsidRPr="0052418C">
        <w:rPr>
          <w:rFonts w:ascii="ITC Avant Garde" w:hAnsi="ITC Avant Garde"/>
        </w:rPr>
        <w:t xml:space="preserve">definidos en la </w:t>
      </w:r>
      <w:r w:rsidR="00B04D40" w:rsidRPr="0052418C">
        <w:rPr>
          <w:rFonts w:ascii="ITC Avant Garde" w:hAnsi="ITC Avant Garde"/>
          <w:color w:val="auto"/>
        </w:rPr>
        <w:t>oferta vigente</w:t>
      </w:r>
      <w:r w:rsidR="00AD1AB3" w:rsidRPr="0052418C">
        <w:rPr>
          <w:rFonts w:ascii="ITC Avant Garde" w:hAnsi="ITC Avant Garde"/>
          <w:color w:val="auto"/>
        </w:rPr>
        <w:t>, por lo que se modificó la oferta en el siguiente sentido:</w:t>
      </w:r>
    </w:p>
    <w:p w14:paraId="2B139B0A" w14:textId="77777777" w:rsidR="009821F3" w:rsidRPr="0052418C" w:rsidRDefault="009821F3" w:rsidP="0052418C">
      <w:pPr>
        <w:spacing w:after="0" w:line="276" w:lineRule="auto"/>
        <w:ind w:left="0" w:right="0" w:firstLine="0"/>
        <w:rPr>
          <w:rFonts w:ascii="ITC Avant Garde" w:hAnsi="ITC Avant Garde" w:cs="Arial"/>
          <w:color w:val="auto"/>
        </w:rPr>
      </w:pPr>
    </w:p>
    <w:p w14:paraId="2CA40B56" w14:textId="7A20E885" w:rsidR="002D464D" w:rsidRPr="0052418C" w:rsidRDefault="002022D8" w:rsidP="0052418C">
      <w:pPr>
        <w:autoSpaceDE w:val="0"/>
        <w:autoSpaceDN w:val="0"/>
        <w:spacing w:after="0" w:line="276" w:lineRule="auto"/>
        <w:ind w:left="709" w:right="567" w:firstLine="0"/>
        <w:rPr>
          <w:rFonts w:ascii="ITC Avant Garde" w:hAnsi="ITC Avant Garde" w:cs="Arial"/>
          <w:i/>
          <w:sz w:val="18"/>
          <w:szCs w:val="18"/>
        </w:rPr>
      </w:pPr>
      <w:r w:rsidRPr="0052418C">
        <w:rPr>
          <w:rFonts w:ascii="ITC Avant Garde" w:hAnsi="ITC Avant Garde" w:cs="Arial"/>
          <w:i/>
          <w:sz w:val="18"/>
          <w:szCs w:val="18"/>
        </w:rPr>
        <w:t>“</w:t>
      </w:r>
      <w:r w:rsidR="002D464D" w:rsidRPr="0052418C">
        <w:rPr>
          <w:rFonts w:ascii="ITC Avant Garde" w:hAnsi="ITC Avant Garde" w:cs="Arial"/>
          <w:b/>
          <w:i/>
          <w:sz w:val="18"/>
          <w:szCs w:val="18"/>
        </w:rPr>
        <w:t>2.6.5</w:t>
      </w:r>
      <w:r w:rsidR="002D464D" w:rsidRPr="0052418C">
        <w:rPr>
          <w:rFonts w:ascii="ITC Avant Garde" w:hAnsi="ITC Avant Garde" w:cs="Arial"/>
          <w:i/>
          <w:sz w:val="18"/>
          <w:szCs w:val="18"/>
        </w:rPr>
        <w:t xml:space="preserve"> Red Nacional garantizará el cumplimiento anual de los siguientes parámetros de calidad para cada uno de los Enlaces Dedicados locales:</w:t>
      </w:r>
    </w:p>
    <w:p w14:paraId="2C53B6C3" w14:textId="77777777" w:rsidR="002D464D" w:rsidRPr="0052418C" w:rsidRDefault="002D464D" w:rsidP="0052418C">
      <w:pPr>
        <w:autoSpaceDE w:val="0"/>
        <w:autoSpaceDN w:val="0"/>
        <w:spacing w:after="0" w:line="276" w:lineRule="auto"/>
        <w:ind w:left="709" w:right="567" w:firstLine="0"/>
        <w:rPr>
          <w:rFonts w:ascii="ITC Avant Garde" w:hAnsi="ITC Avant Garde" w:cs="Arial"/>
          <w:i/>
          <w:sz w:val="18"/>
          <w:szCs w:val="18"/>
        </w:rPr>
      </w:pPr>
      <w:r w:rsidRPr="0052418C">
        <w:rPr>
          <w:rFonts w:ascii="ITC Avant Garde" w:hAnsi="ITC Avant Garde" w:cs="Arial"/>
          <w:i/>
          <w:sz w:val="18"/>
          <w:szCs w:val="18"/>
        </w:rPr>
        <w:lastRenderedPageBreak/>
        <w:t> </w:t>
      </w:r>
    </w:p>
    <w:p w14:paraId="22972C7C" w14:textId="77777777" w:rsidR="002D464D" w:rsidRPr="0052418C" w:rsidRDefault="002D464D" w:rsidP="0052418C">
      <w:pPr>
        <w:pStyle w:val="Prrafodelista"/>
        <w:numPr>
          <w:ilvl w:val="0"/>
          <w:numId w:val="84"/>
        </w:numPr>
        <w:autoSpaceDE w:val="0"/>
        <w:autoSpaceDN w:val="0"/>
        <w:spacing w:after="0" w:line="276" w:lineRule="auto"/>
        <w:ind w:left="709" w:right="567" w:firstLine="0"/>
        <w:contextualSpacing w:val="0"/>
        <w:rPr>
          <w:rFonts w:ascii="ITC Avant Garde" w:hAnsi="ITC Avant Garde" w:cs="Arial"/>
          <w:i/>
          <w:sz w:val="18"/>
          <w:szCs w:val="18"/>
        </w:rPr>
      </w:pPr>
      <w:r w:rsidRPr="0052418C">
        <w:rPr>
          <w:rFonts w:ascii="ITC Avant Garde" w:hAnsi="ITC Avant Garde" w:cs="Arial"/>
          <w:i/>
          <w:sz w:val="18"/>
          <w:szCs w:val="18"/>
        </w:rPr>
        <w:t>Disponibilidad del Enlace Dedicado sin redundancia: 99.</w:t>
      </w:r>
      <w:r w:rsidRPr="0052418C">
        <w:rPr>
          <w:rFonts w:ascii="ITC Avant Garde" w:hAnsi="ITC Avant Garde" w:cs="Arial"/>
          <w:i/>
          <w:color w:val="000000" w:themeColor="text1"/>
          <w:sz w:val="18"/>
          <w:szCs w:val="18"/>
        </w:rPr>
        <w:t>83</w:t>
      </w:r>
      <w:r w:rsidRPr="0052418C">
        <w:rPr>
          <w:rFonts w:ascii="ITC Avant Garde" w:hAnsi="ITC Avant Garde" w:cs="Arial"/>
          <w:i/>
          <w:sz w:val="18"/>
          <w:szCs w:val="18"/>
        </w:rPr>
        <w:t xml:space="preserve">% (noventa y nueve punto </w:t>
      </w:r>
      <w:r w:rsidRPr="0052418C">
        <w:rPr>
          <w:rFonts w:ascii="ITC Avant Garde" w:hAnsi="ITC Avant Garde" w:cs="Arial"/>
          <w:i/>
          <w:color w:val="000000" w:themeColor="text1"/>
          <w:sz w:val="18"/>
          <w:szCs w:val="18"/>
        </w:rPr>
        <w:t>ochenta y tres</w:t>
      </w:r>
      <w:r w:rsidRPr="0052418C">
        <w:rPr>
          <w:rFonts w:ascii="ITC Avant Garde" w:hAnsi="ITC Avant Garde" w:cs="Arial"/>
          <w:i/>
          <w:sz w:val="18"/>
          <w:szCs w:val="18"/>
        </w:rPr>
        <w:t xml:space="preserve"> por ciento).</w:t>
      </w:r>
    </w:p>
    <w:p w14:paraId="1C925C21" w14:textId="77777777" w:rsidR="002D464D" w:rsidRPr="0052418C" w:rsidRDefault="002D464D" w:rsidP="0052418C">
      <w:pPr>
        <w:autoSpaceDE w:val="0"/>
        <w:autoSpaceDN w:val="0"/>
        <w:spacing w:after="0" w:line="276" w:lineRule="auto"/>
        <w:ind w:left="709" w:right="567" w:firstLine="0"/>
        <w:rPr>
          <w:rFonts w:ascii="ITC Avant Garde" w:hAnsi="ITC Avant Garde" w:cs="Arial"/>
          <w:i/>
          <w:sz w:val="18"/>
          <w:szCs w:val="18"/>
        </w:rPr>
      </w:pPr>
      <w:r w:rsidRPr="0052418C">
        <w:rPr>
          <w:rFonts w:ascii="ITC Avant Garde" w:hAnsi="ITC Avant Garde" w:cs="Arial"/>
          <w:i/>
          <w:sz w:val="18"/>
          <w:szCs w:val="18"/>
        </w:rPr>
        <w:t> </w:t>
      </w:r>
    </w:p>
    <w:p w14:paraId="35E5119D" w14:textId="77777777" w:rsidR="002D464D" w:rsidRPr="0052418C" w:rsidRDefault="002D464D" w:rsidP="0052418C">
      <w:pPr>
        <w:pStyle w:val="Prrafodelista"/>
        <w:numPr>
          <w:ilvl w:val="0"/>
          <w:numId w:val="84"/>
        </w:numPr>
        <w:autoSpaceDE w:val="0"/>
        <w:autoSpaceDN w:val="0"/>
        <w:spacing w:after="0" w:line="276" w:lineRule="auto"/>
        <w:ind w:left="709" w:right="567" w:firstLine="0"/>
        <w:contextualSpacing w:val="0"/>
        <w:rPr>
          <w:rFonts w:ascii="ITC Avant Garde" w:hAnsi="ITC Avant Garde" w:cs="Arial"/>
          <w:i/>
          <w:sz w:val="18"/>
          <w:szCs w:val="18"/>
        </w:rPr>
      </w:pPr>
      <w:r w:rsidRPr="0052418C">
        <w:rPr>
          <w:rFonts w:ascii="ITC Avant Garde" w:hAnsi="ITC Avant Garde" w:cs="Arial"/>
          <w:i/>
          <w:sz w:val="18"/>
          <w:szCs w:val="18"/>
        </w:rPr>
        <w:t>Disponibilidad del Enlace Dedicado con redundancia: 99.</w:t>
      </w:r>
      <w:r w:rsidRPr="0052418C">
        <w:rPr>
          <w:rFonts w:ascii="ITC Avant Garde" w:hAnsi="ITC Avant Garde" w:cs="Arial"/>
          <w:i/>
          <w:color w:val="000000" w:themeColor="text1"/>
          <w:sz w:val="18"/>
          <w:szCs w:val="18"/>
        </w:rPr>
        <w:t>905</w:t>
      </w:r>
      <w:r w:rsidRPr="0052418C">
        <w:rPr>
          <w:rFonts w:ascii="ITC Avant Garde" w:hAnsi="ITC Avant Garde" w:cs="Arial"/>
          <w:i/>
          <w:sz w:val="18"/>
          <w:szCs w:val="18"/>
        </w:rPr>
        <w:t xml:space="preserve">% (noventa y nueve punto </w:t>
      </w:r>
      <w:r w:rsidRPr="0052418C">
        <w:rPr>
          <w:rFonts w:ascii="ITC Avant Garde" w:hAnsi="ITC Avant Garde" w:cs="Arial"/>
          <w:i/>
          <w:color w:val="000000" w:themeColor="text1"/>
          <w:sz w:val="18"/>
          <w:szCs w:val="18"/>
        </w:rPr>
        <w:t>novecientos cinco</w:t>
      </w:r>
      <w:r w:rsidRPr="0052418C">
        <w:rPr>
          <w:rFonts w:ascii="ITC Avant Garde" w:hAnsi="ITC Avant Garde" w:cs="Arial"/>
          <w:i/>
          <w:sz w:val="18"/>
          <w:szCs w:val="18"/>
        </w:rPr>
        <w:t xml:space="preserve"> por ciento).</w:t>
      </w:r>
    </w:p>
    <w:p w14:paraId="2FE193A5" w14:textId="77777777" w:rsidR="002D464D" w:rsidRPr="0052418C" w:rsidRDefault="002D464D" w:rsidP="0052418C">
      <w:pPr>
        <w:autoSpaceDE w:val="0"/>
        <w:autoSpaceDN w:val="0"/>
        <w:spacing w:after="0" w:line="276" w:lineRule="auto"/>
        <w:ind w:left="709" w:right="567" w:firstLine="0"/>
        <w:rPr>
          <w:rFonts w:ascii="ITC Avant Garde" w:hAnsi="ITC Avant Garde" w:cs="Arial"/>
          <w:i/>
          <w:sz w:val="18"/>
          <w:szCs w:val="18"/>
        </w:rPr>
      </w:pPr>
    </w:p>
    <w:p w14:paraId="7BE9F216" w14:textId="1628071F" w:rsidR="002D464D" w:rsidRPr="0052418C" w:rsidRDefault="002D464D" w:rsidP="0052418C">
      <w:pPr>
        <w:autoSpaceDE w:val="0"/>
        <w:autoSpaceDN w:val="0"/>
        <w:spacing w:after="0" w:line="276" w:lineRule="auto"/>
        <w:ind w:left="709" w:right="567" w:firstLine="0"/>
        <w:rPr>
          <w:rFonts w:ascii="ITC Avant Garde" w:hAnsi="ITC Avant Garde" w:cs="Arial"/>
          <w:i/>
          <w:sz w:val="18"/>
          <w:szCs w:val="18"/>
        </w:rPr>
      </w:pPr>
      <w:r w:rsidRPr="0052418C">
        <w:rPr>
          <w:rFonts w:ascii="ITC Avant Garde" w:hAnsi="ITC Avant Garde" w:cs="Arial"/>
          <w:i/>
          <w:sz w:val="18"/>
          <w:szCs w:val="18"/>
        </w:rPr>
        <w:t>Red Nacional garantizará el cumplimiento anual de los siguientes parámetros de calidad para cada uno de los Enlaces Dedicados de interconexión:</w:t>
      </w:r>
    </w:p>
    <w:p w14:paraId="58F92B54" w14:textId="77777777" w:rsidR="002D464D" w:rsidRPr="0052418C" w:rsidRDefault="002D464D" w:rsidP="0052418C">
      <w:pPr>
        <w:autoSpaceDE w:val="0"/>
        <w:autoSpaceDN w:val="0"/>
        <w:spacing w:after="0" w:line="276" w:lineRule="auto"/>
        <w:ind w:left="709" w:right="567" w:firstLine="0"/>
        <w:rPr>
          <w:rFonts w:ascii="ITC Avant Garde" w:hAnsi="ITC Avant Garde" w:cs="Arial"/>
          <w:i/>
          <w:sz w:val="18"/>
          <w:szCs w:val="18"/>
        </w:rPr>
      </w:pPr>
    </w:p>
    <w:p w14:paraId="6A0020BC" w14:textId="77777777" w:rsidR="002D464D" w:rsidRPr="0052418C" w:rsidRDefault="002D464D" w:rsidP="0052418C">
      <w:pPr>
        <w:pStyle w:val="Prrafodelista"/>
        <w:numPr>
          <w:ilvl w:val="0"/>
          <w:numId w:val="85"/>
        </w:numPr>
        <w:autoSpaceDE w:val="0"/>
        <w:autoSpaceDN w:val="0"/>
        <w:adjustRightInd w:val="0"/>
        <w:spacing w:after="0" w:line="276" w:lineRule="auto"/>
        <w:ind w:left="709" w:right="567" w:firstLine="0"/>
        <w:rPr>
          <w:rFonts w:ascii="ITC Avant Garde" w:hAnsi="ITC Avant Garde" w:cs="Arial"/>
          <w:i/>
          <w:sz w:val="18"/>
          <w:szCs w:val="18"/>
        </w:rPr>
      </w:pPr>
      <w:r w:rsidRPr="0052418C">
        <w:rPr>
          <w:rFonts w:ascii="ITC Avant Garde" w:hAnsi="ITC Avant Garde" w:cs="Arial"/>
          <w:i/>
          <w:sz w:val="18"/>
          <w:szCs w:val="18"/>
        </w:rPr>
        <w:t>Con redundancia 99.92% (noventa y nueve punto noventa y dos por ciento).</w:t>
      </w:r>
    </w:p>
    <w:p w14:paraId="21F4C9BB" w14:textId="77777777" w:rsidR="002D464D" w:rsidRPr="00153D26" w:rsidRDefault="002D464D" w:rsidP="0052418C">
      <w:pPr>
        <w:pStyle w:val="Prrafodelista"/>
        <w:numPr>
          <w:ilvl w:val="0"/>
          <w:numId w:val="85"/>
        </w:numPr>
        <w:autoSpaceDE w:val="0"/>
        <w:autoSpaceDN w:val="0"/>
        <w:adjustRightInd w:val="0"/>
        <w:spacing w:after="0" w:line="276" w:lineRule="auto"/>
        <w:ind w:left="709" w:right="567" w:firstLine="0"/>
        <w:rPr>
          <w:rFonts w:ascii="ITC Avant Garde" w:hAnsi="ITC Avant Garde" w:cs="Arial"/>
          <w:i/>
          <w:sz w:val="18"/>
          <w:szCs w:val="18"/>
        </w:rPr>
      </w:pPr>
      <w:r w:rsidRPr="00153D26">
        <w:rPr>
          <w:rFonts w:ascii="ITC Avant Garde" w:hAnsi="ITC Avant Garde" w:cs="Arial"/>
          <w:i/>
          <w:sz w:val="18"/>
          <w:szCs w:val="18"/>
        </w:rPr>
        <w:t>Con redundancia 99.9595% (noventa y nueve punto nueve mil quinientos noventa y cinco por ciento).</w:t>
      </w:r>
    </w:p>
    <w:p w14:paraId="0B2D3E57" w14:textId="77777777" w:rsidR="009821F3" w:rsidRPr="00153D26" w:rsidRDefault="002022D8" w:rsidP="0052418C">
      <w:pPr>
        <w:autoSpaceDE w:val="0"/>
        <w:autoSpaceDN w:val="0"/>
        <w:spacing w:after="0" w:line="276" w:lineRule="auto"/>
        <w:ind w:left="709" w:right="567" w:firstLine="0"/>
        <w:rPr>
          <w:rFonts w:ascii="ITC Avant Garde" w:eastAsia="Calibri" w:hAnsi="ITC Avant Garde" w:cs="Arial"/>
          <w:i/>
          <w:color w:val="auto"/>
          <w:sz w:val="18"/>
          <w:szCs w:val="18"/>
          <w:u w:val="single"/>
          <w:lang w:eastAsia="en-US"/>
        </w:rPr>
      </w:pPr>
      <w:r w:rsidRPr="00153D26" w:rsidDel="002022D8">
        <w:rPr>
          <w:rFonts w:ascii="ITC Avant Garde" w:eastAsia="Calibri" w:hAnsi="ITC Avant Garde" w:cs="Arial"/>
          <w:i/>
          <w:color w:val="auto"/>
          <w:sz w:val="18"/>
          <w:szCs w:val="18"/>
          <w:lang w:eastAsia="en-US"/>
        </w:rPr>
        <w:t xml:space="preserve"> </w:t>
      </w:r>
    </w:p>
    <w:p w14:paraId="61BD4EFE" w14:textId="77777777" w:rsidR="009821F3" w:rsidRPr="00153D26" w:rsidRDefault="009821F3" w:rsidP="0052418C">
      <w:pPr>
        <w:spacing w:after="0" w:line="276" w:lineRule="auto"/>
        <w:ind w:left="709" w:right="567" w:firstLine="0"/>
        <w:rPr>
          <w:rFonts w:ascii="ITC Avant Garde" w:eastAsia="Calibri" w:hAnsi="ITC Avant Garde" w:cs="Arial"/>
          <w:i/>
          <w:color w:val="auto"/>
          <w:sz w:val="18"/>
          <w:szCs w:val="18"/>
          <w:lang w:eastAsia="en-US"/>
        </w:rPr>
      </w:pPr>
      <w:r w:rsidRPr="00153D26">
        <w:rPr>
          <w:rFonts w:ascii="ITC Avant Garde" w:eastAsia="Calibri" w:hAnsi="ITC Avant Garde" w:cs="Arial"/>
          <w:i/>
          <w:color w:val="auto"/>
          <w:sz w:val="18"/>
          <w:szCs w:val="18"/>
          <w:lang w:eastAsia="en-US"/>
        </w:rPr>
        <w:t>(…)”</w:t>
      </w:r>
    </w:p>
    <w:p w14:paraId="368C59BD" w14:textId="77777777" w:rsidR="009821F3" w:rsidRPr="00153D26" w:rsidRDefault="009821F3" w:rsidP="0052418C">
      <w:pPr>
        <w:spacing w:after="0" w:line="276" w:lineRule="auto"/>
        <w:ind w:left="0" w:right="0" w:firstLine="0"/>
        <w:rPr>
          <w:rFonts w:ascii="ITC Avant Garde" w:eastAsia="Calibri" w:hAnsi="ITC Avant Garde" w:cs="Arial"/>
          <w:i/>
          <w:color w:val="auto"/>
          <w:sz w:val="18"/>
          <w:szCs w:val="18"/>
          <w:u w:val="single"/>
          <w:lang w:eastAsia="en-US"/>
        </w:rPr>
      </w:pPr>
    </w:p>
    <w:p w14:paraId="415B7DFA" w14:textId="412BFE86" w:rsidR="00DA60CB" w:rsidRPr="0052418C" w:rsidRDefault="00C33E2B" w:rsidP="0052418C">
      <w:pPr>
        <w:pStyle w:val="IFTnormal"/>
        <w:spacing w:after="0"/>
        <w:ind w:left="0"/>
        <w:rPr>
          <w:rFonts w:eastAsiaTheme="majorEastAsia" w:cs="Arial"/>
          <w:b/>
          <w:u w:val="single"/>
          <w:lang w:val="es-ES_tradnl"/>
        </w:rPr>
      </w:pPr>
      <w:r w:rsidRPr="0052418C">
        <w:rPr>
          <w:rFonts w:eastAsiaTheme="majorEastAsia" w:cs="Arial"/>
          <w:b/>
          <w:u w:val="single"/>
          <w:lang w:val="es-ES_tradnl"/>
        </w:rPr>
        <w:t>2.7 P</w:t>
      </w:r>
      <w:r w:rsidR="00E466CC" w:rsidRPr="0052418C">
        <w:rPr>
          <w:rFonts w:eastAsiaTheme="majorEastAsia" w:cs="Arial"/>
          <w:b/>
          <w:u w:val="single"/>
          <w:lang w:val="es-ES_tradnl"/>
        </w:rPr>
        <w:t>enalizaciones</w:t>
      </w:r>
      <w:r w:rsidRPr="0052418C">
        <w:rPr>
          <w:rFonts w:eastAsiaTheme="majorEastAsia" w:cs="Arial"/>
          <w:b/>
          <w:u w:val="single"/>
          <w:lang w:val="es-ES_tradnl"/>
        </w:rPr>
        <w:t>.</w:t>
      </w:r>
    </w:p>
    <w:p w14:paraId="6DFCC33F" w14:textId="0B2B42C4" w:rsidR="00062695" w:rsidRPr="0052418C" w:rsidRDefault="00062695" w:rsidP="0052418C">
      <w:pPr>
        <w:pStyle w:val="IFTnormal"/>
        <w:spacing w:after="0"/>
        <w:ind w:left="0"/>
        <w:rPr>
          <w:rFonts w:eastAsiaTheme="majorEastAsia" w:cs="Arial"/>
          <w:b/>
          <w:u w:val="single"/>
          <w:lang w:val="es-ES_tradnl"/>
        </w:rPr>
      </w:pPr>
      <w:r w:rsidRPr="0052418C">
        <w:rPr>
          <w:rFonts w:eastAsiaTheme="majorEastAsia" w:cs="Arial"/>
          <w:b/>
          <w:u w:val="single"/>
          <w:lang w:val="es-ES_tradnl"/>
        </w:rPr>
        <w:t>2.7.1</w:t>
      </w:r>
      <w:r w:rsidR="00B40E57" w:rsidRPr="0052418C">
        <w:rPr>
          <w:rFonts w:eastAsiaTheme="majorEastAsia" w:cs="Arial"/>
          <w:b/>
          <w:u w:val="single"/>
          <w:lang w:val="es-ES_tradnl"/>
        </w:rPr>
        <w:t>.</w:t>
      </w:r>
    </w:p>
    <w:p w14:paraId="47E50EB8" w14:textId="2A9318E6" w:rsidR="0027746F" w:rsidRPr="0052418C" w:rsidRDefault="0027746F"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AXTEL</w:t>
      </w:r>
      <w:r w:rsidR="008400C1" w:rsidRPr="0052418C">
        <w:rPr>
          <w:rFonts w:ascii="ITC Avant Garde" w:hAnsi="ITC Avant Garde" w:cs="Arial"/>
          <w:b/>
          <w:color w:val="auto"/>
        </w:rPr>
        <w:t>:</w:t>
      </w:r>
    </w:p>
    <w:p w14:paraId="5B198B3D" w14:textId="771E9A5F" w:rsidR="0030737F" w:rsidRPr="0052418C" w:rsidRDefault="0030737F"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Solicit</w:t>
      </w:r>
      <w:r w:rsidR="00123DFA" w:rsidRPr="0052418C">
        <w:rPr>
          <w:rFonts w:ascii="ITC Avant Garde" w:hAnsi="ITC Avant Garde" w:cs="Arial"/>
          <w:color w:val="auto"/>
        </w:rPr>
        <w:t>ó</w:t>
      </w:r>
      <w:r w:rsidRPr="0052418C">
        <w:rPr>
          <w:rFonts w:ascii="ITC Avant Garde" w:hAnsi="ITC Avant Garde" w:cs="Arial"/>
          <w:color w:val="auto"/>
        </w:rPr>
        <w:t xml:space="preserve"> al </w:t>
      </w:r>
      <w:r w:rsidR="00174557" w:rsidRPr="0052418C">
        <w:rPr>
          <w:rFonts w:ascii="ITC Avant Garde" w:hAnsi="ITC Avant Garde" w:cs="Arial"/>
          <w:color w:val="auto"/>
        </w:rPr>
        <w:t xml:space="preserve">Instituto </w:t>
      </w:r>
      <w:r w:rsidRPr="0052418C">
        <w:rPr>
          <w:rFonts w:ascii="ITC Avant Garde" w:hAnsi="ITC Avant Garde" w:cs="Arial"/>
          <w:color w:val="auto"/>
        </w:rPr>
        <w:t xml:space="preserve">desestimar la penalización propuesta en </w:t>
      </w:r>
      <w:r w:rsidR="00B93321">
        <w:rPr>
          <w:rFonts w:ascii="ITC Avant Garde" w:hAnsi="ITC Avant Garde" w:cs="Arial"/>
          <w:color w:val="auto"/>
        </w:rPr>
        <w:t>la</w:t>
      </w:r>
      <w:r w:rsidRPr="0052418C">
        <w:rPr>
          <w:rFonts w:ascii="ITC Avant Garde" w:hAnsi="ITC Avant Garde" w:cs="Arial"/>
          <w:color w:val="auto"/>
        </w:rPr>
        <w:t xml:space="preserve"> Oferta de </w:t>
      </w:r>
      <w:r w:rsidR="00373799" w:rsidRPr="0052418C">
        <w:rPr>
          <w:rFonts w:ascii="ITC Avant Garde" w:hAnsi="ITC Avant Garde" w:cs="Arial"/>
          <w:color w:val="auto"/>
        </w:rPr>
        <w:t xml:space="preserve">Referencia </w:t>
      </w:r>
      <w:r w:rsidRPr="0052418C">
        <w:rPr>
          <w:rFonts w:ascii="ITC Avant Garde" w:hAnsi="ITC Avant Garde" w:cs="Arial"/>
          <w:color w:val="auto"/>
        </w:rPr>
        <w:t xml:space="preserve">en caso de retrasos en la entrega del servicio </w:t>
      </w:r>
      <w:r w:rsidR="00123DFA" w:rsidRPr="0052418C">
        <w:rPr>
          <w:rFonts w:ascii="ITC Avant Garde" w:hAnsi="ITC Avant Garde" w:cs="Arial"/>
          <w:color w:val="auto"/>
        </w:rPr>
        <w:t>por</w:t>
      </w:r>
      <w:r w:rsidRPr="0052418C">
        <w:rPr>
          <w:rFonts w:ascii="ITC Avant Garde" w:hAnsi="ITC Avant Garde" w:cs="Arial"/>
          <w:color w:val="auto"/>
        </w:rPr>
        <w:t xml:space="preserve"> representar una reducción del monto de penalización por entrega tardía definida en el numeral 2.7.1 de la Oferta </w:t>
      </w:r>
      <w:r w:rsidR="00B670E4" w:rsidRPr="0052418C">
        <w:rPr>
          <w:rFonts w:ascii="ITC Avant Garde" w:hAnsi="ITC Avant Garde" w:cs="Arial"/>
          <w:color w:val="auto"/>
        </w:rPr>
        <w:t>vigente</w:t>
      </w:r>
      <w:r w:rsidR="0099109B" w:rsidRPr="0052418C">
        <w:rPr>
          <w:rFonts w:ascii="ITC Avant Garde" w:hAnsi="ITC Avant Garde" w:cs="Arial"/>
          <w:color w:val="auto"/>
        </w:rPr>
        <w:t>.</w:t>
      </w:r>
    </w:p>
    <w:p w14:paraId="7DFF8649" w14:textId="77777777" w:rsidR="0030737F" w:rsidRPr="0052418C" w:rsidRDefault="0030737F" w:rsidP="0052418C">
      <w:pPr>
        <w:spacing w:after="0" w:line="276" w:lineRule="auto"/>
        <w:ind w:left="0" w:right="0" w:firstLine="0"/>
        <w:rPr>
          <w:rFonts w:ascii="ITC Avant Garde" w:hAnsi="ITC Avant Garde" w:cs="Arial"/>
          <w:color w:val="auto"/>
        </w:rPr>
      </w:pPr>
    </w:p>
    <w:p w14:paraId="2F601186" w14:textId="0FA2445F" w:rsidR="002E0F60" w:rsidRPr="0052418C" w:rsidRDefault="00D51225"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Asimismo, s</w:t>
      </w:r>
      <w:r w:rsidR="0030737F" w:rsidRPr="0052418C">
        <w:rPr>
          <w:rFonts w:ascii="ITC Avant Garde" w:hAnsi="ITC Avant Garde" w:cs="Arial"/>
          <w:color w:val="auto"/>
        </w:rPr>
        <w:t>olicit</w:t>
      </w:r>
      <w:r w:rsidRPr="0052418C">
        <w:rPr>
          <w:rFonts w:ascii="ITC Avant Garde" w:hAnsi="ITC Avant Garde" w:cs="Arial"/>
          <w:color w:val="auto"/>
        </w:rPr>
        <w:t>ó</w:t>
      </w:r>
      <w:r w:rsidR="0030737F" w:rsidRPr="0052418C">
        <w:rPr>
          <w:rFonts w:ascii="ITC Avant Garde" w:hAnsi="ITC Avant Garde" w:cs="Arial"/>
          <w:color w:val="auto"/>
        </w:rPr>
        <w:t xml:space="preserve"> al </w:t>
      </w:r>
      <w:r w:rsidR="00356A5E" w:rsidRPr="0052418C">
        <w:rPr>
          <w:rFonts w:ascii="ITC Avant Garde" w:hAnsi="ITC Avant Garde" w:cs="Arial"/>
          <w:color w:val="auto"/>
        </w:rPr>
        <w:t xml:space="preserve">Instituto </w:t>
      </w:r>
      <w:r w:rsidR="002E0F60" w:rsidRPr="0052418C">
        <w:rPr>
          <w:rFonts w:ascii="ITC Avant Garde" w:hAnsi="ITC Avant Garde" w:cs="Arial"/>
          <w:color w:val="auto"/>
        </w:rPr>
        <w:t xml:space="preserve">rechazar las modificaciones propuestas y </w:t>
      </w:r>
      <w:r w:rsidR="0030737F" w:rsidRPr="0052418C">
        <w:rPr>
          <w:rFonts w:ascii="ITC Avant Garde" w:hAnsi="ITC Avant Garde" w:cs="Arial"/>
          <w:color w:val="auto"/>
        </w:rPr>
        <w:t>aumentar los montos de penalización aplicables como medida de control y transparencia del servicio prestad</w:t>
      </w:r>
      <w:r w:rsidR="002E0F60" w:rsidRPr="0052418C">
        <w:rPr>
          <w:rFonts w:ascii="ITC Avant Garde" w:hAnsi="ITC Avant Garde" w:cs="Arial"/>
          <w:color w:val="auto"/>
        </w:rPr>
        <w:t>o y como un disuasivo del incumplimiento.</w:t>
      </w:r>
    </w:p>
    <w:p w14:paraId="3EF87CC6" w14:textId="60E76478" w:rsidR="00034323" w:rsidRPr="0052418C" w:rsidRDefault="00034323" w:rsidP="0052418C">
      <w:pPr>
        <w:spacing w:after="0" w:line="276" w:lineRule="auto"/>
        <w:ind w:left="0" w:right="0" w:firstLine="0"/>
        <w:rPr>
          <w:rFonts w:ascii="ITC Avant Garde" w:hAnsi="ITC Avant Garde" w:cs="Arial"/>
          <w:color w:val="auto"/>
        </w:rPr>
      </w:pPr>
    </w:p>
    <w:p w14:paraId="76F4DC9C" w14:textId="77777777" w:rsidR="003112CE" w:rsidRPr="0052418C" w:rsidRDefault="003112CE" w:rsidP="0052418C">
      <w:pPr>
        <w:spacing w:after="0" w:line="276" w:lineRule="auto"/>
        <w:ind w:left="0" w:right="0" w:firstLine="0"/>
        <w:rPr>
          <w:rFonts w:ascii="ITC Avant Garde" w:eastAsia="Times New Roman" w:hAnsi="ITC Avant Garde" w:cs="Arial"/>
          <w:b/>
          <w:color w:val="auto"/>
        </w:rPr>
      </w:pPr>
      <w:r w:rsidRPr="0052418C">
        <w:rPr>
          <w:rFonts w:ascii="ITC Avant Garde" w:eastAsia="Times New Roman" w:hAnsi="ITC Avant Garde" w:cs="Arial"/>
          <w:b/>
          <w:color w:val="auto"/>
        </w:rPr>
        <w:t>MEGA CABLE:</w:t>
      </w:r>
    </w:p>
    <w:p w14:paraId="28064263" w14:textId="424BDCF6" w:rsidR="003112CE" w:rsidRPr="0052418C" w:rsidRDefault="003112CE"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Señal</w:t>
      </w:r>
      <w:r w:rsidR="004D6F7E">
        <w:rPr>
          <w:rFonts w:ascii="ITC Avant Garde" w:hAnsi="ITC Avant Garde" w:cs="Arial"/>
          <w:color w:val="auto"/>
        </w:rPr>
        <w:t>ó</w:t>
      </w:r>
      <w:r w:rsidRPr="0052418C">
        <w:rPr>
          <w:rFonts w:ascii="ITC Avant Garde" w:hAnsi="ITC Avant Garde" w:cs="Arial"/>
          <w:color w:val="auto"/>
        </w:rPr>
        <w:t xml:space="preserve"> que la </w:t>
      </w:r>
      <w:r w:rsidR="008E4F15" w:rsidRPr="0052418C">
        <w:rPr>
          <w:rFonts w:ascii="ITC Avant Garde" w:hAnsi="ITC Avant Garde"/>
          <w:color w:val="auto"/>
        </w:rPr>
        <w:t>Propuesta de Oferta</w:t>
      </w:r>
      <w:r w:rsidR="008E4F15" w:rsidRPr="0052418C" w:rsidDel="008E4F15">
        <w:rPr>
          <w:rFonts w:ascii="ITC Avant Garde" w:hAnsi="ITC Avant Garde" w:cs="Arial"/>
          <w:color w:val="auto"/>
        </w:rPr>
        <w:t xml:space="preserve"> </w:t>
      </w:r>
      <w:r w:rsidRPr="0052418C">
        <w:rPr>
          <w:rFonts w:ascii="ITC Avant Garde" w:hAnsi="ITC Avant Garde" w:cs="Arial"/>
          <w:color w:val="auto"/>
        </w:rPr>
        <w:t>contemplo esquemas de penalizaciones por incumplimiento de parámetros de calidad tanto por retraso en entrega de servicios como disponibilidad de servicio de enlaces menores a los autorizados en la ORE 2021.</w:t>
      </w:r>
    </w:p>
    <w:p w14:paraId="52AB122A" w14:textId="07E4AE47" w:rsidR="003112CE" w:rsidRPr="0052418C" w:rsidRDefault="003112CE" w:rsidP="0052418C">
      <w:pPr>
        <w:spacing w:after="0" w:line="276" w:lineRule="auto"/>
        <w:ind w:left="0" w:right="0" w:firstLine="0"/>
        <w:rPr>
          <w:rFonts w:ascii="ITC Avant Garde" w:hAnsi="ITC Avant Garde" w:cs="Arial"/>
          <w:color w:val="auto"/>
        </w:rPr>
      </w:pPr>
    </w:p>
    <w:p w14:paraId="6AFE852D" w14:textId="0652879D" w:rsidR="003112CE" w:rsidRPr="0052418C" w:rsidRDefault="003112CE"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Mega Cable señaló que deberá mantenerse lo establecido en la ORE vigente. Así mismo, se requieren penalizaciones que sean </w:t>
      </w:r>
      <w:r w:rsidR="00373799" w:rsidRPr="0052418C">
        <w:rPr>
          <w:rFonts w:ascii="ITC Avant Garde" w:hAnsi="ITC Avant Garde" w:cs="Arial"/>
          <w:color w:val="auto"/>
        </w:rPr>
        <w:t>más</w:t>
      </w:r>
      <w:r w:rsidRPr="0052418C">
        <w:rPr>
          <w:rFonts w:ascii="ITC Avant Garde" w:hAnsi="ITC Avant Garde" w:cs="Arial"/>
          <w:color w:val="auto"/>
        </w:rPr>
        <w:t xml:space="preserve"> efectivas para disuadir a </w:t>
      </w:r>
      <w:r w:rsidR="00EF0921" w:rsidRPr="0052418C">
        <w:rPr>
          <w:rFonts w:ascii="ITC Avant Garde" w:hAnsi="ITC Avant Garde" w:cs="Arial"/>
        </w:rPr>
        <w:t>Red Nacional</w:t>
      </w:r>
      <w:r w:rsidR="00EF0921" w:rsidRPr="0052418C">
        <w:rPr>
          <w:rFonts w:ascii="ITC Avant Garde" w:hAnsi="ITC Avant Garde"/>
          <w:bCs/>
          <w:color w:val="auto"/>
        </w:rPr>
        <w:t xml:space="preserve"> </w:t>
      </w:r>
      <w:r w:rsidRPr="0052418C">
        <w:rPr>
          <w:rFonts w:ascii="ITC Avant Garde" w:hAnsi="ITC Avant Garde" w:cs="Arial"/>
          <w:color w:val="auto"/>
        </w:rPr>
        <w:t xml:space="preserve">a incumplir con los plazos de entrega y de disponibilidad de servicio, además de que los procedimientos </w:t>
      </w:r>
      <w:r w:rsidR="00527F4E" w:rsidRPr="0052418C">
        <w:rPr>
          <w:rFonts w:ascii="ITC Avant Garde" w:hAnsi="ITC Avant Garde" w:cs="Arial"/>
          <w:color w:val="auto"/>
        </w:rPr>
        <w:t xml:space="preserve">para dirimir, conciliar y hacer cumplir la liquidación de penalizaciones son complejos y tardados para los CS o AS. De igual forma </w:t>
      </w:r>
      <w:r w:rsidR="00706858">
        <w:rPr>
          <w:rFonts w:ascii="ITC Avant Garde" w:hAnsi="ITC Avant Garde" w:cs="Arial"/>
          <w:color w:val="auto"/>
        </w:rPr>
        <w:t xml:space="preserve">manifestó que </w:t>
      </w:r>
      <w:r w:rsidR="00527F4E" w:rsidRPr="0052418C">
        <w:rPr>
          <w:rFonts w:ascii="ITC Avant Garde" w:hAnsi="ITC Avant Garde" w:cs="Arial"/>
          <w:color w:val="auto"/>
        </w:rPr>
        <w:t xml:space="preserve">el Instituto deberá de contar con atribuciones para monitorear mediante el SEG/SIPO el estatus de estos procedimientos e intervenir en el evento de que </w:t>
      </w:r>
      <w:r w:rsidR="00EF0921" w:rsidRPr="0052418C">
        <w:rPr>
          <w:rFonts w:ascii="ITC Avant Garde" w:hAnsi="ITC Avant Garde" w:cs="Arial"/>
          <w:color w:val="auto"/>
        </w:rPr>
        <w:t xml:space="preserve">Red Nacional </w:t>
      </w:r>
      <w:r w:rsidR="00527F4E" w:rsidRPr="0052418C">
        <w:rPr>
          <w:rFonts w:ascii="ITC Avant Garde" w:hAnsi="ITC Avant Garde" w:cs="Arial"/>
          <w:color w:val="auto"/>
        </w:rPr>
        <w:t>se niegue</w:t>
      </w:r>
      <w:r w:rsidR="00EF0921" w:rsidRPr="0052418C">
        <w:rPr>
          <w:rFonts w:ascii="ITC Avant Garde" w:hAnsi="ITC Avant Garde" w:cs="Arial"/>
          <w:color w:val="auto"/>
        </w:rPr>
        <w:t>n</w:t>
      </w:r>
      <w:r w:rsidR="00527F4E" w:rsidRPr="0052418C">
        <w:rPr>
          <w:rFonts w:ascii="ITC Avant Garde" w:hAnsi="ITC Avant Garde" w:cs="Arial"/>
          <w:color w:val="auto"/>
        </w:rPr>
        <w:t xml:space="preserve"> a liquidar alguna penalización por incumplimiento.</w:t>
      </w:r>
      <w:r w:rsidRPr="0052418C">
        <w:rPr>
          <w:rFonts w:ascii="ITC Avant Garde" w:hAnsi="ITC Avant Garde" w:cs="Arial"/>
          <w:color w:val="auto"/>
        </w:rPr>
        <w:t xml:space="preserve"> </w:t>
      </w:r>
    </w:p>
    <w:p w14:paraId="55AAC59E" w14:textId="77777777" w:rsidR="003112CE" w:rsidRPr="0052418C" w:rsidRDefault="003112CE" w:rsidP="0052418C">
      <w:pPr>
        <w:spacing w:after="0" w:line="276" w:lineRule="auto"/>
        <w:ind w:left="0" w:right="0" w:firstLine="0"/>
        <w:rPr>
          <w:rFonts w:ascii="ITC Avant Garde" w:hAnsi="ITC Avant Garde" w:cs="Arial"/>
          <w:color w:val="auto"/>
        </w:rPr>
      </w:pPr>
    </w:p>
    <w:p w14:paraId="2BA4FF23" w14:textId="019E7AB7" w:rsidR="004C741A" w:rsidRPr="0052418C" w:rsidRDefault="004C741A"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lastRenderedPageBreak/>
        <w:t>Consideraciones del Instituto:</w:t>
      </w:r>
    </w:p>
    <w:p w14:paraId="73DCB6AE" w14:textId="47B6DB77" w:rsidR="00242BEF" w:rsidRPr="0052418C" w:rsidRDefault="00242BEF"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En observancia de la Medida Cuadragésima </w:t>
      </w:r>
      <w:r w:rsidR="00B070E9" w:rsidRPr="0052418C">
        <w:rPr>
          <w:rFonts w:ascii="ITC Avant Garde" w:hAnsi="ITC Avant Garde" w:cs="Arial"/>
          <w:color w:val="auto"/>
        </w:rPr>
        <w:t>P</w:t>
      </w:r>
      <w:r w:rsidRPr="0052418C">
        <w:rPr>
          <w:rFonts w:ascii="ITC Avant Garde" w:hAnsi="ITC Avant Garde" w:cs="Arial"/>
          <w:color w:val="auto"/>
        </w:rPr>
        <w:t xml:space="preserve">rimera de las Medidas Fijas, en la ORE </w:t>
      </w:r>
      <w:r w:rsidR="00DB04A5" w:rsidRPr="0052418C">
        <w:rPr>
          <w:rFonts w:ascii="ITC Avant Garde" w:hAnsi="ITC Avant Garde" w:cs="Arial"/>
          <w:color w:val="auto"/>
        </w:rPr>
        <w:t xml:space="preserve">EM </w:t>
      </w:r>
      <w:r w:rsidR="00373799" w:rsidRPr="0052418C">
        <w:rPr>
          <w:rFonts w:ascii="ITC Avant Garde" w:hAnsi="ITC Avant Garde" w:cs="Arial"/>
          <w:color w:val="auto"/>
        </w:rPr>
        <w:t xml:space="preserve">2022 </w:t>
      </w:r>
      <w:r w:rsidRPr="0052418C">
        <w:rPr>
          <w:rFonts w:ascii="ITC Avant Garde" w:hAnsi="ITC Avant Garde" w:cs="Arial"/>
          <w:color w:val="auto"/>
        </w:rPr>
        <w:t xml:space="preserve">se incorporaron los porcentajes de las penalizaciones por entrega tardía de los enlaces referidas en el numeral 2.7.1, conforme a las establecidas en la ORE </w:t>
      </w:r>
      <w:r w:rsidR="0024640C" w:rsidRPr="0052418C">
        <w:rPr>
          <w:rFonts w:ascii="ITC Avant Garde" w:hAnsi="ITC Avant Garde" w:cs="Arial"/>
          <w:color w:val="auto"/>
        </w:rPr>
        <w:t xml:space="preserve">EM </w:t>
      </w:r>
      <w:r w:rsidRPr="0052418C">
        <w:rPr>
          <w:rFonts w:ascii="ITC Avant Garde" w:hAnsi="ITC Avant Garde" w:cs="Arial"/>
          <w:color w:val="auto"/>
        </w:rPr>
        <w:t>20</w:t>
      </w:r>
      <w:r w:rsidR="004A05D1" w:rsidRPr="0052418C">
        <w:rPr>
          <w:rFonts w:ascii="ITC Avant Garde" w:hAnsi="ITC Avant Garde" w:cs="Arial"/>
          <w:color w:val="auto"/>
        </w:rPr>
        <w:t>2</w:t>
      </w:r>
      <w:r w:rsidR="001A2F5F" w:rsidRPr="0052418C">
        <w:rPr>
          <w:rFonts w:ascii="ITC Avant Garde" w:hAnsi="ITC Avant Garde" w:cs="Arial"/>
          <w:color w:val="auto"/>
        </w:rPr>
        <w:t>1</w:t>
      </w:r>
      <w:r w:rsidR="00E93DAF" w:rsidRPr="0052418C">
        <w:rPr>
          <w:rFonts w:ascii="ITC Avant Garde" w:hAnsi="ITC Avant Garde" w:cs="Arial"/>
          <w:color w:val="auto"/>
        </w:rPr>
        <w:t>, en los siguientes términos</w:t>
      </w:r>
      <w:r w:rsidRPr="0052418C">
        <w:rPr>
          <w:rFonts w:ascii="ITC Avant Garde" w:hAnsi="ITC Avant Garde" w:cs="Arial"/>
          <w:color w:val="auto"/>
        </w:rPr>
        <w:t>:</w:t>
      </w:r>
    </w:p>
    <w:p w14:paraId="755930A9" w14:textId="77777777" w:rsidR="00242BEF" w:rsidRPr="0052418C" w:rsidRDefault="00242BEF" w:rsidP="0052418C">
      <w:pPr>
        <w:spacing w:after="0" w:line="276" w:lineRule="auto"/>
        <w:ind w:left="0" w:right="0" w:firstLine="0"/>
        <w:rPr>
          <w:rFonts w:ascii="ITC Avant Garde" w:hAnsi="ITC Avant Garde" w:cs="Arial"/>
          <w:color w:val="auto"/>
        </w:rPr>
      </w:pPr>
    </w:p>
    <w:p w14:paraId="38CCBF29" w14:textId="77777777" w:rsidR="00C661C5" w:rsidRPr="0052418C" w:rsidRDefault="00242BEF" w:rsidP="0052418C">
      <w:pPr>
        <w:autoSpaceDE w:val="0"/>
        <w:autoSpaceDN w:val="0"/>
        <w:adjustRightInd w:val="0"/>
        <w:spacing w:after="0" w:line="276" w:lineRule="auto"/>
        <w:ind w:left="567" w:right="616"/>
        <w:rPr>
          <w:rFonts w:ascii="ITC Avant Garde" w:hAnsi="ITC Avant Garde" w:cs="Arial"/>
          <w:i/>
          <w:sz w:val="18"/>
          <w:szCs w:val="18"/>
        </w:rPr>
      </w:pPr>
      <w:r w:rsidRPr="0052418C">
        <w:rPr>
          <w:rFonts w:ascii="ITC Avant Garde" w:hAnsi="ITC Avant Garde" w:cs="Arial"/>
          <w:i/>
          <w:sz w:val="18"/>
          <w:szCs w:val="18"/>
        </w:rPr>
        <w:t>“</w:t>
      </w:r>
      <w:r w:rsidR="00C661C5" w:rsidRPr="0052418C">
        <w:rPr>
          <w:rFonts w:ascii="ITC Avant Garde" w:hAnsi="ITC Avant Garde" w:cs="Arial"/>
          <w:b/>
          <w:i/>
          <w:sz w:val="18"/>
          <w:szCs w:val="18"/>
        </w:rPr>
        <w:t xml:space="preserve">2.7.1 </w:t>
      </w:r>
      <w:r w:rsidR="00C661C5" w:rsidRPr="0052418C">
        <w:rPr>
          <w:rFonts w:ascii="ITC Avant Garde" w:hAnsi="ITC Avant Garde" w:cs="Arial"/>
          <w:i/>
          <w:sz w:val="18"/>
          <w:szCs w:val="18"/>
        </w:rPr>
        <w:t>La penalización por cualquier entrega tardía de los enlaces conforme a la fecha aplicable, se calculará considerando el monto económico correspondiente al 10% de la renta mensual por cada día hábil de retraso en la entrega, respecto a las fechas vinculantes, o fechas compromiso (Due Date) del servicio en cuestión, hasta por un máximo de 6 rentas mensuales. El cálculo del monto de penalización por enlace se realiza conforme la siguiente fórmula:</w:t>
      </w:r>
    </w:p>
    <w:p w14:paraId="21CE5FCA" w14:textId="77777777" w:rsidR="00C661C5" w:rsidRPr="0052418C" w:rsidRDefault="00C661C5" w:rsidP="0052418C">
      <w:pPr>
        <w:autoSpaceDE w:val="0"/>
        <w:autoSpaceDN w:val="0"/>
        <w:adjustRightInd w:val="0"/>
        <w:spacing w:after="0" w:line="276" w:lineRule="auto"/>
        <w:ind w:left="567" w:right="616"/>
        <w:rPr>
          <w:rFonts w:ascii="ITC Avant Garde" w:hAnsi="ITC Avant Garde" w:cs="Arial"/>
          <w:i/>
          <w:sz w:val="18"/>
          <w:szCs w:val="18"/>
        </w:rPr>
      </w:pPr>
    </w:p>
    <w:p w14:paraId="053D7E56" w14:textId="533FA082" w:rsidR="00C661C5" w:rsidRPr="0052418C" w:rsidRDefault="00CA3226" w:rsidP="0052418C">
      <w:pPr>
        <w:autoSpaceDE w:val="0"/>
        <w:autoSpaceDN w:val="0"/>
        <w:adjustRightInd w:val="0"/>
        <w:spacing w:after="0" w:line="276" w:lineRule="auto"/>
        <w:ind w:left="567" w:right="616"/>
        <w:rPr>
          <w:rFonts w:ascii="ITC Avant Garde" w:hAnsi="ITC Avant Garde" w:cs="Arial"/>
          <w:i/>
          <w:sz w:val="18"/>
          <w:szCs w:val="18"/>
        </w:rPr>
      </w:pPr>
      <m:oMath>
        <m:sSub>
          <m:sSubPr>
            <m:ctrlPr>
              <w:rPr>
                <w:rFonts w:ascii="Cambria Math" w:hAnsi="Cambria Math" w:cs="Arial"/>
                <w:i/>
                <w:sz w:val="18"/>
                <w:szCs w:val="18"/>
              </w:rPr>
            </m:ctrlPr>
          </m:sSubPr>
          <m:e>
            <m:r>
              <w:rPr>
                <w:rFonts w:ascii="Cambria Math" w:hAnsi="Cambria Math" w:cs="Arial"/>
                <w:sz w:val="18"/>
                <w:szCs w:val="18"/>
              </w:rPr>
              <m:t>Monto de penalización</m:t>
            </m:r>
          </m:e>
          <m:sub>
            <m:r>
              <w:rPr>
                <w:rFonts w:ascii="Cambria Math" w:hAnsi="Cambria Math" w:cs="Arial"/>
                <w:sz w:val="18"/>
                <w:szCs w:val="18"/>
              </w:rPr>
              <m:t>i</m:t>
            </m:r>
          </m:sub>
        </m:sSub>
        <m:r>
          <w:rPr>
            <w:rFonts w:ascii="Cambria Math" w:hAnsi="Cambria Math" w:cs="Arial"/>
            <w:sz w:val="18"/>
            <w:szCs w:val="18"/>
          </w:rPr>
          <m:t>=</m:t>
        </m:r>
        <m:d>
          <m:dPr>
            <m:ctrlPr>
              <w:rPr>
                <w:rFonts w:ascii="Cambria Math" w:hAnsi="Cambria Math" w:cs="Arial"/>
                <w:i/>
                <w:sz w:val="18"/>
                <w:szCs w:val="18"/>
              </w:rPr>
            </m:ctrlPr>
          </m:dPr>
          <m:e>
            <m:sSub>
              <m:sSubPr>
                <m:ctrlPr>
                  <w:rPr>
                    <w:rFonts w:ascii="Cambria Math" w:hAnsi="Cambria Math" w:cs="Arial"/>
                    <w:i/>
                    <w:sz w:val="18"/>
                    <w:szCs w:val="18"/>
                  </w:rPr>
                </m:ctrlPr>
              </m:sSubPr>
              <m:e>
                <m:r>
                  <w:rPr>
                    <w:rFonts w:ascii="Cambria Math" w:hAnsi="Cambria Math" w:cs="Arial"/>
                    <w:sz w:val="18"/>
                    <w:szCs w:val="18"/>
                  </w:rPr>
                  <m:t>Días de retraso</m:t>
                </m:r>
              </m:e>
              <m:sub>
                <m:r>
                  <w:rPr>
                    <w:rFonts w:ascii="Cambria Math" w:hAnsi="Cambria Math" w:cs="Arial"/>
                    <w:sz w:val="18"/>
                    <w:szCs w:val="18"/>
                  </w:rPr>
                  <m:t>i</m:t>
                </m:r>
              </m:sub>
            </m:sSub>
          </m:e>
        </m:d>
        <m:r>
          <w:rPr>
            <w:rFonts w:ascii="Cambria Math" w:hAnsi="Cambria Math" w:cs="Arial"/>
            <w:sz w:val="18"/>
            <w:szCs w:val="18"/>
          </w:rPr>
          <m:t>*</m:t>
        </m:r>
        <m:d>
          <m:dPr>
            <m:ctrlPr>
              <w:rPr>
                <w:rFonts w:ascii="Cambria Math" w:hAnsi="Cambria Math" w:cs="Arial"/>
                <w:i/>
                <w:sz w:val="18"/>
                <w:szCs w:val="18"/>
              </w:rPr>
            </m:ctrlPr>
          </m:dPr>
          <m:e>
            <m:r>
              <w:rPr>
                <w:rFonts w:ascii="Cambria Math" w:hAnsi="Cambria Math" w:cs="Arial"/>
                <w:sz w:val="18"/>
                <w:szCs w:val="18"/>
              </w:rPr>
              <m:t>0.1</m:t>
            </m:r>
          </m:e>
        </m:d>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Renta mensual</m:t>
            </m:r>
          </m:e>
          <m:sub>
            <m:r>
              <w:rPr>
                <w:rFonts w:ascii="Cambria Math" w:hAnsi="Cambria Math" w:cs="Arial"/>
                <w:sz w:val="18"/>
                <w:szCs w:val="18"/>
              </w:rPr>
              <m:t>i</m:t>
            </m:r>
          </m:sub>
        </m:sSub>
        <m:r>
          <w:rPr>
            <w:rFonts w:ascii="Cambria Math" w:hAnsi="Cambria Math" w:cs="Arial"/>
            <w:sz w:val="18"/>
            <w:szCs w:val="18"/>
          </w:rPr>
          <m:t>)</m:t>
        </m:r>
      </m:oMath>
      <w:r w:rsidR="00C661C5" w:rsidRPr="0052418C">
        <w:rPr>
          <w:rFonts w:ascii="ITC Avant Garde" w:hAnsi="ITC Avant Garde" w:cs="Arial"/>
          <w:i/>
          <w:sz w:val="18"/>
          <w:szCs w:val="18"/>
        </w:rPr>
        <w:t>,</w:t>
      </w:r>
    </w:p>
    <w:p w14:paraId="23245454" w14:textId="77777777" w:rsidR="00C661C5" w:rsidRPr="0052418C" w:rsidRDefault="00C661C5" w:rsidP="0052418C">
      <w:pPr>
        <w:autoSpaceDE w:val="0"/>
        <w:autoSpaceDN w:val="0"/>
        <w:adjustRightInd w:val="0"/>
        <w:spacing w:after="0" w:line="276" w:lineRule="auto"/>
        <w:ind w:left="567" w:right="616"/>
        <w:rPr>
          <w:rFonts w:ascii="ITC Avant Garde" w:hAnsi="ITC Avant Garde" w:cs="Arial"/>
          <w:i/>
          <w:sz w:val="18"/>
          <w:szCs w:val="18"/>
        </w:rPr>
      </w:pPr>
    </w:p>
    <w:p w14:paraId="43C3DF00" w14:textId="77777777" w:rsidR="00C661C5" w:rsidRPr="0052418C" w:rsidRDefault="00C661C5" w:rsidP="0052418C">
      <w:pPr>
        <w:autoSpaceDE w:val="0"/>
        <w:autoSpaceDN w:val="0"/>
        <w:adjustRightInd w:val="0"/>
        <w:spacing w:after="0" w:line="276" w:lineRule="auto"/>
        <w:ind w:left="567" w:right="616"/>
        <w:rPr>
          <w:rFonts w:ascii="ITC Avant Garde" w:hAnsi="ITC Avant Garde" w:cs="Arial"/>
          <w:i/>
          <w:sz w:val="18"/>
          <w:szCs w:val="18"/>
        </w:rPr>
      </w:pPr>
      <w:r w:rsidRPr="0052418C">
        <w:rPr>
          <w:rFonts w:ascii="ITC Avant Garde" w:hAnsi="ITC Avant Garde" w:cs="Arial"/>
          <w:i/>
          <w:sz w:val="18"/>
          <w:szCs w:val="18"/>
        </w:rPr>
        <w:t>donde i es el enlace solicitado</w:t>
      </w:r>
    </w:p>
    <w:p w14:paraId="2F8B4E6C" w14:textId="07AF0CA4" w:rsidR="00242BEF" w:rsidRPr="0052418C" w:rsidRDefault="00242BEF" w:rsidP="0052418C">
      <w:pPr>
        <w:autoSpaceDE w:val="0"/>
        <w:autoSpaceDN w:val="0"/>
        <w:adjustRightInd w:val="0"/>
        <w:spacing w:after="0" w:line="276" w:lineRule="auto"/>
        <w:ind w:left="567" w:right="616"/>
        <w:rPr>
          <w:rFonts w:ascii="ITC Avant Garde" w:hAnsi="ITC Avant Garde" w:cs="Arial"/>
          <w:i/>
          <w:sz w:val="18"/>
          <w:szCs w:val="18"/>
        </w:rPr>
      </w:pPr>
      <w:r w:rsidRPr="0052418C">
        <w:rPr>
          <w:rFonts w:ascii="ITC Avant Garde" w:hAnsi="ITC Avant Garde" w:cs="Arial"/>
          <w:i/>
          <w:sz w:val="18"/>
          <w:szCs w:val="18"/>
        </w:rPr>
        <w:t>[…]”</w:t>
      </w:r>
    </w:p>
    <w:p w14:paraId="61849B90" w14:textId="77777777" w:rsidR="008400C1" w:rsidRPr="0052418C" w:rsidRDefault="008400C1" w:rsidP="0052418C">
      <w:pPr>
        <w:autoSpaceDE w:val="0"/>
        <w:autoSpaceDN w:val="0"/>
        <w:adjustRightInd w:val="0"/>
        <w:spacing w:after="0" w:line="276" w:lineRule="auto"/>
        <w:ind w:left="567" w:right="616"/>
        <w:rPr>
          <w:rFonts w:ascii="ITC Avant Garde" w:hAnsi="ITC Avant Garde" w:cs="Arial"/>
          <w:i/>
          <w:sz w:val="18"/>
          <w:szCs w:val="18"/>
        </w:rPr>
      </w:pPr>
    </w:p>
    <w:p w14:paraId="7A7EE923" w14:textId="2056B8EA" w:rsidR="00373799" w:rsidRPr="0052418C" w:rsidRDefault="008400C1" w:rsidP="0052418C">
      <w:pPr>
        <w:spacing w:after="0" w:line="276" w:lineRule="auto"/>
        <w:rPr>
          <w:rFonts w:ascii="ITC Avant Garde" w:eastAsiaTheme="majorEastAsia" w:hAnsi="ITC Avant Garde"/>
          <w:u w:val="single"/>
        </w:rPr>
      </w:pPr>
      <w:r w:rsidRPr="0052418C">
        <w:rPr>
          <w:rFonts w:ascii="ITC Avant Garde" w:hAnsi="ITC Avant Garde"/>
        </w:rPr>
        <w:t xml:space="preserve">Por lo que se refiere al comentario de </w:t>
      </w:r>
      <w:r w:rsidR="00373799" w:rsidRPr="0052418C">
        <w:rPr>
          <w:rFonts w:ascii="ITC Avant Garde" w:hAnsi="ITC Avant Garde"/>
        </w:rPr>
        <w:t>Mega Cable</w:t>
      </w:r>
      <w:r w:rsidRPr="0052418C">
        <w:rPr>
          <w:rFonts w:ascii="ITC Avant Garde" w:hAnsi="ITC Avant Garde"/>
        </w:rPr>
        <w:t>, en el sentido de</w:t>
      </w:r>
      <w:r w:rsidR="00373799" w:rsidRPr="0052418C">
        <w:rPr>
          <w:rFonts w:ascii="ITC Avant Garde" w:hAnsi="ITC Avant Garde"/>
        </w:rPr>
        <w:t xml:space="preserve"> que </w:t>
      </w:r>
      <w:r w:rsidR="00373799" w:rsidRPr="0052418C">
        <w:rPr>
          <w:rFonts w:ascii="ITC Avant Garde" w:hAnsi="ITC Avant Garde"/>
          <w:color w:val="auto"/>
        </w:rPr>
        <w:t xml:space="preserve">el Instituto debería contar con atribuciones para monitorear en todo momento mediante el SEG/SIPO el estatus de estos procedimientos e intervenir en el evento </w:t>
      </w:r>
      <w:r w:rsidR="00476638">
        <w:rPr>
          <w:rFonts w:ascii="ITC Avant Garde" w:hAnsi="ITC Avant Garde"/>
          <w:color w:val="auto"/>
        </w:rPr>
        <w:t>en</w:t>
      </w:r>
      <w:r w:rsidR="00476638" w:rsidRPr="0052418C">
        <w:rPr>
          <w:rFonts w:ascii="ITC Avant Garde" w:hAnsi="ITC Avant Garde"/>
          <w:color w:val="auto"/>
        </w:rPr>
        <w:t xml:space="preserve"> </w:t>
      </w:r>
      <w:r w:rsidR="00373799" w:rsidRPr="0052418C">
        <w:rPr>
          <w:rFonts w:ascii="ITC Avant Garde" w:hAnsi="ITC Avant Garde"/>
          <w:color w:val="auto"/>
        </w:rPr>
        <w:t xml:space="preserve">que </w:t>
      </w:r>
      <w:r w:rsidR="00790B92" w:rsidRPr="0052418C">
        <w:rPr>
          <w:rFonts w:ascii="ITC Avant Garde" w:hAnsi="ITC Avant Garde" w:cs="Times New Roman"/>
          <w:color w:val="auto"/>
        </w:rPr>
        <w:t xml:space="preserve">Red Nacional </w:t>
      </w:r>
      <w:r w:rsidR="00373799" w:rsidRPr="0052418C">
        <w:rPr>
          <w:rFonts w:ascii="ITC Avant Garde" w:hAnsi="ITC Avant Garde"/>
          <w:color w:val="auto"/>
        </w:rPr>
        <w:t>se niegue a liquidar alguna penalización por incumplimiento</w:t>
      </w:r>
      <w:r w:rsidR="00373799" w:rsidRPr="0052418C">
        <w:rPr>
          <w:rFonts w:ascii="ITC Avant Garde" w:hAnsi="ITC Avant Garde"/>
        </w:rPr>
        <w:t xml:space="preserve">, no se considera procedente, ya que, </w:t>
      </w:r>
      <w:r w:rsidR="00373799" w:rsidRPr="0052418C">
        <w:rPr>
          <w:rFonts w:ascii="ITC Avant Garde" w:eastAsia="Times New Roman" w:hAnsi="ITC Avant Garde" w:cs="Times New Roman"/>
          <w:color w:val="auto"/>
        </w:rPr>
        <w:t>excede el alcance de la ORE EM 2022.</w:t>
      </w:r>
      <w:r w:rsidR="00373799" w:rsidRPr="0052418C" w:rsidDel="002D0B80">
        <w:rPr>
          <w:rFonts w:ascii="ITC Avant Garde" w:hAnsi="ITC Avant Garde"/>
        </w:rPr>
        <w:t xml:space="preserve"> </w:t>
      </w:r>
    </w:p>
    <w:p w14:paraId="0E4C5A82" w14:textId="6A9AE68C" w:rsidR="00242BEF" w:rsidRPr="00AA5D96" w:rsidRDefault="00242BEF" w:rsidP="0052418C">
      <w:pPr>
        <w:pStyle w:val="IFTnormal"/>
        <w:spacing w:after="0"/>
        <w:ind w:left="0"/>
        <w:rPr>
          <w:rFonts w:cs="Arial"/>
          <w:lang w:val="es-MX"/>
        </w:rPr>
      </w:pPr>
    </w:p>
    <w:p w14:paraId="2238D577" w14:textId="6FB832A0" w:rsidR="005766DD" w:rsidRPr="0052418C" w:rsidRDefault="005766DD" w:rsidP="0052418C">
      <w:pPr>
        <w:pStyle w:val="IFTnormal"/>
        <w:spacing w:after="0"/>
        <w:ind w:left="0"/>
        <w:rPr>
          <w:rFonts w:eastAsiaTheme="majorEastAsia" w:cs="Arial"/>
          <w:b/>
          <w:u w:val="single"/>
          <w:lang w:val="es-ES_tradnl"/>
        </w:rPr>
      </w:pPr>
      <w:r w:rsidRPr="0052418C">
        <w:rPr>
          <w:rFonts w:eastAsiaTheme="majorEastAsia" w:cs="Arial"/>
          <w:b/>
          <w:u w:val="single"/>
          <w:lang w:val="es-ES_tradnl"/>
        </w:rPr>
        <w:t>2.7.2</w:t>
      </w:r>
      <w:r w:rsidR="00F10341" w:rsidRPr="0052418C">
        <w:rPr>
          <w:rFonts w:eastAsiaTheme="majorEastAsia" w:cs="Arial"/>
          <w:b/>
          <w:u w:val="single"/>
          <w:lang w:val="es-ES_tradnl"/>
        </w:rPr>
        <w:t xml:space="preserve"> </w:t>
      </w:r>
    </w:p>
    <w:p w14:paraId="149475DB" w14:textId="49B3CA0F" w:rsidR="008164F5" w:rsidRPr="0052418C" w:rsidRDefault="0027746F" w:rsidP="0052418C">
      <w:pPr>
        <w:spacing w:after="0" w:line="276" w:lineRule="auto"/>
        <w:ind w:right="49"/>
        <w:rPr>
          <w:rFonts w:ascii="ITC Avant Garde" w:hAnsi="ITC Avant Garde" w:cs="Arial"/>
          <w:b/>
          <w:color w:val="auto"/>
        </w:rPr>
      </w:pPr>
      <w:r w:rsidRPr="0052418C">
        <w:rPr>
          <w:rFonts w:ascii="ITC Avant Garde" w:hAnsi="ITC Avant Garde" w:cs="Arial"/>
          <w:b/>
          <w:color w:val="auto"/>
        </w:rPr>
        <w:t xml:space="preserve">GRUPO AT&amp;T: </w:t>
      </w:r>
    </w:p>
    <w:p w14:paraId="14E1DAA3" w14:textId="0224D143" w:rsidR="00A27879" w:rsidRPr="0052418C" w:rsidRDefault="009B121E" w:rsidP="0052418C">
      <w:pPr>
        <w:pStyle w:val="IFTnormal"/>
        <w:spacing w:after="0"/>
        <w:ind w:left="0"/>
        <w:rPr>
          <w:rFonts w:eastAsiaTheme="majorEastAsia" w:cs="Arial"/>
          <w:lang w:val="es-ES_tradnl"/>
        </w:rPr>
      </w:pPr>
      <w:r w:rsidRPr="0052418C">
        <w:rPr>
          <w:rFonts w:cs="Arial"/>
        </w:rPr>
        <w:t>Señaló que</w:t>
      </w:r>
      <w:r w:rsidR="008E4F15" w:rsidRPr="0052418C">
        <w:rPr>
          <w:rFonts w:cs="Arial"/>
        </w:rPr>
        <w:t>,</w:t>
      </w:r>
      <w:r w:rsidR="0094126F" w:rsidRPr="0052418C">
        <w:rPr>
          <w:rFonts w:cs="Arial"/>
        </w:rPr>
        <w:t xml:space="preserve"> las penalidades deben mantenerse como se encuentran en la ORE EM 2021 </w:t>
      </w:r>
      <w:r w:rsidR="00E03089" w:rsidRPr="0052418C">
        <w:rPr>
          <w:rFonts w:cs="Arial"/>
        </w:rPr>
        <w:t>ya que,</w:t>
      </w:r>
      <w:r w:rsidR="0094126F" w:rsidRPr="0052418C">
        <w:rPr>
          <w:rFonts w:cs="Arial"/>
        </w:rPr>
        <w:t xml:space="preserve"> </w:t>
      </w:r>
      <w:r w:rsidR="006229DA" w:rsidRPr="0052418C">
        <w:rPr>
          <w:rFonts w:cs="Arial"/>
        </w:rPr>
        <w:t xml:space="preserve">con la propuesta de </w:t>
      </w:r>
      <w:r w:rsidRPr="0052418C">
        <w:rPr>
          <w:rFonts w:cs="Arial"/>
        </w:rPr>
        <w:t>Red Nacional</w:t>
      </w:r>
      <w:r w:rsidR="003868AF" w:rsidRPr="0052418C">
        <w:rPr>
          <w:rFonts w:cs="Arial"/>
        </w:rPr>
        <w:t>,</w:t>
      </w:r>
      <w:r w:rsidR="006229DA" w:rsidRPr="0052418C">
        <w:rPr>
          <w:rFonts w:cs="Arial"/>
        </w:rPr>
        <w:t xml:space="preserve"> </w:t>
      </w:r>
      <w:r w:rsidR="00057EF2" w:rsidRPr="0052418C">
        <w:rPr>
          <w:rFonts w:cs="Arial"/>
        </w:rPr>
        <w:t xml:space="preserve">se entiende que </w:t>
      </w:r>
      <w:r w:rsidR="006229DA" w:rsidRPr="0052418C">
        <w:rPr>
          <w:rFonts w:cs="Arial"/>
        </w:rPr>
        <w:t>un enlace puede haber fallado por tres meses seguidos y se deben seguir pagando las rentas completas con un descuento de 1.2%</w:t>
      </w:r>
      <w:r w:rsidR="003031DE" w:rsidRPr="0052418C">
        <w:rPr>
          <w:rFonts w:cs="Arial"/>
        </w:rPr>
        <w:t>. Por lo que</w:t>
      </w:r>
      <w:r w:rsidR="0094126F" w:rsidRPr="0052418C">
        <w:rPr>
          <w:rFonts w:cs="Arial"/>
        </w:rPr>
        <w:t>, argument</w:t>
      </w:r>
      <w:r w:rsidR="00842789">
        <w:rPr>
          <w:rFonts w:cs="Arial"/>
        </w:rPr>
        <w:t>ó</w:t>
      </w:r>
      <w:r w:rsidR="0094126F" w:rsidRPr="0052418C">
        <w:rPr>
          <w:rFonts w:cs="Arial"/>
        </w:rPr>
        <w:t xml:space="preserve"> que</w:t>
      </w:r>
      <w:r w:rsidR="00A27C7F" w:rsidRPr="0052418C">
        <w:rPr>
          <w:rFonts w:cs="Arial"/>
        </w:rPr>
        <w:t xml:space="preserve"> </w:t>
      </w:r>
      <w:bookmarkStart w:id="27" w:name="_Hlk92714270"/>
      <w:r w:rsidR="00A27C7F" w:rsidRPr="0052418C">
        <w:rPr>
          <w:rFonts w:cs="Arial"/>
        </w:rPr>
        <w:t>es necesario que existan incentivos para cumplir con los compromisos razonables y no discriminatorios de calidad.</w:t>
      </w:r>
      <w:r w:rsidR="003031DE" w:rsidRPr="0052418C">
        <w:rPr>
          <w:rFonts w:cs="Arial"/>
        </w:rPr>
        <w:t xml:space="preserve"> </w:t>
      </w:r>
      <w:bookmarkEnd w:id="27"/>
    </w:p>
    <w:p w14:paraId="326AA40F" w14:textId="77777777" w:rsidR="00476638" w:rsidRDefault="00476638" w:rsidP="0052418C">
      <w:pPr>
        <w:spacing w:after="0" w:line="276" w:lineRule="auto"/>
        <w:ind w:left="0" w:right="0"/>
        <w:rPr>
          <w:rFonts w:ascii="ITC Avant Garde" w:eastAsiaTheme="majorEastAsia" w:hAnsi="ITC Avant Garde" w:cs="Arial"/>
          <w:b/>
          <w:color w:val="auto"/>
          <w:lang w:val="es-ES_tradnl"/>
        </w:rPr>
      </w:pPr>
    </w:p>
    <w:p w14:paraId="003CF8BA" w14:textId="7167B3D3" w:rsidR="0030737F" w:rsidRPr="0052418C" w:rsidRDefault="0027746F" w:rsidP="0052418C">
      <w:pPr>
        <w:spacing w:after="0" w:line="276" w:lineRule="auto"/>
        <w:ind w:left="0" w:right="0"/>
        <w:rPr>
          <w:rFonts w:ascii="ITC Avant Garde" w:eastAsiaTheme="majorEastAsia" w:hAnsi="ITC Avant Garde" w:cs="Arial"/>
          <w:b/>
          <w:color w:val="auto"/>
          <w:lang w:val="es-ES_tradnl"/>
        </w:rPr>
      </w:pPr>
      <w:r w:rsidRPr="0052418C">
        <w:rPr>
          <w:rFonts w:ascii="ITC Avant Garde" w:eastAsiaTheme="majorEastAsia" w:hAnsi="ITC Avant Garde" w:cs="Arial"/>
          <w:b/>
          <w:color w:val="auto"/>
          <w:lang w:val="es-ES_tradnl"/>
        </w:rPr>
        <w:t>AXTEL:</w:t>
      </w:r>
    </w:p>
    <w:p w14:paraId="11869CEF" w14:textId="4EF8EC56" w:rsidR="0030737F" w:rsidRPr="0052418C" w:rsidRDefault="0030737F"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Solicit</w:t>
      </w:r>
      <w:r w:rsidR="009C3112" w:rsidRPr="0052418C">
        <w:rPr>
          <w:rFonts w:ascii="ITC Avant Garde" w:hAnsi="ITC Avant Garde" w:cs="Arial"/>
          <w:color w:val="auto"/>
        </w:rPr>
        <w:t>ó</w:t>
      </w:r>
      <w:r w:rsidRPr="0052418C">
        <w:rPr>
          <w:rFonts w:ascii="ITC Avant Garde" w:hAnsi="ITC Avant Garde" w:cs="Arial"/>
          <w:color w:val="auto"/>
        </w:rPr>
        <w:t xml:space="preserve"> al Instituto</w:t>
      </w:r>
      <w:r w:rsidR="00356A5E" w:rsidRPr="0052418C">
        <w:rPr>
          <w:rFonts w:ascii="ITC Avant Garde" w:hAnsi="ITC Avant Garde" w:cs="Arial"/>
          <w:color w:val="auto"/>
        </w:rPr>
        <w:t xml:space="preserve"> que</w:t>
      </w:r>
      <w:r w:rsidR="000A5858" w:rsidRPr="0052418C">
        <w:rPr>
          <w:rFonts w:ascii="ITC Avant Garde" w:hAnsi="ITC Avant Garde" w:cs="Arial"/>
          <w:color w:val="auto"/>
        </w:rPr>
        <w:t>,</w:t>
      </w:r>
      <w:r w:rsidRPr="0052418C">
        <w:rPr>
          <w:rFonts w:ascii="ITC Avant Garde" w:hAnsi="ITC Avant Garde" w:cs="Arial"/>
          <w:color w:val="auto"/>
        </w:rPr>
        <w:t xml:space="preserve"> ante las constantes barreras experimentadas en la prestación del servicio</w:t>
      </w:r>
      <w:r w:rsidR="00CA2879" w:rsidRPr="0052418C">
        <w:rPr>
          <w:rFonts w:ascii="ITC Avant Garde" w:hAnsi="ITC Avant Garde" w:cs="Arial"/>
          <w:color w:val="auto"/>
        </w:rPr>
        <w:t xml:space="preserve">, </w:t>
      </w:r>
      <w:r w:rsidRPr="0052418C">
        <w:rPr>
          <w:rFonts w:ascii="ITC Avant Garde" w:hAnsi="ITC Avant Garde" w:cs="Arial"/>
          <w:color w:val="auto"/>
        </w:rPr>
        <w:t xml:space="preserve">que la penalización por incumplimiento de los parámetros de calidad en la prestación del servicio no sea reducida de forma arbitraria </w:t>
      </w:r>
    </w:p>
    <w:p w14:paraId="743F486D" w14:textId="77777777" w:rsidR="0030737F" w:rsidRPr="0052418C" w:rsidRDefault="0030737F" w:rsidP="0052418C">
      <w:pPr>
        <w:spacing w:after="0" w:line="276" w:lineRule="auto"/>
        <w:ind w:left="0" w:right="0" w:firstLine="0"/>
        <w:rPr>
          <w:rFonts w:ascii="ITC Avant Garde" w:hAnsi="ITC Avant Garde" w:cs="Arial"/>
          <w:color w:val="auto"/>
        </w:rPr>
      </w:pPr>
    </w:p>
    <w:p w14:paraId="16DA11D5" w14:textId="561ED7F4" w:rsidR="006037D3" w:rsidRPr="0052418C" w:rsidRDefault="006037D3" w:rsidP="0052418C">
      <w:pPr>
        <w:spacing w:after="0" w:line="276" w:lineRule="auto"/>
        <w:ind w:right="0"/>
        <w:rPr>
          <w:rFonts w:ascii="ITC Avant Garde" w:hAnsi="ITC Avant Garde"/>
          <w:color w:val="auto"/>
        </w:rPr>
      </w:pPr>
      <w:r w:rsidRPr="0052418C">
        <w:rPr>
          <w:rFonts w:ascii="ITC Avant Garde" w:hAnsi="ITC Avant Garde"/>
          <w:color w:val="auto"/>
        </w:rPr>
        <w:t xml:space="preserve">Asimismo, señaló que el monto de penalización por indisponibilidad de enlace debe ser proporcional al periodo de indisponibilidad, aplicando un múltiplo al importe de la renta mensual devengada mientras el enlace permaneció como no disponible. Por lo que Axtel solicitó al Instituto que rechace la modificación pretendida por </w:t>
      </w:r>
      <w:r w:rsidR="00790B92" w:rsidRPr="0052418C">
        <w:rPr>
          <w:rFonts w:ascii="ITC Avant Garde" w:hAnsi="ITC Avant Garde" w:cs="Times New Roman"/>
          <w:color w:val="auto"/>
        </w:rPr>
        <w:t xml:space="preserve">Red Nacional </w:t>
      </w:r>
      <w:r w:rsidRPr="0052418C">
        <w:rPr>
          <w:rFonts w:ascii="ITC Avant Garde" w:hAnsi="ITC Avant Garde"/>
          <w:color w:val="auto"/>
        </w:rPr>
        <w:t xml:space="preserve">y aumente el valor considerado en la ORE EM 2021 </w:t>
      </w:r>
      <w:r w:rsidRPr="0052418C">
        <w:rPr>
          <w:rFonts w:ascii="ITC Avant Garde" w:hAnsi="ITC Avant Garde"/>
          <w:color w:val="auto"/>
        </w:rPr>
        <w:lastRenderedPageBreak/>
        <w:t xml:space="preserve">del 6% de la renta mensual por cada hora o fracción por incumplimiento en los parámetros de calidad de cada servicio, como lo marca la ORE </w:t>
      </w:r>
      <w:r w:rsidR="008E4F15" w:rsidRPr="0052418C">
        <w:rPr>
          <w:rFonts w:ascii="ITC Avant Garde" w:hAnsi="ITC Avant Garde"/>
          <w:color w:val="auto"/>
        </w:rPr>
        <w:t>E</w:t>
      </w:r>
      <w:r w:rsidRPr="0052418C">
        <w:rPr>
          <w:rFonts w:ascii="ITC Avant Garde" w:hAnsi="ITC Avant Garde"/>
          <w:color w:val="auto"/>
        </w:rPr>
        <w:t>M 2021.</w:t>
      </w:r>
    </w:p>
    <w:p w14:paraId="011E8321" w14:textId="77777777" w:rsidR="005E4B60" w:rsidRPr="0052418C" w:rsidRDefault="005E4B60" w:rsidP="0052418C">
      <w:pPr>
        <w:spacing w:after="0" w:line="276" w:lineRule="auto"/>
        <w:ind w:left="0" w:right="0" w:firstLine="0"/>
        <w:rPr>
          <w:rFonts w:ascii="ITC Avant Garde" w:hAnsi="ITC Avant Garde" w:cs="Arial"/>
          <w:b/>
          <w:color w:val="auto"/>
        </w:rPr>
      </w:pPr>
    </w:p>
    <w:p w14:paraId="0A993666" w14:textId="2AE7FD02" w:rsidR="00247664" w:rsidRPr="0052418C" w:rsidRDefault="00247664"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4547CE" w:rsidRPr="0052418C">
        <w:rPr>
          <w:rFonts w:ascii="ITC Avant Garde" w:hAnsi="ITC Avant Garde" w:cs="Arial"/>
          <w:b/>
          <w:color w:val="auto"/>
        </w:rPr>
        <w:t>:</w:t>
      </w:r>
    </w:p>
    <w:p w14:paraId="0E7F62C2" w14:textId="77777777" w:rsidR="00BA17D5" w:rsidRDefault="0094126F" w:rsidP="00BA17D5">
      <w:pPr>
        <w:spacing w:after="0" w:line="276" w:lineRule="auto"/>
        <w:ind w:left="0" w:right="0" w:firstLine="0"/>
        <w:rPr>
          <w:rFonts w:ascii="ITC Avant Garde" w:hAnsi="ITC Avant Garde"/>
          <w:color w:val="auto"/>
        </w:rPr>
      </w:pPr>
      <w:r w:rsidRPr="0052418C">
        <w:rPr>
          <w:rFonts w:ascii="ITC Avant Garde" w:hAnsi="ITC Avant Garde"/>
          <w:color w:val="auto"/>
        </w:rPr>
        <w:t>Se modificaron los rangos de disponibilidad, donde se medirán de forma anual y para cada uno de los enlaces dedicados. Asimismo, se modificaron las penalizaciones aplicables por incumplimiento en los parámetros de calidad conforme lo establecido en la ORE EM 2021</w:t>
      </w:r>
      <w:r w:rsidR="00BA17D5">
        <w:rPr>
          <w:rFonts w:ascii="ITC Avant Garde" w:hAnsi="ITC Avant Garde"/>
          <w:color w:val="auto"/>
        </w:rPr>
        <w:t>.</w:t>
      </w:r>
    </w:p>
    <w:p w14:paraId="64160FC7" w14:textId="77777777" w:rsidR="00BA17D5" w:rsidRDefault="00BA17D5" w:rsidP="00BA17D5">
      <w:pPr>
        <w:spacing w:after="0" w:line="276" w:lineRule="auto"/>
        <w:ind w:left="0" w:right="0" w:firstLine="0"/>
        <w:rPr>
          <w:rFonts w:ascii="ITC Avant Garde" w:hAnsi="ITC Avant Garde"/>
          <w:color w:val="auto"/>
        </w:rPr>
      </w:pPr>
    </w:p>
    <w:p w14:paraId="0DB17A96" w14:textId="3126C520" w:rsidR="00BA17D5" w:rsidRPr="0052418C" w:rsidRDefault="00BA17D5" w:rsidP="00BA17D5">
      <w:pPr>
        <w:spacing w:after="0" w:line="276" w:lineRule="auto"/>
        <w:ind w:left="0" w:right="0" w:firstLine="0"/>
        <w:rPr>
          <w:rFonts w:ascii="ITC Avant Garde" w:hAnsi="ITC Avant Garde" w:cs="Arial"/>
          <w:color w:val="auto"/>
        </w:rPr>
      </w:pPr>
      <w:r>
        <w:rPr>
          <w:rFonts w:ascii="ITC Avant Garde" w:hAnsi="ITC Avant Garde"/>
          <w:color w:val="auto"/>
        </w:rPr>
        <w:t>De igual forma</w:t>
      </w:r>
      <w:r>
        <w:rPr>
          <w:rFonts w:ascii="ITC Avant Garde" w:hAnsi="ITC Avant Garde" w:cs="Arial"/>
          <w:color w:val="auto"/>
        </w:rPr>
        <w:t xml:space="preserve"> y e</w:t>
      </w:r>
      <w:r w:rsidRPr="0052418C">
        <w:rPr>
          <w:rFonts w:ascii="ITC Avant Garde" w:hAnsi="ITC Avant Garde" w:cs="Arial"/>
          <w:color w:val="auto"/>
        </w:rPr>
        <w:t>n observancia de la Medida Cuadragésima Primera de las Medidas Fijas, en la ORE EM 2022 se incorporaron los porcentajes de las penalizaciones por entrega tardía de los enlaces</w:t>
      </w:r>
      <w:r>
        <w:rPr>
          <w:rFonts w:ascii="ITC Avant Garde" w:hAnsi="ITC Avant Garde" w:cs="Arial"/>
          <w:color w:val="auto"/>
        </w:rPr>
        <w:t>,</w:t>
      </w:r>
      <w:r w:rsidRPr="0052418C">
        <w:rPr>
          <w:rFonts w:ascii="ITC Avant Garde" w:hAnsi="ITC Avant Garde" w:cs="Arial"/>
          <w:color w:val="auto"/>
        </w:rPr>
        <w:t xml:space="preserve"> conforme a las establecidas en la ORE EM 2021, en los siguientes términos:</w:t>
      </w:r>
    </w:p>
    <w:p w14:paraId="6CB893F9" w14:textId="77777777" w:rsidR="00BA17D5" w:rsidRPr="0052418C" w:rsidRDefault="00BA17D5" w:rsidP="00BA17D5">
      <w:pPr>
        <w:spacing w:after="0" w:line="276" w:lineRule="auto"/>
        <w:ind w:left="0" w:right="0" w:firstLine="0"/>
        <w:rPr>
          <w:rFonts w:ascii="ITC Avant Garde" w:hAnsi="ITC Avant Garde" w:cs="Arial"/>
          <w:color w:val="auto"/>
        </w:rPr>
      </w:pPr>
    </w:p>
    <w:p w14:paraId="00119C3D" w14:textId="77777777" w:rsidR="00BA17D5" w:rsidRPr="0052418C" w:rsidRDefault="00BA17D5" w:rsidP="00BA17D5">
      <w:pPr>
        <w:autoSpaceDE w:val="0"/>
        <w:autoSpaceDN w:val="0"/>
        <w:adjustRightInd w:val="0"/>
        <w:spacing w:after="0" w:line="276" w:lineRule="auto"/>
        <w:ind w:left="567" w:right="616"/>
        <w:rPr>
          <w:rFonts w:ascii="ITC Avant Garde" w:hAnsi="ITC Avant Garde" w:cs="Arial"/>
          <w:i/>
          <w:sz w:val="18"/>
          <w:szCs w:val="18"/>
        </w:rPr>
      </w:pPr>
      <w:r w:rsidRPr="0052418C">
        <w:rPr>
          <w:rFonts w:ascii="ITC Avant Garde" w:hAnsi="ITC Avant Garde" w:cs="Arial"/>
          <w:i/>
          <w:sz w:val="18"/>
          <w:szCs w:val="18"/>
        </w:rPr>
        <w:t>“</w:t>
      </w:r>
      <w:r w:rsidRPr="0052418C">
        <w:rPr>
          <w:rFonts w:ascii="ITC Avant Garde" w:hAnsi="ITC Avant Garde" w:cs="Arial"/>
          <w:b/>
          <w:i/>
          <w:sz w:val="18"/>
          <w:szCs w:val="18"/>
        </w:rPr>
        <w:t xml:space="preserve">2.7.1 </w:t>
      </w:r>
      <w:r w:rsidRPr="0052418C">
        <w:rPr>
          <w:rFonts w:ascii="ITC Avant Garde" w:hAnsi="ITC Avant Garde" w:cs="Arial"/>
          <w:i/>
          <w:sz w:val="18"/>
          <w:szCs w:val="18"/>
        </w:rPr>
        <w:t>La penalización por cualquier entrega tardía de los enlaces conforme a la fecha aplicable, se calculará considerando el monto económico correspondiente al 10% de la renta mensual por cada día hábil de retraso en la entrega, respecto a las fechas vinculantes, o fechas compromiso (Due Date) del servicio en cuestión, hasta por un máximo de 6 rentas mensuales. El cálculo del monto de penalización por enlace se realiza conforme la siguiente fórmula:</w:t>
      </w:r>
    </w:p>
    <w:p w14:paraId="3EA38F7A" w14:textId="77777777" w:rsidR="00BA17D5" w:rsidRPr="0052418C" w:rsidRDefault="00BA17D5" w:rsidP="00BA17D5">
      <w:pPr>
        <w:autoSpaceDE w:val="0"/>
        <w:autoSpaceDN w:val="0"/>
        <w:adjustRightInd w:val="0"/>
        <w:spacing w:after="0" w:line="276" w:lineRule="auto"/>
        <w:ind w:left="567" w:right="616"/>
        <w:rPr>
          <w:rFonts w:ascii="ITC Avant Garde" w:hAnsi="ITC Avant Garde" w:cs="Arial"/>
          <w:i/>
          <w:sz w:val="18"/>
          <w:szCs w:val="18"/>
        </w:rPr>
      </w:pPr>
    </w:p>
    <w:p w14:paraId="23C40175" w14:textId="77777777" w:rsidR="00BA17D5" w:rsidRPr="0052418C" w:rsidRDefault="00CA3226" w:rsidP="00BA17D5">
      <w:pPr>
        <w:autoSpaceDE w:val="0"/>
        <w:autoSpaceDN w:val="0"/>
        <w:adjustRightInd w:val="0"/>
        <w:spacing w:after="0" w:line="276" w:lineRule="auto"/>
        <w:ind w:left="567" w:right="616"/>
        <w:rPr>
          <w:rFonts w:ascii="ITC Avant Garde" w:hAnsi="ITC Avant Garde" w:cs="Arial"/>
          <w:i/>
          <w:sz w:val="18"/>
          <w:szCs w:val="18"/>
        </w:rPr>
      </w:pPr>
      <m:oMath>
        <m:sSub>
          <m:sSubPr>
            <m:ctrlPr>
              <w:rPr>
                <w:rFonts w:ascii="Cambria Math" w:hAnsi="Cambria Math" w:cs="Arial"/>
                <w:i/>
                <w:sz w:val="18"/>
                <w:szCs w:val="18"/>
              </w:rPr>
            </m:ctrlPr>
          </m:sSubPr>
          <m:e>
            <m:r>
              <w:rPr>
                <w:rFonts w:ascii="Cambria Math" w:hAnsi="Cambria Math" w:cs="Arial"/>
                <w:sz w:val="18"/>
                <w:szCs w:val="18"/>
              </w:rPr>
              <m:t>Monto de penalización</m:t>
            </m:r>
          </m:e>
          <m:sub>
            <m:r>
              <w:rPr>
                <w:rFonts w:ascii="Cambria Math" w:hAnsi="Cambria Math" w:cs="Arial"/>
                <w:sz w:val="18"/>
                <w:szCs w:val="18"/>
              </w:rPr>
              <m:t>i</m:t>
            </m:r>
          </m:sub>
        </m:sSub>
        <m:r>
          <w:rPr>
            <w:rFonts w:ascii="Cambria Math" w:hAnsi="Cambria Math" w:cs="Arial"/>
            <w:sz w:val="18"/>
            <w:szCs w:val="18"/>
          </w:rPr>
          <m:t>=</m:t>
        </m:r>
        <m:d>
          <m:dPr>
            <m:ctrlPr>
              <w:rPr>
                <w:rFonts w:ascii="Cambria Math" w:hAnsi="Cambria Math" w:cs="Arial"/>
                <w:i/>
                <w:sz w:val="18"/>
                <w:szCs w:val="18"/>
              </w:rPr>
            </m:ctrlPr>
          </m:dPr>
          <m:e>
            <m:sSub>
              <m:sSubPr>
                <m:ctrlPr>
                  <w:rPr>
                    <w:rFonts w:ascii="Cambria Math" w:hAnsi="Cambria Math" w:cs="Arial"/>
                    <w:i/>
                    <w:sz w:val="18"/>
                    <w:szCs w:val="18"/>
                  </w:rPr>
                </m:ctrlPr>
              </m:sSubPr>
              <m:e>
                <m:r>
                  <w:rPr>
                    <w:rFonts w:ascii="Cambria Math" w:hAnsi="Cambria Math" w:cs="Arial"/>
                    <w:sz w:val="18"/>
                    <w:szCs w:val="18"/>
                  </w:rPr>
                  <m:t>Días de retraso</m:t>
                </m:r>
              </m:e>
              <m:sub>
                <m:r>
                  <w:rPr>
                    <w:rFonts w:ascii="Cambria Math" w:hAnsi="Cambria Math" w:cs="Arial"/>
                    <w:sz w:val="18"/>
                    <w:szCs w:val="18"/>
                  </w:rPr>
                  <m:t>i</m:t>
                </m:r>
              </m:sub>
            </m:sSub>
          </m:e>
        </m:d>
        <m:r>
          <w:rPr>
            <w:rFonts w:ascii="Cambria Math" w:hAnsi="Cambria Math" w:cs="Arial"/>
            <w:sz w:val="18"/>
            <w:szCs w:val="18"/>
          </w:rPr>
          <m:t>*</m:t>
        </m:r>
        <m:d>
          <m:dPr>
            <m:ctrlPr>
              <w:rPr>
                <w:rFonts w:ascii="Cambria Math" w:hAnsi="Cambria Math" w:cs="Arial"/>
                <w:i/>
                <w:sz w:val="18"/>
                <w:szCs w:val="18"/>
              </w:rPr>
            </m:ctrlPr>
          </m:dPr>
          <m:e>
            <m:r>
              <w:rPr>
                <w:rFonts w:ascii="Cambria Math" w:hAnsi="Cambria Math" w:cs="Arial"/>
                <w:sz w:val="18"/>
                <w:szCs w:val="18"/>
              </w:rPr>
              <m:t>0.1</m:t>
            </m:r>
          </m:e>
        </m:d>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Renta mensual</m:t>
            </m:r>
          </m:e>
          <m:sub>
            <m:r>
              <w:rPr>
                <w:rFonts w:ascii="Cambria Math" w:hAnsi="Cambria Math" w:cs="Arial"/>
                <w:sz w:val="18"/>
                <w:szCs w:val="18"/>
              </w:rPr>
              <m:t>i</m:t>
            </m:r>
          </m:sub>
        </m:sSub>
        <m:r>
          <w:rPr>
            <w:rFonts w:ascii="Cambria Math" w:hAnsi="Cambria Math" w:cs="Arial"/>
            <w:sz w:val="18"/>
            <w:szCs w:val="18"/>
          </w:rPr>
          <m:t>)</m:t>
        </m:r>
      </m:oMath>
      <w:r w:rsidR="00BA17D5" w:rsidRPr="0052418C">
        <w:rPr>
          <w:rFonts w:ascii="ITC Avant Garde" w:hAnsi="ITC Avant Garde" w:cs="Arial"/>
          <w:i/>
          <w:sz w:val="18"/>
          <w:szCs w:val="18"/>
        </w:rPr>
        <w:t>,</w:t>
      </w:r>
    </w:p>
    <w:p w14:paraId="3178A738" w14:textId="77777777" w:rsidR="00BA17D5" w:rsidRPr="0052418C" w:rsidRDefault="00BA17D5" w:rsidP="00BA17D5">
      <w:pPr>
        <w:autoSpaceDE w:val="0"/>
        <w:autoSpaceDN w:val="0"/>
        <w:adjustRightInd w:val="0"/>
        <w:spacing w:after="0" w:line="276" w:lineRule="auto"/>
        <w:ind w:left="567" w:right="616"/>
        <w:rPr>
          <w:rFonts w:ascii="ITC Avant Garde" w:hAnsi="ITC Avant Garde" w:cs="Arial"/>
          <w:i/>
          <w:sz w:val="18"/>
          <w:szCs w:val="18"/>
        </w:rPr>
      </w:pPr>
    </w:p>
    <w:p w14:paraId="7CB3CE48" w14:textId="77777777" w:rsidR="00BA17D5" w:rsidRPr="0052418C" w:rsidRDefault="00BA17D5" w:rsidP="00BA17D5">
      <w:pPr>
        <w:autoSpaceDE w:val="0"/>
        <w:autoSpaceDN w:val="0"/>
        <w:adjustRightInd w:val="0"/>
        <w:spacing w:after="0" w:line="276" w:lineRule="auto"/>
        <w:ind w:left="567" w:right="616"/>
        <w:rPr>
          <w:rFonts w:ascii="ITC Avant Garde" w:hAnsi="ITC Avant Garde" w:cs="Arial"/>
          <w:i/>
          <w:sz w:val="18"/>
          <w:szCs w:val="18"/>
        </w:rPr>
      </w:pPr>
      <w:r w:rsidRPr="0052418C">
        <w:rPr>
          <w:rFonts w:ascii="ITC Avant Garde" w:hAnsi="ITC Avant Garde" w:cs="Arial"/>
          <w:i/>
          <w:sz w:val="18"/>
          <w:szCs w:val="18"/>
        </w:rPr>
        <w:t>donde i es el enlace solicitado</w:t>
      </w:r>
    </w:p>
    <w:p w14:paraId="18FD902D" w14:textId="77777777" w:rsidR="00BA17D5" w:rsidRPr="0052418C" w:rsidRDefault="00BA17D5" w:rsidP="00BA17D5">
      <w:pPr>
        <w:autoSpaceDE w:val="0"/>
        <w:autoSpaceDN w:val="0"/>
        <w:adjustRightInd w:val="0"/>
        <w:spacing w:after="0" w:line="276" w:lineRule="auto"/>
        <w:ind w:left="567" w:right="616"/>
        <w:rPr>
          <w:rFonts w:ascii="ITC Avant Garde" w:hAnsi="ITC Avant Garde" w:cs="Arial"/>
          <w:i/>
          <w:sz w:val="18"/>
          <w:szCs w:val="18"/>
        </w:rPr>
      </w:pPr>
      <w:r w:rsidRPr="0052418C">
        <w:rPr>
          <w:rFonts w:ascii="ITC Avant Garde" w:hAnsi="ITC Avant Garde" w:cs="Arial"/>
          <w:i/>
          <w:sz w:val="18"/>
          <w:szCs w:val="18"/>
        </w:rPr>
        <w:t>[…]”</w:t>
      </w:r>
    </w:p>
    <w:p w14:paraId="576AAECF" w14:textId="77777777" w:rsidR="008B574B" w:rsidRPr="0052418C" w:rsidRDefault="008B574B" w:rsidP="00BA17D5">
      <w:pPr>
        <w:spacing w:after="0" w:line="276" w:lineRule="auto"/>
        <w:ind w:left="0" w:right="0" w:firstLine="0"/>
        <w:rPr>
          <w:rFonts w:ascii="ITC Avant Garde" w:eastAsia="Calibri" w:hAnsi="ITC Avant Garde" w:cs="Arial"/>
          <w:lang w:eastAsia="es-ES"/>
        </w:rPr>
      </w:pPr>
    </w:p>
    <w:p w14:paraId="32C12B71" w14:textId="21D090A2" w:rsidR="00253277" w:rsidRPr="0052418C" w:rsidRDefault="00253277" w:rsidP="0052418C">
      <w:pPr>
        <w:pStyle w:val="IFTnormal"/>
        <w:spacing w:after="0"/>
        <w:ind w:left="0"/>
        <w:rPr>
          <w:rFonts w:eastAsiaTheme="majorEastAsia" w:cs="Arial"/>
          <w:b/>
          <w:u w:val="single"/>
        </w:rPr>
      </w:pPr>
      <w:r w:rsidRPr="0052418C">
        <w:rPr>
          <w:rFonts w:eastAsiaTheme="majorEastAsia" w:cs="Arial"/>
          <w:b/>
          <w:u w:val="single"/>
        </w:rPr>
        <w:t>2.7.4</w:t>
      </w:r>
      <w:r w:rsidR="007E37A1" w:rsidRPr="0052418C">
        <w:rPr>
          <w:rFonts w:eastAsiaTheme="majorEastAsia" w:cs="Arial"/>
          <w:b/>
          <w:u w:val="single"/>
        </w:rPr>
        <w:t xml:space="preserve"> </w:t>
      </w:r>
      <w:r w:rsidR="00AF74BC" w:rsidRPr="0052418C">
        <w:rPr>
          <w:rFonts w:eastAsiaTheme="majorEastAsia" w:cs="Arial"/>
          <w:b/>
          <w:u w:val="single"/>
        </w:rPr>
        <w:t>.</w:t>
      </w:r>
    </w:p>
    <w:p w14:paraId="37AC6BA3" w14:textId="2F2872ED" w:rsidR="00253277" w:rsidRPr="0052418C" w:rsidRDefault="0027746F" w:rsidP="0052418C">
      <w:pPr>
        <w:pStyle w:val="IFTnormal"/>
        <w:spacing w:after="0"/>
        <w:ind w:left="0"/>
        <w:rPr>
          <w:rFonts w:cs="Arial"/>
          <w:b/>
        </w:rPr>
      </w:pPr>
      <w:r w:rsidRPr="0052418C">
        <w:rPr>
          <w:rFonts w:cs="Arial"/>
          <w:b/>
        </w:rPr>
        <w:t xml:space="preserve">GRUPO AT&amp;T: </w:t>
      </w:r>
    </w:p>
    <w:p w14:paraId="19910FEE" w14:textId="4EAB30B3" w:rsidR="00AF74BC" w:rsidRPr="0052418C" w:rsidRDefault="00BB388E" w:rsidP="0052418C">
      <w:pPr>
        <w:pStyle w:val="IFTnormal"/>
        <w:spacing w:after="0"/>
        <w:ind w:left="0"/>
      </w:pPr>
      <w:r w:rsidRPr="0052418C">
        <w:rPr>
          <w:rFonts w:eastAsiaTheme="majorEastAsia" w:cs="Arial"/>
        </w:rPr>
        <w:t>Sugiere</w:t>
      </w:r>
      <w:r w:rsidR="00253277" w:rsidRPr="0052418C">
        <w:rPr>
          <w:rFonts w:eastAsiaTheme="majorEastAsia" w:cs="Arial"/>
        </w:rPr>
        <w:t xml:space="preserve"> eliminar </w:t>
      </w:r>
      <w:r w:rsidR="003C45AA" w:rsidRPr="0052418C">
        <w:rPr>
          <w:rFonts w:eastAsiaTheme="majorEastAsia" w:cs="Arial"/>
        </w:rPr>
        <w:t xml:space="preserve">el numeral 2.7.4, </w:t>
      </w:r>
      <w:r w:rsidR="00EA543C" w:rsidRPr="0052418C">
        <w:rPr>
          <w:rFonts w:eastAsiaTheme="majorEastAsia" w:cs="Arial"/>
        </w:rPr>
        <w:t xml:space="preserve">debido a </w:t>
      </w:r>
      <w:r w:rsidR="00253277" w:rsidRPr="0052418C">
        <w:rPr>
          <w:rFonts w:eastAsiaTheme="majorEastAsia" w:cs="Arial"/>
        </w:rPr>
        <w:t>que no es razonable que una visita por un reporte de falla tenga una penalización</w:t>
      </w:r>
      <w:r w:rsidR="00EA1458" w:rsidRPr="0052418C">
        <w:rPr>
          <w:rFonts w:eastAsiaTheme="majorEastAsia" w:cs="Arial"/>
        </w:rPr>
        <w:t xml:space="preserve"> para el CS </w:t>
      </w:r>
      <w:r w:rsidR="00A27C7F" w:rsidRPr="0052418C">
        <w:rPr>
          <w:rFonts w:eastAsiaTheme="majorEastAsia" w:cs="Arial"/>
        </w:rPr>
        <w:t>mucho</w:t>
      </w:r>
      <w:r w:rsidR="00253277" w:rsidRPr="0052418C">
        <w:rPr>
          <w:rFonts w:eastAsiaTheme="majorEastAsia" w:cs="Arial"/>
        </w:rPr>
        <w:t xml:space="preserve"> mayor que todo un mes de enlace sin servicio por una falla de </w:t>
      </w:r>
      <w:r w:rsidR="00FE15AA" w:rsidRPr="0052418C">
        <w:rPr>
          <w:rFonts w:eastAsiaTheme="majorEastAsia" w:cs="Arial"/>
        </w:rPr>
        <w:t>Red Nacional</w:t>
      </w:r>
      <w:r w:rsidR="00AF74BC" w:rsidRPr="0052418C">
        <w:rPr>
          <w:rFonts w:eastAsiaTheme="majorEastAsia" w:cs="Arial"/>
        </w:rPr>
        <w:t xml:space="preserve">, </w:t>
      </w:r>
      <w:r w:rsidR="00AF74BC" w:rsidRPr="0052418C">
        <w:t>Asimismo señaló que, debe de eliminarse el punto 2.7.5.</w:t>
      </w:r>
    </w:p>
    <w:p w14:paraId="55C2216C" w14:textId="46988DEC" w:rsidR="00356A5E" w:rsidRPr="0052418C" w:rsidRDefault="00356A5E" w:rsidP="0052418C">
      <w:pPr>
        <w:pStyle w:val="IFTnormal"/>
        <w:spacing w:after="0"/>
        <w:ind w:left="0"/>
        <w:rPr>
          <w:rFonts w:eastAsiaTheme="majorEastAsia" w:cs="Arial"/>
        </w:rPr>
      </w:pPr>
    </w:p>
    <w:p w14:paraId="13890D45" w14:textId="2A4612EC" w:rsidR="0080033B" w:rsidRPr="0052418C" w:rsidRDefault="0080033B"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A84808" w:rsidRPr="0052418C">
        <w:rPr>
          <w:rFonts w:ascii="ITC Avant Garde" w:hAnsi="ITC Avant Garde" w:cs="Arial"/>
          <w:b/>
          <w:color w:val="auto"/>
        </w:rPr>
        <w:t>:</w:t>
      </w:r>
    </w:p>
    <w:p w14:paraId="0BCECC2A" w14:textId="1F4335EE" w:rsidR="00C86F69" w:rsidRPr="0052418C" w:rsidRDefault="00C86F69"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Por lo que hace a la penalización del 1.2 % </w:t>
      </w:r>
      <w:r w:rsidR="00FB3DC8" w:rsidRPr="0052418C">
        <w:rPr>
          <w:rFonts w:ascii="ITC Avant Garde" w:hAnsi="ITC Avant Garde"/>
          <w:color w:val="auto"/>
        </w:rPr>
        <w:t>representa un incentivo para la prestación de forma eficiente del servicio pues el reporte de casos de falla</w:t>
      </w:r>
      <w:r w:rsidRPr="0052418C">
        <w:rPr>
          <w:rFonts w:ascii="ITC Avant Garde" w:hAnsi="ITC Avant Garde" w:cs="Arial"/>
          <w:color w:val="auto"/>
        </w:rPr>
        <w:t xml:space="preserve"> falsos negativos,</w:t>
      </w:r>
      <w:r w:rsidR="00FB3DC8" w:rsidRPr="0052418C">
        <w:rPr>
          <w:rFonts w:ascii="ITC Avant Garde" w:hAnsi="ITC Avant Garde" w:cs="Arial"/>
          <w:color w:val="auto"/>
        </w:rPr>
        <w:t xml:space="preserve"> </w:t>
      </w:r>
      <w:r w:rsidR="00FB3DC8" w:rsidRPr="0052418C">
        <w:rPr>
          <w:rFonts w:ascii="ITC Avant Garde" w:hAnsi="ITC Avant Garde"/>
          <w:color w:val="auto"/>
        </w:rPr>
        <w:t>retrasa la atención de fallas reales por lo que, a efecto de evitar retrasos en la atención de fallas</w:t>
      </w:r>
      <w:r w:rsidRPr="0052418C">
        <w:rPr>
          <w:rFonts w:ascii="ITC Avant Garde" w:hAnsi="ITC Avant Garde" w:cs="Arial"/>
          <w:color w:val="auto"/>
        </w:rPr>
        <w:t xml:space="preserve"> se considera </w:t>
      </w:r>
      <w:r w:rsidR="00FB3DC8" w:rsidRPr="0052418C">
        <w:rPr>
          <w:rFonts w:ascii="ITC Avant Garde" w:hAnsi="ITC Avant Garde" w:cs="Arial"/>
          <w:color w:val="auto"/>
        </w:rPr>
        <w:t xml:space="preserve">necesario mantener dicha penalización. Asimismo, </w:t>
      </w:r>
      <w:r w:rsidRPr="0052418C">
        <w:rPr>
          <w:rFonts w:ascii="ITC Avant Garde" w:hAnsi="ITC Avant Garde" w:cs="Arial"/>
          <w:color w:val="auto"/>
        </w:rPr>
        <w:t xml:space="preserve">el CS o AS </w:t>
      </w:r>
      <w:r w:rsidR="007437E2" w:rsidRPr="0052418C">
        <w:rPr>
          <w:rFonts w:ascii="ITC Avant Garde" w:hAnsi="ITC Avant Garde" w:cs="Arial"/>
          <w:color w:val="auto"/>
        </w:rPr>
        <w:t>puede establecer mecanismos que mejoren la identificaci</w:t>
      </w:r>
      <w:r w:rsidR="00FC6CEC" w:rsidRPr="0052418C">
        <w:rPr>
          <w:rFonts w:ascii="ITC Avant Garde" w:hAnsi="ITC Avant Garde" w:cs="Arial"/>
          <w:color w:val="auto"/>
        </w:rPr>
        <w:t xml:space="preserve">ón </w:t>
      </w:r>
      <w:r w:rsidRPr="0052418C">
        <w:rPr>
          <w:rFonts w:ascii="ITC Avant Garde" w:hAnsi="ITC Avant Garde" w:cs="Arial"/>
          <w:color w:val="auto"/>
        </w:rPr>
        <w:t>y</w:t>
      </w:r>
      <w:r w:rsidR="00FC6CEC" w:rsidRPr="0052418C">
        <w:rPr>
          <w:rFonts w:ascii="ITC Avant Garde" w:hAnsi="ITC Avant Garde" w:cs="Arial"/>
          <w:color w:val="auto"/>
        </w:rPr>
        <w:t xml:space="preserve"> reporte de las fallas de tal forma</w:t>
      </w:r>
      <w:r w:rsidRPr="0052418C">
        <w:rPr>
          <w:rFonts w:ascii="ITC Avant Garde" w:hAnsi="ITC Avant Garde" w:cs="Arial"/>
          <w:color w:val="auto"/>
        </w:rPr>
        <w:t xml:space="preserve"> </w:t>
      </w:r>
      <w:r w:rsidR="00FC6CEC" w:rsidRPr="0052418C">
        <w:rPr>
          <w:rFonts w:ascii="ITC Avant Garde" w:hAnsi="ITC Avant Garde" w:cs="Arial"/>
          <w:color w:val="auto"/>
        </w:rPr>
        <w:t xml:space="preserve">que dicha penalización </w:t>
      </w:r>
      <w:r w:rsidRPr="0052418C">
        <w:rPr>
          <w:rFonts w:ascii="ITC Avant Garde" w:hAnsi="ITC Avant Garde" w:cs="Arial"/>
          <w:color w:val="auto"/>
        </w:rPr>
        <w:t xml:space="preserve">no </w:t>
      </w:r>
      <w:r w:rsidR="00112D9C" w:rsidRPr="0052418C">
        <w:rPr>
          <w:rFonts w:ascii="ITC Avant Garde" w:hAnsi="ITC Avant Garde" w:cs="Arial"/>
          <w:color w:val="auto"/>
        </w:rPr>
        <w:t xml:space="preserve">sea </w:t>
      </w:r>
      <w:r w:rsidR="003F4802" w:rsidRPr="0052418C">
        <w:rPr>
          <w:rFonts w:ascii="ITC Avant Garde" w:hAnsi="ITC Avant Garde" w:cs="Arial"/>
          <w:color w:val="auto"/>
        </w:rPr>
        <w:t>aplicable</w:t>
      </w:r>
      <w:r w:rsidR="00112D9C" w:rsidRPr="0052418C">
        <w:rPr>
          <w:rFonts w:ascii="ITC Avant Garde" w:hAnsi="ITC Avant Garde" w:cs="Arial"/>
          <w:color w:val="auto"/>
        </w:rPr>
        <w:t>.</w:t>
      </w:r>
    </w:p>
    <w:p w14:paraId="177B0E4C" w14:textId="77777777" w:rsidR="00B05531" w:rsidRPr="0052418C" w:rsidRDefault="00B05531" w:rsidP="0052418C">
      <w:pPr>
        <w:spacing w:after="0" w:line="276" w:lineRule="auto"/>
        <w:ind w:left="0" w:right="0" w:firstLine="0"/>
        <w:rPr>
          <w:rFonts w:ascii="ITC Avant Garde" w:hAnsi="ITC Avant Garde" w:cs="Arial"/>
          <w:color w:val="auto"/>
        </w:rPr>
      </w:pPr>
    </w:p>
    <w:p w14:paraId="66E0456F" w14:textId="18302815" w:rsidR="00F725F9" w:rsidRPr="0052418C" w:rsidRDefault="00F725F9" w:rsidP="0052418C">
      <w:pPr>
        <w:pStyle w:val="IFTnormal"/>
        <w:spacing w:after="0"/>
        <w:ind w:left="0"/>
        <w:rPr>
          <w:rFonts w:eastAsiaTheme="majorEastAsia" w:cs="Arial"/>
          <w:b/>
          <w:u w:val="single"/>
        </w:rPr>
      </w:pPr>
      <w:r w:rsidRPr="0052418C">
        <w:rPr>
          <w:rFonts w:eastAsiaTheme="majorEastAsia" w:cs="Arial"/>
          <w:b/>
          <w:u w:val="single"/>
        </w:rPr>
        <w:t>2.7.</w:t>
      </w:r>
      <w:r w:rsidR="00000287" w:rsidRPr="0052418C">
        <w:rPr>
          <w:rFonts w:eastAsiaTheme="majorEastAsia" w:cs="Arial"/>
          <w:b/>
          <w:u w:val="single"/>
        </w:rPr>
        <w:t>5</w:t>
      </w:r>
      <w:r w:rsidR="007E37A1" w:rsidRPr="0052418C">
        <w:rPr>
          <w:rFonts w:eastAsiaTheme="majorEastAsia" w:cs="Arial"/>
          <w:b/>
          <w:u w:val="single"/>
        </w:rPr>
        <w:t xml:space="preserve"> </w:t>
      </w:r>
      <w:r w:rsidR="007E37A1" w:rsidRPr="0052418C">
        <w:rPr>
          <w:rFonts w:eastAsiaTheme="majorEastAsia" w:cs="Arial"/>
          <w:b/>
          <w:u w:val="single"/>
          <w:lang w:val="es-MX"/>
        </w:rPr>
        <w:t>Procedimiento de liquidación de penalizaciones</w:t>
      </w:r>
    </w:p>
    <w:p w14:paraId="6697F8D0" w14:textId="77777777" w:rsidR="00B670E4" w:rsidRPr="0052418C" w:rsidRDefault="00B670E4" w:rsidP="0052418C">
      <w:pPr>
        <w:spacing w:after="0" w:line="276" w:lineRule="auto"/>
        <w:ind w:left="0" w:right="0"/>
        <w:rPr>
          <w:rFonts w:ascii="ITC Avant Garde" w:eastAsiaTheme="majorEastAsia" w:hAnsi="ITC Avant Garde" w:cs="Arial"/>
          <w:b/>
          <w:color w:val="auto"/>
          <w:lang w:val="es-ES_tradnl"/>
        </w:rPr>
      </w:pPr>
      <w:r w:rsidRPr="0052418C">
        <w:rPr>
          <w:rFonts w:ascii="ITC Avant Garde" w:eastAsiaTheme="majorEastAsia" w:hAnsi="ITC Avant Garde" w:cs="Arial"/>
          <w:b/>
          <w:color w:val="auto"/>
          <w:lang w:val="es-ES_tradnl"/>
        </w:rPr>
        <w:t>AXTEL:</w:t>
      </w:r>
    </w:p>
    <w:p w14:paraId="72550C60" w14:textId="0F75AE59" w:rsidR="00B670E4" w:rsidRPr="0052418C" w:rsidRDefault="00B670E4" w:rsidP="0052418C">
      <w:pPr>
        <w:pStyle w:val="IFTnormal"/>
        <w:spacing w:after="0"/>
        <w:ind w:left="0"/>
        <w:rPr>
          <w:rFonts w:cs="Arial"/>
          <w:bCs/>
        </w:rPr>
      </w:pPr>
      <w:r w:rsidRPr="0052418C">
        <w:rPr>
          <w:rFonts w:cs="Arial"/>
        </w:rPr>
        <w:lastRenderedPageBreak/>
        <w:t>Respecto al numeral 2.7.5. cuarto párrafo</w:t>
      </w:r>
      <w:r w:rsidR="003051D4">
        <w:rPr>
          <w:rFonts w:cs="Arial"/>
        </w:rPr>
        <w:t>,</w:t>
      </w:r>
      <w:r w:rsidRPr="0052418C">
        <w:rPr>
          <w:rFonts w:cs="Arial"/>
        </w:rPr>
        <w:t xml:space="preserve"> Axtel señal</w:t>
      </w:r>
      <w:r w:rsidR="004D6F7E">
        <w:rPr>
          <w:rFonts w:cs="Arial"/>
        </w:rPr>
        <w:t>ó</w:t>
      </w:r>
      <w:r w:rsidRPr="0052418C">
        <w:rPr>
          <w:rFonts w:cs="Arial"/>
        </w:rPr>
        <w:t xml:space="preserve"> que en la</w:t>
      </w:r>
      <w:r w:rsidR="00950752" w:rsidRPr="0052418C">
        <w:rPr>
          <w:rFonts w:cs="Arial"/>
        </w:rPr>
        <w:t xml:space="preserve"> Propuesta de</w:t>
      </w:r>
      <w:r w:rsidRPr="0052418C">
        <w:rPr>
          <w:rFonts w:cs="Arial"/>
        </w:rPr>
        <w:t xml:space="preserve"> Oferta indica que</w:t>
      </w:r>
      <w:r w:rsidR="00BB1D97">
        <w:rPr>
          <w:rFonts w:cs="Arial"/>
        </w:rPr>
        <w:t>,</w:t>
      </w:r>
      <w:r w:rsidRPr="0052418C">
        <w:rPr>
          <w:rFonts w:cs="Arial"/>
        </w:rPr>
        <w:t xml:space="preserve"> el </w:t>
      </w:r>
      <w:r w:rsidR="00D031D1" w:rsidRPr="0052418C">
        <w:rPr>
          <w:rFonts w:cs="Arial"/>
        </w:rPr>
        <w:t>cálculo</w:t>
      </w:r>
      <w:r w:rsidRPr="0052418C">
        <w:rPr>
          <w:rFonts w:cs="Arial"/>
        </w:rPr>
        <w:t xml:space="preserve"> de penalizaciones se llevará a cabo</w:t>
      </w:r>
      <w:r w:rsidR="00BB1D97">
        <w:rPr>
          <w:rFonts w:cs="Arial"/>
        </w:rPr>
        <w:t>,</w:t>
      </w:r>
      <w:r w:rsidRPr="0052418C">
        <w:rPr>
          <w:rFonts w:cs="Arial"/>
        </w:rPr>
        <w:t xml:space="preserve"> en la primera semana de cada mes</w:t>
      </w:r>
      <w:r w:rsidR="00BB1D97">
        <w:rPr>
          <w:rFonts w:cs="Arial"/>
        </w:rPr>
        <w:t>,</w:t>
      </w:r>
      <w:r w:rsidRPr="0052418C">
        <w:rPr>
          <w:rFonts w:cs="Arial"/>
        </w:rPr>
        <w:t xml:space="preserve"> una conciliación mensual para determinar la base de servicios en incumplimiento. </w:t>
      </w:r>
      <w:r w:rsidR="00950752" w:rsidRPr="0052418C">
        <w:rPr>
          <w:rFonts w:cs="Arial"/>
          <w:bCs/>
        </w:rPr>
        <w:t>Es así que</w:t>
      </w:r>
      <w:r w:rsidRPr="0052418C">
        <w:rPr>
          <w:rFonts w:cs="Arial"/>
          <w:bCs/>
        </w:rPr>
        <w:t>, Axtel solicitó al Instituto describir las reglas claras para realizar las conciliaciones, entre las que sugiere:</w:t>
      </w:r>
    </w:p>
    <w:p w14:paraId="43C8B928" w14:textId="77777777" w:rsidR="00B670E4" w:rsidRPr="0052418C" w:rsidRDefault="00B670E4" w:rsidP="0052418C">
      <w:pPr>
        <w:pStyle w:val="IFTnormal"/>
        <w:spacing w:after="0"/>
        <w:ind w:left="0"/>
        <w:rPr>
          <w:rFonts w:cs="Arial"/>
          <w:bCs/>
        </w:rPr>
      </w:pPr>
    </w:p>
    <w:p w14:paraId="06741E28" w14:textId="77777777" w:rsidR="00B670E4" w:rsidRPr="0052418C" w:rsidRDefault="00B670E4" w:rsidP="0052418C">
      <w:pPr>
        <w:pStyle w:val="IFTnormal"/>
        <w:numPr>
          <w:ilvl w:val="0"/>
          <w:numId w:val="86"/>
        </w:numPr>
        <w:spacing w:after="0"/>
        <w:rPr>
          <w:rFonts w:cs="Arial"/>
          <w:bCs/>
        </w:rPr>
      </w:pPr>
      <w:r w:rsidRPr="0052418C">
        <w:rPr>
          <w:rFonts w:cs="Arial"/>
          <w:bCs/>
        </w:rPr>
        <w:t>La información para iniciar las conciliaciones debe ser compartida por el AEP y debe contener la información mínima necesaria para realizar la revisión por parte del CS.</w:t>
      </w:r>
    </w:p>
    <w:p w14:paraId="2FB5AA37" w14:textId="77777777" w:rsidR="00B670E4" w:rsidRPr="0052418C" w:rsidRDefault="00B670E4" w:rsidP="0052418C">
      <w:pPr>
        <w:pStyle w:val="IFTnormal"/>
        <w:numPr>
          <w:ilvl w:val="0"/>
          <w:numId w:val="86"/>
        </w:numPr>
        <w:spacing w:after="0"/>
        <w:rPr>
          <w:rFonts w:cs="Arial"/>
          <w:bCs/>
        </w:rPr>
      </w:pPr>
      <w:r w:rsidRPr="0052418C">
        <w:rPr>
          <w:rFonts w:cs="Arial"/>
          <w:bCs/>
        </w:rPr>
        <w:t>De no recibir el archivo en tiempo, el AEP deberá ser acreedor a un incremento en la penalización por cada semana de retraso en su provisión.</w:t>
      </w:r>
    </w:p>
    <w:p w14:paraId="400DA5A1" w14:textId="77777777" w:rsidR="00B670E4" w:rsidRPr="0052418C" w:rsidRDefault="00B670E4" w:rsidP="0052418C">
      <w:pPr>
        <w:pStyle w:val="IFTnormal"/>
        <w:spacing w:after="0"/>
        <w:ind w:left="0"/>
        <w:rPr>
          <w:rFonts w:eastAsiaTheme="majorEastAsia" w:cs="Arial"/>
          <w:b/>
          <w:u w:val="single"/>
        </w:rPr>
      </w:pPr>
    </w:p>
    <w:p w14:paraId="0B9602CB" w14:textId="77777777" w:rsidR="006037D3" w:rsidRPr="0052418C" w:rsidRDefault="006037D3" w:rsidP="0052418C">
      <w:pPr>
        <w:pStyle w:val="IFTnormal"/>
        <w:spacing w:after="0"/>
        <w:ind w:left="0"/>
        <w:rPr>
          <w:rFonts w:cs="Arial"/>
          <w:b/>
        </w:rPr>
      </w:pPr>
      <w:r w:rsidRPr="0052418C">
        <w:rPr>
          <w:rFonts w:cs="Arial"/>
          <w:b/>
        </w:rPr>
        <w:t xml:space="preserve">GRUPO AT&amp;T: </w:t>
      </w:r>
    </w:p>
    <w:p w14:paraId="14F5D4BB" w14:textId="77777777" w:rsidR="006037D3" w:rsidRPr="0052418C" w:rsidRDefault="006037D3" w:rsidP="0052418C">
      <w:pPr>
        <w:pStyle w:val="IFTnormal"/>
        <w:spacing w:after="0"/>
        <w:ind w:left="0"/>
        <w:rPr>
          <w:rFonts w:eastAsiaTheme="majorEastAsia"/>
          <w:b/>
          <w:u w:val="single"/>
        </w:rPr>
      </w:pPr>
      <w:r w:rsidRPr="0052418C">
        <w:rPr>
          <w:rFonts w:eastAsiaTheme="majorEastAsia" w:cs="Arial"/>
        </w:rPr>
        <w:t>Sugirió eliminar el numeral 2.7.5</w:t>
      </w:r>
    </w:p>
    <w:p w14:paraId="01E5D18F" w14:textId="77777777" w:rsidR="00AC153E" w:rsidRPr="0052418C" w:rsidRDefault="00AC153E" w:rsidP="0052418C">
      <w:pPr>
        <w:spacing w:after="0" w:line="276" w:lineRule="auto"/>
        <w:ind w:left="0" w:right="0" w:firstLine="0"/>
        <w:rPr>
          <w:rFonts w:ascii="ITC Avant Garde" w:hAnsi="ITC Avant Garde" w:cs="Arial"/>
          <w:b/>
          <w:color w:val="auto"/>
        </w:rPr>
      </w:pPr>
    </w:p>
    <w:p w14:paraId="3117938C" w14:textId="11BC2CDD" w:rsidR="00CA1EAC" w:rsidRPr="0052418C" w:rsidRDefault="001E0963"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3C45AA" w:rsidRPr="0052418C">
        <w:rPr>
          <w:rFonts w:ascii="ITC Avant Garde" w:hAnsi="ITC Avant Garde" w:cs="Arial"/>
          <w:b/>
          <w:color w:val="auto"/>
        </w:rPr>
        <w:t>:</w:t>
      </w:r>
    </w:p>
    <w:p w14:paraId="205FEAC3" w14:textId="77777777" w:rsidR="00D031D1" w:rsidRPr="0052418C" w:rsidRDefault="003C45AA" w:rsidP="0052418C">
      <w:pPr>
        <w:spacing w:after="0" w:line="276" w:lineRule="auto"/>
        <w:ind w:left="0" w:right="0" w:firstLine="0"/>
        <w:rPr>
          <w:rFonts w:ascii="ITC Avant Garde" w:hAnsi="ITC Avant Garde"/>
        </w:rPr>
      </w:pPr>
      <w:r w:rsidRPr="0052418C">
        <w:rPr>
          <w:rFonts w:ascii="ITC Avant Garde" w:hAnsi="ITC Avant Garde" w:cs="Arial"/>
          <w:color w:val="auto"/>
        </w:rPr>
        <w:t xml:space="preserve">Al respecto, </w:t>
      </w:r>
      <w:r w:rsidR="0084614B" w:rsidRPr="0052418C">
        <w:rPr>
          <w:rFonts w:ascii="ITC Avant Garde" w:hAnsi="ITC Avant Garde" w:cs="Arial"/>
          <w:color w:val="auto"/>
        </w:rPr>
        <w:t xml:space="preserve">se considera </w:t>
      </w:r>
      <w:r w:rsidR="006E174D" w:rsidRPr="0052418C">
        <w:rPr>
          <w:rFonts w:ascii="ITC Avant Garde" w:hAnsi="ITC Avant Garde" w:cs="Arial"/>
          <w:color w:val="auto"/>
        </w:rPr>
        <w:t xml:space="preserve">necesario contar con un procedimiento </w:t>
      </w:r>
      <w:r w:rsidR="0084614B" w:rsidRPr="0052418C">
        <w:rPr>
          <w:rFonts w:ascii="ITC Avant Garde" w:hAnsi="ITC Avant Garde" w:cs="Arial"/>
          <w:color w:val="auto"/>
        </w:rPr>
        <w:t xml:space="preserve">de </w:t>
      </w:r>
      <w:r w:rsidR="00166904" w:rsidRPr="0052418C">
        <w:rPr>
          <w:rFonts w:ascii="ITC Avant Garde" w:hAnsi="ITC Avant Garde" w:cs="Arial"/>
          <w:color w:val="auto"/>
        </w:rPr>
        <w:t xml:space="preserve">liquidación </w:t>
      </w:r>
      <w:r w:rsidR="0084614B" w:rsidRPr="0052418C">
        <w:rPr>
          <w:rFonts w:ascii="ITC Avant Garde" w:hAnsi="ITC Avant Garde" w:cs="Arial"/>
          <w:color w:val="auto"/>
        </w:rPr>
        <w:t xml:space="preserve">de </w:t>
      </w:r>
      <w:r w:rsidR="00166904" w:rsidRPr="0052418C">
        <w:rPr>
          <w:rFonts w:ascii="ITC Avant Garde" w:hAnsi="ITC Avant Garde" w:cs="Arial"/>
          <w:color w:val="auto"/>
        </w:rPr>
        <w:t>penalizaciones</w:t>
      </w:r>
      <w:r w:rsidR="0084614B" w:rsidRPr="0052418C">
        <w:rPr>
          <w:rFonts w:ascii="ITC Avant Garde" w:hAnsi="ITC Avant Garde" w:cs="Arial"/>
          <w:color w:val="auto"/>
        </w:rPr>
        <w:t xml:space="preserve"> que </w:t>
      </w:r>
      <w:r w:rsidR="001429E6" w:rsidRPr="0052418C">
        <w:rPr>
          <w:rFonts w:ascii="ITC Avant Garde" w:hAnsi="ITC Avant Garde" w:cs="Arial"/>
          <w:color w:val="auto"/>
        </w:rPr>
        <w:t xml:space="preserve">garantice a </w:t>
      </w:r>
      <w:r w:rsidR="0084614B" w:rsidRPr="0052418C">
        <w:rPr>
          <w:rFonts w:ascii="ITC Avant Garde" w:hAnsi="ITC Avant Garde"/>
        </w:rPr>
        <w:t xml:space="preserve">las </w:t>
      </w:r>
      <w:r w:rsidR="001429E6" w:rsidRPr="0052418C">
        <w:rPr>
          <w:rFonts w:ascii="ITC Avant Garde" w:hAnsi="ITC Avant Garde"/>
        </w:rPr>
        <w:t xml:space="preserve">partes la aplicación </w:t>
      </w:r>
      <w:r w:rsidR="0084614B" w:rsidRPr="0052418C">
        <w:rPr>
          <w:rFonts w:ascii="ITC Avant Garde" w:hAnsi="ITC Avant Garde"/>
        </w:rPr>
        <w:t>de la</w:t>
      </w:r>
      <w:r w:rsidR="001429E6" w:rsidRPr="0052418C">
        <w:rPr>
          <w:rFonts w:ascii="ITC Avant Garde" w:hAnsi="ITC Avant Garde"/>
        </w:rPr>
        <w:t>s</w:t>
      </w:r>
      <w:r w:rsidR="00065B93" w:rsidRPr="0052418C">
        <w:rPr>
          <w:rFonts w:ascii="ITC Avant Garde" w:hAnsi="ITC Avant Garde"/>
        </w:rPr>
        <w:t xml:space="preserve"> </w:t>
      </w:r>
      <w:r w:rsidR="001429E6" w:rsidRPr="0052418C">
        <w:rPr>
          <w:rFonts w:ascii="ITC Avant Garde" w:hAnsi="ITC Avant Garde"/>
        </w:rPr>
        <w:t>penalizaciones conforme a lo establecido en</w:t>
      </w:r>
      <w:r w:rsidR="00065B93" w:rsidRPr="0052418C">
        <w:rPr>
          <w:rFonts w:ascii="ITC Avant Garde" w:hAnsi="ITC Avant Garde"/>
        </w:rPr>
        <w:t xml:space="preserve"> la ORE.</w:t>
      </w:r>
      <w:r w:rsidR="00654753" w:rsidRPr="0052418C">
        <w:rPr>
          <w:rFonts w:ascii="ITC Avant Garde" w:hAnsi="ITC Avant Garde"/>
        </w:rPr>
        <w:t xml:space="preserve"> </w:t>
      </w:r>
    </w:p>
    <w:p w14:paraId="77B0E695" w14:textId="77777777" w:rsidR="00D031D1" w:rsidRPr="0052418C" w:rsidRDefault="00D031D1" w:rsidP="0052418C">
      <w:pPr>
        <w:spacing w:after="0" w:line="276" w:lineRule="auto"/>
        <w:ind w:left="0" w:right="0" w:firstLine="0"/>
        <w:rPr>
          <w:rFonts w:ascii="ITC Avant Garde" w:hAnsi="ITC Avant Garde"/>
        </w:rPr>
      </w:pPr>
    </w:p>
    <w:p w14:paraId="1053CDCA" w14:textId="1798B2D1" w:rsidR="00D031D1" w:rsidRPr="0052418C" w:rsidRDefault="00D031D1" w:rsidP="0052418C">
      <w:pPr>
        <w:spacing w:after="0" w:line="276" w:lineRule="auto"/>
        <w:ind w:left="0" w:right="0" w:firstLine="0"/>
        <w:rPr>
          <w:rFonts w:ascii="ITC Avant Garde" w:hAnsi="ITC Avant Garde"/>
          <w:color w:val="auto"/>
        </w:rPr>
      </w:pPr>
      <w:r w:rsidRPr="0052418C">
        <w:rPr>
          <w:rFonts w:ascii="ITC Avant Garde" w:eastAsiaTheme="majorEastAsia" w:hAnsi="ITC Avant Garde"/>
        </w:rPr>
        <w:t>Por lo que respecta</w:t>
      </w:r>
      <w:r w:rsidRPr="0052418C">
        <w:rPr>
          <w:rFonts w:ascii="ITC Avant Garde" w:hAnsi="ITC Avant Garde" w:cs="Arial"/>
          <w:bCs/>
        </w:rPr>
        <w:t xml:space="preserve"> a describir las reglas claras para realizar las conciliaciones,</w:t>
      </w:r>
      <w:r w:rsidRPr="0052418C" w:rsidDel="00887579">
        <w:rPr>
          <w:rFonts w:ascii="ITC Avant Garde" w:eastAsiaTheme="majorEastAsia" w:hAnsi="ITC Avant Garde"/>
        </w:rPr>
        <w:t xml:space="preserve"> </w:t>
      </w:r>
      <w:r w:rsidRPr="0052418C">
        <w:rPr>
          <w:rFonts w:ascii="ITC Avant Garde" w:eastAsiaTheme="majorEastAsia" w:hAnsi="ITC Avant Garde"/>
        </w:rPr>
        <w:t>cabe señalar que dicho supuesto se encuentra considerado en la ORE EM 2022 estableciéndose que se deberá llevar a cabo en la primera semana de cada mes una conciliación mensual para determinar la base de servicios correspondientes que hayan estado en incumplimiento el mes inmediato anterior, y determinar el monto penalizable, por lo que será responsabilidad de las partes presentar la información correspondiente para realizar las conciliaciones necesarias</w:t>
      </w:r>
      <w:r w:rsidRPr="0052418C">
        <w:rPr>
          <w:rFonts w:ascii="ITC Avant Garde" w:hAnsi="ITC Avant Garde"/>
          <w:color w:val="auto"/>
        </w:rPr>
        <w:t>.</w:t>
      </w:r>
    </w:p>
    <w:p w14:paraId="2E0D53D6" w14:textId="77777777" w:rsidR="006037D3" w:rsidRPr="0052418C" w:rsidRDefault="006037D3" w:rsidP="0052418C">
      <w:pPr>
        <w:pStyle w:val="IFTnormal"/>
        <w:spacing w:after="0"/>
        <w:ind w:left="0"/>
        <w:rPr>
          <w:rFonts w:cs="Arial"/>
          <w:b/>
          <w:lang w:val="es-MX"/>
        </w:rPr>
      </w:pPr>
    </w:p>
    <w:p w14:paraId="037D9E6A" w14:textId="2941B6D4" w:rsidR="004E0329" w:rsidRPr="0052418C" w:rsidRDefault="004E0329" w:rsidP="0052418C">
      <w:pPr>
        <w:spacing w:after="0" w:line="276" w:lineRule="auto"/>
        <w:ind w:left="0" w:right="0" w:firstLine="0"/>
        <w:rPr>
          <w:rFonts w:ascii="ITC Avant Garde" w:hAnsi="ITC Avant Garde" w:cs="Arial"/>
          <w:b/>
          <w:color w:val="auto"/>
          <w:u w:val="single"/>
        </w:rPr>
      </w:pPr>
      <w:r w:rsidRPr="0052418C">
        <w:rPr>
          <w:rFonts w:ascii="ITC Avant Garde" w:hAnsi="ITC Avant Garde" w:cs="Arial"/>
          <w:b/>
          <w:color w:val="auto"/>
          <w:u w:val="single"/>
        </w:rPr>
        <w:t>2.7.6</w:t>
      </w:r>
    </w:p>
    <w:p w14:paraId="51CAC2FB" w14:textId="1E9F4168" w:rsidR="00D44451" w:rsidRPr="0052418C" w:rsidRDefault="00D44451" w:rsidP="0052418C">
      <w:pPr>
        <w:spacing w:after="0" w:line="276" w:lineRule="auto"/>
        <w:ind w:left="0" w:right="0" w:firstLine="0"/>
        <w:rPr>
          <w:rFonts w:ascii="ITC Avant Garde" w:hAnsi="ITC Avant Garde" w:cs="Arial"/>
          <w:color w:val="auto"/>
        </w:rPr>
      </w:pPr>
      <w:r w:rsidRPr="0052418C">
        <w:rPr>
          <w:rFonts w:ascii="ITC Avant Garde" w:hAnsi="ITC Avant Garde" w:cs="Arial"/>
          <w:b/>
          <w:color w:val="auto"/>
        </w:rPr>
        <w:t>GRUPO AT&amp;T:</w:t>
      </w:r>
    </w:p>
    <w:p w14:paraId="254F8E90" w14:textId="09ED2304" w:rsidR="00D70932" w:rsidRPr="0052418C" w:rsidRDefault="00221CD3" w:rsidP="0052418C">
      <w:pPr>
        <w:spacing w:after="0" w:line="276" w:lineRule="auto"/>
        <w:ind w:left="0" w:right="0" w:firstLine="0"/>
        <w:rPr>
          <w:rFonts w:ascii="ITC Avant Garde" w:hAnsi="ITC Avant Garde" w:cs="Arial"/>
          <w:color w:val="auto"/>
          <w:sz w:val="18"/>
          <w:szCs w:val="18"/>
        </w:rPr>
      </w:pPr>
      <w:r w:rsidRPr="0052418C">
        <w:rPr>
          <w:rFonts w:ascii="ITC Avant Garde" w:hAnsi="ITC Avant Garde" w:cs="Arial"/>
          <w:color w:val="auto"/>
        </w:rPr>
        <w:t xml:space="preserve">Señaló </w:t>
      </w:r>
      <w:r w:rsidR="00252F42" w:rsidRPr="0052418C">
        <w:rPr>
          <w:rFonts w:ascii="ITC Avant Garde" w:hAnsi="ITC Avant Garde" w:cs="Arial"/>
          <w:color w:val="auto"/>
        </w:rPr>
        <w:t xml:space="preserve">que cuando un enlace presenta fallas recurrentes y </w:t>
      </w:r>
      <w:r w:rsidR="00107A4B" w:rsidRPr="0052418C">
        <w:rPr>
          <w:rFonts w:ascii="ITC Avant Garde" w:hAnsi="ITC Avant Garde" w:cs="Arial"/>
          <w:color w:val="auto"/>
        </w:rPr>
        <w:t xml:space="preserve">Red Nacional </w:t>
      </w:r>
      <w:r w:rsidR="00252F42" w:rsidRPr="0052418C">
        <w:rPr>
          <w:rFonts w:ascii="ITC Avant Garde" w:hAnsi="ITC Avant Garde" w:cs="Arial"/>
          <w:color w:val="auto"/>
        </w:rPr>
        <w:t xml:space="preserve">no </w:t>
      </w:r>
      <w:r w:rsidR="00447DB6" w:rsidRPr="0052418C">
        <w:rPr>
          <w:rFonts w:ascii="ITC Avant Garde" w:hAnsi="ITC Avant Garde" w:cs="Arial"/>
          <w:color w:val="auto"/>
        </w:rPr>
        <w:t xml:space="preserve">puedan </w:t>
      </w:r>
      <w:r w:rsidR="00252F42" w:rsidRPr="0052418C">
        <w:rPr>
          <w:rFonts w:ascii="ITC Avant Garde" w:hAnsi="ITC Avant Garde" w:cs="Arial"/>
          <w:color w:val="auto"/>
        </w:rPr>
        <w:t>solucionarlas, no es suficiente con aplicar una penalidad, el CS deberá buscar una alternativa en un tiempo razonable y poder cancelar el enlace sin penalidad</w:t>
      </w:r>
      <w:r w:rsidR="0027369C" w:rsidRPr="0052418C">
        <w:rPr>
          <w:rFonts w:ascii="ITC Avant Garde" w:hAnsi="ITC Avant Garde" w:cs="Arial"/>
          <w:color w:val="auto"/>
        </w:rPr>
        <w:t>.</w:t>
      </w:r>
    </w:p>
    <w:p w14:paraId="34E3FC31" w14:textId="77777777" w:rsidR="00252F42" w:rsidRPr="0052418C" w:rsidRDefault="00252F42" w:rsidP="0052418C">
      <w:pPr>
        <w:spacing w:after="0" w:line="276" w:lineRule="auto"/>
        <w:ind w:left="0" w:right="0" w:firstLine="0"/>
        <w:rPr>
          <w:rFonts w:ascii="ITC Avant Garde" w:hAnsi="ITC Avant Garde" w:cs="Arial"/>
          <w:color w:val="auto"/>
        </w:rPr>
      </w:pPr>
    </w:p>
    <w:p w14:paraId="294EA584" w14:textId="4E42AF2F" w:rsidR="004E0329" w:rsidRPr="0052418C" w:rsidRDefault="004E0329"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6C24CD" w:rsidRPr="0052418C">
        <w:rPr>
          <w:rFonts w:ascii="ITC Avant Garde" w:hAnsi="ITC Avant Garde" w:cs="Arial"/>
          <w:b/>
          <w:color w:val="auto"/>
        </w:rPr>
        <w:t>:</w:t>
      </w:r>
    </w:p>
    <w:p w14:paraId="493077E5" w14:textId="5F580B38" w:rsidR="004E0329" w:rsidRPr="0052418C" w:rsidRDefault="006C24CD"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Al respecto se señala</w:t>
      </w:r>
      <w:r w:rsidR="003F4802" w:rsidRPr="0052418C">
        <w:rPr>
          <w:rFonts w:ascii="ITC Avant Garde" w:hAnsi="ITC Avant Garde" w:cs="Arial"/>
          <w:color w:val="auto"/>
        </w:rPr>
        <w:t xml:space="preserve">, que la ORE </w:t>
      </w:r>
      <w:r w:rsidR="00E12D72" w:rsidRPr="0052418C">
        <w:rPr>
          <w:rFonts w:ascii="ITC Avant Garde" w:hAnsi="ITC Avant Garde" w:cs="Arial"/>
          <w:color w:val="auto"/>
        </w:rPr>
        <w:t>EM</w:t>
      </w:r>
      <w:r w:rsidR="003F4802" w:rsidRPr="0052418C">
        <w:rPr>
          <w:rFonts w:ascii="ITC Avant Garde" w:hAnsi="ITC Avant Garde" w:cs="Arial"/>
          <w:color w:val="auto"/>
        </w:rPr>
        <w:t xml:space="preserve"> </w:t>
      </w:r>
      <w:r w:rsidR="00447DB6" w:rsidRPr="0052418C">
        <w:rPr>
          <w:rFonts w:ascii="ITC Avant Garde" w:hAnsi="ITC Avant Garde" w:cs="Arial"/>
          <w:color w:val="auto"/>
        </w:rPr>
        <w:t xml:space="preserve">2022 </w:t>
      </w:r>
      <w:r w:rsidR="003F4802" w:rsidRPr="0052418C">
        <w:rPr>
          <w:rFonts w:ascii="ITC Avant Garde" w:hAnsi="ITC Avant Garde" w:cs="Arial"/>
          <w:color w:val="auto"/>
        </w:rPr>
        <w:t>no establece penalización por cancelar o dar de baja un servicio, para tal efecto</w:t>
      </w:r>
      <w:r w:rsidRPr="0052418C">
        <w:rPr>
          <w:rFonts w:ascii="ITC Avant Garde" w:hAnsi="ITC Avant Garde" w:cs="Arial"/>
          <w:color w:val="auto"/>
        </w:rPr>
        <w:t xml:space="preserve"> </w:t>
      </w:r>
      <w:r w:rsidR="00252F42" w:rsidRPr="0052418C">
        <w:rPr>
          <w:rFonts w:ascii="ITC Avant Garde" w:hAnsi="ITC Avant Garde" w:cs="Arial"/>
          <w:color w:val="auto"/>
        </w:rPr>
        <w:t xml:space="preserve">el convenio que acompaña a la ORE </w:t>
      </w:r>
      <w:r w:rsidR="00E12D72" w:rsidRPr="0052418C">
        <w:rPr>
          <w:rFonts w:ascii="ITC Avant Garde" w:hAnsi="ITC Avant Garde" w:cs="Arial"/>
          <w:color w:val="auto"/>
        </w:rPr>
        <w:t xml:space="preserve">EM </w:t>
      </w:r>
      <w:r w:rsidR="00447DB6" w:rsidRPr="0052418C">
        <w:rPr>
          <w:rFonts w:ascii="ITC Avant Garde" w:hAnsi="ITC Avant Garde" w:cs="Arial"/>
          <w:color w:val="auto"/>
        </w:rPr>
        <w:t xml:space="preserve">2022 </w:t>
      </w:r>
      <w:r w:rsidR="00252F42" w:rsidRPr="0052418C">
        <w:rPr>
          <w:rFonts w:ascii="ITC Avant Garde" w:hAnsi="ITC Avant Garde" w:cs="Arial"/>
          <w:color w:val="auto"/>
        </w:rPr>
        <w:t xml:space="preserve">considera en su cláusula décima un proceso de baja de los servicios </w:t>
      </w:r>
      <w:r w:rsidR="003F4802" w:rsidRPr="0052418C">
        <w:rPr>
          <w:rFonts w:ascii="ITC Avant Garde" w:hAnsi="ITC Avant Garde" w:cs="Arial"/>
          <w:color w:val="auto"/>
        </w:rPr>
        <w:t>mediante el cual el CS o AS podrá dar de baja algún enlace si</w:t>
      </w:r>
      <w:r w:rsidR="00A47B26">
        <w:rPr>
          <w:rFonts w:ascii="ITC Avant Garde" w:hAnsi="ITC Avant Garde" w:cs="Arial"/>
          <w:color w:val="auto"/>
        </w:rPr>
        <w:t>n</w:t>
      </w:r>
      <w:r w:rsidR="003F4802" w:rsidRPr="0052418C">
        <w:rPr>
          <w:rFonts w:ascii="ITC Avant Garde" w:hAnsi="ITC Avant Garde" w:cs="Arial"/>
          <w:color w:val="auto"/>
        </w:rPr>
        <w:t xml:space="preserve"> ser acreedor a algún tipo de penalización</w:t>
      </w:r>
      <w:r w:rsidR="005D3523" w:rsidRPr="0052418C">
        <w:rPr>
          <w:rFonts w:ascii="ITC Avant Garde" w:hAnsi="ITC Avant Garde" w:cs="Arial"/>
          <w:color w:val="auto"/>
        </w:rPr>
        <w:t>.</w:t>
      </w:r>
    </w:p>
    <w:p w14:paraId="09EBE36D" w14:textId="58EF283C" w:rsidR="00AF2E00" w:rsidRPr="0052418C" w:rsidRDefault="00AF2E00" w:rsidP="0052418C">
      <w:pPr>
        <w:tabs>
          <w:tab w:val="left" w:pos="709"/>
        </w:tabs>
        <w:spacing w:line="276" w:lineRule="auto"/>
        <w:contextualSpacing/>
        <w:rPr>
          <w:rFonts w:ascii="ITC Avant Garde" w:hAnsi="ITC Avant Garde" w:cs="Arial"/>
          <w:color w:val="auto"/>
        </w:rPr>
      </w:pPr>
    </w:p>
    <w:p w14:paraId="2B6E6AFA" w14:textId="77777777" w:rsidR="00B670E4" w:rsidRPr="0052418C" w:rsidRDefault="00B670E4" w:rsidP="0052418C">
      <w:pPr>
        <w:spacing w:after="0" w:line="276" w:lineRule="auto"/>
        <w:ind w:left="0" w:right="0" w:firstLine="0"/>
        <w:rPr>
          <w:rFonts w:ascii="ITC Avant Garde" w:hAnsi="ITC Avant Garde"/>
          <w:color w:val="auto"/>
          <w:u w:val="single"/>
        </w:rPr>
      </w:pPr>
      <w:r w:rsidRPr="0052418C">
        <w:rPr>
          <w:rFonts w:ascii="ITC Avant Garde" w:eastAsiaTheme="majorEastAsia" w:hAnsi="ITC Avant Garde" w:cstheme="majorBidi"/>
          <w:b/>
          <w:color w:val="auto"/>
          <w:u w:val="single"/>
          <w:lang w:val="es-ES_tradnl"/>
        </w:rPr>
        <w:t>2.8 Aclaración de facturas.</w:t>
      </w:r>
    </w:p>
    <w:p w14:paraId="460AB031" w14:textId="77777777" w:rsidR="00B670E4" w:rsidRPr="0052418C" w:rsidRDefault="00B670E4" w:rsidP="0052418C">
      <w:pPr>
        <w:spacing w:after="0" w:line="276" w:lineRule="auto"/>
        <w:ind w:left="0" w:right="0" w:firstLine="0"/>
        <w:rPr>
          <w:rFonts w:ascii="ITC Avant Garde" w:hAnsi="ITC Avant Garde"/>
          <w:b/>
          <w:color w:val="auto"/>
        </w:rPr>
      </w:pPr>
      <w:r w:rsidRPr="0052418C">
        <w:rPr>
          <w:rFonts w:ascii="ITC Avant Garde" w:hAnsi="ITC Avant Garde"/>
          <w:b/>
          <w:color w:val="auto"/>
        </w:rPr>
        <w:t>AXTEL:</w:t>
      </w:r>
    </w:p>
    <w:p w14:paraId="23162A8F" w14:textId="78F71E14" w:rsidR="00B670E4" w:rsidRPr="0052418C" w:rsidRDefault="00B670E4" w:rsidP="0052418C">
      <w:pPr>
        <w:spacing w:after="0" w:line="276" w:lineRule="auto"/>
        <w:ind w:left="0" w:right="0" w:firstLine="0"/>
        <w:rPr>
          <w:rFonts w:ascii="ITC Avant Garde" w:hAnsi="ITC Avant Garde"/>
          <w:color w:val="auto"/>
        </w:rPr>
      </w:pPr>
      <w:r w:rsidRPr="0052418C">
        <w:rPr>
          <w:rFonts w:ascii="ITC Avant Garde" w:hAnsi="ITC Avant Garde"/>
          <w:color w:val="auto"/>
        </w:rPr>
        <w:t xml:space="preserve">Señaló que en el inciso </w:t>
      </w:r>
      <w:r w:rsidRPr="0052418C">
        <w:rPr>
          <w:rFonts w:ascii="ITC Avant Garde" w:hAnsi="ITC Avant Garde"/>
          <w:b/>
          <w:color w:val="auto"/>
        </w:rPr>
        <w:t>c)</w:t>
      </w:r>
      <w:r w:rsidRPr="0052418C">
        <w:rPr>
          <w:rFonts w:ascii="ITC Avant Garde" w:hAnsi="ITC Avant Garde"/>
          <w:color w:val="auto"/>
        </w:rPr>
        <w:t xml:space="preserve"> segundo párrafo el AEP interpreta las objeciones relacionadas con la facturación de acuerdo a sus propios criterios, por lo que en virtud de lo anterior solicitó al Instituto incluya un procedimiento de solución de objeciones entre el CS y el AEP mismo que incorpore un tiempo de al menos 30 días naturales, la no ejecución de fianzas en tanto no exista una resolución o sentencia en firme, así como la intervención del Instituto una vez agotados los plazos de negociación y a petición de cualquiera de ellas. </w:t>
      </w:r>
    </w:p>
    <w:p w14:paraId="246B72DD" w14:textId="77777777" w:rsidR="00B670E4" w:rsidRPr="0052418C" w:rsidRDefault="00B670E4" w:rsidP="0052418C">
      <w:pPr>
        <w:spacing w:after="0" w:line="276" w:lineRule="auto"/>
        <w:ind w:left="0" w:right="0" w:firstLine="0"/>
        <w:rPr>
          <w:rFonts w:ascii="ITC Avant Garde" w:hAnsi="ITC Avant Garde"/>
          <w:color w:val="auto"/>
        </w:rPr>
      </w:pPr>
    </w:p>
    <w:p w14:paraId="492243A1" w14:textId="77777777" w:rsidR="00B670E4" w:rsidRPr="0052418C" w:rsidRDefault="00B670E4" w:rsidP="0052418C">
      <w:pPr>
        <w:tabs>
          <w:tab w:val="center" w:pos="4419"/>
        </w:tabs>
        <w:spacing w:after="0" w:line="276" w:lineRule="auto"/>
        <w:ind w:left="0" w:right="0" w:firstLine="0"/>
        <w:rPr>
          <w:rFonts w:ascii="ITC Avant Garde" w:hAnsi="ITC Avant Garde" w:cs="Times New Roman"/>
          <w:b/>
          <w:color w:val="auto"/>
        </w:rPr>
      </w:pPr>
      <w:r w:rsidRPr="0052418C">
        <w:rPr>
          <w:rFonts w:ascii="ITC Avant Garde" w:hAnsi="ITC Avant Garde" w:cs="Times New Roman"/>
          <w:b/>
          <w:color w:val="auto"/>
        </w:rPr>
        <w:t>Consideraciones del Instituto:</w:t>
      </w:r>
      <w:r w:rsidRPr="0052418C">
        <w:rPr>
          <w:rFonts w:ascii="ITC Avant Garde" w:hAnsi="ITC Avant Garde" w:cs="Times New Roman"/>
          <w:b/>
          <w:color w:val="auto"/>
        </w:rPr>
        <w:tab/>
      </w:r>
    </w:p>
    <w:p w14:paraId="428EA3B3" w14:textId="2C5B006B" w:rsidR="00B670E4" w:rsidRPr="0052418C" w:rsidRDefault="00DA0DB8" w:rsidP="0052418C">
      <w:pPr>
        <w:tabs>
          <w:tab w:val="left" w:pos="284"/>
        </w:tabs>
        <w:spacing w:line="276" w:lineRule="auto"/>
        <w:rPr>
          <w:rFonts w:ascii="ITC Avant Garde" w:hAnsi="ITC Avant Garde"/>
          <w:color w:val="auto"/>
        </w:rPr>
      </w:pPr>
      <w:r w:rsidRPr="0052418C">
        <w:rPr>
          <w:rFonts w:ascii="ITC Avant Garde" w:hAnsi="ITC Avant Garde"/>
          <w:color w:val="auto"/>
        </w:rPr>
        <w:t>Con respecto a lo señalado por Axtel</w:t>
      </w:r>
      <w:r w:rsidR="00B670E4" w:rsidRPr="0052418C">
        <w:rPr>
          <w:rFonts w:ascii="ITC Avant Garde" w:hAnsi="ITC Avant Garde"/>
          <w:color w:val="auto"/>
        </w:rPr>
        <w:t>, la ORE EM 202</w:t>
      </w:r>
      <w:r w:rsidRPr="0052418C">
        <w:rPr>
          <w:rFonts w:ascii="ITC Avant Garde" w:hAnsi="ITC Avant Garde"/>
          <w:color w:val="auto"/>
        </w:rPr>
        <w:t>2</w:t>
      </w:r>
      <w:r w:rsidR="00B670E4" w:rsidRPr="0052418C">
        <w:rPr>
          <w:rFonts w:ascii="ITC Avant Garde" w:hAnsi="ITC Avant Garde"/>
          <w:color w:val="auto"/>
        </w:rPr>
        <w:t xml:space="preserve"> contiene el procedimiento</w:t>
      </w:r>
      <w:r w:rsidR="006037D3" w:rsidRPr="0052418C">
        <w:rPr>
          <w:rFonts w:ascii="ITC Avant Garde" w:hAnsi="ITC Avant Garde"/>
          <w:color w:val="auto"/>
        </w:rPr>
        <w:t xml:space="preserve"> </w:t>
      </w:r>
      <w:r w:rsidR="00731F62" w:rsidRPr="0052418C">
        <w:rPr>
          <w:rFonts w:ascii="ITC Avant Garde" w:hAnsi="ITC Avant Garde"/>
          <w:color w:val="auto"/>
        </w:rPr>
        <w:t>que,</w:t>
      </w:r>
      <w:r w:rsidR="006037D3" w:rsidRPr="0052418C">
        <w:rPr>
          <w:rFonts w:ascii="ITC Avant Garde" w:hAnsi="ITC Avant Garde"/>
          <w:color w:val="auto"/>
        </w:rPr>
        <w:t xml:space="preserve"> </w:t>
      </w:r>
      <w:r w:rsidR="0027369C" w:rsidRPr="0052418C">
        <w:rPr>
          <w:rFonts w:ascii="ITC Avant Garde" w:hAnsi="ITC Avant Garde"/>
          <w:color w:val="auto"/>
        </w:rPr>
        <w:t>de</w:t>
      </w:r>
      <w:r w:rsidR="00B670E4" w:rsidRPr="0052418C">
        <w:rPr>
          <w:rFonts w:ascii="ITC Avant Garde" w:hAnsi="ITC Avant Garde"/>
          <w:color w:val="auto"/>
        </w:rPr>
        <w:t xml:space="preserve"> objeción de facturas, </w:t>
      </w:r>
      <w:r w:rsidR="0027369C" w:rsidRPr="0052418C">
        <w:rPr>
          <w:rFonts w:ascii="ITC Avant Garde" w:hAnsi="ITC Avant Garde"/>
          <w:color w:val="auto"/>
        </w:rPr>
        <w:t>el cual</w:t>
      </w:r>
      <w:r w:rsidR="00B670E4" w:rsidRPr="0052418C">
        <w:rPr>
          <w:rFonts w:ascii="ITC Avant Garde" w:hAnsi="ITC Avant Garde"/>
          <w:color w:val="auto"/>
        </w:rPr>
        <w:t xml:space="preserve"> tiene como objetivo establecer condiciones claras y equitativas entre </w:t>
      </w:r>
      <w:r w:rsidR="00790B92" w:rsidRPr="0052418C">
        <w:rPr>
          <w:rFonts w:ascii="ITC Avant Garde" w:hAnsi="ITC Avant Garde" w:cs="Times New Roman"/>
          <w:color w:val="auto"/>
        </w:rPr>
        <w:t xml:space="preserve">Red Nacional </w:t>
      </w:r>
      <w:r w:rsidR="00B670E4" w:rsidRPr="0052418C">
        <w:rPr>
          <w:rFonts w:ascii="ITC Avant Garde" w:hAnsi="ITC Avant Garde"/>
          <w:color w:val="auto"/>
        </w:rPr>
        <w:t xml:space="preserve">y los CS y AS. En dicho procedimiento se establece un plazo de 30 (treinta) días naturales para que el CS o AS pueda objetar los servicios no reconocidos, </w:t>
      </w:r>
      <w:r w:rsidR="00790B92" w:rsidRPr="0052418C">
        <w:rPr>
          <w:rFonts w:ascii="ITC Avant Garde" w:hAnsi="ITC Avant Garde" w:cs="Times New Roman"/>
          <w:color w:val="auto"/>
        </w:rPr>
        <w:t xml:space="preserve">Red Nacional </w:t>
      </w:r>
      <w:r w:rsidR="00B670E4" w:rsidRPr="0052418C">
        <w:rPr>
          <w:rFonts w:ascii="ITC Avant Garde" w:hAnsi="ITC Avant Garde"/>
          <w:color w:val="auto"/>
        </w:rPr>
        <w:t xml:space="preserve">cuenta con el mismo plazo para analizar la información de dichas objeciones y determinar la procedencia o no de las mismas, plazo durante el cual se auxiliará del CS o AS para resolver cualquier duda. </w:t>
      </w:r>
    </w:p>
    <w:p w14:paraId="752AE3A3" w14:textId="77777777" w:rsidR="00B670E4" w:rsidRPr="0052418C" w:rsidRDefault="00B670E4" w:rsidP="0052418C">
      <w:pPr>
        <w:tabs>
          <w:tab w:val="left" w:pos="284"/>
        </w:tabs>
        <w:spacing w:line="276" w:lineRule="auto"/>
        <w:rPr>
          <w:rFonts w:ascii="ITC Avant Garde" w:hAnsi="ITC Avant Garde"/>
          <w:color w:val="auto"/>
        </w:rPr>
      </w:pPr>
    </w:p>
    <w:p w14:paraId="096BEDB6" w14:textId="39B37ECF" w:rsidR="00B670E4" w:rsidRPr="0052418C" w:rsidRDefault="00B670E4" w:rsidP="0052418C">
      <w:pPr>
        <w:tabs>
          <w:tab w:val="left" w:pos="284"/>
        </w:tabs>
        <w:spacing w:line="276" w:lineRule="auto"/>
        <w:rPr>
          <w:rFonts w:ascii="ITC Avant Garde" w:hAnsi="ITC Avant Garde"/>
          <w:color w:val="auto"/>
        </w:rPr>
      </w:pPr>
      <w:r w:rsidRPr="0052418C">
        <w:rPr>
          <w:rFonts w:ascii="ITC Avant Garde" w:hAnsi="ITC Avant Garde"/>
          <w:color w:val="auto"/>
        </w:rPr>
        <w:t>En ese sentido</w:t>
      </w:r>
      <w:r w:rsidR="00E6163C">
        <w:rPr>
          <w:rFonts w:ascii="ITC Avant Garde" w:hAnsi="ITC Avant Garde"/>
          <w:color w:val="auto"/>
        </w:rPr>
        <w:t>,</w:t>
      </w:r>
      <w:r w:rsidRPr="0052418C">
        <w:rPr>
          <w:rFonts w:ascii="ITC Avant Garde" w:hAnsi="ITC Avant Garde"/>
          <w:color w:val="auto"/>
        </w:rPr>
        <w:t xml:space="preserve"> la oferta contiene una metodología clara que permite llevar a cabo la conciliación de facturas entre las partes, finalmente respecto a </w:t>
      </w:r>
      <w:r w:rsidR="00DA0DB8" w:rsidRPr="0052418C">
        <w:rPr>
          <w:rFonts w:ascii="ITC Avant Garde" w:hAnsi="ITC Avant Garde"/>
          <w:color w:val="auto"/>
        </w:rPr>
        <w:t>la intervención del</w:t>
      </w:r>
      <w:r w:rsidRPr="0052418C">
        <w:rPr>
          <w:rFonts w:ascii="ITC Avant Garde" w:hAnsi="ITC Avant Garde"/>
          <w:color w:val="auto"/>
        </w:rPr>
        <w:t xml:space="preserve"> Instituto </w:t>
      </w:r>
      <w:r w:rsidR="00DA0DB8" w:rsidRPr="0052418C">
        <w:rPr>
          <w:rFonts w:ascii="ITC Avant Garde" w:hAnsi="ITC Avant Garde"/>
          <w:color w:val="auto"/>
        </w:rPr>
        <w:t>una vez agotados los plazos de negociación</w:t>
      </w:r>
      <w:r w:rsidRPr="0052418C">
        <w:rPr>
          <w:rFonts w:ascii="ITC Avant Garde" w:hAnsi="ITC Avant Garde"/>
          <w:color w:val="auto"/>
        </w:rPr>
        <w:t xml:space="preserve"> en las objeciones de facturas se señala que dicha atribución escapa a la esfera de competencia de </w:t>
      </w:r>
      <w:r w:rsidR="00DA0DB8" w:rsidRPr="0052418C">
        <w:rPr>
          <w:rFonts w:ascii="ITC Avant Garde" w:hAnsi="ITC Avant Garde"/>
          <w:color w:val="auto"/>
        </w:rPr>
        <w:t>la oferta de referencia</w:t>
      </w:r>
      <w:r w:rsidRPr="0052418C">
        <w:rPr>
          <w:rFonts w:ascii="ITC Avant Garde" w:hAnsi="ITC Avant Garde"/>
          <w:color w:val="auto"/>
        </w:rPr>
        <w:t>.</w:t>
      </w:r>
    </w:p>
    <w:p w14:paraId="76C2D4E6" w14:textId="77777777" w:rsidR="00B670E4" w:rsidRPr="0052418C" w:rsidRDefault="00B670E4" w:rsidP="0052418C">
      <w:pPr>
        <w:tabs>
          <w:tab w:val="left" w:pos="709"/>
        </w:tabs>
        <w:spacing w:line="276" w:lineRule="auto"/>
        <w:contextualSpacing/>
        <w:rPr>
          <w:rFonts w:ascii="ITC Avant Garde" w:hAnsi="ITC Avant Garde" w:cs="Arial"/>
          <w:color w:val="auto"/>
        </w:rPr>
      </w:pPr>
    </w:p>
    <w:p w14:paraId="211F8D70" w14:textId="6D755161" w:rsidR="00312F93" w:rsidRPr="0052418C" w:rsidRDefault="00936A14" w:rsidP="0052418C">
      <w:pPr>
        <w:pStyle w:val="IFTnormal"/>
        <w:spacing w:after="0"/>
        <w:ind w:left="0"/>
        <w:rPr>
          <w:rFonts w:eastAsiaTheme="majorEastAsia" w:cs="Arial"/>
          <w:b/>
          <w:u w:val="single"/>
        </w:rPr>
      </w:pPr>
      <w:r w:rsidRPr="0052418C">
        <w:rPr>
          <w:rFonts w:eastAsiaTheme="majorEastAsia" w:cs="Arial"/>
          <w:b/>
          <w:u w:val="single"/>
        </w:rPr>
        <w:t xml:space="preserve">ANEXO “C” ACUERDO DE CALIDAD Y SUMINISTRO DE SERVICIOS </w:t>
      </w:r>
    </w:p>
    <w:p w14:paraId="5281B2B1" w14:textId="224AC68F" w:rsidR="00312F93" w:rsidRPr="0052418C" w:rsidRDefault="003161D9" w:rsidP="0052418C">
      <w:pPr>
        <w:pStyle w:val="IFTnormal"/>
        <w:spacing w:after="0"/>
        <w:ind w:left="0"/>
        <w:rPr>
          <w:rFonts w:eastAsiaTheme="majorEastAsia" w:cs="Arial"/>
          <w:b/>
        </w:rPr>
      </w:pPr>
      <w:r w:rsidRPr="0052418C">
        <w:rPr>
          <w:rFonts w:eastAsiaTheme="majorEastAsia" w:cs="Arial"/>
          <w:b/>
        </w:rPr>
        <w:t>AXTEL:</w:t>
      </w:r>
    </w:p>
    <w:p w14:paraId="29F0CA3B" w14:textId="473D4B26" w:rsidR="00B670E4" w:rsidRPr="0052418C" w:rsidRDefault="00B670E4" w:rsidP="0052418C">
      <w:pPr>
        <w:spacing w:after="0" w:line="276" w:lineRule="auto"/>
        <w:ind w:left="0" w:right="0" w:firstLine="0"/>
        <w:rPr>
          <w:rFonts w:ascii="ITC Avant Garde" w:eastAsia="Times New Roman" w:hAnsi="ITC Avant Garde" w:cs="Arial"/>
          <w:color w:val="auto"/>
        </w:rPr>
      </w:pPr>
      <w:r w:rsidRPr="0052418C">
        <w:rPr>
          <w:rFonts w:ascii="ITC Avant Garde" w:eastAsia="Times New Roman" w:hAnsi="ITC Avant Garde" w:cs="Arial"/>
          <w:bCs/>
          <w:color w:val="auto"/>
        </w:rPr>
        <w:t xml:space="preserve">Con respecto a lo señalado en el Anexo C Apartado A, numeral 1, </w:t>
      </w:r>
      <w:r w:rsidR="006037D3" w:rsidRPr="0052418C">
        <w:rPr>
          <w:rFonts w:ascii="ITC Avant Garde" w:eastAsia="Times New Roman" w:hAnsi="ITC Avant Garde" w:cs="Arial"/>
          <w:bCs/>
          <w:color w:val="auto"/>
        </w:rPr>
        <w:t xml:space="preserve">Axtel </w:t>
      </w:r>
      <w:r w:rsidRPr="0052418C">
        <w:rPr>
          <w:rFonts w:ascii="ITC Avant Garde" w:eastAsia="Times New Roman" w:hAnsi="ITC Avant Garde" w:cs="Arial"/>
          <w:bCs/>
          <w:color w:val="auto"/>
        </w:rPr>
        <w:t>s</w:t>
      </w:r>
      <w:r w:rsidRPr="0052418C">
        <w:rPr>
          <w:rFonts w:ascii="ITC Avant Garde" w:eastAsia="Times New Roman" w:hAnsi="ITC Avant Garde" w:cs="Arial"/>
          <w:color w:val="auto"/>
        </w:rPr>
        <w:t>olicitó al Instituto que el formato del Acta de Recepción que se encuentra en el “Anexo A” de la Oferta, sean cargados al SEG una vez que Red Nacional entregue el servicio, así como indicar los campos específicos dentro del SEG, los datos mínimos necesarios para identificar el equipo terminal instalado en el sitio del usuario final: marca, modelo y número de serie.</w:t>
      </w:r>
    </w:p>
    <w:p w14:paraId="1207E645" w14:textId="77777777" w:rsidR="00B670E4" w:rsidRPr="0052418C" w:rsidRDefault="00B670E4" w:rsidP="0052418C">
      <w:pPr>
        <w:spacing w:after="0" w:line="276" w:lineRule="auto"/>
        <w:ind w:left="0" w:right="0" w:firstLine="0"/>
        <w:rPr>
          <w:rFonts w:ascii="ITC Avant Garde" w:eastAsia="Times New Roman" w:hAnsi="ITC Avant Garde" w:cs="Arial"/>
          <w:color w:val="auto"/>
        </w:rPr>
      </w:pPr>
    </w:p>
    <w:p w14:paraId="61BC922F" w14:textId="58CBCD8A" w:rsidR="00B670E4" w:rsidRPr="0052418C" w:rsidRDefault="00B670E4" w:rsidP="0052418C">
      <w:pPr>
        <w:spacing w:after="0" w:line="276" w:lineRule="auto"/>
        <w:ind w:left="0" w:right="0" w:firstLine="0"/>
        <w:rPr>
          <w:rFonts w:ascii="ITC Avant Garde" w:hAnsi="ITC Avant Garde"/>
          <w:color w:val="auto"/>
        </w:rPr>
      </w:pPr>
      <w:r w:rsidRPr="0052418C">
        <w:rPr>
          <w:rFonts w:ascii="ITC Avant Garde" w:hAnsi="ITC Avant Garde"/>
          <w:color w:val="auto"/>
        </w:rPr>
        <w:t xml:space="preserve">Asimismo, solicitó al Instituto que obligue al AEP para que el formato de Acta de Recepción que se encuentra en el Anexo A de la Oferta, sean cargados al SEG una vez que el AEP entregue el servicio independientemente del medio en que se realice la notificación de la entrega. Adicionalmente solicitó al Instituto establecer </w:t>
      </w:r>
      <w:r w:rsidRPr="0052418C">
        <w:rPr>
          <w:rFonts w:ascii="ITC Avant Garde" w:hAnsi="ITC Avant Garde"/>
          <w:color w:val="auto"/>
        </w:rPr>
        <w:lastRenderedPageBreak/>
        <w:t>un plazo máximo de 2 días naturales para que el AEP cargue la información al SEG con el fin de tener la mayor transparencia posible en la prestación del servicio.</w:t>
      </w:r>
    </w:p>
    <w:p w14:paraId="1A40F7D5" w14:textId="77777777" w:rsidR="00B670E4" w:rsidRPr="0052418C" w:rsidRDefault="00B670E4" w:rsidP="0052418C">
      <w:pPr>
        <w:spacing w:after="0" w:line="276" w:lineRule="auto"/>
        <w:ind w:left="0" w:right="0" w:firstLine="0"/>
        <w:rPr>
          <w:rFonts w:ascii="ITC Avant Garde" w:hAnsi="ITC Avant Garde"/>
          <w:color w:val="auto"/>
        </w:rPr>
      </w:pPr>
    </w:p>
    <w:p w14:paraId="4970694A" w14:textId="77777777" w:rsidR="00B670E4" w:rsidRPr="0052418C" w:rsidRDefault="00B670E4" w:rsidP="0052418C">
      <w:pPr>
        <w:spacing w:after="0" w:line="276" w:lineRule="auto"/>
        <w:ind w:left="0" w:right="0"/>
        <w:rPr>
          <w:rFonts w:ascii="ITC Avant Garde" w:hAnsi="ITC Avant Garde"/>
          <w:b/>
          <w:lang w:val="es-ES_tradnl"/>
        </w:rPr>
      </w:pPr>
      <w:r w:rsidRPr="0052418C">
        <w:rPr>
          <w:rFonts w:ascii="ITC Avant Garde" w:hAnsi="ITC Avant Garde"/>
          <w:b/>
          <w:lang w:val="es-ES_tradnl"/>
        </w:rPr>
        <w:t>Consideraciones del Instituto:</w:t>
      </w:r>
    </w:p>
    <w:p w14:paraId="78841D96" w14:textId="133B006F" w:rsidR="00B670E4" w:rsidRPr="0052418C" w:rsidRDefault="00B670E4" w:rsidP="0052418C">
      <w:pPr>
        <w:spacing w:after="0" w:line="276" w:lineRule="auto"/>
        <w:ind w:left="0" w:right="0"/>
        <w:rPr>
          <w:rFonts w:ascii="ITC Avant Garde" w:hAnsi="ITC Avant Garde"/>
        </w:rPr>
      </w:pPr>
      <w:r w:rsidRPr="0052418C">
        <w:rPr>
          <w:rFonts w:ascii="ITC Avant Garde" w:hAnsi="ITC Avant Garde"/>
        </w:rPr>
        <w:t>Al respecto, ténganse por reproducidos como si a la letra se insertasen las consideraciones expuestas en el numeral 2.6 Operación y Mantenimiento.</w:t>
      </w:r>
      <w:r w:rsidR="00F743C9" w:rsidRPr="0052418C">
        <w:rPr>
          <w:rFonts w:ascii="ITC Avant Garde" w:hAnsi="ITC Avant Garde"/>
        </w:rPr>
        <w:t xml:space="preserve"> </w:t>
      </w:r>
    </w:p>
    <w:p w14:paraId="11D69D2E" w14:textId="77777777" w:rsidR="006037D3" w:rsidRPr="0052418C" w:rsidRDefault="006037D3" w:rsidP="0052418C">
      <w:pPr>
        <w:spacing w:after="0" w:line="276" w:lineRule="auto"/>
        <w:ind w:left="0" w:right="0" w:firstLine="0"/>
        <w:rPr>
          <w:rFonts w:ascii="ITC Avant Garde" w:eastAsia="Times New Roman" w:hAnsi="ITC Avant Garde" w:cs="Arial"/>
          <w:color w:val="auto"/>
        </w:rPr>
      </w:pPr>
    </w:p>
    <w:p w14:paraId="66FF6B0A" w14:textId="77777777" w:rsidR="006037D3" w:rsidRPr="0052418C" w:rsidRDefault="006037D3" w:rsidP="0052418C">
      <w:pPr>
        <w:pStyle w:val="IFTnormal"/>
        <w:spacing w:after="0"/>
        <w:ind w:left="0"/>
        <w:rPr>
          <w:rFonts w:eastAsiaTheme="majorEastAsia"/>
        </w:rPr>
      </w:pPr>
      <w:r w:rsidRPr="0052418C">
        <w:rPr>
          <w:rFonts w:eastAsiaTheme="majorEastAsia"/>
          <w:b/>
        </w:rPr>
        <w:t>AXTEL:</w:t>
      </w:r>
    </w:p>
    <w:p w14:paraId="54B10232" w14:textId="06F66313" w:rsidR="00CE4252" w:rsidRPr="0052418C" w:rsidRDefault="00CC2725"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R</w:t>
      </w:r>
      <w:r w:rsidR="00CE4252" w:rsidRPr="0052418C">
        <w:rPr>
          <w:rFonts w:ascii="ITC Avant Garde" w:hAnsi="ITC Avant Garde" w:cs="Arial"/>
          <w:color w:val="auto"/>
        </w:rPr>
        <w:t xml:space="preserve">especto a lo señalado en el Anexo </w:t>
      </w:r>
      <w:r w:rsidR="00ED3954" w:rsidRPr="0052418C">
        <w:rPr>
          <w:rFonts w:ascii="ITC Avant Garde" w:hAnsi="ITC Avant Garde" w:cs="Arial"/>
          <w:color w:val="auto"/>
        </w:rPr>
        <w:t>“</w:t>
      </w:r>
      <w:r w:rsidR="00CE4252" w:rsidRPr="0052418C">
        <w:rPr>
          <w:rFonts w:ascii="ITC Avant Garde" w:hAnsi="ITC Avant Garde" w:cs="Arial"/>
          <w:color w:val="auto"/>
        </w:rPr>
        <w:t>C</w:t>
      </w:r>
      <w:r w:rsidR="00ED3954" w:rsidRPr="0052418C">
        <w:rPr>
          <w:rFonts w:ascii="ITC Avant Garde" w:hAnsi="ITC Avant Garde" w:cs="Arial"/>
          <w:color w:val="auto"/>
        </w:rPr>
        <w:t>”,</w:t>
      </w:r>
      <w:r w:rsidR="00CE4252" w:rsidRPr="0052418C">
        <w:rPr>
          <w:rFonts w:ascii="ITC Avant Garde" w:hAnsi="ITC Avant Garde" w:cs="Arial"/>
          <w:color w:val="auto"/>
        </w:rPr>
        <w:t xml:space="preserve"> Apartado A</w:t>
      </w:r>
      <w:r w:rsidR="00ED3954" w:rsidRPr="0052418C">
        <w:rPr>
          <w:rFonts w:ascii="ITC Avant Garde" w:hAnsi="ITC Avant Garde" w:cs="Arial"/>
          <w:color w:val="auto"/>
        </w:rPr>
        <w:t>,</w:t>
      </w:r>
      <w:r w:rsidR="00CE4252" w:rsidRPr="0052418C">
        <w:rPr>
          <w:rFonts w:ascii="ITC Avant Garde" w:hAnsi="ITC Avant Garde" w:cs="Arial"/>
          <w:color w:val="auto"/>
        </w:rPr>
        <w:t xml:space="preserve"> </w:t>
      </w:r>
      <w:r w:rsidR="00B670E4" w:rsidRPr="0052418C">
        <w:rPr>
          <w:rFonts w:ascii="ITC Avant Garde" w:hAnsi="ITC Avant Garde" w:cs="Arial"/>
          <w:color w:val="auto"/>
        </w:rPr>
        <w:t>T</w:t>
      </w:r>
      <w:r w:rsidR="00B670E4" w:rsidRPr="0052418C">
        <w:rPr>
          <w:rFonts w:ascii="ITC Avant Garde" w:hAnsi="ITC Avant Garde"/>
        </w:rPr>
        <w:t xml:space="preserve">abla de Plazos máximos de reparación </w:t>
      </w:r>
      <w:r w:rsidR="00CE4252" w:rsidRPr="0052418C">
        <w:rPr>
          <w:rFonts w:ascii="ITC Avant Garde" w:hAnsi="ITC Avant Garde" w:cs="Arial"/>
          <w:color w:val="auto"/>
        </w:rPr>
        <w:t>solicit</w:t>
      </w:r>
      <w:r w:rsidR="009B783D" w:rsidRPr="0052418C">
        <w:rPr>
          <w:rFonts w:ascii="ITC Avant Garde" w:hAnsi="ITC Avant Garde" w:cs="Arial"/>
          <w:color w:val="auto"/>
        </w:rPr>
        <w:t>ó</w:t>
      </w:r>
      <w:r w:rsidR="00CE4252" w:rsidRPr="0052418C">
        <w:rPr>
          <w:rFonts w:ascii="ITC Avant Garde" w:hAnsi="ITC Avant Garde" w:cs="Arial"/>
          <w:color w:val="auto"/>
        </w:rPr>
        <w:t xml:space="preserve"> al Instituto que </w:t>
      </w:r>
      <w:r w:rsidR="009B783D" w:rsidRPr="0052418C">
        <w:rPr>
          <w:rFonts w:ascii="ITC Avant Garde" w:hAnsi="ITC Avant Garde" w:cs="Arial"/>
          <w:color w:val="auto"/>
        </w:rPr>
        <w:t xml:space="preserve">se </w:t>
      </w:r>
      <w:r w:rsidR="00CE4252" w:rsidRPr="0052418C">
        <w:rPr>
          <w:rFonts w:ascii="ITC Avant Garde" w:hAnsi="ITC Avant Garde" w:cs="Arial"/>
          <w:color w:val="auto"/>
        </w:rPr>
        <w:t>reestablezca los plazos máximos para la atención de incidencias como máximo a los plazos establecidos en la oferta vigente</w:t>
      </w:r>
      <w:r w:rsidR="00B670E4" w:rsidRPr="0052418C">
        <w:rPr>
          <w:rFonts w:ascii="ITC Avant Garde" w:hAnsi="ITC Avant Garde" w:cs="Arial"/>
          <w:color w:val="auto"/>
        </w:rPr>
        <w:t>,</w:t>
      </w:r>
      <w:r w:rsidR="00CE4252" w:rsidRPr="0052418C">
        <w:rPr>
          <w:rFonts w:ascii="ITC Avant Garde" w:hAnsi="ITC Avant Garde" w:cs="Arial"/>
          <w:color w:val="auto"/>
        </w:rPr>
        <w:t xml:space="preserve"> </w:t>
      </w:r>
      <w:r w:rsidR="00B670E4" w:rsidRPr="0052418C">
        <w:rPr>
          <w:rFonts w:ascii="ITC Avant Garde" w:hAnsi="ITC Avant Garde"/>
        </w:rPr>
        <w:t>así como, mantener, o en su caso, mejorar los tiempos de atención para la reparación de los servicios que presenten fallas.</w:t>
      </w:r>
    </w:p>
    <w:p w14:paraId="25AE2676" w14:textId="77777777" w:rsidR="00CE4252" w:rsidRPr="0052418C" w:rsidRDefault="00CE4252" w:rsidP="0052418C">
      <w:pPr>
        <w:spacing w:after="0" w:line="276" w:lineRule="auto"/>
        <w:ind w:left="0" w:right="0" w:firstLine="0"/>
        <w:rPr>
          <w:rFonts w:ascii="ITC Avant Garde" w:hAnsi="ITC Avant Garde" w:cs="Arial"/>
          <w:color w:val="auto"/>
        </w:rPr>
      </w:pPr>
    </w:p>
    <w:p w14:paraId="5F415E8A" w14:textId="77777777" w:rsidR="00B670E4" w:rsidRPr="0052418C" w:rsidRDefault="00B670E4" w:rsidP="0052418C">
      <w:pPr>
        <w:pStyle w:val="IFTnormal"/>
        <w:spacing w:after="0"/>
        <w:ind w:left="0"/>
      </w:pPr>
      <w:r w:rsidRPr="0052418C">
        <w:t>En este sentido, por lo respecta al inciso a) del Apartado A, Axtel solicitó al Instituto, la eliminación de los Anexos de Tiempos de traslados y el inciso a) del numeral 2.6.4 de la Oferta propuesta.</w:t>
      </w:r>
    </w:p>
    <w:p w14:paraId="69D4BC95" w14:textId="77777777" w:rsidR="00B670E4" w:rsidRPr="0052418C" w:rsidRDefault="00B670E4" w:rsidP="0052418C">
      <w:pPr>
        <w:pStyle w:val="IFTnormal"/>
        <w:spacing w:after="0"/>
        <w:ind w:left="0"/>
      </w:pPr>
    </w:p>
    <w:p w14:paraId="16F4910F" w14:textId="77777777" w:rsidR="004C5C11" w:rsidRPr="0052418C" w:rsidRDefault="00B670E4" w:rsidP="0052418C">
      <w:pPr>
        <w:pStyle w:val="IFTnormal"/>
        <w:spacing w:after="0"/>
        <w:ind w:left="0"/>
      </w:pPr>
      <w:r w:rsidRPr="0052418C">
        <w:t>Por otro lado, Axtel señaló que el pago mensual que corresponde a los enlaces dedicados definitivamente forma parte de la atención cuando el CS presente alguna falla, parece que el AEP pretende explotar a como dé lugar hasta el mínimo suceso para que el CS pague por las fallas en la red del AEP. Por lo que solicitó al Instituto, la eliminación del párrafo donde se establecen los cargos indebidos, donde claramente el AEP persigue extra</w:t>
      </w:r>
      <w:r w:rsidR="00F743C9" w:rsidRPr="0052418C">
        <w:t xml:space="preserve"> </w:t>
      </w:r>
      <w:r w:rsidRPr="0052418C">
        <w:t>-</w:t>
      </w:r>
      <w:r w:rsidR="00F743C9" w:rsidRPr="0052418C">
        <w:t xml:space="preserve"> </w:t>
      </w:r>
      <w:r w:rsidRPr="0052418C">
        <w:t>costos sin justificación alguna.</w:t>
      </w:r>
    </w:p>
    <w:p w14:paraId="215381EA" w14:textId="1EC8C32E" w:rsidR="00B670E4" w:rsidRPr="0052418C" w:rsidRDefault="00B670E4" w:rsidP="0052418C">
      <w:pPr>
        <w:pStyle w:val="IFTnormal"/>
        <w:spacing w:after="0"/>
        <w:ind w:left="0"/>
      </w:pPr>
      <w:r w:rsidRPr="0052418C">
        <w:t xml:space="preserve">  </w:t>
      </w:r>
    </w:p>
    <w:p w14:paraId="4BFD52B7" w14:textId="6AF94024" w:rsidR="004C5C11" w:rsidRPr="0052418C" w:rsidRDefault="004C5C11" w:rsidP="0052418C">
      <w:pPr>
        <w:pStyle w:val="IFTnormal"/>
        <w:spacing w:after="0"/>
        <w:ind w:left="0"/>
      </w:pPr>
      <w:r w:rsidRPr="0052418C">
        <w:t>Adicionalmente, Axtel solicitó al Instituto mejorar los parámetros de calidad que existen en la ORE EM 2021. Asimismo, solicitó al Instituto que defina el servicio de Enlaces Dedicados con redundancia y bajo que característica de operación debe el AEP presentar este servicio, ya que no hay dentro de la Oferta las condiciones de contratación y operación a las que deben de estar sujetas, así como establecer si es redundancia de medio o de ruta.</w:t>
      </w:r>
    </w:p>
    <w:p w14:paraId="731F3646" w14:textId="77777777" w:rsidR="00B670E4" w:rsidRPr="0052418C" w:rsidRDefault="00B670E4" w:rsidP="0052418C">
      <w:pPr>
        <w:spacing w:after="0" w:line="276" w:lineRule="auto"/>
        <w:ind w:left="0" w:right="0" w:firstLine="0"/>
        <w:rPr>
          <w:rFonts w:ascii="ITC Avant Garde" w:hAnsi="ITC Avant Garde" w:cs="Arial"/>
          <w:color w:val="auto"/>
        </w:rPr>
      </w:pPr>
    </w:p>
    <w:p w14:paraId="080F6F22" w14:textId="76025F50" w:rsidR="000B055D" w:rsidRPr="0052418C" w:rsidRDefault="000B055D" w:rsidP="0052418C">
      <w:pPr>
        <w:spacing w:after="0" w:line="276" w:lineRule="auto"/>
        <w:ind w:left="0" w:right="0"/>
        <w:rPr>
          <w:rFonts w:ascii="ITC Avant Garde" w:hAnsi="ITC Avant Garde" w:cs="Arial"/>
          <w:b/>
          <w:lang w:val="es-ES_tradnl"/>
        </w:rPr>
      </w:pPr>
      <w:r w:rsidRPr="0052418C">
        <w:rPr>
          <w:rFonts w:ascii="ITC Avant Garde" w:hAnsi="ITC Avant Garde" w:cs="Arial"/>
          <w:b/>
          <w:lang w:val="es-ES_tradnl"/>
        </w:rPr>
        <w:t>Consideraciones del Instituto:</w:t>
      </w:r>
    </w:p>
    <w:p w14:paraId="5327117D" w14:textId="3E4C8880" w:rsidR="000B055D" w:rsidRPr="0052418C" w:rsidRDefault="000B055D" w:rsidP="0052418C">
      <w:pPr>
        <w:spacing w:after="0" w:line="276" w:lineRule="auto"/>
        <w:ind w:left="0" w:right="0"/>
        <w:rPr>
          <w:rFonts w:ascii="ITC Avant Garde" w:hAnsi="ITC Avant Garde" w:cs="Arial"/>
        </w:rPr>
      </w:pPr>
      <w:r w:rsidRPr="0052418C">
        <w:rPr>
          <w:rFonts w:ascii="ITC Avant Garde" w:hAnsi="ITC Avant Garde" w:cs="Arial"/>
        </w:rPr>
        <w:t xml:space="preserve">Al respecto, ténganse por reproducidos como si a la letra se insertasen las consideraciones expuestas en </w:t>
      </w:r>
      <w:r w:rsidR="00F743C9" w:rsidRPr="0052418C">
        <w:rPr>
          <w:rFonts w:ascii="ITC Avant Garde" w:hAnsi="ITC Avant Garde" w:cs="Arial"/>
        </w:rPr>
        <w:t xml:space="preserve">los </w:t>
      </w:r>
      <w:r w:rsidRPr="0052418C">
        <w:rPr>
          <w:rFonts w:ascii="ITC Avant Garde" w:hAnsi="ITC Avant Garde" w:cs="Arial"/>
        </w:rPr>
        <w:t>numeral</w:t>
      </w:r>
      <w:r w:rsidR="00F743C9" w:rsidRPr="0052418C">
        <w:rPr>
          <w:rFonts w:ascii="ITC Avant Garde" w:hAnsi="ITC Avant Garde" w:cs="Arial"/>
        </w:rPr>
        <w:t>es</w:t>
      </w:r>
      <w:r w:rsidRPr="0052418C">
        <w:rPr>
          <w:rFonts w:ascii="ITC Avant Garde" w:hAnsi="ITC Avant Garde" w:cs="Arial"/>
        </w:rPr>
        <w:t xml:space="preserve"> </w:t>
      </w:r>
      <w:r w:rsidR="00F743C9" w:rsidRPr="0052418C">
        <w:rPr>
          <w:rFonts w:ascii="ITC Avant Garde" w:hAnsi="ITC Avant Garde"/>
          <w:color w:val="auto"/>
        </w:rPr>
        <w:t>2.6.2, 2.6.4 y 2.6.5</w:t>
      </w:r>
      <w:r w:rsidRPr="0052418C">
        <w:rPr>
          <w:rFonts w:ascii="ITC Avant Garde" w:hAnsi="ITC Avant Garde" w:cs="Arial"/>
        </w:rPr>
        <w:t>.</w:t>
      </w:r>
    </w:p>
    <w:p w14:paraId="1CD6D3B6" w14:textId="77777777" w:rsidR="002A4730" w:rsidRPr="0052418C" w:rsidRDefault="002A4730" w:rsidP="0052418C">
      <w:pPr>
        <w:pStyle w:val="IFTnormal"/>
        <w:spacing w:after="0"/>
        <w:ind w:left="0"/>
        <w:rPr>
          <w:rFonts w:eastAsiaTheme="majorEastAsia" w:cs="Arial"/>
          <w:b/>
        </w:rPr>
      </w:pPr>
    </w:p>
    <w:p w14:paraId="160A09C5" w14:textId="6344BF7E" w:rsidR="00656528" w:rsidRPr="0052418C" w:rsidRDefault="00656528" w:rsidP="0052418C">
      <w:pPr>
        <w:spacing w:after="0" w:line="276" w:lineRule="auto"/>
        <w:ind w:left="0" w:right="0" w:firstLine="0"/>
        <w:rPr>
          <w:rFonts w:ascii="ITC Avant Garde" w:eastAsiaTheme="majorEastAsia" w:hAnsi="ITC Avant Garde" w:cs="Arial"/>
          <w:b/>
        </w:rPr>
      </w:pPr>
      <w:r w:rsidRPr="0052418C">
        <w:rPr>
          <w:rFonts w:ascii="ITC Avant Garde" w:eastAsiaTheme="majorEastAsia" w:hAnsi="ITC Avant Garde" w:cs="Arial"/>
          <w:b/>
          <w:u w:val="single"/>
        </w:rPr>
        <w:t>ANEXO “C”, APARTADO B</w:t>
      </w:r>
      <w:r w:rsidRPr="0052418C">
        <w:rPr>
          <w:rFonts w:ascii="ITC Avant Garde" w:eastAsiaTheme="majorEastAsia" w:hAnsi="ITC Avant Garde" w:cs="Arial"/>
          <w:b/>
        </w:rPr>
        <w:t xml:space="preserve">, </w:t>
      </w:r>
      <w:r w:rsidR="000D53E6" w:rsidRPr="0052418C">
        <w:rPr>
          <w:rFonts w:ascii="ITC Avant Garde" w:hAnsi="ITC Avant Garde"/>
          <w:b/>
          <w:color w:val="auto"/>
          <w:u w:val="single"/>
        </w:rPr>
        <w:t>Suministro de Servicio.</w:t>
      </w:r>
    </w:p>
    <w:p w14:paraId="3C05EE7A" w14:textId="4B9D7CE3" w:rsidR="00E16F5E" w:rsidRPr="0052418C" w:rsidRDefault="006D3201" w:rsidP="0052418C">
      <w:pPr>
        <w:pStyle w:val="IFTnormal"/>
        <w:spacing w:after="0"/>
        <w:ind w:left="0"/>
        <w:rPr>
          <w:rFonts w:eastAsiaTheme="majorEastAsia" w:cs="Arial"/>
          <w:b/>
        </w:rPr>
      </w:pPr>
      <w:r w:rsidRPr="0052418C">
        <w:rPr>
          <w:rFonts w:eastAsiaTheme="majorEastAsia" w:cs="Arial"/>
          <w:b/>
        </w:rPr>
        <w:t>AXTEL:</w:t>
      </w:r>
    </w:p>
    <w:p w14:paraId="4686BB13" w14:textId="212AC38C" w:rsidR="000D53E6" w:rsidRPr="0052418C" w:rsidRDefault="007F765A" w:rsidP="0052418C">
      <w:pPr>
        <w:spacing w:after="0" w:line="276" w:lineRule="auto"/>
        <w:ind w:left="0" w:right="0" w:firstLine="0"/>
        <w:rPr>
          <w:rFonts w:ascii="ITC Avant Garde" w:eastAsia="Times New Roman" w:hAnsi="ITC Avant Garde" w:cs="Times New Roman"/>
          <w:bCs/>
          <w:color w:val="auto"/>
        </w:rPr>
      </w:pPr>
      <w:r w:rsidRPr="0052418C">
        <w:rPr>
          <w:rFonts w:ascii="ITC Avant Garde" w:hAnsi="ITC Avant Garde" w:cs="Arial"/>
          <w:color w:val="auto"/>
        </w:rPr>
        <w:t>Respecto d</w:t>
      </w:r>
      <w:r w:rsidR="00033749" w:rsidRPr="0052418C">
        <w:rPr>
          <w:rFonts w:ascii="ITC Avant Garde" w:hAnsi="ITC Avant Garde" w:cs="Arial"/>
          <w:color w:val="auto"/>
        </w:rPr>
        <w:t xml:space="preserve">el Anexo </w:t>
      </w:r>
      <w:r w:rsidR="00ED3954" w:rsidRPr="0052418C">
        <w:rPr>
          <w:rFonts w:ascii="ITC Avant Garde" w:hAnsi="ITC Avant Garde" w:cs="Arial"/>
          <w:color w:val="auto"/>
        </w:rPr>
        <w:t>“</w:t>
      </w:r>
      <w:r w:rsidR="00033749" w:rsidRPr="0052418C">
        <w:rPr>
          <w:rFonts w:ascii="ITC Avant Garde" w:hAnsi="ITC Avant Garde" w:cs="Arial"/>
          <w:color w:val="auto"/>
        </w:rPr>
        <w:t>C</w:t>
      </w:r>
      <w:r w:rsidR="00ED3954" w:rsidRPr="0052418C">
        <w:rPr>
          <w:rFonts w:ascii="ITC Avant Garde" w:hAnsi="ITC Avant Garde" w:cs="Arial"/>
          <w:color w:val="auto"/>
        </w:rPr>
        <w:t>”,</w:t>
      </w:r>
      <w:r w:rsidR="00033749" w:rsidRPr="0052418C">
        <w:rPr>
          <w:rFonts w:ascii="ITC Avant Garde" w:hAnsi="ITC Avant Garde" w:cs="Arial"/>
          <w:color w:val="auto"/>
        </w:rPr>
        <w:t xml:space="preserve"> Apartado B</w:t>
      </w:r>
      <w:r w:rsidR="00ED3954" w:rsidRPr="0052418C">
        <w:rPr>
          <w:rFonts w:ascii="ITC Avant Garde" w:hAnsi="ITC Avant Garde" w:cs="Arial"/>
          <w:color w:val="auto"/>
        </w:rPr>
        <w:t>,</w:t>
      </w:r>
      <w:r w:rsidR="00033749" w:rsidRPr="0052418C">
        <w:rPr>
          <w:rFonts w:ascii="ITC Avant Garde" w:hAnsi="ITC Avant Garde" w:cs="Arial"/>
          <w:color w:val="auto"/>
        </w:rPr>
        <w:t xml:space="preserve"> </w:t>
      </w:r>
      <w:r w:rsidR="00352DD4" w:rsidRPr="0052418C">
        <w:rPr>
          <w:rFonts w:ascii="ITC Avant Garde" w:hAnsi="ITC Avant Garde" w:cs="Arial"/>
          <w:color w:val="auto"/>
        </w:rPr>
        <w:t>Axtel s</w:t>
      </w:r>
      <w:r w:rsidR="00033749" w:rsidRPr="0052418C">
        <w:rPr>
          <w:rFonts w:ascii="ITC Avant Garde" w:hAnsi="ITC Avant Garde" w:cs="Arial"/>
          <w:color w:val="auto"/>
        </w:rPr>
        <w:t>olicit</w:t>
      </w:r>
      <w:r w:rsidRPr="0052418C">
        <w:rPr>
          <w:rFonts w:ascii="ITC Avant Garde" w:hAnsi="ITC Avant Garde" w:cs="Arial"/>
          <w:color w:val="auto"/>
        </w:rPr>
        <w:t>ó</w:t>
      </w:r>
      <w:r w:rsidR="00033749" w:rsidRPr="0052418C">
        <w:rPr>
          <w:rFonts w:ascii="ITC Avant Garde" w:hAnsi="ITC Avant Garde" w:cs="Arial"/>
          <w:color w:val="auto"/>
        </w:rPr>
        <w:t xml:space="preserve"> </w:t>
      </w:r>
      <w:r w:rsidR="000D53E6" w:rsidRPr="0052418C">
        <w:rPr>
          <w:rFonts w:ascii="ITC Avant Garde" w:eastAsia="Times New Roman" w:hAnsi="ITC Avant Garde" w:cs="Times New Roman"/>
          <w:bCs/>
          <w:color w:val="auto"/>
        </w:rPr>
        <w:t xml:space="preserve">al Instituto obligar al AEP a mejorar los tiempos de provisión de los servicios, ya que los plazos de entrega propuestos por </w:t>
      </w:r>
      <w:r w:rsidR="003E19EB" w:rsidRPr="0052418C">
        <w:rPr>
          <w:rFonts w:ascii="ITC Avant Garde" w:eastAsia="Times New Roman" w:hAnsi="ITC Avant Garde" w:cs="Times New Roman"/>
          <w:bCs/>
          <w:color w:val="auto"/>
        </w:rPr>
        <w:t>Red Nacional</w:t>
      </w:r>
      <w:r w:rsidR="000D53E6" w:rsidRPr="0052418C">
        <w:rPr>
          <w:rFonts w:ascii="ITC Avant Garde" w:eastAsia="Times New Roman" w:hAnsi="ITC Avant Garde" w:cs="Times New Roman"/>
          <w:bCs/>
          <w:color w:val="auto"/>
        </w:rPr>
        <w:t xml:space="preserve"> son excesivos. Adicionan que las nuevas Ofertas </w:t>
      </w:r>
      <w:r w:rsidR="000D53E6" w:rsidRPr="0052418C">
        <w:rPr>
          <w:rFonts w:ascii="ITC Avant Garde" w:eastAsia="Times New Roman" w:hAnsi="ITC Avant Garde" w:cs="Times New Roman"/>
          <w:bCs/>
          <w:color w:val="auto"/>
        </w:rPr>
        <w:lastRenderedPageBreak/>
        <w:t xml:space="preserve">deben proponer mejoras a la Oferta vigente, por lo que en ningún caso debe admitir plazos de provisión mayores que los existentes en la ORE EM 2021, al contrario, se debe promover el mejorar los plazos de entrega vigentes para ser competitivos a nivel industria y dar un plus hacia los clientes finales </w:t>
      </w:r>
    </w:p>
    <w:p w14:paraId="3DD31090" w14:textId="77777777" w:rsidR="00180DF1" w:rsidRPr="0052418C" w:rsidRDefault="00180DF1" w:rsidP="0052418C">
      <w:pPr>
        <w:spacing w:after="0" w:line="276" w:lineRule="auto"/>
        <w:ind w:left="0" w:right="0" w:firstLine="0"/>
        <w:rPr>
          <w:rFonts w:ascii="ITC Avant Garde" w:eastAsia="Times New Roman" w:hAnsi="ITC Avant Garde" w:cs="Arial"/>
          <w:b/>
          <w:color w:val="auto"/>
        </w:rPr>
      </w:pPr>
    </w:p>
    <w:p w14:paraId="2A5C2F7C" w14:textId="4037F587" w:rsidR="00180DF1" w:rsidRPr="0052418C" w:rsidRDefault="00180DF1" w:rsidP="0052418C">
      <w:pPr>
        <w:spacing w:after="0" w:line="276" w:lineRule="auto"/>
        <w:ind w:left="0" w:right="0" w:firstLine="0"/>
        <w:rPr>
          <w:rFonts w:ascii="ITC Avant Garde" w:eastAsia="Times New Roman" w:hAnsi="ITC Avant Garde" w:cs="Arial"/>
          <w:b/>
          <w:color w:val="auto"/>
        </w:rPr>
      </w:pPr>
      <w:r w:rsidRPr="0052418C">
        <w:rPr>
          <w:rFonts w:ascii="ITC Avant Garde" w:eastAsia="Times New Roman" w:hAnsi="ITC Avant Garde" w:cs="Arial"/>
          <w:b/>
          <w:color w:val="auto"/>
        </w:rPr>
        <w:t>MEGA CABLE:</w:t>
      </w:r>
    </w:p>
    <w:p w14:paraId="2D966BEF" w14:textId="6C84AC86" w:rsidR="00180DF1" w:rsidRPr="0052418C" w:rsidRDefault="00180DF1" w:rsidP="0052418C">
      <w:pPr>
        <w:spacing w:after="0" w:line="276" w:lineRule="auto"/>
        <w:ind w:left="0" w:right="0" w:firstLine="0"/>
        <w:rPr>
          <w:rFonts w:ascii="ITC Avant Garde" w:hAnsi="ITC Avant Garde" w:cs="Arial"/>
          <w:color w:val="auto"/>
        </w:rPr>
      </w:pPr>
      <w:r w:rsidRPr="004949D0">
        <w:rPr>
          <w:rFonts w:ascii="ITC Avant Garde" w:hAnsi="ITC Avant Garde" w:cs="Arial"/>
          <w:color w:val="auto"/>
        </w:rPr>
        <w:t xml:space="preserve">Señaló que, la </w:t>
      </w:r>
      <w:r w:rsidRPr="004949D0">
        <w:rPr>
          <w:rFonts w:ascii="ITC Avant Garde" w:hAnsi="ITC Avant Garde"/>
          <w:color w:val="auto"/>
        </w:rPr>
        <w:t xml:space="preserve">EM </w:t>
      </w:r>
      <w:r w:rsidRPr="004949D0">
        <w:rPr>
          <w:rFonts w:ascii="ITC Avant Garde" w:hAnsi="ITC Avant Garde" w:cs="Arial"/>
          <w:color w:val="auto"/>
        </w:rPr>
        <w:t xml:space="preserve">establece plazos de entrega, para solicitudes con pronóstico </w:t>
      </w:r>
      <w:r w:rsidR="00C72DE0" w:rsidRPr="004949D0">
        <w:rPr>
          <w:rFonts w:ascii="ITC Avant Garde" w:hAnsi="ITC Avant Garde" w:cs="Arial"/>
          <w:color w:val="auto"/>
        </w:rPr>
        <w:t xml:space="preserve">y </w:t>
      </w:r>
      <w:r w:rsidRPr="004949D0">
        <w:rPr>
          <w:rFonts w:ascii="ITC Avant Garde" w:hAnsi="ITC Avant Garde" w:cs="Arial"/>
          <w:color w:val="auto"/>
        </w:rPr>
        <w:t xml:space="preserve">fuera de pronóstico </w:t>
      </w:r>
      <w:r w:rsidR="00C72DE0" w:rsidRPr="004949D0">
        <w:rPr>
          <w:rFonts w:ascii="ITC Avant Garde" w:hAnsi="ITC Avant Garde" w:cs="Arial"/>
          <w:color w:val="auto"/>
        </w:rPr>
        <w:t xml:space="preserve">muy </w:t>
      </w:r>
      <w:r w:rsidRPr="004949D0">
        <w:rPr>
          <w:rFonts w:ascii="ITC Avant Garde" w:hAnsi="ITC Avant Garde" w:cs="Arial"/>
          <w:color w:val="auto"/>
        </w:rPr>
        <w:t xml:space="preserve">extensas y con parámetros de cumplimientos bajos, </w:t>
      </w:r>
      <w:r w:rsidR="00C72DE0" w:rsidRPr="004949D0">
        <w:rPr>
          <w:rFonts w:ascii="ITC Avant Garde" w:hAnsi="ITC Avant Garde" w:cs="Arial"/>
          <w:color w:val="auto"/>
        </w:rPr>
        <w:t xml:space="preserve">menciona que </w:t>
      </w:r>
      <w:r w:rsidRPr="004949D0">
        <w:rPr>
          <w:rFonts w:ascii="ITC Avant Garde" w:hAnsi="ITC Avant Garde" w:cs="Arial"/>
          <w:color w:val="auto"/>
        </w:rPr>
        <w:t>dichos plazos de entrega son en la mayoría de los casos menores a los establecidos en la ORE EM 2021.</w:t>
      </w:r>
    </w:p>
    <w:p w14:paraId="7EB77907" w14:textId="77777777" w:rsidR="00180DF1" w:rsidRPr="0052418C" w:rsidRDefault="00180DF1" w:rsidP="0052418C">
      <w:pPr>
        <w:spacing w:after="0" w:line="276" w:lineRule="auto"/>
        <w:ind w:left="0" w:right="0" w:firstLine="0"/>
        <w:rPr>
          <w:rFonts w:ascii="ITC Avant Garde" w:hAnsi="ITC Avant Garde" w:cs="Arial"/>
          <w:color w:val="auto"/>
        </w:rPr>
      </w:pPr>
    </w:p>
    <w:p w14:paraId="5FAAED23" w14:textId="6C70A10A" w:rsidR="00180DF1" w:rsidRPr="0052418C" w:rsidRDefault="00180DF1"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Asimismo, Mega Cable consideró que es contrario a los objetivos de la regulación de preponderancia y específicamente, para la promoción de la competencia, que la entrega de un enlace de la capacidad y tecnología que sea, se requieran plazos mayores a 25 días hábiles y de 18 días para los de interconexión. De igual forma señaló que, no resulta razonable que para enlaces dentro de pronóstico el parámetro de calidad sea solamente 85% y para enlaces fuera de pronóstico solo 50%</w:t>
      </w:r>
      <w:r w:rsidR="00C72DE0">
        <w:rPr>
          <w:rFonts w:ascii="ITC Avant Garde" w:hAnsi="ITC Avant Garde" w:cs="Arial"/>
          <w:color w:val="auto"/>
        </w:rPr>
        <w:t>.</w:t>
      </w:r>
      <w:r w:rsidRPr="0052418C">
        <w:rPr>
          <w:rFonts w:ascii="ITC Avant Garde" w:hAnsi="ITC Avant Garde" w:cs="Arial"/>
          <w:color w:val="auto"/>
        </w:rPr>
        <w:t xml:space="preserve"> </w:t>
      </w:r>
    </w:p>
    <w:p w14:paraId="3B5851A0" w14:textId="77777777" w:rsidR="00180DF1" w:rsidRPr="0052418C" w:rsidRDefault="00180DF1" w:rsidP="0052418C">
      <w:pPr>
        <w:spacing w:after="0" w:line="276" w:lineRule="auto"/>
        <w:ind w:left="0" w:right="0" w:firstLine="0"/>
        <w:rPr>
          <w:rFonts w:ascii="ITC Avant Garde" w:hAnsi="ITC Avant Garde" w:cs="Arial"/>
          <w:color w:val="auto"/>
        </w:rPr>
      </w:pPr>
    </w:p>
    <w:p w14:paraId="46402EE8" w14:textId="77777777" w:rsidR="00180DF1" w:rsidRPr="0052418C" w:rsidRDefault="00180DF1"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Asimismo, se sugirió reducir el tiempo de cumplimiento para el remanente de solicitudes fuera del plazo, ya que el doble de tiempo de este es exagerado.</w:t>
      </w:r>
    </w:p>
    <w:p w14:paraId="27545492" w14:textId="77777777" w:rsidR="00180DF1" w:rsidRPr="0052418C" w:rsidRDefault="00180DF1" w:rsidP="0052418C">
      <w:pPr>
        <w:spacing w:after="0" w:line="276" w:lineRule="auto"/>
        <w:ind w:left="0" w:right="0" w:firstLine="0"/>
        <w:rPr>
          <w:rFonts w:ascii="ITC Avant Garde" w:hAnsi="ITC Avant Garde" w:cs="Arial"/>
          <w:color w:val="auto"/>
          <w:highlight w:val="yellow"/>
        </w:rPr>
      </w:pPr>
    </w:p>
    <w:p w14:paraId="693D3A28" w14:textId="5CB7A8F2" w:rsidR="00180DF1" w:rsidRPr="0052418C" w:rsidRDefault="008A235E" w:rsidP="0052418C">
      <w:pPr>
        <w:autoSpaceDE w:val="0"/>
        <w:autoSpaceDN w:val="0"/>
        <w:adjustRightInd w:val="0"/>
        <w:spacing w:after="0" w:line="276" w:lineRule="auto"/>
        <w:ind w:left="0" w:right="0" w:firstLine="0"/>
        <w:rPr>
          <w:rFonts w:ascii="ITC Avant Garde" w:eastAsiaTheme="minorHAnsi" w:hAnsi="ITC Avant Garde" w:cs="ITC Avant Garde"/>
          <w:lang w:eastAsia="en-US"/>
        </w:rPr>
      </w:pPr>
      <w:r>
        <w:rPr>
          <w:rFonts w:ascii="ITC Avant Garde" w:eastAsiaTheme="minorHAnsi" w:hAnsi="ITC Avant Garde" w:cs="ITC Avant Garde"/>
          <w:lang w:eastAsia="en-US"/>
        </w:rPr>
        <w:t>Por otro lado</w:t>
      </w:r>
      <w:r w:rsidR="00180DF1" w:rsidRPr="0052418C">
        <w:rPr>
          <w:rFonts w:ascii="ITC Avant Garde" w:eastAsiaTheme="minorHAnsi" w:hAnsi="ITC Avant Garde" w:cs="ITC Avant Garde"/>
          <w:lang w:eastAsia="en-US"/>
        </w:rPr>
        <w:t>, Mega Cable señaló que, la Propuesta de Oferta no especific</w:t>
      </w:r>
      <w:r w:rsidR="00950288">
        <w:rPr>
          <w:rFonts w:ascii="ITC Avant Garde" w:eastAsiaTheme="minorHAnsi" w:hAnsi="ITC Avant Garde" w:cs="ITC Avant Garde"/>
          <w:lang w:eastAsia="en-US"/>
        </w:rPr>
        <w:t>a</w:t>
      </w:r>
      <w:r w:rsidR="00180DF1" w:rsidRPr="0052418C">
        <w:rPr>
          <w:rFonts w:ascii="ITC Avant Garde" w:eastAsiaTheme="minorHAnsi" w:hAnsi="ITC Avant Garde" w:cs="ITC Avant Garde"/>
          <w:lang w:eastAsia="en-US"/>
        </w:rPr>
        <w:t xml:space="preserve"> que dichos parámetros de cumplimiento también aplican a enlaces de interconexión. </w:t>
      </w:r>
    </w:p>
    <w:p w14:paraId="6CECF78E" w14:textId="77777777" w:rsidR="00180DF1" w:rsidRPr="0052418C" w:rsidRDefault="00180DF1" w:rsidP="0052418C">
      <w:pPr>
        <w:spacing w:after="0" w:line="276" w:lineRule="auto"/>
        <w:ind w:left="0" w:right="0" w:firstLine="0"/>
        <w:rPr>
          <w:rFonts w:ascii="ITC Avant Garde" w:hAnsi="ITC Avant Garde" w:cs="Arial"/>
          <w:color w:val="auto"/>
        </w:rPr>
      </w:pPr>
    </w:p>
    <w:p w14:paraId="59E1F96C" w14:textId="130A6BC6" w:rsidR="00180DF1" w:rsidRPr="004949D0" w:rsidRDefault="00180DF1"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Finalmente, argumentó que en la Propuesta de oferta presentada por </w:t>
      </w:r>
      <w:r w:rsidRPr="0052418C">
        <w:rPr>
          <w:rFonts w:ascii="ITC Avant Garde" w:hAnsi="ITC Avant Garde" w:cs="Arial"/>
        </w:rPr>
        <w:t>Red Nacional</w:t>
      </w:r>
      <w:r w:rsidRPr="0052418C">
        <w:rPr>
          <w:rFonts w:ascii="ITC Avant Garde" w:hAnsi="ITC Avant Garde"/>
          <w:bCs/>
          <w:color w:val="auto"/>
        </w:rPr>
        <w:t xml:space="preserve"> </w:t>
      </w:r>
      <w:r w:rsidR="00C72DE0">
        <w:rPr>
          <w:rFonts w:ascii="ITC Avant Garde" w:hAnsi="ITC Avant Garde" w:cs="Arial"/>
          <w:color w:val="auto"/>
        </w:rPr>
        <w:t>se omite</w:t>
      </w:r>
      <w:r w:rsidRPr="0052418C">
        <w:rPr>
          <w:rFonts w:ascii="ITC Avant Garde" w:hAnsi="ITC Avant Garde" w:cs="Arial"/>
          <w:color w:val="auto"/>
        </w:rPr>
        <w:t xml:space="preserve"> </w:t>
      </w:r>
      <w:r w:rsidR="00C72DE0" w:rsidRPr="0052418C">
        <w:rPr>
          <w:rFonts w:ascii="ITC Avant Garde" w:hAnsi="ITC Avant Garde" w:cs="Arial"/>
          <w:color w:val="auto"/>
        </w:rPr>
        <w:t>e</w:t>
      </w:r>
      <w:r w:rsidR="00C72DE0">
        <w:rPr>
          <w:rFonts w:ascii="ITC Avant Garde" w:hAnsi="ITC Avant Garde" w:cs="Arial"/>
          <w:color w:val="auto"/>
        </w:rPr>
        <w:t>l</w:t>
      </w:r>
      <w:r w:rsidR="00C72DE0" w:rsidRPr="0052418C">
        <w:rPr>
          <w:rFonts w:ascii="ITC Avant Garde" w:hAnsi="ITC Avant Garde" w:cs="Arial"/>
          <w:color w:val="auto"/>
        </w:rPr>
        <w:t xml:space="preserve"> </w:t>
      </w:r>
      <w:r w:rsidRPr="0052418C">
        <w:rPr>
          <w:rFonts w:ascii="ITC Avant Garde" w:hAnsi="ITC Avant Garde" w:cs="Arial"/>
          <w:color w:val="auto"/>
        </w:rPr>
        <w:t xml:space="preserve">señalar explícitamente que en caso de ofrecer </w:t>
      </w:r>
      <w:r w:rsidRPr="004949D0">
        <w:rPr>
          <w:rFonts w:ascii="ITC Avant Garde" w:hAnsi="ITC Avant Garde" w:cs="Arial"/>
          <w:color w:val="auto"/>
        </w:rPr>
        <w:t>comercialmente a usuarios finales enlaces con velocidades de transmisión</w:t>
      </w:r>
      <w:r w:rsidR="00C72DE0" w:rsidRPr="004949D0">
        <w:rPr>
          <w:rFonts w:ascii="ITC Avant Garde" w:hAnsi="ITC Avant Garde" w:cs="Arial"/>
          <w:color w:val="auto"/>
        </w:rPr>
        <w:t xml:space="preserve"> mayores, deberán estar disponibles dichas capacidades al amparo de la</w:t>
      </w:r>
      <w:r w:rsidRPr="004949D0">
        <w:rPr>
          <w:rFonts w:ascii="ITC Avant Garde" w:hAnsi="ITC Avant Garde" w:cs="Arial"/>
          <w:color w:val="auto"/>
        </w:rPr>
        <w:t xml:space="preserve"> </w:t>
      </w:r>
      <w:r w:rsidR="002706C5" w:rsidRPr="004949D0">
        <w:rPr>
          <w:rFonts w:ascii="ITC Avant Garde" w:hAnsi="ITC Avant Garde" w:cs="Arial"/>
          <w:color w:val="auto"/>
        </w:rPr>
        <w:t>ORE EM 2022</w:t>
      </w:r>
      <w:r w:rsidRPr="004949D0">
        <w:rPr>
          <w:rFonts w:ascii="ITC Avant Garde" w:hAnsi="ITC Avant Garde" w:cs="Arial"/>
          <w:color w:val="auto"/>
        </w:rPr>
        <w:t>.</w:t>
      </w:r>
    </w:p>
    <w:p w14:paraId="78FB0552" w14:textId="7ABD7B30" w:rsidR="00E16F5E" w:rsidRPr="004949D0" w:rsidRDefault="00E16F5E" w:rsidP="0052418C">
      <w:pPr>
        <w:spacing w:after="0" w:line="276" w:lineRule="auto"/>
        <w:ind w:left="0" w:right="0" w:firstLine="0"/>
        <w:rPr>
          <w:rFonts w:ascii="ITC Avant Garde" w:hAnsi="ITC Avant Garde" w:cs="Arial"/>
          <w:color w:val="auto"/>
        </w:rPr>
      </w:pPr>
    </w:p>
    <w:p w14:paraId="51080B68" w14:textId="3E658D77" w:rsidR="00E16F5E" w:rsidRPr="004949D0" w:rsidRDefault="00E16F5E" w:rsidP="0052418C">
      <w:pPr>
        <w:spacing w:after="0" w:line="276" w:lineRule="auto"/>
        <w:ind w:left="0" w:right="0"/>
        <w:rPr>
          <w:rFonts w:ascii="ITC Avant Garde" w:hAnsi="ITC Avant Garde" w:cs="Arial"/>
          <w:b/>
          <w:lang w:val="es-ES_tradnl"/>
        </w:rPr>
      </w:pPr>
      <w:r w:rsidRPr="004949D0">
        <w:rPr>
          <w:rFonts w:ascii="ITC Avant Garde" w:hAnsi="ITC Avant Garde" w:cs="Arial"/>
          <w:b/>
          <w:lang w:val="es-ES_tradnl"/>
        </w:rPr>
        <w:t>Consideraciones del Instituto:</w:t>
      </w:r>
    </w:p>
    <w:p w14:paraId="30BF53C7" w14:textId="188C26BD" w:rsidR="00F743C9" w:rsidRPr="0052418C" w:rsidRDefault="00F743C9" w:rsidP="0052418C">
      <w:pPr>
        <w:pStyle w:val="IFTnormal"/>
        <w:spacing w:after="0"/>
        <w:ind w:left="0"/>
        <w:rPr>
          <w:rFonts w:eastAsiaTheme="majorEastAsia"/>
        </w:rPr>
      </w:pPr>
      <w:r w:rsidRPr="004949D0">
        <w:t xml:space="preserve">Respecto a lo señalado, ténganse por reproducidos como si a la letra se insertasen las consideraciones expuestas en el numeral 2.4.1.1 </w:t>
      </w:r>
      <w:r w:rsidR="00C209E8" w:rsidRPr="004949D0">
        <w:t>Plazos de entrega</w:t>
      </w:r>
      <w:r w:rsidRPr="004949D0">
        <w:t>.</w:t>
      </w:r>
    </w:p>
    <w:p w14:paraId="1250D20D" w14:textId="77777777" w:rsidR="00F743C9" w:rsidRPr="0052418C" w:rsidRDefault="00F743C9" w:rsidP="0052418C">
      <w:pPr>
        <w:spacing w:after="0" w:line="276" w:lineRule="auto"/>
        <w:ind w:left="0" w:right="0"/>
        <w:rPr>
          <w:rFonts w:ascii="ITC Avant Garde" w:hAnsi="ITC Avant Garde" w:cs="Arial"/>
          <w:b/>
          <w:lang w:val="es-ES"/>
        </w:rPr>
      </w:pPr>
    </w:p>
    <w:p w14:paraId="280B7247" w14:textId="5AD73B99" w:rsidR="00771DA3" w:rsidRPr="0052418C" w:rsidRDefault="00D572FC" w:rsidP="0052418C">
      <w:pPr>
        <w:pStyle w:val="IFTnormal"/>
        <w:spacing w:after="0"/>
        <w:ind w:left="0"/>
        <w:rPr>
          <w:rFonts w:eastAsiaTheme="majorEastAsia" w:cs="Arial"/>
          <w:b/>
        </w:rPr>
      </w:pPr>
      <w:r w:rsidRPr="0052418C">
        <w:rPr>
          <w:rFonts w:eastAsiaTheme="majorEastAsia" w:cs="Arial"/>
          <w:b/>
        </w:rPr>
        <w:t>AXTEL:</w:t>
      </w:r>
    </w:p>
    <w:p w14:paraId="656DDC82" w14:textId="06911B73" w:rsidR="00033749" w:rsidRPr="0052418C" w:rsidRDefault="00033749"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Con respecto a lo señalado en el Anexo </w:t>
      </w:r>
      <w:r w:rsidR="00ED3954" w:rsidRPr="0052418C">
        <w:rPr>
          <w:rFonts w:ascii="ITC Avant Garde" w:hAnsi="ITC Avant Garde" w:cs="Arial"/>
          <w:color w:val="auto"/>
        </w:rPr>
        <w:t>“</w:t>
      </w:r>
      <w:r w:rsidRPr="0052418C">
        <w:rPr>
          <w:rFonts w:ascii="ITC Avant Garde" w:hAnsi="ITC Avant Garde" w:cs="Arial"/>
          <w:color w:val="auto"/>
        </w:rPr>
        <w:t>C</w:t>
      </w:r>
      <w:r w:rsidR="00ED3954" w:rsidRPr="0052418C">
        <w:rPr>
          <w:rFonts w:ascii="ITC Avant Garde" w:hAnsi="ITC Avant Garde" w:cs="Arial"/>
          <w:color w:val="auto"/>
        </w:rPr>
        <w:t>”,</w:t>
      </w:r>
      <w:r w:rsidRPr="0052418C">
        <w:rPr>
          <w:rFonts w:ascii="ITC Avant Garde" w:hAnsi="ITC Avant Garde" w:cs="Arial"/>
          <w:color w:val="auto"/>
        </w:rPr>
        <w:t xml:space="preserve"> Apartado B</w:t>
      </w:r>
      <w:r w:rsidR="00ED3954" w:rsidRPr="0052418C">
        <w:rPr>
          <w:rFonts w:ascii="ITC Avant Garde" w:hAnsi="ITC Avant Garde" w:cs="Arial"/>
          <w:color w:val="auto"/>
        </w:rPr>
        <w:t>,</w:t>
      </w:r>
      <w:r w:rsidRPr="0052418C">
        <w:rPr>
          <w:rFonts w:ascii="ITC Avant Garde" w:hAnsi="ITC Avant Garde" w:cs="Arial"/>
          <w:color w:val="auto"/>
        </w:rPr>
        <w:t xml:space="preserve"> </w:t>
      </w:r>
      <w:r w:rsidR="00BC4FA9" w:rsidRPr="0052418C">
        <w:rPr>
          <w:rFonts w:ascii="ITC Avant Garde" w:hAnsi="ITC Avant Garde" w:cs="Arial"/>
          <w:color w:val="auto"/>
        </w:rPr>
        <w:t xml:space="preserve">Medición del cumplimiento de los plazos de entrega, </w:t>
      </w:r>
      <w:r w:rsidR="00A13A69" w:rsidRPr="0052418C">
        <w:rPr>
          <w:rFonts w:ascii="ITC Avant Garde" w:hAnsi="ITC Avant Garde" w:cs="Arial"/>
          <w:color w:val="auto"/>
        </w:rPr>
        <w:t>c</w:t>
      </w:r>
      <w:r w:rsidR="00BC4FA9" w:rsidRPr="0052418C">
        <w:rPr>
          <w:rFonts w:ascii="ITC Avant Garde" w:hAnsi="ITC Avant Garde" w:cs="Arial"/>
          <w:color w:val="auto"/>
        </w:rPr>
        <w:t xml:space="preserve">uarto párrafo, propone un plazo máximo de 2 (dos) días hábiles adicionales en las que </w:t>
      </w:r>
      <w:r w:rsidR="00863CE4" w:rsidRPr="0052418C">
        <w:rPr>
          <w:rFonts w:ascii="ITC Avant Garde" w:hAnsi="ITC Avant Garde" w:cs="Arial"/>
          <w:color w:val="auto"/>
        </w:rPr>
        <w:t>Red Nacional</w:t>
      </w:r>
      <w:r w:rsidR="00BC4FA9" w:rsidRPr="0052418C">
        <w:rPr>
          <w:rFonts w:ascii="ITC Avant Garde" w:hAnsi="ITC Avant Garde" w:cs="Arial"/>
          <w:color w:val="auto"/>
        </w:rPr>
        <w:t xml:space="preserve"> verifique los errores y para informar al CS iniciar nuevamente con las pruebas en pro de </w:t>
      </w:r>
      <w:r w:rsidR="000D53E6" w:rsidRPr="0052418C">
        <w:rPr>
          <w:rFonts w:ascii="ITC Avant Garde" w:hAnsi="ITC Avant Garde" w:cs="Arial"/>
          <w:color w:val="auto"/>
        </w:rPr>
        <w:t>hacer eficiente</w:t>
      </w:r>
      <w:r w:rsidR="00BC4FA9" w:rsidRPr="0052418C">
        <w:rPr>
          <w:rFonts w:ascii="ITC Avant Garde" w:hAnsi="ITC Avant Garde" w:cs="Arial"/>
          <w:color w:val="auto"/>
        </w:rPr>
        <w:t xml:space="preserve"> el proceso de entrega y los tiempos de provisión a los usuarios finales.</w:t>
      </w:r>
    </w:p>
    <w:p w14:paraId="42B15885" w14:textId="77777777" w:rsidR="00814C3B" w:rsidRPr="0052418C" w:rsidRDefault="00814C3B" w:rsidP="0052418C">
      <w:pPr>
        <w:spacing w:after="0" w:line="276" w:lineRule="auto"/>
        <w:ind w:left="0" w:right="0" w:firstLine="0"/>
        <w:rPr>
          <w:rFonts w:ascii="ITC Avant Garde" w:hAnsi="ITC Avant Garde" w:cs="Arial"/>
          <w:color w:val="auto"/>
        </w:rPr>
      </w:pPr>
    </w:p>
    <w:p w14:paraId="289DB25F" w14:textId="5C9F12F7" w:rsidR="00814C3B" w:rsidRPr="0052418C" w:rsidRDefault="00814C3B" w:rsidP="0052418C">
      <w:pPr>
        <w:spacing w:after="0" w:line="276" w:lineRule="auto"/>
        <w:ind w:left="0" w:right="0"/>
        <w:rPr>
          <w:rFonts w:ascii="ITC Avant Garde" w:hAnsi="ITC Avant Garde" w:cs="Arial"/>
          <w:b/>
          <w:lang w:val="es-ES_tradnl"/>
        </w:rPr>
      </w:pPr>
      <w:r w:rsidRPr="0052418C">
        <w:rPr>
          <w:rFonts w:ascii="ITC Avant Garde" w:hAnsi="ITC Avant Garde" w:cs="Arial"/>
          <w:b/>
          <w:lang w:val="es-ES_tradnl"/>
        </w:rPr>
        <w:t>Consideraciones del Instituto:</w:t>
      </w:r>
    </w:p>
    <w:p w14:paraId="44D0A800" w14:textId="30455821" w:rsidR="00814C3B" w:rsidRPr="0052418C" w:rsidRDefault="00D30BA8" w:rsidP="0052418C">
      <w:pPr>
        <w:spacing w:after="0" w:line="276" w:lineRule="auto"/>
        <w:rPr>
          <w:rFonts w:ascii="ITC Avant Garde" w:hAnsi="ITC Avant Garde" w:cs="Arial"/>
        </w:rPr>
      </w:pPr>
      <w:r w:rsidRPr="0052418C">
        <w:rPr>
          <w:rFonts w:ascii="ITC Avant Garde" w:hAnsi="ITC Avant Garde" w:cs="Arial"/>
        </w:rPr>
        <w:t>Se modificaron</w:t>
      </w:r>
      <w:r w:rsidR="00814C3B" w:rsidRPr="0052418C">
        <w:rPr>
          <w:rFonts w:ascii="ITC Avant Garde" w:hAnsi="ITC Avant Garde" w:cs="Arial"/>
        </w:rPr>
        <w:t xml:space="preserve"> los numerales 2.4.3.4 de la Oferta, así como el penúltimo párrafo del Anexo “C” y el numeral 7.2 de la cláusula séptima del convenio a efecto de establecer lo siguiente:</w:t>
      </w:r>
    </w:p>
    <w:p w14:paraId="13C9D867" w14:textId="77777777" w:rsidR="00814C3B" w:rsidRPr="0052418C" w:rsidRDefault="00814C3B" w:rsidP="0052418C">
      <w:pPr>
        <w:spacing w:after="0" w:line="276" w:lineRule="auto"/>
        <w:rPr>
          <w:rFonts w:ascii="ITC Avant Garde" w:hAnsi="ITC Avant Garde" w:cs="Arial"/>
          <w:sz w:val="18"/>
          <w:szCs w:val="18"/>
        </w:rPr>
      </w:pPr>
    </w:p>
    <w:p w14:paraId="417F9713" w14:textId="28C7B080" w:rsidR="00814C3B" w:rsidRPr="0052418C" w:rsidRDefault="00814C3B" w:rsidP="0052418C">
      <w:pPr>
        <w:spacing w:after="0" w:line="276" w:lineRule="auto"/>
        <w:ind w:left="567" w:right="616"/>
        <w:rPr>
          <w:rFonts w:ascii="ITC Avant Garde" w:hAnsi="ITC Avant Garde" w:cs="Arial"/>
          <w:i/>
          <w:sz w:val="18"/>
          <w:szCs w:val="18"/>
        </w:rPr>
      </w:pPr>
      <w:r w:rsidRPr="0052418C">
        <w:rPr>
          <w:rFonts w:ascii="ITC Avant Garde" w:hAnsi="ITC Avant Garde" w:cs="Arial"/>
          <w:i/>
          <w:sz w:val="18"/>
          <w:szCs w:val="18"/>
          <w:lang w:val="es-ES"/>
        </w:rPr>
        <w:t>“[…]</w:t>
      </w:r>
      <w:r w:rsidR="00EE75FC" w:rsidRPr="0052418C">
        <w:rPr>
          <w:rFonts w:ascii="ITC Avant Garde" w:hAnsi="ITC Avant Garde" w:cs="Arial"/>
          <w:i/>
          <w:sz w:val="18"/>
          <w:szCs w:val="18"/>
        </w:rPr>
        <w:t xml:space="preserve">Las partes tendrán un plazo de 2 (dos) días hábiles para realizar las pruebas de transmisión y concluir la entrega del servicio. </w:t>
      </w:r>
      <w:r w:rsidR="00EE75FC" w:rsidRPr="0052418C">
        <w:rPr>
          <w:rFonts w:ascii="ITC Avant Garde" w:hAnsi="ITC Avant Garde" w:cs="Arial"/>
          <w:i/>
          <w:sz w:val="18"/>
          <w:szCs w:val="18"/>
          <w:u w:val="single"/>
        </w:rPr>
        <w:t>Si por algún motivo las pruebas realizadas no resultan satisfactorias, Red Nacional contará con un plazo de 2 (dos) hábiles para analizar y reparar los errores presentados e iniciar nuevamente las pruebas.</w:t>
      </w:r>
      <w:r w:rsidRPr="0052418C">
        <w:rPr>
          <w:rFonts w:ascii="ITC Avant Garde" w:hAnsi="ITC Avant Garde" w:cs="Arial"/>
          <w:i/>
          <w:sz w:val="18"/>
          <w:szCs w:val="18"/>
        </w:rPr>
        <w:t xml:space="preserve"> […]”</w:t>
      </w:r>
    </w:p>
    <w:p w14:paraId="766A0802" w14:textId="77777777" w:rsidR="00171E4D" w:rsidRPr="0052418C" w:rsidRDefault="00171E4D" w:rsidP="0052418C">
      <w:pPr>
        <w:spacing w:after="0" w:line="276" w:lineRule="auto"/>
        <w:ind w:left="567" w:right="616"/>
        <w:rPr>
          <w:rFonts w:ascii="ITC Avant Garde" w:hAnsi="ITC Avant Garde" w:cs="Arial"/>
          <w:i/>
          <w:sz w:val="18"/>
          <w:szCs w:val="18"/>
        </w:rPr>
      </w:pPr>
    </w:p>
    <w:p w14:paraId="56D37B75" w14:textId="77777777" w:rsidR="00814C3B" w:rsidRPr="00153D26" w:rsidRDefault="00814C3B" w:rsidP="0052418C">
      <w:pPr>
        <w:spacing w:after="0" w:line="276" w:lineRule="auto"/>
        <w:ind w:left="6372" w:right="0" w:firstLine="708"/>
        <w:rPr>
          <w:rFonts w:ascii="ITC Avant Garde" w:hAnsi="ITC Avant Garde" w:cs="Arial"/>
          <w:b/>
          <w:iCs/>
          <w:sz w:val="18"/>
          <w:szCs w:val="18"/>
          <w:lang w:val="es-ES_tradnl"/>
        </w:rPr>
      </w:pPr>
      <w:r w:rsidRPr="00153D26">
        <w:rPr>
          <w:rFonts w:ascii="ITC Avant Garde" w:hAnsi="ITC Avant Garde" w:cs="Arial"/>
          <w:iCs/>
          <w:sz w:val="18"/>
          <w:szCs w:val="18"/>
        </w:rPr>
        <w:t>(énfasis añadido)</w:t>
      </w:r>
    </w:p>
    <w:p w14:paraId="0A342341" w14:textId="77777777" w:rsidR="00814C3B" w:rsidRPr="0052418C" w:rsidRDefault="00814C3B" w:rsidP="0052418C">
      <w:pPr>
        <w:spacing w:after="0" w:line="276" w:lineRule="auto"/>
        <w:ind w:left="0" w:right="0" w:firstLine="0"/>
        <w:rPr>
          <w:rFonts w:ascii="ITC Avant Garde" w:hAnsi="ITC Avant Garde" w:cs="Arial"/>
          <w:color w:val="auto"/>
          <w:sz w:val="18"/>
          <w:szCs w:val="18"/>
        </w:rPr>
      </w:pPr>
    </w:p>
    <w:p w14:paraId="66376FBC" w14:textId="08B09EBD" w:rsidR="00DA04C8" w:rsidRPr="0052418C" w:rsidRDefault="00D572FC" w:rsidP="0052418C">
      <w:pPr>
        <w:spacing w:after="0" w:line="276" w:lineRule="auto"/>
        <w:ind w:left="0" w:right="0" w:firstLine="0"/>
        <w:rPr>
          <w:rFonts w:ascii="ITC Avant Garde" w:eastAsia="Times New Roman" w:hAnsi="ITC Avant Garde" w:cs="Arial"/>
          <w:b/>
          <w:color w:val="auto"/>
        </w:rPr>
      </w:pPr>
      <w:r w:rsidRPr="0052418C">
        <w:rPr>
          <w:rFonts w:ascii="ITC Avant Garde" w:eastAsia="Times New Roman" w:hAnsi="ITC Avant Garde" w:cs="Arial"/>
          <w:b/>
          <w:color w:val="auto"/>
        </w:rPr>
        <w:t xml:space="preserve">GRUPO AT&amp;T: </w:t>
      </w:r>
    </w:p>
    <w:p w14:paraId="77C67A1A" w14:textId="6A895B75" w:rsidR="00DA04C8" w:rsidRPr="0052418C" w:rsidRDefault="00DA04C8" w:rsidP="0052418C">
      <w:pPr>
        <w:spacing w:after="0" w:line="276" w:lineRule="auto"/>
        <w:ind w:left="0" w:right="0" w:firstLine="0"/>
        <w:rPr>
          <w:rFonts w:ascii="ITC Avant Garde" w:eastAsia="Times New Roman" w:hAnsi="ITC Avant Garde" w:cs="Arial"/>
          <w:color w:val="auto"/>
        </w:rPr>
      </w:pPr>
      <w:r w:rsidRPr="0052418C">
        <w:rPr>
          <w:rFonts w:ascii="ITC Avant Garde" w:eastAsia="Times New Roman" w:hAnsi="ITC Avant Garde" w:cs="Arial"/>
          <w:color w:val="auto"/>
        </w:rPr>
        <w:t>Sugir</w:t>
      </w:r>
      <w:r w:rsidR="00680D20" w:rsidRPr="0052418C">
        <w:rPr>
          <w:rFonts w:ascii="ITC Avant Garde" w:eastAsia="Times New Roman" w:hAnsi="ITC Avant Garde" w:cs="Arial"/>
          <w:color w:val="auto"/>
        </w:rPr>
        <w:t>ió</w:t>
      </w:r>
      <w:r w:rsidRPr="0052418C">
        <w:rPr>
          <w:rFonts w:ascii="ITC Avant Garde" w:eastAsia="Times New Roman" w:hAnsi="ITC Avant Garde" w:cs="Arial"/>
          <w:color w:val="auto"/>
        </w:rPr>
        <w:t xml:space="preserve"> que los plazos de entrega se midan por trimestre calendario (enero a marzo; abril a junio; julio a septiembre y octubre a diciembre), y no podrán excederse en:</w:t>
      </w:r>
    </w:p>
    <w:p w14:paraId="14472C7C" w14:textId="32867577" w:rsidR="00DA04C8" w:rsidRPr="0052418C" w:rsidRDefault="00DA04C8" w:rsidP="0052418C">
      <w:pPr>
        <w:spacing w:after="0" w:line="276" w:lineRule="auto"/>
        <w:ind w:left="0" w:right="0" w:firstLine="0"/>
        <w:rPr>
          <w:rFonts w:ascii="ITC Avant Garde" w:eastAsia="Times New Roman" w:hAnsi="ITC Avant Garde" w:cs="Arial"/>
          <w:color w:val="auto"/>
        </w:rPr>
      </w:pPr>
    </w:p>
    <w:p w14:paraId="09826066" w14:textId="7B3F84D5" w:rsidR="00DA04C8" w:rsidRPr="0052418C" w:rsidRDefault="00DA04C8" w:rsidP="0052418C">
      <w:pPr>
        <w:pStyle w:val="Prrafodelista"/>
        <w:numPr>
          <w:ilvl w:val="0"/>
          <w:numId w:val="77"/>
        </w:numPr>
        <w:spacing w:after="0" w:line="276" w:lineRule="auto"/>
        <w:ind w:right="0"/>
        <w:rPr>
          <w:rFonts w:ascii="ITC Avant Garde" w:eastAsia="Times New Roman" w:hAnsi="ITC Avant Garde" w:cs="Arial"/>
          <w:color w:val="auto"/>
        </w:rPr>
      </w:pPr>
      <w:r w:rsidRPr="0052418C">
        <w:rPr>
          <w:rFonts w:ascii="ITC Avant Garde" w:eastAsia="Times New Roman" w:hAnsi="ITC Avant Garde" w:cs="Arial"/>
          <w:color w:val="auto"/>
        </w:rPr>
        <w:t>El 85% (ochenta y cinco por ciento) de las solicitudes que se realicen dentro de pronóstico y el restante en el doble del plazo señalado hasta llegar al 100% (cien por ciento).</w:t>
      </w:r>
    </w:p>
    <w:p w14:paraId="69B8EA3D" w14:textId="4ED7E354" w:rsidR="00DA04C8" w:rsidRPr="0052418C" w:rsidRDefault="00DA04C8" w:rsidP="0052418C">
      <w:pPr>
        <w:pStyle w:val="Prrafodelista"/>
        <w:spacing w:after="0" w:line="276" w:lineRule="auto"/>
        <w:ind w:left="567" w:right="0" w:hanging="567"/>
        <w:rPr>
          <w:rFonts w:ascii="ITC Avant Garde" w:eastAsia="Times New Roman" w:hAnsi="ITC Avant Garde" w:cs="Arial"/>
          <w:color w:val="auto"/>
        </w:rPr>
      </w:pPr>
    </w:p>
    <w:p w14:paraId="75FF2769" w14:textId="5E0E158A" w:rsidR="00DA04C8" w:rsidRPr="0052418C" w:rsidRDefault="00DA04C8" w:rsidP="0052418C">
      <w:pPr>
        <w:pStyle w:val="Prrafodelista"/>
        <w:numPr>
          <w:ilvl w:val="0"/>
          <w:numId w:val="77"/>
        </w:numPr>
        <w:spacing w:after="0" w:line="276" w:lineRule="auto"/>
        <w:ind w:right="0"/>
        <w:rPr>
          <w:rFonts w:ascii="ITC Avant Garde" w:eastAsia="Times New Roman" w:hAnsi="ITC Avant Garde" w:cs="Arial"/>
          <w:color w:val="auto"/>
        </w:rPr>
      </w:pPr>
      <w:r w:rsidRPr="0052418C">
        <w:rPr>
          <w:rFonts w:ascii="ITC Avant Garde" w:eastAsia="Times New Roman" w:hAnsi="ITC Avant Garde" w:cs="Arial"/>
          <w:color w:val="auto"/>
        </w:rPr>
        <w:t>El 20% (veinte por ciento) de las solicitudes que se realicen fuera de pronóstico y el doble del plazo señalado para el remanente de solicitudes hasta llegar al 100% (cien por ciento).</w:t>
      </w:r>
    </w:p>
    <w:p w14:paraId="5897CDA5" w14:textId="5D5D2AFE" w:rsidR="00DA04C8" w:rsidRPr="0052418C" w:rsidRDefault="00DA04C8" w:rsidP="0052418C">
      <w:pPr>
        <w:pStyle w:val="Prrafodelista"/>
        <w:spacing w:after="0" w:line="276" w:lineRule="auto"/>
        <w:rPr>
          <w:rFonts w:ascii="ITC Avant Garde" w:eastAsia="Times New Roman" w:hAnsi="ITC Avant Garde" w:cs="Arial"/>
          <w:color w:val="auto"/>
        </w:rPr>
      </w:pPr>
    </w:p>
    <w:p w14:paraId="52B91F5D" w14:textId="1AC16896" w:rsidR="00DA04C8" w:rsidRPr="0052418C" w:rsidRDefault="00DA04C8" w:rsidP="0052418C">
      <w:pPr>
        <w:spacing w:after="0" w:line="276" w:lineRule="auto"/>
        <w:ind w:right="0"/>
        <w:rPr>
          <w:rFonts w:ascii="ITC Avant Garde" w:eastAsia="Times New Roman" w:hAnsi="ITC Avant Garde" w:cs="Arial"/>
          <w:i/>
          <w:color w:val="auto"/>
        </w:rPr>
      </w:pPr>
      <w:r w:rsidRPr="0052418C">
        <w:rPr>
          <w:rFonts w:ascii="ITC Avant Garde" w:eastAsia="Times New Roman" w:hAnsi="ITC Avant Garde" w:cs="Arial"/>
          <w:color w:val="auto"/>
        </w:rPr>
        <w:t>Sugir</w:t>
      </w:r>
      <w:r w:rsidR="00680D20" w:rsidRPr="0052418C">
        <w:rPr>
          <w:rFonts w:ascii="ITC Avant Garde" w:eastAsia="Times New Roman" w:hAnsi="ITC Avant Garde" w:cs="Arial"/>
          <w:color w:val="auto"/>
        </w:rPr>
        <w:t>ió</w:t>
      </w:r>
      <w:r w:rsidRPr="0052418C">
        <w:rPr>
          <w:rFonts w:ascii="ITC Avant Garde" w:eastAsia="Times New Roman" w:hAnsi="ITC Avant Garde" w:cs="Arial"/>
          <w:color w:val="auto"/>
        </w:rPr>
        <w:t xml:space="preserve"> que se deben de mantener los plazos actuales y la velocidad de 100 Gbps. Asimismo, y con respecto a los plazos de los pronósticos argumentan que resultan excesivos, esto tomando en cuenta la cantidad de motivos por los que la Red Nacional puede detener el reloj y que no tiene que cumplirlo en el 100% de los casos</w:t>
      </w:r>
      <w:r w:rsidR="000A5B2A" w:rsidRPr="0052418C">
        <w:rPr>
          <w:rFonts w:ascii="ITC Avant Garde" w:eastAsia="Times New Roman" w:hAnsi="ITC Avant Garde" w:cs="Arial"/>
          <w:color w:val="auto"/>
        </w:rPr>
        <w:t>.</w:t>
      </w:r>
    </w:p>
    <w:p w14:paraId="08735DC7" w14:textId="08D60C4D" w:rsidR="00DA04C8" w:rsidRPr="0052418C" w:rsidRDefault="00DA04C8" w:rsidP="0052418C">
      <w:pPr>
        <w:spacing w:after="0" w:line="276" w:lineRule="auto"/>
        <w:ind w:left="0" w:right="0"/>
        <w:rPr>
          <w:rFonts w:ascii="ITC Avant Garde" w:hAnsi="ITC Avant Garde" w:cs="Arial"/>
          <w:b/>
          <w:color w:val="auto"/>
        </w:rPr>
      </w:pPr>
    </w:p>
    <w:p w14:paraId="45288A0C" w14:textId="28DA74D5" w:rsidR="00DA04C8" w:rsidRPr="0052418C" w:rsidRDefault="00DA04C8"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p>
    <w:p w14:paraId="3F44D17D" w14:textId="3749466C" w:rsidR="00DA04C8" w:rsidRPr="0052418C" w:rsidRDefault="00DA04C8" w:rsidP="0052418C">
      <w:pPr>
        <w:spacing w:after="0" w:line="276" w:lineRule="auto"/>
        <w:ind w:left="0" w:right="0" w:firstLine="0"/>
        <w:rPr>
          <w:rFonts w:ascii="ITC Avant Garde" w:hAnsi="ITC Avant Garde" w:cs="Arial"/>
          <w:color w:val="auto"/>
        </w:rPr>
      </w:pPr>
      <w:r w:rsidRPr="00051F3D">
        <w:rPr>
          <w:rFonts w:ascii="ITC Avant Garde" w:hAnsi="ITC Avant Garde" w:cs="Arial"/>
        </w:rPr>
        <w:t xml:space="preserve">Al respecto, ténganse por reproducidos como si a la letra se insertasen las consideraciones expuestas en el numeral </w:t>
      </w:r>
      <w:r w:rsidRPr="00051F3D">
        <w:rPr>
          <w:rFonts w:ascii="ITC Avant Garde" w:hAnsi="ITC Avant Garde" w:cs="Arial"/>
          <w:iCs/>
        </w:rPr>
        <w:t>2.4.1.1.</w:t>
      </w:r>
      <w:r w:rsidR="0094334D" w:rsidRPr="00051F3D">
        <w:rPr>
          <w:rFonts w:ascii="ITC Avant Garde" w:hAnsi="ITC Avant Garde" w:cs="Arial"/>
          <w:iCs/>
        </w:rPr>
        <w:t xml:space="preserve"> </w:t>
      </w:r>
      <w:r w:rsidR="0094334D" w:rsidRPr="004949D0">
        <w:rPr>
          <w:rFonts w:ascii="ITC Avant Garde" w:hAnsi="ITC Avant Garde" w:cs="Arial"/>
          <w:iCs/>
          <w:color w:val="auto"/>
        </w:rPr>
        <w:t>Plazos de entrega</w:t>
      </w:r>
      <w:r w:rsidR="00051F3D" w:rsidRPr="004949D0">
        <w:rPr>
          <w:rFonts w:ascii="ITC Avant Garde" w:hAnsi="ITC Avant Garde" w:cs="Arial"/>
          <w:iCs/>
          <w:color w:val="auto"/>
        </w:rPr>
        <w:t>.</w:t>
      </w:r>
    </w:p>
    <w:p w14:paraId="0452AC20" w14:textId="77777777" w:rsidR="00DA04C8" w:rsidRPr="0052418C" w:rsidRDefault="00DA04C8" w:rsidP="0052418C">
      <w:pPr>
        <w:spacing w:after="0" w:line="276" w:lineRule="auto"/>
        <w:ind w:left="0" w:right="0"/>
        <w:rPr>
          <w:rFonts w:ascii="ITC Avant Garde" w:hAnsi="ITC Avant Garde" w:cs="Arial"/>
          <w:b/>
          <w:color w:val="auto"/>
        </w:rPr>
      </w:pPr>
    </w:p>
    <w:p w14:paraId="19323240" w14:textId="03AA26A5" w:rsidR="00E27624" w:rsidRPr="0052418C" w:rsidRDefault="00D572FC" w:rsidP="0052418C">
      <w:pPr>
        <w:spacing w:after="0" w:line="276" w:lineRule="auto"/>
        <w:ind w:left="0" w:right="0"/>
        <w:rPr>
          <w:rFonts w:ascii="ITC Avant Garde" w:hAnsi="ITC Avant Garde" w:cs="Arial"/>
          <w:b/>
          <w:color w:val="auto"/>
        </w:rPr>
      </w:pPr>
      <w:r w:rsidRPr="0052418C">
        <w:rPr>
          <w:rFonts w:ascii="ITC Avant Garde" w:hAnsi="ITC Avant Garde" w:cs="Arial"/>
          <w:b/>
          <w:color w:val="auto"/>
        </w:rPr>
        <w:t xml:space="preserve">GRUPO AT&amp;T: </w:t>
      </w:r>
    </w:p>
    <w:p w14:paraId="35BE7673" w14:textId="4DEF682C" w:rsidR="00E27624" w:rsidRPr="0052418C" w:rsidRDefault="00E27624" w:rsidP="0052418C">
      <w:pPr>
        <w:pStyle w:val="IFTnormal"/>
        <w:spacing w:after="0"/>
        <w:ind w:left="0"/>
        <w:rPr>
          <w:rFonts w:eastAsia="Avant Garde" w:cs="Arial"/>
          <w:lang w:val="es-MX"/>
        </w:rPr>
      </w:pPr>
      <w:r w:rsidRPr="0052418C">
        <w:rPr>
          <w:rFonts w:eastAsia="Avant Garde" w:cs="Arial"/>
          <w:lang w:val="es-MX"/>
        </w:rPr>
        <w:t>Sugi</w:t>
      </w:r>
      <w:r w:rsidR="00680D20" w:rsidRPr="0052418C">
        <w:rPr>
          <w:rFonts w:eastAsia="Avant Garde" w:cs="Arial"/>
          <w:lang w:val="es-MX"/>
        </w:rPr>
        <w:t>rió</w:t>
      </w:r>
      <w:r w:rsidRPr="0052418C">
        <w:rPr>
          <w:rFonts w:eastAsia="Avant Garde" w:cs="Arial"/>
          <w:lang w:val="es-MX"/>
        </w:rPr>
        <w:t xml:space="preserve"> actualizar el tiempo requerido para coordinar las pruebas en sitios remotos en un plazo de 5 (cinco) días hábiles y no en plazo de 2 (dos) días hábiles como lo sugiere la</w:t>
      </w:r>
      <w:r w:rsidR="00171E4D" w:rsidRPr="0052418C">
        <w:rPr>
          <w:rFonts w:eastAsia="Avant Garde" w:cs="Arial"/>
          <w:lang w:val="es-MX"/>
        </w:rPr>
        <w:t xml:space="preserve"> </w:t>
      </w:r>
      <w:r w:rsidR="00171E4D" w:rsidRPr="0052418C">
        <w:rPr>
          <w:rFonts w:eastAsia="Avant Garde" w:cs="Avant Garde"/>
          <w:lang w:val="es-MX"/>
        </w:rPr>
        <w:t>Propuesta de</w:t>
      </w:r>
      <w:r w:rsidRPr="0052418C">
        <w:rPr>
          <w:rFonts w:eastAsia="Avant Garde" w:cs="Arial"/>
          <w:lang w:val="es-MX"/>
        </w:rPr>
        <w:t xml:space="preserve"> </w:t>
      </w:r>
      <w:r w:rsidR="00171E4D" w:rsidRPr="0052418C">
        <w:rPr>
          <w:rFonts w:eastAsia="Avant Garde" w:cs="Arial"/>
          <w:lang w:val="es-MX"/>
        </w:rPr>
        <w:t>O</w:t>
      </w:r>
      <w:r w:rsidRPr="0052418C">
        <w:rPr>
          <w:rFonts w:eastAsia="Avant Garde" w:cs="Arial"/>
          <w:lang w:val="es-MX"/>
        </w:rPr>
        <w:t>ferta.</w:t>
      </w:r>
    </w:p>
    <w:p w14:paraId="66D2F244" w14:textId="77777777" w:rsidR="00E27624" w:rsidRPr="0052418C" w:rsidRDefault="00E27624" w:rsidP="0052418C">
      <w:pPr>
        <w:pStyle w:val="IFTnormal"/>
        <w:spacing w:after="0"/>
        <w:ind w:left="0"/>
        <w:rPr>
          <w:rFonts w:cs="Arial"/>
        </w:rPr>
      </w:pPr>
    </w:p>
    <w:p w14:paraId="45A50866" w14:textId="0AFEBD97" w:rsidR="00E27624" w:rsidRPr="0052418C" w:rsidRDefault="00E27624"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p>
    <w:p w14:paraId="674007E5" w14:textId="77777777" w:rsidR="00E27624" w:rsidRPr="0052418C" w:rsidRDefault="00E27624" w:rsidP="0052418C">
      <w:pPr>
        <w:spacing w:after="0" w:line="276" w:lineRule="auto"/>
        <w:ind w:left="0" w:right="0" w:firstLine="0"/>
        <w:rPr>
          <w:rFonts w:ascii="ITC Avant Garde" w:hAnsi="ITC Avant Garde" w:cs="Arial"/>
          <w:color w:val="auto"/>
        </w:rPr>
      </w:pPr>
      <w:r w:rsidRPr="0052418C">
        <w:rPr>
          <w:rFonts w:ascii="ITC Avant Garde" w:hAnsi="ITC Avant Garde" w:cs="Arial"/>
        </w:rPr>
        <w:t>Al respecto, ténganse por reproducidos como si a la letra se insertasen las consideraciones expuestas en el numeral 2.4.3.4.</w:t>
      </w:r>
    </w:p>
    <w:p w14:paraId="1E7BCA0A" w14:textId="77777777" w:rsidR="00E27624" w:rsidRPr="0052418C" w:rsidRDefault="00E27624" w:rsidP="0052418C">
      <w:pPr>
        <w:spacing w:after="0" w:line="276" w:lineRule="auto"/>
        <w:ind w:left="0" w:right="0" w:firstLine="0"/>
        <w:rPr>
          <w:rFonts w:ascii="ITC Avant Garde" w:hAnsi="ITC Avant Garde" w:cs="Arial"/>
          <w:color w:val="auto"/>
        </w:rPr>
      </w:pPr>
    </w:p>
    <w:p w14:paraId="0E02A00D" w14:textId="7FDABED8" w:rsidR="00E27624" w:rsidRPr="0052418C" w:rsidRDefault="00D572FC" w:rsidP="0052418C">
      <w:pPr>
        <w:spacing w:after="0" w:line="276" w:lineRule="auto"/>
        <w:ind w:left="0" w:right="0"/>
        <w:rPr>
          <w:rFonts w:ascii="ITC Avant Garde" w:hAnsi="ITC Avant Garde" w:cs="Arial"/>
          <w:b/>
          <w:color w:val="auto"/>
        </w:rPr>
      </w:pPr>
      <w:r w:rsidRPr="0052418C">
        <w:rPr>
          <w:rFonts w:ascii="ITC Avant Garde" w:hAnsi="ITC Avant Garde" w:cs="Arial"/>
          <w:b/>
          <w:color w:val="auto"/>
        </w:rPr>
        <w:t xml:space="preserve">GRUPO AT&amp;T: </w:t>
      </w:r>
    </w:p>
    <w:p w14:paraId="71D64E6B" w14:textId="4A382DD8" w:rsidR="00E05A36" w:rsidRPr="0052418C" w:rsidRDefault="00E27624"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Grupo AT&amp;T señal</w:t>
      </w:r>
      <w:r w:rsidR="00094BA1" w:rsidRPr="0052418C">
        <w:rPr>
          <w:rFonts w:ascii="ITC Avant Garde" w:hAnsi="ITC Avant Garde" w:cs="Arial"/>
          <w:color w:val="auto"/>
        </w:rPr>
        <w:t>ó</w:t>
      </w:r>
      <w:r w:rsidRPr="0052418C">
        <w:rPr>
          <w:rFonts w:ascii="ITC Avant Garde" w:hAnsi="ITC Avant Garde" w:cs="Arial"/>
          <w:color w:val="auto"/>
        </w:rPr>
        <w:t xml:space="preserve"> que con respecto a los Enlaces que excedan un 20% o más de los pronosticados, mismos que serán instalados en un plazo definido por mutuo acuerdo bajo esquema fecha compromiso (Due Date), resulta extremadamente difícil entregar el pronóstico preciso de las necesidades de enlaces con un</w:t>
      </w:r>
      <w:r w:rsidR="00EA4290" w:rsidRPr="0052418C">
        <w:rPr>
          <w:rFonts w:ascii="ITC Avant Garde" w:hAnsi="ITC Avant Garde" w:cs="Arial"/>
          <w:color w:val="auto"/>
        </w:rPr>
        <w:t xml:space="preserve"> </w:t>
      </w:r>
      <w:r w:rsidRPr="0052418C">
        <w:rPr>
          <w:rFonts w:ascii="ITC Avant Garde" w:hAnsi="ITC Avant Garde" w:cs="Arial"/>
          <w:color w:val="auto"/>
        </w:rPr>
        <w:t xml:space="preserve">año de anticipación y aceptando la dificultad que esto genera a </w:t>
      </w:r>
      <w:r w:rsidR="00CB7E89" w:rsidRPr="0052418C">
        <w:rPr>
          <w:rFonts w:ascii="ITC Avant Garde" w:hAnsi="ITC Avant Garde" w:cs="Arial"/>
          <w:color w:val="auto"/>
        </w:rPr>
        <w:t xml:space="preserve">Red Nacional </w:t>
      </w:r>
      <w:r w:rsidRPr="0052418C">
        <w:rPr>
          <w:rFonts w:ascii="ITC Avant Garde" w:hAnsi="ITC Avant Garde" w:cs="Arial"/>
          <w:color w:val="auto"/>
        </w:rPr>
        <w:t>se solicita establecer que tratándose de Enlaces Ethernet no podrá exceder de 60 días hábiles para enlaces locales</w:t>
      </w:r>
      <w:r w:rsidR="00EA6A02" w:rsidRPr="0052418C">
        <w:rPr>
          <w:rFonts w:ascii="ITC Avant Garde" w:hAnsi="ITC Avant Garde" w:cs="Arial"/>
          <w:color w:val="auto"/>
        </w:rPr>
        <w:t>.</w:t>
      </w:r>
    </w:p>
    <w:p w14:paraId="6DFDAFE4" w14:textId="77777777" w:rsidR="00E27624" w:rsidRPr="0052418C" w:rsidRDefault="00E27624" w:rsidP="0052418C">
      <w:pPr>
        <w:spacing w:after="0" w:line="276" w:lineRule="auto"/>
        <w:ind w:left="0" w:right="0" w:firstLine="0"/>
        <w:rPr>
          <w:rFonts w:ascii="ITC Avant Garde" w:hAnsi="ITC Avant Garde" w:cs="Arial"/>
          <w:color w:val="auto"/>
        </w:rPr>
      </w:pPr>
    </w:p>
    <w:p w14:paraId="3851C2C0" w14:textId="313CED22" w:rsidR="00E27624" w:rsidRPr="0052418C" w:rsidRDefault="00E27624"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p>
    <w:p w14:paraId="33A92295" w14:textId="097D8375" w:rsidR="00E27624" w:rsidRPr="0052418C" w:rsidRDefault="00E27624" w:rsidP="0052418C">
      <w:pPr>
        <w:spacing w:after="0" w:line="276" w:lineRule="auto"/>
        <w:ind w:left="0" w:right="0"/>
        <w:rPr>
          <w:rFonts w:ascii="ITC Avant Garde" w:hAnsi="ITC Avant Garde" w:cs="Arial"/>
        </w:rPr>
      </w:pPr>
      <w:r w:rsidRPr="0052418C">
        <w:rPr>
          <w:rFonts w:ascii="ITC Avant Garde" w:hAnsi="ITC Avant Garde" w:cs="Arial"/>
        </w:rPr>
        <w:t>Al respecto, ténganse por reproducidos como si a la letra se insertasen las consideraciones expuestas en el numeral 2.4.3.5.</w:t>
      </w:r>
    </w:p>
    <w:p w14:paraId="7AA07801" w14:textId="77777777" w:rsidR="00E27624" w:rsidRPr="0052418C" w:rsidRDefault="00E27624" w:rsidP="0052418C">
      <w:pPr>
        <w:spacing w:after="0" w:line="276" w:lineRule="auto"/>
        <w:ind w:left="0" w:right="0"/>
        <w:rPr>
          <w:rFonts w:ascii="ITC Avant Garde" w:hAnsi="ITC Avant Garde" w:cs="Arial"/>
        </w:rPr>
      </w:pPr>
    </w:p>
    <w:p w14:paraId="7928C24F" w14:textId="3A5DB02B" w:rsidR="00E27624" w:rsidRPr="0052418C" w:rsidRDefault="00D72A51" w:rsidP="0052418C">
      <w:pPr>
        <w:spacing w:after="0" w:line="276" w:lineRule="auto"/>
        <w:ind w:left="0" w:right="0"/>
        <w:rPr>
          <w:rFonts w:ascii="ITC Avant Garde" w:hAnsi="ITC Avant Garde" w:cs="Arial"/>
          <w:b/>
          <w:color w:val="auto"/>
        </w:rPr>
      </w:pPr>
      <w:r w:rsidRPr="0052418C">
        <w:rPr>
          <w:rFonts w:ascii="ITC Avant Garde" w:hAnsi="ITC Avant Garde" w:cs="Arial"/>
          <w:b/>
          <w:color w:val="auto"/>
        </w:rPr>
        <w:t xml:space="preserve">GRUPO AT&amp;T: </w:t>
      </w:r>
    </w:p>
    <w:p w14:paraId="1875C834" w14:textId="69D4A70C" w:rsidR="00E27624" w:rsidRPr="0052418C" w:rsidRDefault="00E27624" w:rsidP="0052418C">
      <w:pPr>
        <w:spacing w:after="0" w:line="276" w:lineRule="auto"/>
        <w:ind w:left="0" w:right="0" w:firstLine="0"/>
        <w:rPr>
          <w:rFonts w:ascii="ITC Avant Garde" w:hAnsi="ITC Avant Garde" w:cs="Arial"/>
        </w:rPr>
      </w:pPr>
      <w:r w:rsidRPr="0052418C">
        <w:rPr>
          <w:rFonts w:ascii="ITC Avant Garde" w:hAnsi="ITC Avant Garde" w:cs="Arial"/>
          <w:color w:val="auto"/>
        </w:rPr>
        <w:t>Asimismo, señal</w:t>
      </w:r>
      <w:r w:rsidR="00C13477" w:rsidRPr="0052418C">
        <w:rPr>
          <w:rFonts w:ascii="ITC Avant Garde" w:hAnsi="ITC Avant Garde" w:cs="Arial"/>
          <w:color w:val="auto"/>
        </w:rPr>
        <w:t>ó</w:t>
      </w:r>
      <w:r w:rsidRPr="0052418C">
        <w:rPr>
          <w:rFonts w:ascii="ITC Avant Garde" w:hAnsi="ITC Avant Garde" w:cs="Arial"/>
          <w:color w:val="auto"/>
        </w:rPr>
        <w:t xml:space="preserve"> que resulta necesario establecer que cuando se presenten causas de fuerza mayor que interrumpan la prestación de los servicios, </w:t>
      </w:r>
      <w:r w:rsidR="0058210F" w:rsidRPr="0052418C">
        <w:rPr>
          <w:rFonts w:ascii="ITC Avant Garde" w:hAnsi="ITC Avant Garde" w:cs="Arial"/>
          <w:color w:val="auto"/>
        </w:rPr>
        <w:t xml:space="preserve">Red Nacional </w:t>
      </w:r>
      <w:r w:rsidRPr="0052418C">
        <w:rPr>
          <w:rFonts w:ascii="ITC Avant Garde" w:hAnsi="ITC Avant Garde" w:cs="Arial"/>
          <w:color w:val="auto"/>
        </w:rPr>
        <w:t>descontará de la renta la parte proporcional de los mismos que no fueron prestados. Manifest</w:t>
      </w:r>
      <w:r w:rsidR="00C13477" w:rsidRPr="0052418C">
        <w:rPr>
          <w:rFonts w:ascii="ITC Avant Garde" w:hAnsi="ITC Avant Garde" w:cs="Arial"/>
          <w:color w:val="auto"/>
        </w:rPr>
        <w:t>ó</w:t>
      </w:r>
      <w:r w:rsidRPr="0052418C">
        <w:rPr>
          <w:rFonts w:ascii="ITC Avant Garde" w:hAnsi="ITC Avant Garde" w:cs="Arial"/>
          <w:color w:val="auto"/>
        </w:rPr>
        <w:t xml:space="preserve"> que lo anterior es una práctica normal de la industria en la prestación de los servicios tanto a usuarios finales como entre operadores, no se considera una penalidad, simplemente no puede cobrarse por servicios que no se prestan. Señala que esto mismo debe aplicar por causas imputables a terceros. </w:t>
      </w:r>
    </w:p>
    <w:p w14:paraId="798E3054" w14:textId="77777777" w:rsidR="00E93DAF" w:rsidRPr="0052418C" w:rsidRDefault="00E93DAF" w:rsidP="0052418C">
      <w:pPr>
        <w:spacing w:after="0" w:line="276" w:lineRule="auto"/>
        <w:ind w:left="0" w:right="0" w:firstLine="0"/>
        <w:rPr>
          <w:rFonts w:ascii="ITC Avant Garde" w:hAnsi="ITC Avant Garde" w:cs="Arial"/>
          <w:b/>
          <w:color w:val="auto"/>
        </w:rPr>
      </w:pPr>
    </w:p>
    <w:p w14:paraId="5EE1049E" w14:textId="1AFAF2A0" w:rsidR="00E27624" w:rsidRPr="0052418C" w:rsidRDefault="00E27624"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p>
    <w:p w14:paraId="797B1635" w14:textId="77777777" w:rsidR="00E27624" w:rsidRPr="0052418C" w:rsidRDefault="00E27624" w:rsidP="0052418C">
      <w:pPr>
        <w:spacing w:after="0" w:line="276" w:lineRule="auto"/>
        <w:ind w:left="0" w:right="0"/>
        <w:rPr>
          <w:rFonts w:ascii="ITC Avant Garde" w:hAnsi="ITC Avant Garde" w:cs="Arial"/>
          <w:iCs/>
        </w:rPr>
      </w:pPr>
      <w:r w:rsidRPr="0052418C">
        <w:rPr>
          <w:rFonts w:ascii="ITC Avant Garde" w:hAnsi="ITC Avant Garde" w:cs="Arial"/>
        </w:rPr>
        <w:t xml:space="preserve">Al respecto, ténganse por reproducidos como si a la letra se insertasen las consideraciones expuestas en el numeral </w:t>
      </w:r>
      <w:r w:rsidRPr="0052418C">
        <w:rPr>
          <w:rFonts w:ascii="ITC Avant Garde" w:hAnsi="ITC Avant Garde" w:cs="Arial"/>
          <w:iCs/>
        </w:rPr>
        <w:t>2.6.4.</w:t>
      </w:r>
    </w:p>
    <w:p w14:paraId="020FF647" w14:textId="77777777" w:rsidR="00E93DAF" w:rsidRPr="0052418C" w:rsidRDefault="00E93DAF" w:rsidP="0052418C">
      <w:pPr>
        <w:spacing w:after="0" w:line="276" w:lineRule="auto"/>
        <w:ind w:left="0" w:right="0"/>
        <w:rPr>
          <w:rFonts w:ascii="ITC Avant Garde" w:hAnsi="ITC Avant Garde" w:cs="Arial"/>
        </w:rPr>
      </w:pPr>
    </w:p>
    <w:p w14:paraId="3967C18F" w14:textId="10CD2DE6" w:rsidR="00E27624" w:rsidRPr="0052418C" w:rsidRDefault="00D72A51" w:rsidP="0052418C">
      <w:pPr>
        <w:spacing w:after="0" w:line="276" w:lineRule="auto"/>
        <w:ind w:left="0" w:right="0"/>
        <w:rPr>
          <w:rFonts w:ascii="ITC Avant Garde" w:hAnsi="ITC Avant Garde" w:cs="Arial"/>
          <w:b/>
          <w:color w:val="auto"/>
        </w:rPr>
      </w:pPr>
      <w:r w:rsidRPr="0052418C">
        <w:rPr>
          <w:rFonts w:ascii="ITC Avant Garde" w:hAnsi="ITC Avant Garde" w:cs="Arial"/>
          <w:b/>
          <w:color w:val="auto"/>
        </w:rPr>
        <w:t xml:space="preserve">GRUPO AT&amp;T: </w:t>
      </w:r>
    </w:p>
    <w:p w14:paraId="5C795488" w14:textId="71CDCEFF" w:rsidR="00E27624" w:rsidRPr="0052418C" w:rsidRDefault="00E27624"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Grupo AT&amp;T sugir</w:t>
      </w:r>
      <w:r w:rsidR="00D928CB" w:rsidRPr="0052418C">
        <w:rPr>
          <w:rFonts w:ascii="ITC Avant Garde" w:hAnsi="ITC Avant Garde" w:cs="Arial"/>
          <w:color w:val="auto"/>
        </w:rPr>
        <w:t>ió</w:t>
      </w:r>
      <w:r w:rsidRPr="0052418C">
        <w:rPr>
          <w:rFonts w:ascii="ITC Avant Garde" w:hAnsi="ITC Avant Garde" w:cs="Arial"/>
          <w:color w:val="auto"/>
        </w:rPr>
        <w:t xml:space="preserve"> que la disponibilidad del Enlace Dedicado de 99.83% y 99.98% mensual equivale a 73 minutos fuera del servicio por mes para enlaces sin redundancia y 10 minutos para enlace con redundancia, permitidos sin penalidad. Esto considera es una calidad inferior a los estándares de la industria en México y es, por lo tanto, perfectamente razonable.</w:t>
      </w:r>
    </w:p>
    <w:p w14:paraId="35ACBE1F" w14:textId="77777777" w:rsidR="00E27624" w:rsidRPr="0052418C" w:rsidRDefault="00E27624" w:rsidP="0052418C">
      <w:pPr>
        <w:spacing w:after="0" w:line="276" w:lineRule="auto"/>
        <w:ind w:left="0" w:right="0" w:firstLine="0"/>
        <w:rPr>
          <w:rFonts w:ascii="ITC Avant Garde" w:hAnsi="ITC Avant Garde" w:cs="Arial"/>
          <w:color w:val="auto"/>
        </w:rPr>
      </w:pPr>
    </w:p>
    <w:p w14:paraId="3F068780" w14:textId="02E642E2" w:rsidR="00E27624" w:rsidRPr="0052418C" w:rsidRDefault="00E27624"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Argument</w:t>
      </w:r>
      <w:r w:rsidR="00612E31" w:rsidRPr="0052418C">
        <w:rPr>
          <w:rFonts w:ascii="ITC Avant Garde" w:hAnsi="ITC Avant Garde" w:cs="Arial"/>
          <w:color w:val="auto"/>
        </w:rPr>
        <w:t>ó</w:t>
      </w:r>
      <w:r w:rsidRPr="0052418C">
        <w:rPr>
          <w:rFonts w:ascii="ITC Avant Garde" w:hAnsi="ITC Avant Garde" w:cs="Arial"/>
          <w:color w:val="auto"/>
        </w:rPr>
        <w:t xml:space="preserve"> que al hacerlo anual como lo propone</w:t>
      </w:r>
      <w:r w:rsidR="00EC53D7" w:rsidRPr="0052418C">
        <w:rPr>
          <w:rFonts w:ascii="ITC Avant Garde" w:hAnsi="ITC Avant Garde" w:cs="Arial"/>
          <w:color w:val="auto"/>
        </w:rPr>
        <w:t xml:space="preserve"> Red Nacional</w:t>
      </w:r>
      <w:r w:rsidRPr="0052418C">
        <w:rPr>
          <w:rFonts w:ascii="ITC Avant Garde" w:hAnsi="ITC Avant Garde" w:cs="Arial"/>
          <w:color w:val="auto"/>
        </w:rPr>
        <w:t xml:space="preserve"> se vuelve inoperante para los concesionarios, además, es un retroceso con respecto a la Oferta vigente. </w:t>
      </w:r>
    </w:p>
    <w:p w14:paraId="788903FA" w14:textId="6B3296A1" w:rsidR="00E27624" w:rsidRPr="0052418C" w:rsidRDefault="00E27624" w:rsidP="0052418C">
      <w:pPr>
        <w:spacing w:after="0" w:line="276" w:lineRule="auto"/>
        <w:ind w:left="0" w:right="0" w:firstLine="0"/>
        <w:rPr>
          <w:rFonts w:ascii="ITC Avant Garde" w:hAnsi="ITC Avant Garde" w:cs="Arial"/>
        </w:rPr>
      </w:pPr>
    </w:p>
    <w:p w14:paraId="48EFB4F4" w14:textId="77777777" w:rsidR="006037D3" w:rsidRPr="0052418C" w:rsidRDefault="006037D3" w:rsidP="0052418C">
      <w:pPr>
        <w:pStyle w:val="IFTnormal"/>
        <w:spacing w:after="0"/>
        <w:ind w:left="0"/>
      </w:pPr>
      <w:r w:rsidRPr="0052418C">
        <w:t xml:space="preserve">Aunado a lo anterior, puntualizó que ello permitirá que un enlace critico estuviera fuera de servicio por más de 40 de horas y no existiera alguna penalidad, por lo </w:t>
      </w:r>
      <w:r w:rsidRPr="0052418C">
        <w:lastRenderedPageBreak/>
        <w:t>que resulta importante de que se mida de forma mensual y se mantenga o mejores los porcentajes actuales.</w:t>
      </w:r>
    </w:p>
    <w:p w14:paraId="1827F3AC" w14:textId="77777777" w:rsidR="006037D3" w:rsidRPr="0052418C" w:rsidRDefault="006037D3" w:rsidP="0052418C">
      <w:pPr>
        <w:spacing w:after="0" w:line="276" w:lineRule="auto"/>
        <w:ind w:left="0" w:right="0" w:firstLine="0"/>
        <w:rPr>
          <w:rFonts w:ascii="ITC Avant Garde" w:hAnsi="ITC Avant Garde" w:cs="Arial"/>
        </w:rPr>
      </w:pPr>
    </w:p>
    <w:p w14:paraId="1F24665A" w14:textId="77777777" w:rsidR="000A5B2A" w:rsidRPr="0052418C" w:rsidRDefault="00E27624" w:rsidP="0052418C">
      <w:pPr>
        <w:pStyle w:val="IFTnormal"/>
        <w:spacing w:after="0"/>
        <w:ind w:left="0"/>
        <w:rPr>
          <w:rFonts w:cs="Arial"/>
        </w:rPr>
      </w:pPr>
      <w:r w:rsidRPr="0052418C">
        <w:rPr>
          <w:rFonts w:cs="Arial"/>
        </w:rPr>
        <w:t>Por otro lado, considera la situación de fallas repeti</w:t>
      </w:r>
      <w:r w:rsidR="00446C08" w:rsidRPr="0052418C">
        <w:rPr>
          <w:rFonts w:cs="Arial"/>
        </w:rPr>
        <w:t>ti</w:t>
      </w:r>
      <w:r w:rsidRPr="0052418C">
        <w:rPr>
          <w:rFonts w:cs="Arial"/>
        </w:rPr>
        <w:t>vas que no hayan sido reparadas de forma adecuada (intermitencias, programaciones inadecuadas de las redundancias).</w:t>
      </w:r>
    </w:p>
    <w:p w14:paraId="3B6A7CCA" w14:textId="51F672CE" w:rsidR="00E27624" w:rsidRPr="0052418C" w:rsidRDefault="00E27624" w:rsidP="0052418C">
      <w:pPr>
        <w:pStyle w:val="IFTnormal"/>
        <w:spacing w:after="0"/>
        <w:ind w:left="0"/>
        <w:rPr>
          <w:rFonts w:cs="Arial"/>
        </w:rPr>
      </w:pPr>
    </w:p>
    <w:p w14:paraId="7F422BAB" w14:textId="55D6C05D" w:rsidR="00E27624" w:rsidRPr="0052418C" w:rsidRDefault="00E27624"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p>
    <w:p w14:paraId="28923A9B" w14:textId="77777777" w:rsidR="00E27624" w:rsidRPr="0052418C" w:rsidRDefault="00E27624" w:rsidP="0052418C">
      <w:pPr>
        <w:spacing w:after="0" w:line="276" w:lineRule="auto"/>
        <w:ind w:left="0" w:right="0"/>
        <w:rPr>
          <w:rFonts w:ascii="ITC Avant Garde" w:hAnsi="ITC Avant Garde" w:cs="Arial"/>
        </w:rPr>
      </w:pPr>
      <w:r w:rsidRPr="0052418C">
        <w:rPr>
          <w:rFonts w:ascii="ITC Avant Garde" w:hAnsi="ITC Avant Garde" w:cs="Arial"/>
        </w:rPr>
        <w:t>Al respecto, ténganse por reproducidos como si a la letra se insertasen las consideraciones expuestas en el numeral 2.6.5.</w:t>
      </w:r>
    </w:p>
    <w:p w14:paraId="0CDF0CFA" w14:textId="77777777" w:rsidR="00E27624" w:rsidRPr="0052418C" w:rsidRDefault="00E27624" w:rsidP="0052418C">
      <w:pPr>
        <w:spacing w:after="0" w:line="276" w:lineRule="auto"/>
        <w:ind w:left="0" w:right="0"/>
        <w:rPr>
          <w:rFonts w:ascii="ITC Avant Garde" w:hAnsi="ITC Avant Garde" w:cs="Arial"/>
          <w:b/>
        </w:rPr>
      </w:pPr>
    </w:p>
    <w:p w14:paraId="64017CEE" w14:textId="0EB4ADB6" w:rsidR="00E27624" w:rsidRPr="0052418C" w:rsidRDefault="00D72A51" w:rsidP="0052418C">
      <w:pPr>
        <w:spacing w:after="0" w:line="276" w:lineRule="auto"/>
        <w:ind w:left="0" w:right="0"/>
        <w:rPr>
          <w:rFonts w:ascii="ITC Avant Garde" w:hAnsi="ITC Avant Garde" w:cs="Arial"/>
          <w:b/>
          <w:color w:val="auto"/>
        </w:rPr>
      </w:pPr>
      <w:r w:rsidRPr="0052418C">
        <w:rPr>
          <w:rFonts w:ascii="ITC Avant Garde" w:hAnsi="ITC Avant Garde" w:cs="Arial"/>
          <w:b/>
          <w:color w:val="auto"/>
        </w:rPr>
        <w:t>GRUPO AT&amp;T:</w:t>
      </w:r>
    </w:p>
    <w:p w14:paraId="01E61B88" w14:textId="20AEAEB6" w:rsidR="004A1AAB" w:rsidRPr="0052418C" w:rsidRDefault="004A1AAB" w:rsidP="004A1AAB">
      <w:pPr>
        <w:pStyle w:val="IFTnormal"/>
        <w:spacing w:after="0"/>
        <w:ind w:left="0"/>
        <w:rPr>
          <w:rFonts w:eastAsiaTheme="majorEastAsia" w:cs="Arial"/>
          <w:lang w:val="es-ES_tradnl"/>
        </w:rPr>
      </w:pPr>
      <w:r w:rsidRPr="0052418C">
        <w:rPr>
          <w:rFonts w:cs="Arial"/>
        </w:rPr>
        <w:t>Señaló que, las penalidades deben mantenerse como se encuentran en la ORE EM 2021 ya que, con la propuesta de Red Nacional, se entiende que un enlace puede haber fallado por tres meses seguidos y se deben seguir pagando las rentas completas con un descuento de 1.2%. Por lo que, argument</w:t>
      </w:r>
      <w:r w:rsidR="00842789">
        <w:rPr>
          <w:rFonts w:cs="Arial"/>
        </w:rPr>
        <w:t>ó</w:t>
      </w:r>
      <w:r w:rsidRPr="0052418C">
        <w:rPr>
          <w:rFonts w:cs="Arial"/>
        </w:rPr>
        <w:t xml:space="preserve"> que es necesario que existan incentivos para cumplir con los compromisos razonables y no discriminatorios de calidad. </w:t>
      </w:r>
    </w:p>
    <w:p w14:paraId="51B709C6" w14:textId="77777777" w:rsidR="00E27624" w:rsidRPr="0052418C" w:rsidRDefault="00E27624" w:rsidP="0052418C">
      <w:pPr>
        <w:spacing w:after="0" w:line="276" w:lineRule="auto"/>
        <w:ind w:left="-5" w:right="49" w:firstLine="0"/>
        <w:rPr>
          <w:rFonts w:ascii="ITC Avant Garde" w:hAnsi="ITC Avant Garde" w:cs="Arial"/>
        </w:rPr>
      </w:pPr>
    </w:p>
    <w:p w14:paraId="75FEDD46" w14:textId="20ACCF12" w:rsidR="00E27624" w:rsidRPr="0052418C" w:rsidRDefault="00E27624"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p>
    <w:p w14:paraId="4D7BB94B" w14:textId="6B0DA0F4" w:rsidR="00E27624" w:rsidRPr="0052418C" w:rsidRDefault="00E27624" w:rsidP="0052418C">
      <w:pPr>
        <w:spacing w:after="0" w:line="276" w:lineRule="auto"/>
        <w:ind w:left="0" w:right="0"/>
        <w:rPr>
          <w:rFonts w:ascii="ITC Avant Garde" w:hAnsi="ITC Avant Garde" w:cs="Arial"/>
        </w:rPr>
      </w:pPr>
      <w:r w:rsidRPr="0052418C">
        <w:rPr>
          <w:rFonts w:ascii="ITC Avant Garde" w:hAnsi="ITC Avant Garde" w:cs="Arial"/>
        </w:rPr>
        <w:t xml:space="preserve">Al respecto, ténganse por reproducidos como si a la letra se insertasen las consideraciones expuestas en el numeral </w:t>
      </w:r>
      <w:r w:rsidRPr="0048456A">
        <w:rPr>
          <w:rFonts w:ascii="ITC Avant Garde" w:hAnsi="ITC Avant Garde" w:cs="Arial"/>
          <w:color w:val="auto"/>
        </w:rPr>
        <w:t>2.7.</w:t>
      </w:r>
      <w:r w:rsidR="0048456A" w:rsidRPr="0048456A">
        <w:rPr>
          <w:rFonts w:ascii="ITC Avant Garde" w:hAnsi="ITC Avant Garde" w:cs="Arial"/>
          <w:iCs/>
          <w:color w:val="auto"/>
        </w:rPr>
        <w:t>2</w:t>
      </w:r>
      <w:r w:rsidRPr="0048456A">
        <w:rPr>
          <w:rFonts w:ascii="ITC Avant Garde" w:hAnsi="ITC Avant Garde" w:cs="Arial"/>
          <w:iCs/>
          <w:color w:val="auto"/>
        </w:rPr>
        <w:t>.</w:t>
      </w:r>
      <w:r w:rsidR="00E7199C" w:rsidRPr="0048456A">
        <w:rPr>
          <w:rFonts w:ascii="ITC Avant Garde" w:hAnsi="ITC Avant Garde" w:cs="Arial"/>
          <w:iCs/>
          <w:color w:val="auto"/>
        </w:rPr>
        <w:t xml:space="preserve"> </w:t>
      </w:r>
    </w:p>
    <w:p w14:paraId="1A5C2F37" w14:textId="77777777" w:rsidR="0048456A" w:rsidRDefault="0048456A" w:rsidP="00BC4913">
      <w:pPr>
        <w:pStyle w:val="IFTnormal"/>
        <w:spacing w:after="0"/>
        <w:ind w:left="0"/>
        <w:rPr>
          <w:b/>
          <w:highlight w:val="red"/>
        </w:rPr>
      </w:pPr>
    </w:p>
    <w:p w14:paraId="74FBC26F" w14:textId="54B0B6A8" w:rsidR="00BC4913" w:rsidRPr="0048456A" w:rsidRDefault="00BC4913" w:rsidP="00BC4913">
      <w:pPr>
        <w:pStyle w:val="IFTnormal"/>
        <w:spacing w:after="0"/>
        <w:ind w:left="0"/>
        <w:rPr>
          <w:b/>
        </w:rPr>
      </w:pPr>
      <w:r w:rsidRPr="0048456A">
        <w:rPr>
          <w:b/>
        </w:rPr>
        <w:t xml:space="preserve">GRUPO AT&amp;T: </w:t>
      </w:r>
    </w:p>
    <w:p w14:paraId="795F23DE" w14:textId="77777777" w:rsidR="00BC4913" w:rsidRPr="0048456A" w:rsidRDefault="00BC4913" w:rsidP="00BC4913">
      <w:pPr>
        <w:spacing w:after="0" w:line="276" w:lineRule="auto"/>
        <w:ind w:left="0" w:right="0"/>
        <w:rPr>
          <w:rFonts w:ascii="ITC Avant Garde" w:eastAsiaTheme="majorEastAsia" w:hAnsi="ITC Avant Garde"/>
        </w:rPr>
      </w:pPr>
      <w:r w:rsidRPr="0048456A">
        <w:rPr>
          <w:rFonts w:ascii="ITC Avant Garde" w:eastAsiaTheme="majorEastAsia" w:hAnsi="ITC Avant Garde"/>
        </w:rPr>
        <w:t>Señaló que no es razonable que una visita por un reporte de falla tenga una penalización mayor que todo un mes de enlace sin servicio por una falla de Telmex</w:t>
      </w:r>
    </w:p>
    <w:p w14:paraId="51EFEC1D" w14:textId="77777777" w:rsidR="00BC4913" w:rsidRPr="0048456A" w:rsidRDefault="00BC4913" w:rsidP="00BC4913">
      <w:pPr>
        <w:spacing w:after="0" w:line="276" w:lineRule="auto"/>
        <w:ind w:left="0" w:right="0"/>
        <w:rPr>
          <w:rFonts w:ascii="ITC Avant Garde" w:eastAsiaTheme="majorEastAsia" w:hAnsi="ITC Avant Garde"/>
        </w:rPr>
      </w:pPr>
    </w:p>
    <w:p w14:paraId="7C420719" w14:textId="77777777" w:rsidR="00BC4913" w:rsidRPr="0048456A" w:rsidRDefault="00BC4913" w:rsidP="00BC4913">
      <w:pPr>
        <w:spacing w:after="0" w:line="276" w:lineRule="auto"/>
        <w:ind w:left="0" w:right="0" w:firstLine="0"/>
        <w:rPr>
          <w:rFonts w:ascii="ITC Avant Garde" w:hAnsi="ITC Avant Garde" w:cs="Times New Roman"/>
          <w:b/>
          <w:color w:val="auto"/>
        </w:rPr>
      </w:pPr>
      <w:r w:rsidRPr="0048456A">
        <w:rPr>
          <w:rFonts w:ascii="ITC Avant Garde" w:hAnsi="ITC Avant Garde" w:cs="Times New Roman"/>
          <w:b/>
          <w:color w:val="auto"/>
        </w:rPr>
        <w:t>Consideraciones del Instituto:</w:t>
      </w:r>
    </w:p>
    <w:p w14:paraId="0C173FDF" w14:textId="77777777" w:rsidR="00BC4913" w:rsidRPr="00EB1B04" w:rsidRDefault="00BC4913" w:rsidP="00BC4913">
      <w:pPr>
        <w:spacing w:after="0" w:line="276" w:lineRule="auto"/>
        <w:ind w:left="0" w:right="0"/>
        <w:rPr>
          <w:rFonts w:ascii="ITC Avant Garde" w:hAnsi="ITC Avant Garde"/>
          <w:iCs/>
        </w:rPr>
      </w:pPr>
      <w:r w:rsidRPr="0048456A">
        <w:rPr>
          <w:rFonts w:ascii="ITC Avant Garde" w:hAnsi="ITC Avant Garde"/>
        </w:rPr>
        <w:t xml:space="preserve">Al respecto, ténganse por reproducidos como si a la letra se insertasen las consideraciones expuestas en el numeral </w:t>
      </w:r>
      <w:r w:rsidRPr="0048456A">
        <w:rPr>
          <w:rFonts w:ascii="ITC Avant Garde" w:hAnsi="ITC Avant Garde"/>
          <w:iCs/>
        </w:rPr>
        <w:t>2.7.4.</w:t>
      </w:r>
    </w:p>
    <w:p w14:paraId="79530CF9" w14:textId="77777777" w:rsidR="00BD47E8" w:rsidRPr="0052418C" w:rsidRDefault="00BD47E8" w:rsidP="0048456A">
      <w:pPr>
        <w:spacing w:after="0" w:line="276" w:lineRule="auto"/>
        <w:ind w:left="0" w:right="0" w:firstLine="0"/>
        <w:rPr>
          <w:rFonts w:ascii="ITC Avant Garde" w:hAnsi="ITC Avant Garde" w:cs="Arial"/>
          <w:color w:val="auto"/>
        </w:rPr>
      </w:pPr>
    </w:p>
    <w:p w14:paraId="4594BD03" w14:textId="6B758DEE" w:rsidR="006037D3" w:rsidRPr="0052418C" w:rsidRDefault="006037D3" w:rsidP="0052418C">
      <w:pPr>
        <w:spacing w:after="0" w:line="276" w:lineRule="auto"/>
        <w:ind w:left="0" w:right="0" w:firstLine="0"/>
        <w:rPr>
          <w:rFonts w:ascii="ITC Avant Garde" w:hAnsi="ITC Avant Garde" w:cs="Arial"/>
          <w:color w:val="auto"/>
          <w:u w:val="single"/>
        </w:rPr>
      </w:pPr>
      <w:r w:rsidRPr="0052418C">
        <w:rPr>
          <w:rFonts w:ascii="ITC Avant Garde" w:hAnsi="ITC Avant Garde" w:cs="Arial"/>
          <w:b/>
          <w:color w:val="auto"/>
          <w:u w:val="single"/>
        </w:rPr>
        <w:t>ANEXO “D” REPORTE DE VISITA SITE SURVEY.</w:t>
      </w:r>
      <w:r w:rsidRPr="0052418C">
        <w:rPr>
          <w:rFonts w:ascii="ITC Avant Garde" w:hAnsi="ITC Avant Garde" w:cs="Arial"/>
          <w:color w:val="auto"/>
          <w:u w:val="single"/>
        </w:rPr>
        <w:t xml:space="preserve"> </w:t>
      </w:r>
    </w:p>
    <w:p w14:paraId="44904542" w14:textId="77777777" w:rsidR="006037D3" w:rsidRPr="0052418C" w:rsidRDefault="006037D3"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AXTEL:</w:t>
      </w:r>
    </w:p>
    <w:p w14:paraId="6DBDDE2C" w14:textId="546BAE33" w:rsidR="006037D3" w:rsidRPr="0052418C" w:rsidRDefault="006037D3"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En lo referente al Site Survey</w:t>
      </w:r>
      <w:r w:rsidR="00171E4D" w:rsidRPr="0052418C">
        <w:rPr>
          <w:rFonts w:ascii="ITC Avant Garde" w:hAnsi="ITC Avant Garde" w:cs="Arial"/>
          <w:color w:val="auto"/>
        </w:rPr>
        <w:t>, Axtel</w:t>
      </w:r>
      <w:r w:rsidRPr="0052418C">
        <w:rPr>
          <w:rFonts w:ascii="ITC Avant Garde" w:hAnsi="ITC Avant Garde" w:cs="Arial"/>
          <w:color w:val="auto"/>
        </w:rPr>
        <w:t xml:space="preserve"> solicitó al Instituto que obligue al AEP para que, en un máximo de 2 (dos) días hábiles posteriores a la visita realizada a los sitios, entregue un informe de la visita llevada a cabo para determinar la correcta aceptación de los sitios con adecuaciones listas, o en caso contrario, para que el CS actúe en tiempo y forma con los elementos requeridos por el AEP, en conjunto con su cliente final.</w:t>
      </w:r>
    </w:p>
    <w:p w14:paraId="28013F16" w14:textId="77777777" w:rsidR="006037D3" w:rsidRPr="0052418C" w:rsidRDefault="006037D3" w:rsidP="0052418C">
      <w:pPr>
        <w:spacing w:after="0" w:line="276" w:lineRule="auto"/>
        <w:ind w:left="0" w:right="0" w:firstLine="0"/>
        <w:rPr>
          <w:rFonts w:ascii="ITC Avant Garde" w:hAnsi="ITC Avant Garde" w:cs="Arial"/>
          <w:color w:val="auto"/>
        </w:rPr>
      </w:pPr>
    </w:p>
    <w:p w14:paraId="2E331EDD" w14:textId="1CF4C8A2" w:rsidR="006037D3" w:rsidRPr="0052418C" w:rsidRDefault="006037D3"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p>
    <w:p w14:paraId="4930AB46" w14:textId="77777777" w:rsidR="00C11332" w:rsidRPr="0052418C" w:rsidRDefault="00C11332" w:rsidP="00C11332">
      <w:pPr>
        <w:spacing w:after="0" w:line="276" w:lineRule="auto"/>
        <w:ind w:left="0" w:right="0" w:firstLine="0"/>
        <w:rPr>
          <w:rFonts w:ascii="ITC Avant Garde" w:hAnsi="ITC Avant Garde" w:cs="Arial"/>
          <w:color w:val="auto"/>
        </w:rPr>
      </w:pPr>
      <w:r w:rsidRPr="0052418C">
        <w:rPr>
          <w:rFonts w:ascii="ITC Avant Garde" w:hAnsi="ITC Avant Garde" w:cs="Arial"/>
          <w:bCs/>
          <w:color w:val="auto"/>
        </w:rPr>
        <w:lastRenderedPageBreak/>
        <w:t>Al respecto</w:t>
      </w:r>
      <w:r>
        <w:rPr>
          <w:rFonts w:ascii="ITC Avant Garde" w:hAnsi="ITC Avant Garde" w:cs="Arial"/>
          <w:bCs/>
          <w:color w:val="auto"/>
        </w:rPr>
        <w:t xml:space="preserve">, se modificó el anexo en comento, a efecto de establecer que </w:t>
      </w:r>
      <w:r w:rsidRPr="00D279A8">
        <w:rPr>
          <w:rFonts w:ascii="ITC Avant Garde" w:hAnsi="ITC Avant Garde" w:cs="Arial"/>
          <w:bCs/>
          <w:color w:val="auto"/>
        </w:rPr>
        <w:t>Red Nacional</w:t>
      </w:r>
      <w:r>
        <w:rPr>
          <w:rFonts w:ascii="ITC Avant Garde" w:hAnsi="ITC Avant Garde" w:cs="Arial"/>
          <w:bCs/>
          <w:color w:val="auto"/>
        </w:rPr>
        <w:t xml:space="preserve"> </w:t>
      </w:r>
      <w:r w:rsidRPr="00D279A8">
        <w:rPr>
          <w:rFonts w:ascii="ITC Avant Garde" w:hAnsi="ITC Avant Garde" w:cs="Arial"/>
          <w:bCs/>
          <w:color w:val="auto"/>
        </w:rPr>
        <w:t xml:space="preserve">deberá hacer disponible el </w:t>
      </w:r>
      <w:r>
        <w:rPr>
          <w:rFonts w:ascii="ITC Avant Garde" w:hAnsi="ITC Avant Garde" w:cs="Arial"/>
          <w:bCs/>
          <w:color w:val="auto"/>
        </w:rPr>
        <w:t>Anexo “D”</w:t>
      </w:r>
      <w:r w:rsidRPr="00D279A8">
        <w:rPr>
          <w:rFonts w:ascii="ITC Avant Garde" w:hAnsi="ITC Avant Garde" w:cs="Arial"/>
          <w:bCs/>
          <w:color w:val="auto"/>
        </w:rPr>
        <w:t xml:space="preserve"> en el SEG/SIPO en un plazo máximo de 2 (dos) días hábiles posteriores a la realización de la visita técnica (Site Survey).</w:t>
      </w:r>
      <w:r w:rsidRPr="0052418C">
        <w:rPr>
          <w:rFonts w:ascii="ITC Avant Garde" w:hAnsi="ITC Avant Garde" w:cs="Arial"/>
          <w:color w:val="auto"/>
        </w:rPr>
        <w:t xml:space="preserve"> </w:t>
      </w:r>
    </w:p>
    <w:p w14:paraId="67E8B5DD" w14:textId="01764D84" w:rsidR="006037D3" w:rsidRPr="0052418C" w:rsidRDefault="006037D3" w:rsidP="0052418C">
      <w:pPr>
        <w:spacing w:after="0" w:line="276" w:lineRule="auto"/>
        <w:ind w:left="0" w:right="0" w:firstLine="0"/>
        <w:jc w:val="center"/>
        <w:rPr>
          <w:rFonts w:ascii="ITC Avant Garde" w:hAnsi="ITC Avant Garde" w:cs="Arial"/>
          <w:color w:val="auto"/>
        </w:rPr>
      </w:pPr>
    </w:p>
    <w:p w14:paraId="0F8D47D1" w14:textId="5E8F104E" w:rsidR="0009123E" w:rsidRPr="0052418C" w:rsidRDefault="00936A14" w:rsidP="0052418C">
      <w:pPr>
        <w:spacing w:after="0" w:line="276" w:lineRule="auto"/>
        <w:ind w:left="0" w:right="0" w:firstLine="0"/>
        <w:rPr>
          <w:rFonts w:ascii="ITC Avant Garde" w:hAnsi="ITC Avant Garde" w:cs="Arial"/>
          <w:color w:val="auto"/>
          <w:u w:val="single"/>
        </w:rPr>
      </w:pPr>
      <w:r w:rsidRPr="0052418C">
        <w:rPr>
          <w:rFonts w:ascii="ITC Avant Garde" w:hAnsi="ITC Avant Garde" w:cs="Arial"/>
          <w:b/>
          <w:color w:val="auto"/>
          <w:u w:val="single"/>
        </w:rPr>
        <w:t>ANEXO “</w:t>
      </w:r>
      <w:r w:rsidR="006037D3" w:rsidRPr="0052418C">
        <w:rPr>
          <w:rFonts w:ascii="ITC Avant Garde" w:hAnsi="ITC Avant Garde" w:cs="Arial"/>
          <w:b/>
          <w:color w:val="auto"/>
          <w:u w:val="single"/>
        </w:rPr>
        <w:t>E</w:t>
      </w:r>
      <w:r w:rsidRPr="0052418C">
        <w:rPr>
          <w:rFonts w:ascii="ITC Avant Garde" w:hAnsi="ITC Avant Garde" w:cs="Arial"/>
          <w:b/>
          <w:color w:val="auto"/>
          <w:u w:val="single"/>
        </w:rPr>
        <w:t>” PROCEDIMIENTO DE ENTREGA/RECEPCIÓN.</w:t>
      </w:r>
      <w:r w:rsidRPr="0052418C">
        <w:rPr>
          <w:rFonts w:ascii="ITC Avant Garde" w:hAnsi="ITC Avant Garde" w:cs="Arial"/>
          <w:color w:val="auto"/>
          <w:u w:val="single"/>
        </w:rPr>
        <w:t xml:space="preserve"> </w:t>
      </w:r>
    </w:p>
    <w:p w14:paraId="1BD6E43D" w14:textId="77777777" w:rsidR="00600837" w:rsidRPr="0052418C" w:rsidRDefault="00600837" w:rsidP="0052418C">
      <w:pPr>
        <w:pStyle w:val="IFTnormal"/>
        <w:spacing w:after="0"/>
        <w:ind w:left="0"/>
        <w:rPr>
          <w:rFonts w:eastAsiaTheme="majorEastAsia" w:cs="Arial"/>
          <w:b/>
        </w:rPr>
      </w:pPr>
      <w:r w:rsidRPr="0052418C">
        <w:rPr>
          <w:rFonts w:eastAsiaTheme="majorEastAsia" w:cs="Arial"/>
          <w:b/>
        </w:rPr>
        <w:t>AXTEL:</w:t>
      </w:r>
    </w:p>
    <w:p w14:paraId="1DFEC304" w14:textId="552D1992" w:rsidR="00600837" w:rsidRDefault="00842789" w:rsidP="0052418C">
      <w:pPr>
        <w:spacing w:after="0" w:line="276" w:lineRule="auto"/>
        <w:ind w:left="0" w:right="0" w:firstLine="0"/>
        <w:rPr>
          <w:rFonts w:ascii="ITC Avant Garde" w:hAnsi="ITC Avant Garde"/>
          <w:color w:val="auto"/>
        </w:rPr>
      </w:pPr>
      <w:r w:rsidRPr="0052418C">
        <w:rPr>
          <w:rFonts w:ascii="ITC Avant Garde" w:hAnsi="ITC Avant Garde"/>
          <w:color w:val="auto"/>
        </w:rPr>
        <w:t>Solicit</w:t>
      </w:r>
      <w:r>
        <w:rPr>
          <w:rFonts w:ascii="ITC Avant Garde" w:hAnsi="ITC Avant Garde"/>
          <w:color w:val="auto"/>
        </w:rPr>
        <w:t>ó</w:t>
      </w:r>
      <w:r w:rsidRPr="0052418C">
        <w:rPr>
          <w:rFonts w:ascii="ITC Avant Garde" w:hAnsi="ITC Avant Garde"/>
          <w:color w:val="auto"/>
        </w:rPr>
        <w:t xml:space="preserve"> </w:t>
      </w:r>
      <w:r w:rsidR="00600837" w:rsidRPr="0052418C">
        <w:rPr>
          <w:rFonts w:ascii="ITC Avant Garde" w:hAnsi="ITC Avant Garde"/>
          <w:color w:val="auto"/>
        </w:rPr>
        <w:t>al instituto que obligue al AEP a designar a las personas adecuadas para las escalaciones, mismas que deben tener la disponibilidad de atención y servicio.</w:t>
      </w:r>
    </w:p>
    <w:p w14:paraId="049ABD5F" w14:textId="3F5F9564" w:rsidR="00C11332" w:rsidRDefault="00C11332" w:rsidP="0052418C">
      <w:pPr>
        <w:spacing w:after="0" w:line="276" w:lineRule="auto"/>
        <w:ind w:left="0" w:right="0" w:firstLine="0"/>
        <w:rPr>
          <w:rFonts w:ascii="ITC Avant Garde" w:hAnsi="ITC Avant Garde"/>
          <w:color w:val="auto"/>
        </w:rPr>
      </w:pPr>
    </w:p>
    <w:p w14:paraId="146599C5" w14:textId="554D6CA5" w:rsidR="00C11332" w:rsidRPr="0052418C" w:rsidRDefault="00C11332" w:rsidP="00C11332">
      <w:pPr>
        <w:spacing w:after="0" w:line="276" w:lineRule="auto"/>
        <w:ind w:left="0" w:right="0" w:firstLine="0"/>
        <w:rPr>
          <w:rFonts w:ascii="ITC Avant Garde" w:hAnsi="ITC Avant Garde" w:cs="Arial"/>
          <w:color w:val="auto"/>
        </w:rPr>
      </w:pPr>
      <w:r w:rsidRPr="00BF6A32">
        <w:rPr>
          <w:rFonts w:ascii="ITC Avant Garde" w:hAnsi="ITC Avant Garde" w:cs="Arial"/>
          <w:color w:val="auto"/>
        </w:rPr>
        <w:t xml:space="preserve">Por otro lado, señaló que </w:t>
      </w:r>
      <w:r w:rsidR="00AF3AD8" w:rsidRPr="00BF6A32">
        <w:rPr>
          <w:rFonts w:ascii="ITC Avant Garde" w:hAnsi="ITC Avant Garde" w:cs="Arial"/>
          <w:color w:val="auto"/>
        </w:rPr>
        <w:t xml:space="preserve">con el propósito de </w:t>
      </w:r>
      <w:r w:rsidRPr="004949D0">
        <w:rPr>
          <w:rFonts w:ascii="ITC Avant Garde" w:hAnsi="ITC Avant Garde" w:cs="Arial"/>
          <w:color w:val="auto"/>
        </w:rPr>
        <w:t>agilizar las entregas</w:t>
      </w:r>
      <w:r w:rsidRPr="00BF6A32">
        <w:rPr>
          <w:rFonts w:ascii="ITC Avant Garde" w:hAnsi="ITC Avant Garde" w:cs="Arial"/>
          <w:color w:val="auto"/>
        </w:rPr>
        <w:t xml:space="preserve"> evitando el intercambio de correos electrónicos</w:t>
      </w:r>
      <w:r w:rsidR="00AF3AD8" w:rsidRPr="00BF6A32">
        <w:rPr>
          <w:rFonts w:ascii="ITC Avant Garde" w:hAnsi="ITC Avant Garde" w:cs="Arial"/>
          <w:color w:val="auto"/>
        </w:rPr>
        <w:t xml:space="preserve"> y</w:t>
      </w:r>
      <w:r w:rsidRPr="00BF6A32">
        <w:rPr>
          <w:rFonts w:ascii="ITC Avant Garde" w:hAnsi="ITC Avant Garde" w:cs="Arial"/>
          <w:color w:val="auto"/>
        </w:rPr>
        <w:t xml:space="preserve"> llamadas telefónicas innecesarias. Es que, Axtel solicitó incluir la obligación del AEP la entrega de las pruebas RFC que realiz</w:t>
      </w:r>
      <w:r w:rsidR="00BF6A32" w:rsidRPr="00BF6A32">
        <w:rPr>
          <w:rFonts w:ascii="ITC Avant Garde" w:hAnsi="ITC Avant Garde" w:cs="Arial"/>
          <w:color w:val="auto"/>
        </w:rPr>
        <w:t>ó</w:t>
      </w:r>
      <w:r w:rsidRPr="00BF6A32">
        <w:rPr>
          <w:rFonts w:ascii="ITC Avant Garde" w:hAnsi="ITC Avant Garde" w:cs="Arial"/>
          <w:color w:val="auto"/>
        </w:rPr>
        <w:t xml:space="preserve"> previamente a la notificación del servicio,</w:t>
      </w:r>
      <w:r w:rsidR="00BF6A32" w:rsidRPr="00BF6A32">
        <w:t xml:space="preserve"> </w:t>
      </w:r>
      <w:r w:rsidR="00BF6A32" w:rsidRPr="00BF6A32">
        <w:rPr>
          <w:rFonts w:ascii="ITC Avant Garde" w:hAnsi="ITC Avant Garde" w:cs="Arial"/>
          <w:color w:val="auto"/>
        </w:rPr>
        <w:t>ya sea dentro del mismo medio donde informe al CS la conclusión de la construcción o mediante la carga del archivo en formato PDF,</w:t>
      </w:r>
      <w:r w:rsidRPr="00BF6A32">
        <w:rPr>
          <w:rFonts w:ascii="ITC Avant Garde" w:hAnsi="ITC Avant Garde" w:cs="Arial"/>
          <w:color w:val="auto"/>
        </w:rPr>
        <w:t xml:space="preserve"> con esto el CS puede apresurar oportunamente la entrega de servicio a su cliente final.</w:t>
      </w:r>
      <w:r w:rsidRPr="0052418C">
        <w:rPr>
          <w:rFonts w:ascii="ITC Avant Garde" w:hAnsi="ITC Avant Garde" w:cs="Arial"/>
          <w:color w:val="auto"/>
        </w:rPr>
        <w:t xml:space="preserve"> </w:t>
      </w:r>
    </w:p>
    <w:p w14:paraId="518C3589" w14:textId="77777777" w:rsidR="00600837" w:rsidRPr="0052418C" w:rsidRDefault="00600837" w:rsidP="0052418C">
      <w:pPr>
        <w:pStyle w:val="IFTnormal"/>
        <w:spacing w:after="0"/>
        <w:ind w:left="0"/>
        <w:rPr>
          <w:rFonts w:cs="Arial"/>
        </w:rPr>
      </w:pPr>
    </w:p>
    <w:p w14:paraId="0AEEB4BF" w14:textId="77777777" w:rsidR="00600837" w:rsidRPr="0052418C" w:rsidRDefault="00600837" w:rsidP="0052418C">
      <w:pPr>
        <w:pStyle w:val="IFTnormal"/>
        <w:spacing w:after="0"/>
        <w:ind w:left="0"/>
        <w:rPr>
          <w:rFonts w:cs="Arial"/>
          <w:b/>
        </w:rPr>
      </w:pPr>
      <w:r w:rsidRPr="0052418C">
        <w:rPr>
          <w:rFonts w:cs="Arial"/>
          <w:b/>
        </w:rPr>
        <w:t>Consideraciones del Instituto:</w:t>
      </w:r>
    </w:p>
    <w:p w14:paraId="6A8916E6" w14:textId="25BA9F5B" w:rsidR="00883524" w:rsidRDefault="00883524" w:rsidP="00883524">
      <w:pPr>
        <w:tabs>
          <w:tab w:val="left" w:pos="284"/>
        </w:tabs>
        <w:spacing w:line="276" w:lineRule="auto"/>
        <w:rPr>
          <w:rFonts w:ascii="ITC Avant Garde" w:hAnsi="ITC Avant Garde"/>
          <w:color w:val="auto"/>
        </w:rPr>
      </w:pPr>
      <w:r>
        <w:rPr>
          <w:rFonts w:ascii="ITC Avant Garde" w:hAnsi="ITC Avant Garde"/>
          <w:color w:val="auto"/>
        </w:rPr>
        <w:t>Al respecto, la ORE EM 2022, dentro del Anexo “E”, contiene el apéndice (a) y (b) en los cuales se establece la obligación tanto del CS y AS como de las EM, de proporcionar la lista de contactos y escalación, así como el proceso de escalación de la partes, a efecto de que se cuente con la información necesaria para la atención del servicio, por lo que es responsabilidad y derecho de las partes ofrecer y recibir dicha información al momento de suscribir el convenio respectivo.</w:t>
      </w:r>
    </w:p>
    <w:p w14:paraId="03801E55" w14:textId="6518662A" w:rsidR="00F06D20" w:rsidRDefault="00F06D20" w:rsidP="00883524">
      <w:pPr>
        <w:tabs>
          <w:tab w:val="left" w:pos="284"/>
        </w:tabs>
        <w:spacing w:line="276" w:lineRule="auto"/>
        <w:rPr>
          <w:rFonts w:ascii="ITC Avant Garde" w:hAnsi="ITC Avant Garde"/>
          <w:color w:val="auto"/>
        </w:rPr>
      </w:pPr>
    </w:p>
    <w:p w14:paraId="74143771" w14:textId="3FD5DA31" w:rsidR="00F06D20" w:rsidRDefault="00F06D20">
      <w:pPr>
        <w:tabs>
          <w:tab w:val="left" w:pos="284"/>
        </w:tabs>
        <w:spacing w:line="276" w:lineRule="auto"/>
        <w:rPr>
          <w:rFonts w:ascii="ITC Avant Garde" w:hAnsi="ITC Avant Garde"/>
          <w:color w:val="auto"/>
        </w:rPr>
      </w:pPr>
      <w:r>
        <w:rPr>
          <w:rFonts w:ascii="ITC Avant Garde" w:hAnsi="ITC Avant Garde"/>
          <w:color w:val="auto"/>
        </w:rPr>
        <w:t>Por lo  que</w:t>
      </w:r>
      <w:r w:rsidR="0049393E">
        <w:rPr>
          <w:rFonts w:ascii="ITC Avant Garde" w:hAnsi="ITC Avant Garde"/>
          <w:color w:val="auto"/>
        </w:rPr>
        <w:t xml:space="preserve"> respecta a que</w:t>
      </w:r>
      <w:r>
        <w:rPr>
          <w:rFonts w:ascii="ITC Avant Garde" w:hAnsi="ITC Avant Garde"/>
          <w:color w:val="auto"/>
        </w:rPr>
        <w:t xml:space="preserve"> se incluyan pruebas RFC una vez que el AEP notifica la conclusión de la construcción, </w:t>
      </w:r>
      <w:r w:rsidR="0049393E">
        <w:rPr>
          <w:rFonts w:ascii="ITC Avant Garde" w:hAnsi="ITC Avant Garde"/>
          <w:color w:val="auto"/>
        </w:rPr>
        <w:t xml:space="preserve">se señala que </w:t>
      </w:r>
      <w:r>
        <w:rPr>
          <w:rFonts w:ascii="ITC Avant Garde" w:hAnsi="ITC Avant Garde"/>
          <w:color w:val="auto"/>
        </w:rPr>
        <w:t xml:space="preserve">a efecto de que la entrega </w:t>
      </w:r>
      <w:r w:rsidR="0049393E">
        <w:rPr>
          <w:rFonts w:ascii="ITC Avant Garde" w:hAnsi="ITC Avant Garde"/>
          <w:color w:val="auto"/>
        </w:rPr>
        <w:t>d</w:t>
      </w:r>
      <w:r>
        <w:rPr>
          <w:rFonts w:ascii="ITC Avant Garde" w:hAnsi="ITC Avant Garde"/>
          <w:color w:val="auto"/>
        </w:rPr>
        <w:t>e</w:t>
      </w:r>
      <w:r w:rsidR="0049393E">
        <w:rPr>
          <w:rFonts w:ascii="ITC Avant Garde" w:hAnsi="ITC Avant Garde"/>
          <w:color w:val="auto"/>
        </w:rPr>
        <w:t>l</w:t>
      </w:r>
      <w:r>
        <w:rPr>
          <w:rFonts w:ascii="ITC Avant Garde" w:hAnsi="ITC Avant Garde"/>
          <w:color w:val="auto"/>
        </w:rPr>
        <w:t xml:space="preserve"> servicio sea transparente para ambas partes, dichas pruebas se realizan en conjunto conforme al proceso establecido en el Anexo E y en caso de aplicar las misma</w:t>
      </w:r>
      <w:r w:rsidR="0049393E">
        <w:rPr>
          <w:rFonts w:ascii="ITC Avant Garde" w:hAnsi="ITC Avant Garde"/>
          <w:color w:val="auto"/>
        </w:rPr>
        <w:t>s</w:t>
      </w:r>
      <w:r>
        <w:rPr>
          <w:rFonts w:ascii="ITC Avant Garde" w:hAnsi="ITC Avant Garde"/>
          <w:color w:val="auto"/>
        </w:rPr>
        <w:t xml:space="preserve"> se adjuntan el </w:t>
      </w:r>
      <w:r w:rsidR="0049393E">
        <w:rPr>
          <w:rFonts w:ascii="ITC Avant Garde" w:hAnsi="ITC Avant Garde"/>
          <w:color w:val="auto"/>
        </w:rPr>
        <w:t>a</w:t>
      </w:r>
      <w:r>
        <w:rPr>
          <w:rFonts w:ascii="ITC Avant Garde" w:hAnsi="ITC Avant Garde"/>
          <w:color w:val="auto"/>
        </w:rPr>
        <w:t xml:space="preserve">cta </w:t>
      </w:r>
      <w:r w:rsidR="0049393E" w:rsidRPr="00F06D20">
        <w:rPr>
          <w:rFonts w:ascii="ITC Avant Garde" w:hAnsi="ITC Avant Garde"/>
          <w:color w:val="auto"/>
        </w:rPr>
        <w:t>de recepción del servicio</w:t>
      </w:r>
      <w:r>
        <w:rPr>
          <w:rFonts w:ascii="ITC Avant Garde" w:hAnsi="ITC Avant Garde"/>
          <w:color w:val="auto"/>
        </w:rPr>
        <w:t xml:space="preserve"> establecida en</w:t>
      </w:r>
      <w:r w:rsidR="0049393E">
        <w:rPr>
          <w:rFonts w:ascii="ITC Avant Garde" w:hAnsi="ITC Avant Garde"/>
          <w:color w:val="auto"/>
        </w:rPr>
        <w:t xml:space="preserve"> </w:t>
      </w:r>
      <w:r>
        <w:rPr>
          <w:rFonts w:ascii="ITC Avant Garde" w:hAnsi="ITC Avant Garde"/>
          <w:color w:val="auto"/>
        </w:rPr>
        <w:t xml:space="preserve">el </w:t>
      </w:r>
      <w:r w:rsidR="0049393E">
        <w:rPr>
          <w:rFonts w:ascii="ITC Avant Garde" w:hAnsi="ITC Avant Garde"/>
          <w:color w:val="auto"/>
        </w:rPr>
        <w:t>Anexo</w:t>
      </w:r>
      <w:r>
        <w:rPr>
          <w:rFonts w:ascii="ITC Avant Garde" w:hAnsi="ITC Avant Garde"/>
          <w:color w:val="auto"/>
        </w:rPr>
        <w:t xml:space="preserve"> “A”, por lo anterior no se considera procedente el comentario de Axtel</w:t>
      </w:r>
      <w:r w:rsidR="0049393E">
        <w:rPr>
          <w:rFonts w:ascii="ITC Avant Garde" w:hAnsi="ITC Avant Garde"/>
          <w:color w:val="auto"/>
        </w:rPr>
        <w:t>.</w:t>
      </w:r>
    </w:p>
    <w:p w14:paraId="4E983F89" w14:textId="37553A34" w:rsidR="00883524" w:rsidRDefault="00883524" w:rsidP="0052418C">
      <w:pPr>
        <w:tabs>
          <w:tab w:val="left" w:pos="284"/>
        </w:tabs>
        <w:spacing w:line="276" w:lineRule="auto"/>
        <w:rPr>
          <w:rFonts w:ascii="ITC Avant Garde" w:hAnsi="ITC Avant Garde"/>
          <w:color w:val="auto"/>
        </w:rPr>
      </w:pPr>
    </w:p>
    <w:p w14:paraId="404E08D4" w14:textId="52D69068" w:rsidR="00636733" w:rsidRPr="0052418C" w:rsidRDefault="00636733" w:rsidP="0052418C">
      <w:pPr>
        <w:spacing w:after="0" w:line="276" w:lineRule="auto"/>
        <w:ind w:left="0" w:right="0" w:firstLine="0"/>
        <w:rPr>
          <w:rFonts w:ascii="ITC Avant Garde" w:eastAsiaTheme="majorEastAsia" w:hAnsi="ITC Avant Garde" w:cs="Arial"/>
          <w:b/>
          <w:iCs/>
          <w:color w:val="auto"/>
          <w:u w:val="single"/>
          <w:lang w:val="es-ES"/>
        </w:rPr>
      </w:pPr>
      <w:r w:rsidRPr="0052418C">
        <w:rPr>
          <w:rFonts w:ascii="ITC Avant Garde" w:eastAsiaTheme="majorEastAsia" w:hAnsi="ITC Avant Garde" w:cs="Arial"/>
          <w:b/>
          <w:iCs/>
          <w:color w:val="auto"/>
          <w:u w:val="single"/>
          <w:lang w:val="es-ES"/>
        </w:rPr>
        <w:t>ANEXO “</w:t>
      </w:r>
      <w:r w:rsidR="006037D3" w:rsidRPr="0052418C">
        <w:rPr>
          <w:rFonts w:ascii="ITC Avant Garde" w:eastAsiaTheme="majorEastAsia" w:hAnsi="ITC Avant Garde" w:cs="Arial"/>
          <w:b/>
          <w:iCs/>
          <w:color w:val="auto"/>
          <w:u w:val="single"/>
          <w:lang w:val="es-ES"/>
        </w:rPr>
        <w:t>F</w:t>
      </w:r>
      <w:r w:rsidRPr="0052418C">
        <w:rPr>
          <w:rFonts w:ascii="ITC Avant Garde" w:eastAsiaTheme="majorEastAsia" w:hAnsi="ITC Avant Garde" w:cs="Arial"/>
          <w:b/>
          <w:iCs/>
          <w:color w:val="auto"/>
          <w:u w:val="single"/>
          <w:lang w:val="es-ES"/>
        </w:rPr>
        <w:t xml:space="preserve">” NORMA Y ESPECIFICACIONES DE CONSTRUCCIÓN LOCAL DEL CLIENTE PARA SU CONEXIÓN A LA RED DIGITAL DE ACCESO. </w:t>
      </w:r>
    </w:p>
    <w:p w14:paraId="0CB592D9" w14:textId="77777777" w:rsidR="00636733" w:rsidRPr="0052418C" w:rsidRDefault="00636733" w:rsidP="0052418C">
      <w:pPr>
        <w:tabs>
          <w:tab w:val="left" w:pos="2275"/>
        </w:tabs>
        <w:spacing w:after="0" w:line="276" w:lineRule="auto"/>
        <w:ind w:left="0" w:right="0" w:firstLine="0"/>
        <w:rPr>
          <w:rFonts w:ascii="ITC Avant Garde" w:eastAsia="Times New Roman" w:hAnsi="ITC Avant Garde" w:cs="Arial"/>
          <w:b/>
          <w:iCs/>
          <w:color w:val="auto"/>
          <w:lang w:val="es-ES"/>
        </w:rPr>
      </w:pPr>
      <w:r w:rsidRPr="0052418C">
        <w:rPr>
          <w:rFonts w:ascii="ITC Avant Garde" w:eastAsia="Times New Roman" w:hAnsi="ITC Avant Garde" w:cs="Arial"/>
          <w:b/>
          <w:iCs/>
          <w:color w:val="auto"/>
          <w:lang w:val="es-ES"/>
        </w:rPr>
        <w:t>AXTEL:</w:t>
      </w:r>
    </w:p>
    <w:p w14:paraId="2989C371" w14:textId="360E2478" w:rsidR="00636733" w:rsidRPr="0052418C" w:rsidRDefault="00636733" w:rsidP="0052418C">
      <w:pPr>
        <w:spacing w:after="0" w:line="276" w:lineRule="auto"/>
        <w:ind w:left="0" w:right="0" w:firstLine="0"/>
        <w:rPr>
          <w:rFonts w:ascii="ITC Avant Garde" w:hAnsi="ITC Avant Garde"/>
          <w:color w:val="auto"/>
        </w:rPr>
      </w:pPr>
      <w:r w:rsidRPr="0052418C">
        <w:rPr>
          <w:rFonts w:ascii="ITC Avant Garde" w:hAnsi="ITC Avant Garde"/>
          <w:color w:val="auto"/>
        </w:rPr>
        <w:t>Manifestó que el Instituto solicitó al AEP incluir un apartado con las características mínimas necesarias:</w:t>
      </w:r>
    </w:p>
    <w:p w14:paraId="251B818C" w14:textId="77777777" w:rsidR="00636733" w:rsidRPr="0052418C" w:rsidRDefault="00636733" w:rsidP="0052418C">
      <w:pPr>
        <w:spacing w:after="0" w:line="276" w:lineRule="auto"/>
        <w:ind w:left="0" w:right="0" w:firstLine="0"/>
        <w:rPr>
          <w:rFonts w:ascii="ITC Avant Garde" w:eastAsia="Times New Roman" w:hAnsi="ITC Avant Garde" w:cs="Arial"/>
          <w:iCs/>
          <w:color w:val="auto"/>
          <w:lang w:val="es-ES"/>
        </w:rPr>
      </w:pPr>
    </w:p>
    <w:p w14:paraId="2B4593E1" w14:textId="35DA09DB" w:rsidR="00636733" w:rsidRPr="0052418C" w:rsidRDefault="00636733" w:rsidP="00153D26">
      <w:pPr>
        <w:spacing w:after="0" w:line="276" w:lineRule="auto"/>
        <w:ind w:left="284" w:right="0" w:firstLine="0"/>
        <w:rPr>
          <w:rFonts w:ascii="ITC Avant Garde" w:eastAsia="Times New Roman" w:hAnsi="ITC Avant Garde" w:cs="Arial"/>
          <w:iCs/>
          <w:color w:val="auto"/>
          <w:lang w:val="es-ES"/>
        </w:rPr>
      </w:pPr>
      <w:r w:rsidRPr="0052418C">
        <w:rPr>
          <w:rFonts w:ascii="ITC Avant Garde" w:eastAsia="Times New Roman" w:hAnsi="ITC Avant Garde" w:cs="Arial"/>
          <w:iCs/>
          <w:color w:val="auto"/>
          <w:lang w:val="es-ES"/>
        </w:rPr>
        <w:t>• Tener un espacio mínimo disponible para la instalación del equipo de Red Nacional.</w:t>
      </w:r>
    </w:p>
    <w:p w14:paraId="2746E52C" w14:textId="66D6D1DC" w:rsidR="00636733" w:rsidRPr="0052418C" w:rsidRDefault="00636733" w:rsidP="00153D26">
      <w:pPr>
        <w:spacing w:after="0" w:line="276" w:lineRule="auto"/>
        <w:ind w:left="284" w:right="0" w:firstLine="0"/>
        <w:rPr>
          <w:rFonts w:ascii="ITC Avant Garde" w:eastAsia="Times New Roman" w:hAnsi="ITC Avant Garde" w:cs="Arial"/>
          <w:iCs/>
          <w:color w:val="auto"/>
          <w:lang w:val="es-ES"/>
        </w:rPr>
      </w:pPr>
      <w:r w:rsidRPr="0052418C">
        <w:rPr>
          <w:rFonts w:ascii="ITC Avant Garde" w:eastAsia="Times New Roman" w:hAnsi="ITC Avant Garde" w:cs="Arial"/>
          <w:iCs/>
          <w:color w:val="auto"/>
          <w:lang w:val="es-ES"/>
        </w:rPr>
        <w:lastRenderedPageBreak/>
        <w:t>• El equipo de Red Nacional no debe estar expuesto a los rayos del sol ni cerca de una fuente de calor.</w:t>
      </w:r>
    </w:p>
    <w:p w14:paraId="65D298EE" w14:textId="01930B32" w:rsidR="00636733" w:rsidRPr="0052418C" w:rsidRDefault="00636733" w:rsidP="00153D26">
      <w:pPr>
        <w:spacing w:after="0" w:line="276" w:lineRule="auto"/>
        <w:ind w:left="284" w:right="0" w:firstLine="0"/>
        <w:rPr>
          <w:rFonts w:ascii="ITC Avant Garde" w:eastAsia="Times New Roman" w:hAnsi="ITC Avant Garde" w:cs="Arial"/>
          <w:iCs/>
          <w:color w:val="auto"/>
          <w:lang w:val="es-ES"/>
        </w:rPr>
      </w:pPr>
      <w:r w:rsidRPr="0052418C">
        <w:rPr>
          <w:rFonts w:ascii="ITC Avant Garde" w:eastAsia="Times New Roman" w:hAnsi="ITC Avant Garde" w:cs="Arial"/>
          <w:iCs/>
          <w:color w:val="auto"/>
          <w:lang w:val="es-ES"/>
        </w:rPr>
        <w:t>• El equipo de Red Nacional no debe estar expuesto a acumulación excesiva de polvo.</w:t>
      </w:r>
    </w:p>
    <w:p w14:paraId="5B41DB65" w14:textId="7056C3FD" w:rsidR="00636733" w:rsidRPr="0052418C" w:rsidRDefault="00636733" w:rsidP="00153D26">
      <w:pPr>
        <w:spacing w:after="0" w:line="276" w:lineRule="auto"/>
        <w:ind w:left="284" w:right="0" w:firstLine="0"/>
        <w:rPr>
          <w:rFonts w:ascii="ITC Avant Garde" w:eastAsia="Times New Roman" w:hAnsi="ITC Avant Garde" w:cs="Arial"/>
          <w:iCs/>
          <w:color w:val="auto"/>
          <w:lang w:val="es-ES"/>
        </w:rPr>
      </w:pPr>
      <w:r w:rsidRPr="0052418C">
        <w:rPr>
          <w:rFonts w:ascii="ITC Avant Garde" w:eastAsia="Times New Roman" w:hAnsi="ITC Avant Garde" w:cs="Arial"/>
          <w:iCs/>
          <w:color w:val="auto"/>
          <w:lang w:val="es-ES"/>
        </w:rPr>
        <w:t xml:space="preserve">• El equipo de Red Nacional no debe estar expuesto a humedad o cerca de conexiones o llaves de líquidos. </w:t>
      </w:r>
    </w:p>
    <w:p w14:paraId="088A91FA" w14:textId="77777777" w:rsidR="00636733" w:rsidRPr="0052418C" w:rsidRDefault="00636733" w:rsidP="00153D26">
      <w:pPr>
        <w:spacing w:after="0" w:line="276" w:lineRule="auto"/>
        <w:ind w:left="284" w:right="0" w:firstLine="0"/>
        <w:rPr>
          <w:rFonts w:ascii="ITC Avant Garde" w:eastAsia="Times New Roman" w:hAnsi="ITC Avant Garde" w:cs="Arial"/>
          <w:iCs/>
          <w:color w:val="auto"/>
          <w:lang w:val="es-ES"/>
        </w:rPr>
      </w:pPr>
      <w:r w:rsidRPr="0052418C">
        <w:rPr>
          <w:rFonts w:ascii="ITC Avant Garde" w:eastAsia="Times New Roman" w:hAnsi="ITC Avant Garde" w:cs="Arial"/>
          <w:iCs/>
          <w:color w:val="auto"/>
          <w:lang w:val="es-ES"/>
        </w:rPr>
        <w:t xml:space="preserve">• Los cableados no deberán estar situados en pasillo o en lugares de transito de personal. </w:t>
      </w:r>
    </w:p>
    <w:p w14:paraId="470EE6F5" w14:textId="77777777" w:rsidR="00636733" w:rsidRPr="0052418C" w:rsidRDefault="00636733" w:rsidP="00153D26">
      <w:pPr>
        <w:spacing w:after="0" w:line="276" w:lineRule="auto"/>
        <w:ind w:left="284" w:right="0" w:firstLine="0"/>
        <w:rPr>
          <w:rFonts w:ascii="ITC Avant Garde" w:eastAsia="Times New Roman" w:hAnsi="ITC Avant Garde" w:cs="Arial"/>
          <w:iCs/>
          <w:color w:val="auto"/>
          <w:lang w:val="es-ES"/>
        </w:rPr>
      </w:pPr>
      <w:r w:rsidRPr="0052418C">
        <w:rPr>
          <w:rFonts w:ascii="ITC Avant Garde" w:eastAsia="Times New Roman" w:hAnsi="ITC Avant Garde" w:cs="Arial"/>
          <w:iCs/>
          <w:color w:val="auto"/>
          <w:lang w:val="es-ES"/>
        </w:rPr>
        <w:t xml:space="preserve">• La trayectoria del cable de alimentación no debe coincidir con la trayectoria del cable de conexión de la NTU, NTE (par trenzado) o fibra óptica (DDE, Mux SDH). </w:t>
      </w:r>
    </w:p>
    <w:p w14:paraId="21BF1541" w14:textId="73EFE189" w:rsidR="00636733" w:rsidRPr="0052418C" w:rsidRDefault="00636733" w:rsidP="00153D26">
      <w:pPr>
        <w:spacing w:after="0" w:line="276" w:lineRule="auto"/>
        <w:ind w:left="284" w:right="0" w:firstLine="0"/>
        <w:rPr>
          <w:rFonts w:ascii="ITC Avant Garde" w:eastAsia="Times New Roman" w:hAnsi="ITC Avant Garde" w:cs="Arial"/>
          <w:iCs/>
          <w:color w:val="auto"/>
          <w:lang w:val="es-ES"/>
        </w:rPr>
      </w:pPr>
      <w:r w:rsidRPr="0052418C">
        <w:rPr>
          <w:rFonts w:ascii="ITC Avant Garde" w:eastAsia="Times New Roman" w:hAnsi="ITC Avant Garde" w:cs="Arial"/>
          <w:iCs/>
          <w:color w:val="auto"/>
          <w:lang w:val="es-ES"/>
        </w:rPr>
        <w:t xml:space="preserve">• Una distancia máxima de 5 metros desde el equipo de Red Nacional al equipo de Axtel. </w:t>
      </w:r>
    </w:p>
    <w:p w14:paraId="3A9F26B2" w14:textId="77777777" w:rsidR="00636733" w:rsidRPr="0052418C" w:rsidRDefault="00636733" w:rsidP="00153D26">
      <w:pPr>
        <w:spacing w:after="0" w:line="276" w:lineRule="auto"/>
        <w:ind w:left="284" w:right="0" w:firstLine="0"/>
        <w:rPr>
          <w:rFonts w:ascii="ITC Avant Garde" w:eastAsia="Times New Roman" w:hAnsi="ITC Avant Garde" w:cs="Arial"/>
          <w:iCs/>
          <w:color w:val="auto"/>
          <w:lang w:val="es-ES"/>
        </w:rPr>
      </w:pPr>
      <w:r w:rsidRPr="0052418C">
        <w:rPr>
          <w:rFonts w:ascii="ITC Avant Garde" w:eastAsia="Times New Roman" w:hAnsi="ITC Avant Garde" w:cs="Arial"/>
          <w:iCs/>
          <w:color w:val="auto"/>
          <w:lang w:val="es-ES"/>
        </w:rPr>
        <w:t xml:space="preserve">• Una distancia máxima de 2 metros desde el contacto tomacorriente hasta el equipo del AEP, que maneje un rango de voltaje mínimo de 90 VAC y máximo de 137 VAC. </w:t>
      </w:r>
    </w:p>
    <w:p w14:paraId="069C4A77" w14:textId="77777777" w:rsidR="00636733" w:rsidRPr="0052418C" w:rsidRDefault="00636733" w:rsidP="00153D26">
      <w:pPr>
        <w:spacing w:after="0" w:line="276" w:lineRule="auto"/>
        <w:ind w:left="284" w:right="0" w:firstLine="0"/>
        <w:rPr>
          <w:rFonts w:ascii="ITC Avant Garde" w:eastAsia="Times New Roman" w:hAnsi="ITC Avant Garde" w:cs="Arial"/>
          <w:iCs/>
          <w:color w:val="auto"/>
          <w:lang w:val="es-ES"/>
        </w:rPr>
      </w:pPr>
      <w:r w:rsidRPr="0052418C">
        <w:rPr>
          <w:rFonts w:ascii="ITC Avant Garde" w:eastAsia="Times New Roman" w:hAnsi="ITC Avant Garde" w:cs="Arial"/>
          <w:iCs/>
          <w:color w:val="auto"/>
          <w:lang w:val="es-ES"/>
        </w:rPr>
        <w:t>• Se recomienda utilizar clavijas polarizadas y aterrizadas.</w:t>
      </w:r>
    </w:p>
    <w:p w14:paraId="34E17BDE" w14:textId="77777777" w:rsidR="00636733" w:rsidRPr="0052418C" w:rsidRDefault="00636733" w:rsidP="00153D26">
      <w:pPr>
        <w:spacing w:after="0" w:line="276" w:lineRule="auto"/>
        <w:ind w:left="284" w:right="0" w:firstLine="0"/>
        <w:rPr>
          <w:rFonts w:ascii="ITC Avant Garde" w:eastAsia="Times New Roman" w:hAnsi="ITC Avant Garde" w:cs="Arial"/>
          <w:iCs/>
          <w:color w:val="auto"/>
          <w:lang w:val="es-ES"/>
        </w:rPr>
      </w:pPr>
      <w:r w:rsidRPr="0052418C">
        <w:rPr>
          <w:rFonts w:ascii="ITC Avant Garde" w:eastAsia="Times New Roman" w:hAnsi="ITC Avant Garde" w:cs="Arial"/>
          <w:iCs/>
          <w:color w:val="auto"/>
          <w:lang w:val="es-ES"/>
        </w:rPr>
        <w:t xml:space="preserve"> • Se recomienda no utilizar multi contactos.</w:t>
      </w:r>
    </w:p>
    <w:p w14:paraId="4959B5CF" w14:textId="77777777" w:rsidR="00636733" w:rsidRPr="0052418C" w:rsidRDefault="00636733" w:rsidP="00153D26">
      <w:pPr>
        <w:spacing w:after="0" w:line="276" w:lineRule="auto"/>
        <w:ind w:left="284" w:right="0" w:firstLine="0"/>
        <w:rPr>
          <w:rFonts w:ascii="ITC Avant Garde" w:eastAsia="Times New Roman" w:hAnsi="ITC Avant Garde" w:cs="Arial"/>
          <w:iCs/>
          <w:color w:val="auto"/>
          <w:lang w:val="es-ES"/>
        </w:rPr>
      </w:pPr>
      <w:r w:rsidRPr="0052418C">
        <w:rPr>
          <w:rFonts w:ascii="ITC Avant Garde" w:eastAsia="Times New Roman" w:hAnsi="ITC Avant Garde" w:cs="Arial"/>
          <w:iCs/>
          <w:color w:val="auto"/>
          <w:lang w:val="es-ES"/>
        </w:rPr>
        <w:t xml:space="preserve">• Se recomienda que el tomacorriente se suministre desde una toma de corriente ininterrumpida. </w:t>
      </w:r>
    </w:p>
    <w:p w14:paraId="11A0AEF4" w14:textId="465C932B" w:rsidR="00636733" w:rsidRPr="0052418C" w:rsidRDefault="00636733" w:rsidP="00153D26">
      <w:pPr>
        <w:spacing w:after="0" w:line="276" w:lineRule="auto"/>
        <w:ind w:left="284" w:right="0" w:firstLine="0"/>
        <w:rPr>
          <w:rFonts w:ascii="ITC Avant Garde" w:eastAsia="Times New Roman" w:hAnsi="ITC Avant Garde" w:cs="Arial"/>
          <w:iCs/>
          <w:color w:val="auto"/>
          <w:lang w:val="es-ES"/>
        </w:rPr>
      </w:pPr>
      <w:r w:rsidRPr="0052418C">
        <w:rPr>
          <w:rFonts w:ascii="ITC Avant Garde" w:eastAsia="Times New Roman" w:hAnsi="ITC Avant Garde" w:cs="Arial"/>
          <w:iCs/>
          <w:color w:val="auto"/>
          <w:lang w:val="es-ES"/>
        </w:rPr>
        <w:t>• No colocar otros objetos encima de los equipos de Red Nacional.</w:t>
      </w:r>
    </w:p>
    <w:p w14:paraId="5C647791" w14:textId="77777777" w:rsidR="00636733" w:rsidRPr="0052418C" w:rsidRDefault="00636733" w:rsidP="0052418C">
      <w:pPr>
        <w:spacing w:after="0" w:line="276" w:lineRule="auto"/>
        <w:ind w:left="0" w:right="0" w:firstLine="0"/>
        <w:rPr>
          <w:rFonts w:ascii="ITC Avant Garde" w:eastAsia="Times New Roman" w:hAnsi="ITC Avant Garde" w:cs="Arial"/>
          <w:iCs/>
          <w:color w:val="auto"/>
          <w:lang w:val="es-ES"/>
        </w:rPr>
      </w:pPr>
    </w:p>
    <w:p w14:paraId="154BE6F8" w14:textId="77777777" w:rsidR="00636733" w:rsidRPr="0052418C" w:rsidRDefault="00636733" w:rsidP="0052418C">
      <w:pPr>
        <w:spacing w:after="0" w:line="276" w:lineRule="auto"/>
        <w:ind w:left="0" w:right="0" w:firstLine="0"/>
        <w:rPr>
          <w:rFonts w:ascii="ITC Avant Garde" w:eastAsia="Times New Roman" w:hAnsi="ITC Avant Garde" w:cs="Arial"/>
          <w:b/>
          <w:iCs/>
          <w:color w:val="auto"/>
          <w:lang w:val="es-ES"/>
        </w:rPr>
      </w:pPr>
      <w:r w:rsidRPr="0052418C">
        <w:rPr>
          <w:rFonts w:ascii="ITC Avant Garde" w:eastAsia="Times New Roman" w:hAnsi="ITC Avant Garde" w:cs="Arial"/>
          <w:b/>
          <w:iCs/>
          <w:color w:val="auto"/>
          <w:lang w:val="es-ES"/>
        </w:rPr>
        <w:t>Consideraciones del Instituto:</w:t>
      </w:r>
    </w:p>
    <w:p w14:paraId="1BE88426" w14:textId="34585434" w:rsidR="00636733" w:rsidRPr="0052418C" w:rsidRDefault="00636733" w:rsidP="0052418C">
      <w:pPr>
        <w:spacing w:after="0" w:line="276" w:lineRule="auto"/>
        <w:ind w:left="0" w:right="0" w:firstLine="0"/>
        <w:rPr>
          <w:rFonts w:ascii="ITC Avant Garde" w:hAnsi="ITC Avant Garde"/>
          <w:color w:val="auto"/>
        </w:rPr>
      </w:pPr>
      <w:r w:rsidRPr="0052418C">
        <w:rPr>
          <w:rFonts w:ascii="ITC Avant Garde" w:hAnsi="ITC Avant Garde"/>
          <w:color w:val="auto"/>
        </w:rPr>
        <w:t xml:space="preserve">Al respecto, el Anexo </w:t>
      </w:r>
      <w:r w:rsidR="00CA1657" w:rsidRPr="0052418C">
        <w:rPr>
          <w:rFonts w:ascii="ITC Avant Garde" w:hAnsi="ITC Avant Garde"/>
          <w:color w:val="auto"/>
        </w:rPr>
        <w:t>F</w:t>
      </w:r>
      <w:r w:rsidRPr="0052418C">
        <w:rPr>
          <w:rFonts w:ascii="ITC Avant Garde" w:hAnsi="ITC Avant Garde"/>
          <w:color w:val="auto"/>
        </w:rPr>
        <w:t xml:space="preserve"> tiene como objetivo definir los requerimientos y especificaciones </w:t>
      </w:r>
      <w:r w:rsidRPr="0052418C">
        <w:rPr>
          <w:rFonts w:ascii="ITC Avant Garde" w:hAnsi="ITC Avant Garde"/>
          <w:b/>
          <w:i/>
          <w:color w:val="auto"/>
        </w:rPr>
        <w:t>generales</w:t>
      </w:r>
      <w:r w:rsidRPr="0052418C">
        <w:rPr>
          <w:rFonts w:ascii="ITC Avant Garde" w:hAnsi="ITC Avant Garde"/>
          <w:color w:val="auto"/>
        </w:rPr>
        <w:t xml:space="preserve"> de construcción para el acondicionamiento del Local-Cliente para el suministro de los servicios así como la protección al personal y equipo de Red Nacional, en este sentido dicho Anexo cumple con dichas </w:t>
      </w:r>
      <w:r w:rsidRPr="0052418C">
        <w:rPr>
          <w:rFonts w:ascii="ITC Avant Garde" w:hAnsi="ITC Avant Garde"/>
          <w:b/>
          <w:i/>
          <w:color w:val="auto"/>
        </w:rPr>
        <w:t xml:space="preserve">especificaciones Generales </w:t>
      </w:r>
      <w:r w:rsidRPr="0052418C">
        <w:rPr>
          <w:rFonts w:ascii="ITC Avant Garde" w:hAnsi="ITC Avant Garde"/>
          <w:color w:val="auto"/>
        </w:rPr>
        <w:t>no obstante de ninguna manera limita poder implementar o llevar a cabo acciones que permitan mantener bajo condiciones adecuadas o características específicas la instalación y cuidados de los equipos de Red Nacional que se instalarán en el sitio del cliente final.</w:t>
      </w:r>
    </w:p>
    <w:p w14:paraId="067D8ECF" w14:textId="77777777" w:rsidR="00636733" w:rsidRPr="0052418C" w:rsidRDefault="00636733" w:rsidP="0052418C">
      <w:pPr>
        <w:spacing w:after="0" w:line="276" w:lineRule="auto"/>
        <w:ind w:left="0" w:right="0" w:firstLine="0"/>
        <w:rPr>
          <w:rFonts w:ascii="ITC Avant Garde" w:eastAsiaTheme="majorEastAsia" w:hAnsi="ITC Avant Garde" w:cs="Arial"/>
          <w:b/>
          <w:u w:val="single"/>
        </w:rPr>
      </w:pPr>
    </w:p>
    <w:p w14:paraId="44C1DC90" w14:textId="6DFE839A" w:rsidR="002325DE" w:rsidRPr="0052418C" w:rsidRDefault="00936A14" w:rsidP="0052418C">
      <w:pPr>
        <w:pStyle w:val="IFTnormal"/>
        <w:spacing w:after="0"/>
        <w:ind w:left="0"/>
        <w:rPr>
          <w:rFonts w:eastAsiaTheme="majorEastAsia" w:cs="Arial"/>
          <w:b/>
          <w:u w:val="single"/>
        </w:rPr>
      </w:pPr>
      <w:r w:rsidRPr="0052418C">
        <w:rPr>
          <w:rFonts w:eastAsiaTheme="majorEastAsia" w:cs="Arial"/>
          <w:b/>
          <w:u w:val="single"/>
        </w:rPr>
        <w:t>ANEXO “</w:t>
      </w:r>
      <w:r w:rsidR="006037D3" w:rsidRPr="0052418C">
        <w:rPr>
          <w:rFonts w:eastAsiaTheme="majorEastAsia" w:cs="Arial"/>
          <w:b/>
          <w:u w:val="single"/>
        </w:rPr>
        <w:t>G</w:t>
      </w:r>
      <w:r w:rsidRPr="0052418C">
        <w:rPr>
          <w:rFonts w:eastAsiaTheme="majorEastAsia" w:cs="Arial"/>
          <w:b/>
          <w:u w:val="single"/>
        </w:rPr>
        <w:t xml:space="preserve">” PROCEDIMIENTO DE ACCESO A SITIOS. </w:t>
      </w:r>
    </w:p>
    <w:p w14:paraId="5C375A73" w14:textId="64302B40" w:rsidR="00C56220" w:rsidRPr="0052418C" w:rsidRDefault="00DB095A" w:rsidP="0052418C">
      <w:pPr>
        <w:pStyle w:val="IFTnormal"/>
        <w:spacing w:after="0"/>
        <w:ind w:left="0"/>
        <w:rPr>
          <w:rFonts w:cs="Arial"/>
          <w:b/>
        </w:rPr>
      </w:pPr>
      <w:r w:rsidRPr="0052418C">
        <w:rPr>
          <w:rFonts w:cs="Arial"/>
          <w:b/>
        </w:rPr>
        <w:t>GRUPO AT&amp;T:</w:t>
      </w:r>
    </w:p>
    <w:p w14:paraId="5295DB52" w14:textId="159A14C9" w:rsidR="002325DE" w:rsidRPr="0052418C" w:rsidRDefault="00536A6E" w:rsidP="0052418C">
      <w:pPr>
        <w:spacing w:after="0" w:line="276" w:lineRule="auto"/>
        <w:ind w:left="0" w:right="0" w:firstLine="0"/>
        <w:rPr>
          <w:rFonts w:ascii="ITC Avant Garde" w:hAnsi="ITC Avant Garde" w:cs="Arial"/>
          <w:i/>
          <w:color w:val="auto"/>
        </w:rPr>
      </w:pPr>
      <w:r w:rsidRPr="0052418C">
        <w:rPr>
          <w:rFonts w:ascii="ITC Avant Garde" w:hAnsi="ITC Avant Garde" w:cs="Arial"/>
          <w:color w:val="auto"/>
        </w:rPr>
        <w:t>Manifest</w:t>
      </w:r>
      <w:r w:rsidR="008B2FB3" w:rsidRPr="0052418C">
        <w:rPr>
          <w:rFonts w:ascii="ITC Avant Garde" w:hAnsi="ITC Avant Garde" w:cs="Arial"/>
          <w:color w:val="auto"/>
        </w:rPr>
        <w:t>ó</w:t>
      </w:r>
      <w:r w:rsidRPr="0052418C">
        <w:rPr>
          <w:rFonts w:ascii="ITC Avant Garde" w:hAnsi="ITC Avant Garde" w:cs="Arial"/>
          <w:color w:val="auto"/>
        </w:rPr>
        <w:t xml:space="preserve"> que la forma</w:t>
      </w:r>
      <w:r w:rsidR="00E84177" w:rsidRPr="0052418C">
        <w:rPr>
          <w:rFonts w:ascii="ITC Avant Garde" w:hAnsi="ITC Avant Garde" w:cs="Arial"/>
          <w:color w:val="auto"/>
        </w:rPr>
        <w:t xml:space="preserve"> más</w:t>
      </w:r>
      <w:r w:rsidRPr="0052418C">
        <w:rPr>
          <w:rFonts w:ascii="ITC Avant Garde" w:hAnsi="ITC Avant Garde" w:cs="Arial"/>
          <w:color w:val="auto"/>
        </w:rPr>
        <w:t xml:space="preserve"> usual de ingreso a las instalaciones de otra empresa y en particular, las áreas que manejan equipos críticos, </w:t>
      </w:r>
      <w:r w:rsidR="00E84177" w:rsidRPr="0052418C">
        <w:rPr>
          <w:rFonts w:ascii="ITC Avant Garde" w:hAnsi="ITC Avant Garde" w:cs="Arial"/>
          <w:color w:val="auto"/>
        </w:rPr>
        <w:t xml:space="preserve">es </w:t>
      </w:r>
      <w:r w:rsidRPr="0052418C">
        <w:rPr>
          <w:rFonts w:ascii="ITC Avant Garde" w:hAnsi="ITC Avant Garde" w:cs="Arial"/>
          <w:color w:val="auto"/>
        </w:rPr>
        <w:t>que el personal present</w:t>
      </w:r>
      <w:r w:rsidR="00E84177" w:rsidRPr="0052418C">
        <w:rPr>
          <w:rFonts w:ascii="ITC Avant Garde" w:hAnsi="ITC Avant Garde" w:cs="Arial"/>
          <w:color w:val="auto"/>
        </w:rPr>
        <w:t>e</w:t>
      </w:r>
      <w:r w:rsidRPr="0052418C">
        <w:rPr>
          <w:rFonts w:ascii="ITC Avant Garde" w:hAnsi="ITC Avant Garde" w:cs="Arial"/>
          <w:color w:val="auto"/>
        </w:rPr>
        <w:t xml:space="preserve"> identificación oficial, credencial de la empresa para la que se trabaja y firmar la responsiva de confidencialidad.</w:t>
      </w:r>
    </w:p>
    <w:p w14:paraId="67809E27" w14:textId="77777777" w:rsidR="00636733" w:rsidRPr="0052418C" w:rsidRDefault="00636733" w:rsidP="0052418C">
      <w:pPr>
        <w:pStyle w:val="IFTnormal"/>
        <w:tabs>
          <w:tab w:val="left" w:pos="2275"/>
        </w:tabs>
        <w:spacing w:after="0"/>
        <w:ind w:left="0"/>
        <w:rPr>
          <w:rFonts w:cs="Arial"/>
          <w:b/>
        </w:rPr>
      </w:pPr>
    </w:p>
    <w:p w14:paraId="35DFAB5B" w14:textId="6975CE84" w:rsidR="00636733" w:rsidRPr="0052418C" w:rsidRDefault="00636733" w:rsidP="0052418C">
      <w:pPr>
        <w:pStyle w:val="IFTnormal"/>
        <w:tabs>
          <w:tab w:val="left" w:pos="2275"/>
        </w:tabs>
        <w:spacing w:after="0"/>
        <w:ind w:left="0"/>
        <w:rPr>
          <w:rFonts w:cs="Arial"/>
          <w:b/>
        </w:rPr>
      </w:pPr>
      <w:r w:rsidRPr="0052418C">
        <w:rPr>
          <w:rFonts w:cs="Arial"/>
          <w:b/>
        </w:rPr>
        <w:t>AXTEL:</w:t>
      </w:r>
    </w:p>
    <w:p w14:paraId="5A0BC80E" w14:textId="34036B80" w:rsidR="00033749" w:rsidRPr="0052418C" w:rsidRDefault="00880F87" w:rsidP="0052418C">
      <w:pPr>
        <w:spacing w:after="0" w:line="276" w:lineRule="auto"/>
        <w:ind w:left="0" w:right="0"/>
        <w:rPr>
          <w:rFonts w:ascii="ITC Avant Garde" w:hAnsi="ITC Avant Garde"/>
        </w:rPr>
      </w:pPr>
      <w:r w:rsidRPr="0052418C">
        <w:rPr>
          <w:rFonts w:ascii="ITC Avant Garde" w:hAnsi="ITC Avant Garde" w:cs="Arial"/>
          <w:color w:val="auto"/>
        </w:rPr>
        <w:lastRenderedPageBreak/>
        <w:t>Manifestó que el AEP para permitir el acceso al personal externo. el AEP tarda semanas y en ocasiones hasta meses para proporcionar la documentación requerida por los clientes finales del CS</w:t>
      </w:r>
      <w:r w:rsidRPr="0052418C">
        <w:rPr>
          <w:rFonts w:ascii="ITC Avant Garde" w:hAnsi="ITC Avant Garde"/>
        </w:rPr>
        <w:t xml:space="preserve"> adicional, a que ese tiempo que tarda, genera paros de reloj tanto para entrega de los servicios como para la atención a incidencias, ocasionando que el CS se convierte en acreedor a penalizaciones por el incumplimiento frente a sus clientes por causas imputables al AEP, que inoportunamente queda exento de cualquier imputabilidad asociada a ésta situaciones. </w:t>
      </w:r>
    </w:p>
    <w:p w14:paraId="023FCEB1" w14:textId="5A2D42AC" w:rsidR="00880F87" w:rsidRPr="0052418C" w:rsidRDefault="00880F87" w:rsidP="0052418C">
      <w:pPr>
        <w:spacing w:after="0" w:line="276" w:lineRule="auto"/>
        <w:ind w:left="0" w:right="0"/>
        <w:rPr>
          <w:rFonts w:ascii="ITC Avant Garde" w:hAnsi="ITC Avant Garde"/>
        </w:rPr>
      </w:pPr>
    </w:p>
    <w:p w14:paraId="3760399D" w14:textId="25033BDA" w:rsidR="00CC063F" w:rsidRPr="0052418C" w:rsidRDefault="00880F87" w:rsidP="0052418C">
      <w:pPr>
        <w:pStyle w:val="IFTnormal"/>
        <w:spacing w:after="0"/>
        <w:ind w:left="0"/>
        <w:rPr>
          <w:bCs/>
        </w:rPr>
      </w:pPr>
      <w:r w:rsidRPr="0052418C">
        <w:t>Por lo anterior Axtel solicitó al AEP que cuando éste requiera el acceso a algún sitio, incluya desde el inicio de la solicitud de acceso lo siguiente:</w:t>
      </w:r>
      <w:r w:rsidR="00CA1657" w:rsidRPr="0052418C">
        <w:t xml:space="preserve"> (i)</w:t>
      </w:r>
      <w:r w:rsidRPr="0052418C">
        <w:t xml:space="preserve"> Nombre(s) del personal que acudirá al sitio</w:t>
      </w:r>
      <w:r w:rsidR="00CC063F" w:rsidRPr="0052418C">
        <w:t>;</w:t>
      </w:r>
      <w:r w:rsidRPr="0052418C">
        <w:t xml:space="preserve"> </w:t>
      </w:r>
      <w:r w:rsidR="00CA1657" w:rsidRPr="0052418C">
        <w:t>(ii)</w:t>
      </w:r>
      <w:r w:rsidRPr="0052418C">
        <w:t xml:space="preserve"> La documentación en electrónico del INE, SUA, pago del IMSS</w:t>
      </w:r>
      <w:r w:rsidR="00CC063F" w:rsidRPr="0052418C">
        <w:t>;</w:t>
      </w:r>
      <w:r w:rsidRPr="0052418C">
        <w:t xml:space="preserve"> </w:t>
      </w:r>
      <w:r w:rsidR="00CA1657" w:rsidRPr="0052418C">
        <w:t>(ii</w:t>
      </w:r>
      <w:r w:rsidR="00CC063F" w:rsidRPr="0052418C">
        <w:t>i</w:t>
      </w:r>
      <w:r w:rsidR="00CA1657" w:rsidRPr="0052418C">
        <w:t>)</w:t>
      </w:r>
      <w:r w:rsidRPr="0052418C">
        <w:t xml:space="preserve"> y por las circunstancias actuales es necesario que a los trabajadores de campo a contar con pruebas de COVID-19 negativas</w:t>
      </w:r>
      <w:r w:rsidR="00CC063F" w:rsidRPr="0052418C">
        <w:t xml:space="preserve">; </w:t>
      </w:r>
      <w:r w:rsidR="00CC063F" w:rsidRPr="0052418C">
        <w:rPr>
          <w:bCs/>
        </w:rPr>
        <w:t xml:space="preserve">iv) En caso de que el AEP no pueda cumplir con la cita en fecha y hora acordada, deberá infirmar al CS con al menos 24 horas de anticipación a que se cumpla lo acordado, para programar una nueva visita.  </w:t>
      </w:r>
    </w:p>
    <w:p w14:paraId="3197C617" w14:textId="46764940" w:rsidR="00880F87" w:rsidRPr="0052418C" w:rsidRDefault="00880F87" w:rsidP="0052418C">
      <w:pPr>
        <w:spacing w:after="0" w:line="276" w:lineRule="auto"/>
        <w:ind w:left="0" w:right="0"/>
        <w:rPr>
          <w:rFonts w:ascii="ITC Avant Garde" w:hAnsi="ITC Avant Garde"/>
        </w:rPr>
      </w:pPr>
    </w:p>
    <w:p w14:paraId="1106B72D" w14:textId="330325D8" w:rsidR="00B80447" w:rsidRPr="0052418C" w:rsidRDefault="00B80447"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12273D" w:rsidRPr="0052418C">
        <w:rPr>
          <w:rFonts w:ascii="ITC Avant Garde" w:hAnsi="ITC Avant Garde" w:cs="Arial"/>
          <w:b/>
          <w:color w:val="auto"/>
        </w:rPr>
        <w:t>:</w:t>
      </w:r>
    </w:p>
    <w:p w14:paraId="28B4B32F" w14:textId="77777777" w:rsidR="00CD50C8" w:rsidRPr="0052418C" w:rsidRDefault="00B80447"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En el Anexo aludido se establece que todo el personal que ingrese a la instalación deberá mostrar la identificación que lo acredite como trabajador de la Compañía a la que pertenece, mediante credencial actualizada.</w:t>
      </w:r>
      <w:r w:rsidR="0012273D" w:rsidRPr="0052418C">
        <w:rPr>
          <w:rFonts w:ascii="ITC Avant Garde" w:hAnsi="ITC Avant Garde" w:cs="Arial"/>
          <w:color w:val="auto"/>
        </w:rPr>
        <w:t xml:space="preserve"> </w:t>
      </w:r>
    </w:p>
    <w:p w14:paraId="0815E93C" w14:textId="77777777" w:rsidR="00CD50C8" w:rsidRPr="0052418C" w:rsidRDefault="00CD50C8" w:rsidP="0052418C">
      <w:pPr>
        <w:spacing w:after="0" w:line="276" w:lineRule="auto"/>
        <w:ind w:left="0" w:right="0" w:firstLine="0"/>
        <w:rPr>
          <w:rFonts w:ascii="ITC Avant Garde" w:hAnsi="ITC Avant Garde" w:cs="Arial"/>
          <w:color w:val="auto"/>
        </w:rPr>
      </w:pPr>
    </w:p>
    <w:p w14:paraId="49ADF703" w14:textId="661562FC" w:rsidR="0012273D" w:rsidRPr="0052418C" w:rsidRDefault="0012273D"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Asimismo, y por lo que respecta a la identificación oficial</w:t>
      </w:r>
      <w:r w:rsidR="00CD50C8" w:rsidRPr="0052418C">
        <w:rPr>
          <w:rFonts w:ascii="ITC Avant Garde" w:hAnsi="ITC Avant Garde" w:cs="Arial"/>
          <w:color w:val="auto"/>
        </w:rPr>
        <w:t>, así como lo manifestado por Axtel,</w:t>
      </w:r>
      <w:r w:rsidRPr="0052418C">
        <w:rPr>
          <w:rFonts w:ascii="ITC Avant Garde" w:hAnsi="ITC Avant Garde" w:cs="Arial"/>
          <w:color w:val="auto"/>
        </w:rPr>
        <w:t xml:space="preserve"> ténganse por ténganse por reproducidos como si a la letra se insertasen las consideraciones expuestas en el numeral 2.4.3. Medición del cumplimiento de los Plazos de entrega.</w:t>
      </w:r>
    </w:p>
    <w:p w14:paraId="31EA1ABD" w14:textId="77777777" w:rsidR="00B80447" w:rsidRPr="0052418C" w:rsidRDefault="00B80447" w:rsidP="0052418C">
      <w:pPr>
        <w:spacing w:after="0" w:line="276" w:lineRule="auto"/>
        <w:ind w:left="0" w:right="0"/>
        <w:rPr>
          <w:rFonts w:ascii="ITC Avant Garde" w:hAnsi="ITC Avant Garde" w:cs="Arial"/>
          <w:color w:val="auto"/>
        </w:rPr>
      </w:pPr>
    </w:p>
    <w:p w14:paraId="7D1086AB" w14:textId="208270F5" w:rsidR="00BF18BF" w:rsidRPr="0052418C" w:rsidRDefault="00936A14" w:rsidP="0052418C">
      <w:pPr>
        <w:pStyle w:val="IFTnormal"/>
        <w:spacing w:after="0"/>
        <w:ind w:left="0"/>
        <w:rPr>
          <w:rFonts w:eastAsiaTheme="majorEastAsia" w:cs="Arial"/>
          <w:b/>
        </w:rPr>
      </w:pPr>
      <w:r w:rsidRPr="0052418C">
        <w:rPr>
          <w:rFonts w:eastAsiaTheme="majorEastAsia" w:cs="Arial"/>
          <w:b/>
          <w:u w:val="single"/>
        </w:rPr>
        <w:t>ANEXO “</w:t>
      </w:r>
      <w:r w:rsidR="006037D3" w:rsidRPr="0052418C">
        <w:rPr>
          <w:rFonts w:eastAsiaTheme="majorEastAsia" w:cs="Arial"/>
          <w:b/>
          <w:u w:val="single"/>
        </w:rPr>
        <w:t>H</w:t>
      </w:r>
      <w:r w:rsidRPr="0052418C">
        <w:rPr>
          <w:rFonts w:eastAsiaTheme="majorEastAsia" w:cs="Arial"/>
          <w:b/>
          <w:u w:val="single"/>
        </w:rPr>
        <w:t>” FORMATO DE PRONÓSTICO DE REQUERIMIENTO DE SERVICIO</w:t>
      </w:r>
      <w:r w:rsidRPr="0052418C">
        <w:rPr>
          <w:rFonts w:eastAsiaTheme="majorEastAsia" w:cs="Arial"/>
          <w:b/>
        </w:rPr>
        <w:t xml:space="preserve"> </w:t>
      </w:r>
    </w:p>
    <w:p w14:paraId="371F0BA0" w14:textId="77777777" w:rsidR="00880F87" w:rsidRPr="0052418C" w:rsidRDefault="00880F87" w:rsidP="0052418C">
      <w:pPr>
        <w:pStyle w:val="IFTnormal"/>
        <w:tabs>
          <w:tab w:val="left" w:pos="2275"/>
        </w:tabs>
        <w:spacing w:after="0"/>
        <w:ind w:left="0"/>
        <w:rPr>
          <w:rFonts w:cs="Arial"/>
          <w:b/>
        </w:rPr>
      </w:pPr>
      <w:r w:rsidRPr="0052418C">
        <w:rPr>
          <w:rFonts w:cs="Arial"/>
          <w:b/>
        </w:rPr>
        <w:t>AXTEL:</w:t>
      </w:r>
    </w:p>
    <w:p w14:paraId="31861297" w14:textId="19EE53CB" w:rsidR="00880F87" w:rsidRPr="0052418C" w:rsidRDefault="00880F87" w:rsidP="0052418C">
      <w:pPr>
        <w:spacing w:after="0" w:line="276" w:lineRule="auto"/>
        <w:ind w:left="0" w:right="0" w:firstLine="0"/>
        <w:rPr>
          <w:rFonts w:ascii="ITC Avant Garde" w:hAnsi="ITC Avant Garde"/>
        </w:rPr>
      </w:pPr>
      <w:r w:rsidRPr="0052418C">
        <w:rPr>
          <w:rFonts w:ascii="ITC Avant Garde" w:hAnsi="ITC Avant Garde" w:cs="Arial"/>
          <w:color w:val="auto"/>
        </w:rPr>
        <w:t xml:space="preserve">Solicitó </w:t>
      </w:r>
      <w:r w:rsidRPr="0052418C">
        <w:rPr>
          <w:rFonts w:ascii="ITC Avant Garde" w:hAnsi="ITC Avant Garde"/>
        </w:rPr>
        <w:t>que la entrega de los pronósticos sea únicamente por cantidad y por localidad o en todo caso por central y por capacidad de los servicios, así como que no sea condicionado el tiempo de entrega de los servicios al cumplimiento de los pronósticos. En adición, solicitó que el AEP haga disponible para todos los concesionarios el pronóstico agregado a nivel industria por localidad, con el fin de que los CS realicen mejores cálculos.</w:t>
      </w:r>
    </w:p>
    <w:p w14:paraId="671152CF" w14:textId="45BC389F" w:rsidR="006037D3" w:rsidRPr="0052418C" w:rsidRDefault="006037D3" w:rsidP="0052418C">
      <w:pPr>
        <w:spacing w:after="0" w:line="276" w:lineRule="auto"/>
        <w:ind w:left="0" w:right="0" w:firstLine="0"/>
        <w:rPr>
          <w:rFonts w:ascii="ITC Avant Garde" w:hAnsi="ITC Avant Garde"/>
        </w:rPr>
      </w:pPr>
    </w:p>
    <w:p w14:paraId="0254C81A" w14:textId="77777777" w:rsidR="006037D3" w:rsidRPr="0052418C" w:rsidRDefault="006037D3" w:rsidP="0052418C">
      <w:pPr>
        <w:pStyle w:val="Prrafodelista"/>
        <w:numPr>
          <w:ilvl w:val="0"/>
          <w:numId w:val="88"/>
        </w:numPr>
        <w:spacing w:after="0" w:line="276" w:lineRule="auto"/>
        <w:ind w:right="0"/>
        <w:rPr>
          <w:rFonts w:ascii="ITC Avant Garde" w:hAnsi="ITC Avant Garde"/>
          <w:color w:val="auto"/>
        </w:rPr>
      </w:pPr>
      <w:r w:rsidRPr="0052418C">
        <w:rPr>
          <w:rFonts w:ascii="ITC Avant Garde" w:hAnsi="ITC Avant Garde"/>
          <w:color w:val="auto"/>
        </w:rPr>
        <w:t xml:space="preserve">Cuando se solicitan servicios de capacidades altas, el AEP indica que no cuenta con la capacidad demandada, por ejemplo, se solicita un HUB de 10 Gbps y el AEP por prácticas indebidas limita la capacidad a 3 Gbps, lo </w:t>
      </w:r>
      <w:r w:rsidRPr="0052418C">
        <w:rPr>
          <w:rFonts w:ascii="ITC Avant Garde" w:hAnsi="ITC Avant Garde"/>
          <w:color w:val="auto"/>
        </w:rPr>
        <w:lastRenderedPageBreak/>
        <w:t>que implica que el CS no puede conocer disponible para realizar un pronóstico razonado.</w:t>
      </w:r>
    </w:p>
    <w:p w14:paraId="098D34A3" w14:textId="77777777" w:rsidR="006037D3" w:rsidRPr="0052418C" w:rsidRDefault="006037D3" w:rsidP="0052418C">
      <w:pPr>
        <w:pStyle w:val="Prrafodelista"/>
        <w:spacing w:after="0" w:line="276" w:lineRule="auto"/>
        <w:ind w:right="0" w:firstLine="0"/>
        <w:rPr>
          <w:rFonts w:ascii="ITC Avant Garde" w:hAnsi="ITC Avant Garde"/>
          <w:color w:val="auto"/>
        </w:rPr>
      </w:pPr>
    </w:p>
    <w:p w14:paraId="0929049F" w14:textId="77777777" w:rsidR="006037D3" w:rsidRPr="0052418C" w:rsidRDefault="006037D3" w:rsidP="0052418C">
      <w:pPr>
        <w:pStyle w:val="Prrafodelista"/>
        <w:numPr>
          <w:ilvl w:val="0"/>
          <w:numId w:val="88"/>
        </w:numPr>
        <w:spacing w:after="0" w:line="276" w:lineRule="auto"/>
        <w:ind w:right="0"/>
        <w:rPr>
          <w:rFonts w:ascii="ITC Avant Garde" w:hAnsi="ITC Avant Garde"/>
          <w:color w:val="auto"/>
        </w:rPr>
      </w:pPr>
      <w:r w:rsidRPr="0052418C">
        <w:rPr>
          <w:rFonts w:ascii="ITC Avant Garde" w:hAnsi="ITC Avant Garde"/>
          <w:color w:val="auto"/>
        </w:rPr>
        <w:t>Existe información asimétrica, el AEP sí conoce su capacidad disponible, tasas de crecimiento o disminución de capacidad de centrales, el AEP conoce el ritmo de conexión y desconexión de servicios en sus centrales, con lo que puede hacer pronósticos históricos basados en proyecciones de demanda, por lo anterior no puede obligarse a los CS a cumplir con un pronóstico con el nivel de información que el AEP cuenta.</w:t>
      </w:r>
    </w:p>
    <w:p w14:paraId="60D50B72" w14:textId="77777777" w:rsidR="006037D3" w:rsidRPr="0052418C" w:rsidRDefault="006037D3" w:rsidP="0052418C">
      <w:pPr>
        <w:spacing w:after="0" w:line="276" w:lineRule="auto"/>
        <w:ind w:left="0" w:right="0" w:firstLine="0"/>
        <w:rPr>
          <w:rFonts w:ascii="ITC Avant Garde" w:hAnsi="ITC Avant Garde" w:cs="Arial"/>
          <w:color w:val="auto"/>
          <w:lang w:val="es-ES"/>
        </w:rPr>
      </w:pPr>
    </w:p>
    <w:p w14:paraId="7DC8C07F" w14:textId="614AB980" w:rsidR="00880F87" w:rsidRPr="0052418C" w:rsidRDefault="00880F87"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p>
    <w:p w14:paraId="02203117" w14:textId="7D669B5A" w:rsidR="00CD50C8" w:rsidRPr="0052418C" w:rsidRDefault="00CD50C8" w:rsidP="0052418C">
      <w:pPr>
        <w:spacing w:after="0" w:line="276" w:lineRule="auto"/>
        <w:ind w:left="0" w:right="0" w:firstLine="0"/>
        <w:rPr>
          <w:rFonts w:ascii="ITC Avant Garde" w:hAnsi="ITC Avant Garde" w:cs="Arial"/>
          <w:color w:val="auto"/>
        </w:rPr>
      </w:pPr>
      <w:r w:rsidRPr="0052418C">
        <w:rPr>
          <w:rFonts w:ascii="ITC Avant Garde" w:hAnsi="ITC Avant Garde"/>
        </w:rPr>
        <w:t>Al respecto, ténganse por reproducidos como si a la letra se insertasen las consideraciones expuestas en el numeral 2.2 Pronóstico de Servicios</w:t>
      </w:r>
    </w:p>
    <w:p w14:paraId="5565D6C2" w14:textId="5BBD7F56" w:rsidR="00CD50C8" w:rsidRPr="0052418C" w:rsidRDefault="00CD50C8" w:rsidP="0052418C">
      <w:pPr>
        <w:spacing w:after="0" w:line="276" w:lineRule="auto"/>
        <w:ind w:left="0" w:right="0" w:firstLine="0"/>
        <w:rPr>
          <w:rFonts w:ascii="ITC Avant Garde" w:hAnsi="ITC Avant Garde" w:cs="Arial"/>
          <w:color w:val="auto"/>
        </w:rPr>
      </w:pPr>
    </w:p>
    <w:p w14:paraId="4EF31AC2" w14:textId="7C5B3039" w:rsidR="00232A89" w:rsidRPr="0052418C" w:rsidRDefault="00232A89" w:rsidP="0052418C">
      <w:pPr>
        <w:spacing w:after="0" w:line="276" w:lineRule="auto"/>
        <w:ind w:left="0" w:right="0" w:firstLine="0"/>
        <w:rPr>
          <w:rFonts w:ascii="ITC Avant Garde" w:hAnsi="ITC Avant Garde"/>
          <w:color w:val="auto"/>
        </w:rPr>
      </w:pPr>
      <w:r w:rsidRPr="0052418C">
        <w:rPr>
          <w:rFonts w:ascii="ITC Avant Garde" w:hAnsi="ITC Avant Garde"/>
        </w:rPr>
        <w:t>Por otro lado, respecto</w:t>
      </w:r>
      <w:r w:rsidR="00CC063F" w:rsidRPr="0052418C">
        <w:rPr>
          <w:rFonts w:ascii="ITC Avant Garde" w:hAnsi="ITC Avant Garde"/>
        </w:rPr>
        <w:t xml:space="preserve"> a</w:t>
      </w:r>
      <w:r w:rsidRPr="0052418C">
        <w:rPr>
          <w:rFonts w:ascii="ITC Avant Garde" w:hAnsi="ITC Avant Garde"/>
        </w:rPr>
        <w:t xml:space="preserve"> </w:t>
      </w:r>
      <w:r w:rsidRPr="0052418C">
        <w:rPr>
          <w:rFonts w:ascii="ITC Avant Garde" w:hAnsi="ITC Avant Garde"/>
          <w:color w:val="auto"/>
        </w:rPr>
        <w:t xml:space="preserve">que </w:t>
      </w:r>
      <w:r w:rsidR="00790B92" w:rsidRPr="0052418C">
        <w:rPr>
          <w:rFonts w:ascii="ITC Avant Garde" w:hAnsi="ITC Avant Garde" w:cs="Times New Roman"/>
          <w:color w:val="auto"/>
        </w:rPr>
        <w:t xml:space="preserve">Red Nacional </w:t>
      </w:r>
      <w:r w:rsidRPr="0052418C">
        <w:rPr>
          <w:rFonts w:ascii="ITC Avant Garde" w:hAnsi="ITC Avant Garde"/>
          <w:color w:val="auto"/>
        </w:rPr>
        <w:t>haga disponible para todos los concesionarios el pronóstico agregado a nivel de industria por localidad, con el fin de que los CS puedan realizar mejores cálculos, se señala que dicha solicitud queda fuera del alcance de la Oferta.</w:t>
      </w:r>
    </w:p>
    <w:p w14:paraId="29893AD0" w14:textId="77777777" w:rsidR="00232A89" w:rsidRPr="0052418C" w:rsidRDefault="00232A89" w:rsidP="0052418C">
      <w:pPr>
        <w:spacing w:after="0" w:line="276" w:lineRule="auto"/>
        <w:ind w:left="0" w:right="0" w:firstLine="0"/>
        <w:rPr>
          <w:rFonts w:ascii="ITC Avant Garde" w:hAnsi="ITC Avant Garde" w:cs="Arial"/>
          <w:color w:val="auto"/>
        </w:rPr>
      </w:pPr>
    </w:p>
    <w:p w14:paraId="3CE47A26" w14:textId="72B9736B" w:rsidR="00DA60CB" w:rsidRPr="0052418C" w:rsidRDefault="00DA60CB" w:rsidP="0052418C">
      <w:pPr>
        <w:pStyle w:val="IFTnormal"/>
        <w:spacing w:after="0"/>
        <w:ind w:left="0"/>
        <w:rPr>
          <w:rFonts w:cs="Arial"/>
          <w:b/>
          <w:u w:val="single"/>
        </w:rPr>
      </w:pPr>
      <w:r w:rsidRPr="0052418C">
        <w:rPr>
          <w:rFonts w:cs="Arial"/>
          <w:b/>
          <w:u w:val="single"/>
        </w:rPr>
        <w:t xml:space="preserve">MODELO </w:t>
      </w:r>
      <w:r w:rsidR="00A828EB" w:rsidRPr="0052418C">
        <w:rPr>
          <w:rFonts w:cs="Arial"/>
          <w:b/>
          <w:u w:val="single"/>
        </w:rPr>
        <w:t xml:space="preserve">DE </w:t>
      </w:r>
      <w:r w:rsidRPr="0052418C">
        <w:rPr>
          <w:rFonts w:cs="Arial"/>
          <w:b/>
          <w:u w:val="single"/>
        </w:rPr>
        <w:t>CONVENIO</w:t>
      </w:r>
      <w:r w:rsidR="00E01AC3" w:rsidRPr="0052418C">
        <w:rPr>
          <w:rFonts w:cs="Arial"/>
          <w:b/>
          <w:u w:val="single"/>
        </w:rPr>
        <w:t>.</w:t>
      </w:r>
      <w:r w:rsidRPr="0052418C">
        <w:rPr>
          <w:rFonts w:cs="Arial"/>
          <w:b/>
          <w:u w:val="single"/>
        </w:rPr>
        <w:t xml:space="preserve"> </w:t>
      </w:r>
    </w:p>
    <w:p w14:paraId="59381507" w14:textId="12232FF8" w:rsidR="00DA60CB" w:rsidRPr="0052418C" w:rsidRDefault="004F2414" w:rsidP="0052418C">
      <w:pPr>
        <w:pStyle w:val="IFTnormal"/>
        <w:spacing w:after="0"/>
        <w:ind w:left="0"/>
        <w:rPr>
          <w:rFonts w:eastAsiaTheme="majorEastAsia" w:cs="Arial"/>
          <w:b/>
          <w:bCs/>
          <w:u w:val="single"/>
          <w:lang w:val="es-ES_tradnl"/>
        </w:rPr>
      </w:pPr>
      <w:r w:rsidRPr="0052418C">
        <w:rPr>
          <w:rFonts w:eastAsiaTheme="majorEastAsia" w:cs="Arial"/>
          <w:b/>
          <w:u w:val="single"/>
          <w:lang w:val="es-ES_tradnl"/>
        </w:rPr>
        <w:t>Cláusula Tercera Precio y Condiciones de pago</w:t>
      </w:r>
      <w:r w:rsidR="004B61C6" w:rsidRPr="0052418C">
        <w:rPr>
          <w:rFonts w:eastAsiaTheme="majorEastAsia" w:cs="Arial"/>
          <w:b/>
          <w:u w:val="single"/>
          <w:lang w:val="es-ES_tradnl"/>
        </w:rPr>
        <w:t xml:space="preserve">. </w:t>
      </w:r>
    </w:p>
    <w:p w14:paraId="578B8296" w14:textId="5479CF7E" w:rsidR="005E427B" w:rsidRPr="0052418C" w:rsidRDefault="00D72429" w:rsidP="0052418C">
      <w:pPr>
        <w:spacing w:after="0" w:line="276" w:lineRule="auto"/>
        <w:ind w:left="0" w:right="0"/>
        <w:rPr>
          <w:rFonts w:ascii="ITC Avant Garde" w:hAnsi="ITC Avant Garde" w:cs="Arial"/>
          <w:b/>
          <w:color w:val="auto"/>
        </w:rPr>
      </w:pPr>
      <w:r w:rsidRPr="0052418C">
        <w:rPr>
          <w:rFonts w:ascii="ITC Avant Garde" w:hAnsi="ITC Avant Garde" w:cs="Arial"/>
          <w:b/>
          <w:color w:val="auto"/>
        </w:rPr>
        <w:t>AXTEL:</w:t>
      </w:r>
    </w:p>
    <w:p w14:paraId="5807CB1A" w14:textId="4CD0472C" w:rsidR="00F57599" w:rsidRPr="0052418C" w:rsidRDefault="00F57599" w:rsidP="0052418C">
      <w:pPr>
        <w:spacing w:after="0" w:line="276" w:lineRule="auto"/>
        <w:ind w:left="0" w:right="0"/>
        <w:rPr>
          <w:rFonts w:ascii="ITC Avant Garde" w:hAnsi="ITC Avant Garde"/>
          <w:color w:val="auto"/>
        </w:rPr>
      </w:pPr>
      <w:r w:rsidRPr="0052418C">
        <w:rPr>
          <w:rFonts w:ascii="ITC Avant Garde" w:hAnsi="ITC Avant Garde"/>
          <w:color w:val="auto"/>
        </w:rPr>
        <w:t xml:space="preserve">Argumentó que el inciso a) de la Cláusula Tercera, </w:t>
      </w:r>
      <w:r w:rsidR="00A01B40" w:rsidRPr="0052418C">
        <w:rPr>
          <w:rFonts w:ascii="ITC Avant Garde" w:hAnsi="ITC Avant Garde"/>
          <w:color w:val="auto"/>
        </w:rPr>
        <w:t xml:space="preserve">solicita que </w:t>
      </w:r>
      <w:r w:rsidRPr="0052418C">
        <w:rPr>
          <w:rFonts w:ascii="ITC Avant Garde" w:hAnsi="ITC Avant Garde"/>
          <w:color w:val="auto"/>
        </w:rPr>
        <w:t xml:space="preserve">previo a realizar un pago por gastos de instalación o cualquier otro concepto, </w:t>
      </w:r>
      <w:r w:rsidR="00A01B40" w:rsidRPr="0052418C">
        <w:rPr>
          <w:rFonts w:ascii="ITC Avant Garde" w:hAnsi="ITC Avant Garde"/>
          <w:color w:val="auto"/>
        </w:rPr>
        <w:t>se otorgue</w:t>
      </w:r>
      <w:r w:rsidRPr="0052418C">
        <w:rPr>
          <w:rFonts w:ascii="ITC Avant Garde" w:hAnsi="ITC Avant Garde"/>
          <w:color w:val="auto"/>
        </w:rPr>
        <w:t xml:space="preserve"> una factura como es comúnmente considerado en la industria. </w:t>
      </w:r>
      <w:r w:rsidR="00A01B40" w:rsidRPr="0052418C">
        <w:rPr>
          <w:rFonts w:ascii="ITC Avant Garde" w:hAnsi="ITC Avant Garde"/>
          <w:color w:val="auto"/>
        </w:rPr>
        <w:t>M</w:t>
      </w:r>
      <w:r w:rsidRPr="0052418C">
        <w:rPr>
          <w:rFonts w:ascii="ITC Avant Garde" w:hAnsi="ITC Avant Garde"/>
          <w:color w:val="auto"/>
        </w:rPr>
        <w:t xml:space="preserve">anifestó que es totalmente injustificado requerir que los pagos de las facturas se efectúen a menos de 8 horas laborales, al existir normas y procesos en las áreas financieras que requieren cierta documentación y validación previo al pago de una factura </w:t>
      </w:r>
    </w:p>
    <w:p w14:paraId="3E0793A4" w14:textId="77777777" w:rsidR="00F57599" w:rsidRPr="0052418C" w:rsidRDefault="00F57599" w:rsidP="0052418C">
      <w:pPr>
        <w:spacing w:after="0" w:line="276" w:lineRule="auto"/>
        <w:ind w:left="0" w:right="0"/>
        <w:rPr>
          <w:rFonts w:ascii="ITC Avant Garde" w:hAnsi="ITC Avant Garde"/>
          <w:color w:val="auto"/>
        </w:rPr>
      </w:pPr>
    </w:p>
    <w:p w14:paraId="43B7C355" w14:textId="77777777" w:rsidR="00F57599" w:rsidRPr="0052418C" w:rsidRDefault="00F57599" w:rsidP="0052418C">
      <w:pPr>
        <w:spacing w:after="0" w:line="276" w:lineRule="auto"/>
        <w:ind w:left="0" w:right="0"/>
        <w:rPr>
          <w:rFonts w:ascii="ITC Avant Garde" w:hAnsi="ITC Avant Garde"/>
          <w:color w:val="auto"/>
        </w:rPr>
      </w:pPr>
      <w:r w:rsidRPr="0052418C">
        <w:rPr>
          <w:rFonts w:ascii="ITC Avant Garde" w:hAnsi="ITC Avant Garde"/>
          <w:color w:val="auto"/>
        </w:rPr>
        <w:t>Axtel propuso que los gastos de instalación de los enlaces nuevos que se solicitan se incluyan como DEBÍTESE (costos a incluir en la facturación mensual de la renta de los servicios en operación) en la facturación mensual.</w:t>
      </w:r>
    </w:p>
    <w:p w14:paraId="61C06C17" w14:textId="77777777" w:rsidR="00C206F2" w:rsidRPr="0052418C" w:rsidRDefault="00C206F2" w:rsidP="0052418C">
      <w:pPr>
        <w:spacing w:after="0" w:line="276" w:lineRule="auto"/>
        <w:ind w:left="0" w:right="0"/>
        <w:rPr>
          <w:rFonts w:ascii="ITC Avant Garde" w:hAnsi="ITC Avant Garde" w:cs="Arial"/>
          <w:color w:val="auto"/>
        </w:rPr>
      </w:pPr>
    </w:p>
    <w:p w14:paraId="17E73C85" w14:textId="688D96A2" w:rsidR="00F57599" w:rsidRPr="0052418C" w:rsidRDefault="00E3534A" w:rsidP="0052418C">
      <w:pPr>
        <w:spacing w:after="0" w:line="276" w:lineRule="auto"/>
        <w:ind w:left="0" w:right="0"/>
        <w:rPr>
          <w:rFonts w:ascii="ITC Avant Garde" w:hAnsi="ITC Avant Garde" w:cs="Arial"/>
          <w:color w:val="auto"/>
        </w:rPr>
      </w:pPr>
      <w:r w:rsidRPr="00BF6A32">
        <w:rPr>
          <w:rFonts w:ascii="ITC Avant Garde" w:hAnsi="ITC Avant Garde" w:cs="Arial"/>
          <w:color w:val="auto"/>
        </w:rPr>
        <w:t xml:space="preserve">En </w:t>
      </w:r>
      <w:r w:rsidR="00F57599" w:rsidRPr="00BF6A32">
        <w:rPr>
          <w:rFonts w:ascii="ITC Avant Garde" w:hAnsi="ITC Avant Garde" w:cs="Arial"/>
          <w:color w:val="auto"/>
        </w:rPr>
        <w:t xml:space="preserve">la cláusula tercera del </w:t>
      </w:r>
      <w:r w:rsidR="00A97E85" w:rsidRPr="00BF6A32">
        <w:rPr>
          <w:rFonts w:ascii="ITC Avant Garde" w:hAnsi="ITC Avant Garde" w:cs="Arial"/>
          <w:color w:val="auto"/>
        </w:rPr>
        <w:t>i</w:t>
      </w:r>
      <w:r w:rsidR="00C206F2" w:rsidRPr="00BF6A32">
        <w:rPr>
          <w:rFonts w:ascii="ITC Avant Garde" w:hAnsi="ITC Avant Garde" w:cs="Arial"/>
          <w:color w:val="auto"/>
        </w:rPr>
        <w:t xml:space="preserve">nciso </w:t>
      </w:r>
      <w:r w:rsidR="00F57599" w:rsidRPr="00BF6A32">
        <w:rPr>
          <w:rFonts w:ascii="ITC Avant Garde" w:hAnsi="ITC Avant Garde" w:cs="Arial"/>
          <w:color w:val="auto"/>
        </w:rPr>
        <w:t>e</w:t>
      </w:r>
      <w:r w:rsidR="00C206F2" w:rsidRPr="00BF6A32">
        <w:rPr>
          <w:rFonts w:ascii="ITC Avant Garde" w:hAnsi="ITC Avant Garde" w:cs="Arial"/>
          <w:color w:val="auto"/>
        </w:rPr>
        <w:t xml:space="preserve">) </w:t>
      </w:r>
      <w:r w:rsidR="00F57599" w:rsidRPr="00BF6A32">
        <w:rPr>
          <w:rFonts w:ascii="ITC Avant Garde" w:hAnsi="ITC Avant Garde" w:cs="Arial"/>
          <w:color w:val="auto"/>
        </w:rPr>
        <w:t>y con respecto a inconformidades</w:t>
      </w:r>
      <w:r w:rsidR="003477A9" w:rsidRPr="00BF6A32">
        <w:rPr>
          <w:rFonts w:ascii="ITC Avant Garde" w:hAnsi="ITC Avant Garde" w:cs="Arial"/>
          <w:color w:val="auto"/>
        </w:rPr>
        <w:t xml:space="preserve">, </w:t>
      </w:r>
      <w:r w:rsidR="00F57599" w:rsidRPr="00BF6A32">
        <w:rPr>
          <w:rFonts w:ascii="ITC Avant Garde" w:hAnsi="ITC Avant Garde" w:cs="Arial"/>
          <w:color w:val="auto"/>
        </w:rPr>
        <w:t xml:space="preserve">Axtel </w:t>
      </w:r>
      <w:r w:rsidR="00FB6023" w:rsidRPr="00BF6A32">
        <w:rPr>
          <w:rFonts w:ascii="ITC Avant Garde" w:hAnsi="ITC Avant Garde" w:cs="Arial"/>
          <w:color w:val="auto"/>
        </w:rPr>
        <w:t>solicit</w:t>
      </w:r>
      <w:r w:rsidR="008D1178" w:rsidRPr="00BF6A32">
        <w:rPr>
          <w:rFonts w:ascii="ITC Avant Garde" w:hAnsi="ITC Avant Garde" w:cs="Arial"/>
          <w:color w:val="auto"/>
        </w:rPr>
        <w:t>ó</w:t>
      </w:r>
      <w:r w:rsidR="00FB6023" w:rsidRPr="00BF6A32">
        <w:rPr>
          <w:rFonts w:ascii="ITC Avant Garde" w:hAnsi="ITC Avant Garde" w:cs="Arial"/>
          <w:color w:val="auto"/>
        </w:rPr>
        <w:t xml:space="preserve"> al </w:t>
      </w:r>
      <w:r w:rsidR="005E3823" w:rsidRPr="00BF6A32">
        <w:rPr>
          <w:rFonts w:ascii="ITC Avant Garde" w:hAnsi="ITC Avant Garde" w:cs="Arial"/>
          <w:color w:val="auto"/>
        </w:rPr>
        <w:t xml:space="preserve">Instituto </w:t>
      </w:r>
      <w:r w:rsidR="00933F31" w:rsidRPr="00BF6A32">
        <w:rPr>
          <w:rFonts w:ascii="ITC Avant Garde" w:hAnsi="ITC Avant Garde" w:cs="Arial"/>
          <w:color w:val="auto"/>
        </w:rPr>
        <w:t xml:space="preserve">que </w:t>
      </w:r>
      <w:r w:rsidR="00F57599" w:rsidRPr="00BF6A32">
        <w:rPr>
          <w:rFonts w:ascii="ITC Avant Garde" w:hAnsi="ITC Avant Garde"/>
        </w:rPr>
        <w:t>el plazo para la revisión de facturación, reconocimiento de pago y presentación de inconformidad de los servicios prestados emitidas por el AEP no sea reducido en un 40%, es decir a 18 días sin justificación y en beneficio del AEP, adiciona que este periodo de 18 días en la realidad es insuficiente porque involucra a la afianzadora misma que tiene</w:t>
      </w:r>
      <w:r w:rsidR="00F57599" w:rsidRPr="00E65ACE">
        <w:rPr>
          <w:rFonts w:ascii="ITC Avant Garde" w:hAnsi="ITC Avant Garde"/>
        </w:rPr>
        <w:t xml:space="preserve"> su proceso</w:t>
      </w:r>
      <w:r w:rsidR="00B61380" w:rsidRPr="00E65ACE">
        <w:rPr>
          <w:rFonts w:ascii="ITC Avant Garde" w:hAnsi="ITC Avant Garde" w:cs="Arial"/>
          <w:color w:val="auto"/>
        </w:rPr>
        <w:t>.</w:t>
      </w:r>
      <w:r w:rsidR="00F57599" w:rsidRPr="00E65ACE">
        <w:rPr>
          <w:rFonts w:ascii="ITC Avant Garde" w:hAnsi="ITC Avant Garde" w:cs="Arial"/>
          <w:color w:val="auto"/>
        </w:rPr>
        <w:t xml:space="preserve"> Asimismo, Axtel solicitó que</w:t>
      </w:r>
      <w:r w:rsidR="00F57599" w:rsidRPr="0052418C">
        <w:rPr>
          <w:rFonts w:ascii="ITC Avant Garde" w:hAnsi="ITC Avant Garde" w:cs="Arial"/>
          <w:color w:val="auto"/>
        </w:rPr>
        <w:t xml:space="preserve"> para poder determinar la conclusión de un procedimiento de inconformidad </w:t>
      </w:r>
      <w:r w:rsidR="00F57599" w:rsidRPr="0052418C">
        <w:rPr>
          <w:rFonts w:ascii="ITC Avant Garde" w:hAnsi="ITC Avant Garde" w:cs="Arial"/>
          <w:color w:val="auto"/>
        </w:rPr>
        <w:lastRenderedPageBreak/>
        <w:t xml:space="preserve">deben ser las propias partes quien lo resuelva y no solo el AEP, y en caso de no llegar a un acuerdo que sea el propio Instituto quien resuelva dicha inconformidad. </w:t>
      </w:r>
    </w:p>
    <w:p w14:paraId="0F300620" w14:textId="77777777" w:rsidR="00F57599" w:rsidRPr="0052418C" w:rsidRDefault="00F57599" w:rsidP="0052418C">
      <w:pPr>
        <w:spacing w:after="0" w:line="276" w:lineRule="auto"/>
        <w:ind w:left="0" w:right="0"/>
        <w:rPr>
          <w:rFonts w:ascii="ITC Avant Garde" w:hAnsi="ITC Avant Garde" w:cs="Arial"/>
          <w:color w:val="auto"/>
        </w:rPr>
      </w:pPr>
    </w:p>
    <w:p w14:paraId="68315D1F" w14:textId="72D1D403" w:rsidR="00F57599" w:rsidRPr="0052418C" w:rsidRDefault="004F2414" w:rsidP="0052418C">
      <w:pPr>
        <w:spacing w:after="0" w:line="276" w:lineRule="auto"/>
        <w:ind w:left="0" w:right="0"/>
        <w:rPr>
          <w:rFonts w:ascii="ITC Avant Garde" w:hAnsi="ITC Avant Garde" w:cs="Arial"/>
          <w:color w:val="auto"/>
        </w:rPr>
      </w:pPr>
      <w:r w:rsidRPr="0052418C">
        <w:rPr>
          <w:rFonts w:ascii="ITC Avant Garde" w:hAnsi="ITC Avant Garde" w:cs="Arial"/>
          <w:color w:val="auto"/>
        </w:rPr>
        <w:t>Asimismo, e</w:t>
      </w:r>
      <w:r w:rsidR="00F57599" w:rsidRPr="0052418C">
        <w:rPr>
          <w:rFonts w:ascii="ITC Avant Garde" w:hAnsi="ITC Avant Garde" w:cs="Arial"/>
          <w:color w:val="auto"/>
        </w:rPr>
        <w:t xml:space="preserve">n la cláusula tercera del inciso e) y con respecto al último párrafo, Axtel señaló que </w:t>
      </w:r>
      <w:r w:rsidR="00EF0921" w:rsidRPr="0052418C">
        <w:rPr>
          <w:rFonts w:ascii="ITC Avant Garde" w:hAnsi="ITC Avant Garde" w:cs="Arial"/>
          <w:color w:val="auto"/>
        </w:rPr>
        <w:t xml:space="preserve">Red Nacional </w:t>
      </w:r>
      <w:r w:rsidR="00F57599" w:rsidRPr="0052418C">
        <w:rPr>
          <w:rFonts w:ascii="ITC Avant Garde" w:hAnsi="ITC Avant Garde" w:cs="Arial"/>
          <w:color w:val="auto"/>
        </w:rPr>
        <w:t>pretende</w:t>
      </w:r>
      <w:r w:rsidR="00EF0921" w:rsidRPr="0052418C">
        <w:rPr>
          <w:rFonts w:ascii="ITC Avant Garde" w:hAnsi="ITC Avant Garde" w:cs="Arial"/>
          <w:color w:val="auto"/>
        </w:rPr>
        <w:t>n</w:t>
      </w:r>
      <w:r w:rsidR="00F57599" w:rsidRPr="0052418C">
        <w:rPr>
          <w:rFonts w:ascii="ITC Avant Garde" w:hAnsi="ITC Avant Garde" w:cs="Arial"/>
          <w:color w:val="auto"/>
        </w:rPr>
        <w:t xml:space="preserve"> dar por terminado unilateralmente el procedimiento de objeción formal cuando las partes no lleguen a un acuerdo por la inconformidad presentada por el CS.</w:t>
      </w:r>
    </w:p>
    <w:p w14:paraId="6CB30217" w14:textId="2A6423DE" w:rsidR="00F57599" w:rsidRPr="0052418C" w:rsidRDefault="00F57599" w:rsidP="0052418C">
      <w:pPr>
        <w:spacing w:after="0" w:line="276" w:lineRule="auto"/>
        <w:ind w:left="0" w:right="0"/>
        <w:rPr>
          <w:rFonts w:ascii="ITC Avant Garde" w:hAnsi="ITC Avant Garde" w:cs="Arial"/>
          <w:color w:val="auto"/>
        </w:rPr>
      </w:pPr>
    </w:p>
    <w:p w14:paraId="5EC0CAB2" w14:textId="431D70D2" w:rsidR="00F57599" w:rsidRPr="0052418C" w:rsidRDefault="00F57599" w:rsidP="0052418C">
      <w:pPr>
        <w:spacing w:after="0" w:line="276" w:lineRule="auto"/>
        <w:ind w:left="0" w:right="0"/>
        <w:rPr>
          <w:rFonts w:ascii="ITC Avant Garde" w:hAnsi="ITC Avant Garde" w:cs="Arial"/>
          <w:color w:val="auto"/>
        </w:rPr>
      </w:pPr>
      <w:r w:rsidRPr="0052418C">
        <w:rPr>
          <w:rFonts w:ascii="ITC Avant Garde" w:hAnsi="ITC Avant Garde" w:cs="Arial"/>
          <w:color w:val="auto"/>
        </w:rPr>
        <w:t xml:space="preserve">Por lo que Axtel solicitó al Instituto eliminar el plazo en el que </w:t>
      </w:r>
      <w:r w:rsidR="00EF0921" w:rsidRPr="0052418C">
        <w:rPr>
          <w:rFonts w:ascii="ITC Avant Garde" w:hAnsi="ITC Avant Garde" w:cs="Arial"/>
        </w:rPr>
        <w:t>Red Nacional</w:t>
      </w:r>
      <w:r w:rsidR="00EF0921" w:rsidRPr="0052418C">
        <w:rPr>
          <w:rFonts w:ascii="ITC Avant Garde" w:hAnsi="ITC Avant Garde"/>
          <w:bCs/>
          <w:color w:val="auto"/>
        </w:rPr>
        <w:t xml:space="preserve"> </w:t>
      </w:r>
      <w:r w:rsidRPr="0052418C">
        <w:rPr>
          <w:rFonts w:ascii="ITC Avant Garde" w:hAnsi="ITC Avant Garde" w:cs="Arial"/>
          <w:color w:val="auto"/>
        </w:rPr>
        <w:t>considera</w:t>
      </w:r>
      <w:r w:rsidR="00EF0921" w:rsidRPr="0052418C">
        <w:rPr>
          <w:rFonts w:ascii="ITC Avant Garde" w:hAnsi="ITC Avant Garde" w:cs="Arial"/>
          <w:color w:val="auto"/>
        </w:rPr>
        <w:t>n</w:t>
      </w:r>
      <w:r w:rsidRPr="0052418C">
        <w:rPr>
          <w:rFonts w:ascii="ITC Avant Garde" w:hAnsi="ITC Avant Garde" w:cs="Arial"/>
          <w:color w:val="auto"/>
        </w:rPr>
        <w:t xml:space="preserve"> que una objeción es improcedente, así como que exista un procedimiento de solución de objeciones de facturación cuando el CS y </w:t>
      </w:r>
      <w:r w:rsidR="00EF0921" w:rsidRPr="0052418C">
        <w:rPr>
          <w:rFonts w:ascii="ITC Avant Garde" w:hAnsi="ITC Avant Garde" w:cs="Arial"/>
        </w:rPr>
        <w:t>Red Nacional</w:t>
      </w:r>
      <w:r w:rsidR="00EF0921" w:rsidRPr="0052418C">
        <w:rPr>
          <w:rFonts w:ascii="ITC Avant Garde" w:hAnsi="ITC Avant Garde"/>
          <w:bCs/>
          <w:color w:val="auto"/>
        </w:rPr>
        <w:t xml:space="preserve"> </w:t>
      </w:r>
      <w:r w:rsidRPr="0052418C">
        <w:rPr>
          <w:rFonts w:ascii="ITC Avant Garde" w:hAnsi="ITC Avant Garde" w:cs="Arial"/>
          <w:color w:val="auto"/>
        </w:rPr>
        <w:t>no lleguen a un acuerdo y que este sea a través de la intervención del Instituto, necesariamente.</w:t>
      </w:r>
    </w:p>
    <w:p w14:paraId="1D7DD06A" w14:textId="77777777" w:rsidR="00AC153E" w:rsidRDefault="00AC153E" w:rsidP="0052418C">
      <w:pPr>
        <w:spacing w:after="0" w:line="276" w:lineRule="auto"/>
        <w:ind w:left="0" w:right="0"/>
        <w:rPr>
          <w:rFonts w:ascii="ITC Avant Garde" w:hAnsi="ITC Avant Garde" w:cs="Arial"/>
          <w:color w:val="auto"/>
        </w:rPr>
      </w:pPr>
    </w:p>
    <w:p w14:paraId="52AC16A0" w14:textId="68A50355" w:rsidR="00F57599" w:rsidRPr="0052418C" w:rsidRDefault="00F57599" w:rsidP="0052418C">
      <w:pPr>
        <w:spacing w:after="0" w:line="276" w:lineRule="auto"/>
        <w:ind w:left="0" w:right="0"/>
        <w:rPr>
          <w:rFonts w:ascii="ITC Avant Garde" w:hAnsi="ITC Avant Garde" w:cs="Arial"/>
          <w:color w:val="auto"/>
        </w:rPr>
      </w:pPr>
      <w:r w:rsidRPr="0052418C">
        <w:rPr>
          <w:rFonts w:ascii="ITC Avant Garde" w:hAnsi="ITC Avant Garde" w:cs="Arial"/>
          <w:color w:val="auto"/>
        </w:rPr>
        <w:t xml:space="preserve">En la cláusula tercera del inciso f) y con respecto a la facturación extemporánea, Axtel señaló, que </w:t>
      </w:r>
      <w:r w:rsidR="00EF0921" w:rsidRPr="0052418C">
        <w:rPr>
          <w:rFonts w:ascii="ITC Avant Garde" w:hAnsi="ITC Avant Garde" w:cs="Arial"/>
        </w:rPr>
        <w:t>Red Nacional</w:t>
      </w:r>
      <w:r w:rsidR="00EF0921" w:rsidRPr="0052418C">
        <w:rPr>
          <w:rFonts w:ascii="ITC Avant Garde" w:hAnsi="ITC Avant Garde"/>
          <w:bCs/>
          <w:color w:val="auto"/>
        </w:rPr>
        <w:t xml:space="preserve"> </w:t>
      </w:r>
      <w:r w:rsidRPr="0052418C">
        <w:rPr>
          <w:rFonts w:ascii="ITC Avant Garde" w:hAnsi="ITC Avant Garde" w:cs="Arial"/>
          <w:color w:val="auto"/>
        </w:rPr>
        <w:t>estableci</w:t>
      </w:r>
      <w:r w:rsidR="00EF0921" w:rsidRPr="0052418C">
        <w:rPr>
          <w:rFonts w:ascii="ITC Avant Garde" w:hAnsi="ITC Avant Garde" w:cs="Arial"/>
          <w:color w:val="auto"/>
        </w:rPr>
        <w:t>eron</w:t>
      </w:r>
      <w:r w:rsidRPr="0052418C">
        <w:rPr>
          <w:rFonts w:ascii="ITC Avant Garde" w:hAnsi="ITC Avant Garde" w:cs="Arial"/>
          <w:color w:val="auto"/>
        </w:rPr>
        <w:t xml:space="preserve"> un tiempo de facturación extemporánea en un periodo comercialmente inviable, lo que refleja una ineficiencia y mala administración de </w:t>
      </w:r>
      <w:r w:rsidR="00EF0921" w:rsidRPr="0052418C">
        <w:rPr>
          <w:rFonts w:ascii="ITC Avant Garde" w:hAnsi="ITC Avant Garde" w:cs="Arial"/>
        </w:rPr>
        <w:t>Red Nacional</w:t>
      </w:r>
      <w:r w:rsidR="004F2414" w:rsidRPr="0052418C">
        <w:rPr>
          <w:rFonts w:ascii="ITC Avant Garde" w:hAnsi="ITC Avant Garde" w:cs="Arial"/>
          <w:color w:val="auto"/>
        </w:rPr>
        <w:t>. Es así que,</w:t>
      </w:r>
      <w:r w:rsidRPr="0052418C">
        <w:rPr>
          <w:rFonts w:ascii="ITC Avant Garde" w:hAnsi="ITC Avant Garde" w:cs="Arial"/>
          <w:color w:val="auto"/>
        </w:rPr>
        <w:t xml:space="preserve"> Axtel solicitó presentar facturas extemporáneas con un plazo máximo de 60 días naturales.  </w:t>
      </w:r>
    </w:p>
    <w:p w14:paraId="2E406D24" w14:textId="77777777" w:rsidR="00F57599" w:rsidRPr="0052418C" w:rsidRDefault="00F57599" w:rsidP="0052418C">
      <w:pPr>
        <w:spacing w:after="0" w:line="276" w:lineRule="auto"/>
        <w:ind w:left="0" w:right="0"/>
        <w:rPr>
          <w:rFonts w:ascii="ITC Avant Garde" w:hAnsi="ITC Avant Garde" w:cs="Arial"/>
          <w:color w:val="auto"/>
        </w:rPr>
      </w:pPr>
    </w:p>
    <w:p w14:paraId="6E2810A4" w14:textId="36D0A4A6" w:rsidR="002325DE" w:rsidRPr="0052418C" w:rsidRDefault="00A06A39"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GRUPO AT&amp;T:</w:t>
      </w:r>
    </w:p>
    <w:p w14:paraId="4A39DE33" w14:textId="54BD5702" w:rsidR="00023A5D" w:rsidRPr="0052418C" w:rsidRDefault="00023A5D"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Señal</w:t>
      </w:r>
      <w:r w:rsidR="00A1756E" w:rsidRPr="0052418C">
        <w:rPr>
          <w:rFonts w:ascii="ITC Avant Garde" w:hAnsi="ITC Avant Garde" w:cs="Arial"/>
          <w:color w:val="auto"/>
        </w:rPr>
        <w:t>ó</w:t>
      </w:r>
      <w:r w:rsidRPr="0052418C">
        <w:rPr>
          <w:rFonts w:ascii="ITC Avant Garde" w:hAnsi="ITC Avant Garde" w:cs="Arial"/>
          <w:color w:val="auto"/>
        </w:rPr>
        <w:t xml:space="preserve"> que con respecto al inciso a) gastos de instalación</w:t>
      </w:r>
      <w:r w:rsidR="00DA1932" w:rsidRPr="0052418C">
        <w:rPr>
          <w:rFonts w:ascii="ITC Avant Garde" w:hAnsi="ITC Avant Garde" w:cs="Arial"/>
          <w:color w:val="auto"/>
        </w:rPr>
        <w:t>, no tiene sentido lo propuesto por Red Nacional, por lo que propone</w:t>
      </w:r>
      <w:r w:rsidRPr="0052418C">
        <w:rPr>
          <w:rFonts w:ascii="ITC Avant Garde" w:hAnsi="ITC Avant Garde" w:cs="Arial"/>
          <w:color w:val="auto"/>
        </w:rPr>
        <w:t xml:space="preserve"> se agregue la siguiente redacción:</w:t>
      </w:r>
    </w:p>
    <w:p w14:paraId="0AC34DD0" w14:textId="292DE27C" w:rsidR="00023A5D" w:rsidRPr="0052418C" w:rsidRDefault="00023A5D" w:rsidP="0052418C">
      <w:pPr>
        <w:spacing w:after="0" w:line="276" w:lineRule="auto"/>
        <w:ind w:left="0" w:right="0" w:firstLine="0"/>
        <w:rPr>
          <w:rFonts w:ascii="ITC Avant Garde" w:hAnsi="ITC Avant Garde" w:cs="Arial"/>
          <w:b/>
          <w:color w:val="auto"/>
        </w:rPr>
      </w:pPr>
    </w:p>
    <w:p w14:paraId="60566601" w14:textId="093C9085" w:rsidR="00023A5D" w:rsidRPr="0052418C" w:rsidRDefault="00023A5D" w:rsidP="0052418C">
      <w:pPr>
        <w:spacing w:after="0" w:line="276" w:lineRule="auto"/>
        <w:ind w:left="567" w:right="616"/>
        <w:rPr>
          <w:rFonts w:ascii="ITC Avant Garde" w:hAnsi="ITC Avant Garde" w:cs="Arial"/>
          <w:i/>
          <w:sz w:val="18"/>
          <w:szCs w:val="18"/>
          <w:lang w:val="es-ES"/>
        </w:rPr>
      </w:pPr>
      <w:r w:rsidRPr="0052418C">
        <w:rPr>
          <w:rFonts w:ascii="ITC Avant Garde" w:hAnsi="ITC Avant Garde" w:cs="Arial"/>
          <w:i/>
          <w:sz w:val="18"/>
          <w:szCs w:val="18"/>
          <w:lang w:val="es-ES"/>
        </w:rPr>
        <w:t>“Pago de los gastos de instalación en una sola exhibición al día hábil siguiente de la facturación correspondiente por parte de Red Nacional/Red Noroeste la cual se realizará posterior a la validación de los Acuerdos Específicos respectivos, conforme a las tarifas que se estipulan en el Anexo “A” del presente Convenio.”</w:t>
      </w:r>
    </w:p>
    <w:p w14:paraId="68291209" w14:textId="77777777" w:rsidR="00023A5D" w:rsidRPr="0052418C" w:rsidRDefault="00023A5D" w:rsidP="0052418C">
      <w:pPr>
        <w:spacing w:after="0" w:line="276" w:lineRule="auto"/>
        <w:ind w:left="0" w:right="0" w:firstLine="0"/>
        <w:rPr>
          <w:rFonts w:ascii="ITC Avant Garde" w:hAnsi="ITC Avant Garde" w:cs="Arial"/>
          <w:b/>
          <w:color w:val="auto"/>
        </w:rPr>
      </w:pPr>
    </w:p>
    <w:p w14:paraId="7A7265F5" w14:textId="25C38611" w:rsidR="00A26475" w:rsidRPr="0052418C" w:rsidRDefault="00A26475"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Por lo que se refiere a las inconformidades</w:t>
      </w:r>
      <w:r w:rsidR="00ED358A">
        <w:rPr>
          <w:rFonts w:ascii="ITC Avant Garde" w:hAnsi="ITC Avant Garde" w:cs="Arial"/>
          <w:color w:val="auto"/>
        </w:rPr>
        <w:t>,</w:t>
      </w:r>
      <w:r w:rsidRPr="0052418C">
        <w:rPr>
          <w:rFonts w:ascii="ITC Avant Garde" w:hAnsi="ITC Avant Garde" w:cs="Arial"/>
          <w:color w:val="auto"/>
        </w:rPr>
        <w:t xml:space="preserve"> AT</w:t>
      </w:r>
      <w:r w:rsidR="00871EB4" w:rsidRPr="0052418C">
        <w:rPr>
          <w:rFonts w:ascii="ITC Avant Garde" w:hAnsi="ITC Avant Garde" w:cs="Arial"/>
          <w:color w:val="auto"/>
        </w:rPr>
        <w:t>&amp;</w:t>
      </w:r>
      <w:r w:rsidRPr="0052418C">
        <w:rPr>
          <w:rFonts w:ascii="ITC Avant Garde" w:hAnsi="ITC Avant Garde" w:cs="Arial"/>
          <w:color w:val="auto"/>
        </w:rPr>
        <w:t>T señaló que debe mantenerse la redacción de la cláusula, debido a que la reducción del plazo para presentar objeciones y la solicitud de fianza para presentar objeciones no se justifica.</w:t>
      </w:r>
    </w:p>
    <w:p w14:paraId="1700AB4F" w14:textId="0FB8BEFB" w:rsidR="00A26475" w:rsidRPr="0052418C" w:rsidRDefault="00A26475" w:rsidP="0052418C">
      <w:pPr>
        <w:spacing w:after="0" w:line="276" w:lineRule="auto"/>
        <w:ind w:left="0" w:right="0" w:firstLine="0"/>
        <w:rPr>
          <w:rFonts w:ascii="ITC Avant Garde" w:hAnsi="ITC Avant Garde" w:cs="Arial"/>
          <w:color w:val="auto"/>
        </w:rPr>
      </w:pPr>
    </w:p>
    <w:p w14:paraId="12135207" w14:textId="0C02E673" w:rsidR="00C00ED9" w:rsidRPr="0052418C" w:rsidRDefault="00F57599"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Finalmente,</w:t>
      </w:r>
      <w:r w:rsidR="00A26475" w:rsidRPr="0052418C">
        <w:rPr>
          <w:rFonts w:ascii="ITC Avant Garde" w:hAnsi="ITC Avant Garde" w:cs="Arial"/>
          <w:color w:val="auto"/>
        </w:rPr>
        <w:t xml:space="preserve"> respecto al inciso f) referente a la facturación extemporánea, s</w:t>
      </w:r>
      <w:r w:rsidR="002325DE" w:rsidRPr="0052418C">
        <w:rPr>
          <w:rFonts w:ascii="ITC Avant Garde" w:hAnsi="ITC Avant Garde" w:cs="Arial"/>
          <w:color w:val="auto"/>
        </w:rPr>
        <w:t>ugiere mantener el plazo de 90 días vigente</w:t>
      </w:r>
      <w:r w:rsidR="00A205E7" w:rsidRPr="0052418C">
        <w:rPr>
          <w:rFonts w:ascii="ITC Avant Garde" w:hAnsi="ITC Avant Garde" w:cs="Arial"/>
          <w:color w:val="auto"/>
        </w:rPr>
        <w:t>, dado que no se justifica dicha extensión</w:t>
      </w:r>
      <w:r w:rsidR="003371F5" w:rsidRPr="0052418C">
        <w:rPr>
          <w:rFonts w:ascii="ITC Avant Garde" w:hAnsi="ITC Avant Garde" w:cs="Arial"/>
          <w:color w:val="auto"/>
        </w:rPr>
        <w:t xml:space="preserve"> en lugar de un plazo de 120 días naturales</w:t>
      </w:r>
      <w:r w:rsidR="002325DE" w:rsidRPr="0052418C">
        <w:rPr>
          <w:rFonts w:ascii="ITC Avant Garde" w:hAnsi="ITC Avant Garde" w:cs="Arial"/>
          <w:color w:val="auto"/>
        </w:rPr>
        <w:t>.</w:t>
      </w:r>
    </w:p>
    <w:p w14:paraId="288F6232" w14:textId="77777777" w:rsidR="00510347" w:rsidRPr="0052418C" w:rsidRDefault="00510347" w:rsidP="0052418C">
      <w:pPr>
        <w:spacing w:after="0" w:line="276" w:lineRule="auto"/>
        <w:ind w:left="0" w:right="0" w:firstLine="0"/>
        <w:rPr>
          <w:rFonts w:ascii="ITC Avant Garde" w:hAnsi="ITC Avant Garde" w:cs="Arial"/>
          <w:color w:val="auto"/>
        </w:rPr>
      </w:pPr>
    </w:p>
    <w:p w14:paraId="1AC64490" w14:textId="26E3670D" w:rsidR="00357047" w:rsidRPr="0052418C" w:rsidRDefault="00357047"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D36AEC" w:rsidRPr="0052418C">
        <w:rPr>
          <w:rFonts w:ascii="ITC Avant Garde" w:hAnsi="ITC Avant Garde" w:cs="Arial"/>
          <w:b/>
          <w:color w:val="auto"/>
        </w:rPr>
        <w:t>:</w:t>
      </w:r>
    </w:p>
    <w:p w14:paraId="09CB5FAC" w14:textId="593CE882" w:rsidR="00A01B40" w:rsidRPr="0052418C" w:rsidRDefault="00A01B40" w:rsidP="0052418C">
      <w:pPr>
        <w:spacing w:after="0" w:line="276" w:lineRule="auto"/>
        <w:ind w:left="0" w:right="0" w:firstLine="0"/>
        <w:rPr>
          <w:rFonts w:ascii="ITC Avant Garde" w:hAnsi="ITC Avant Garde"/>
          <w:color w:val="auto"/>
        </w:rPr>
      </w:pPr>
      <w:r w:rsidRPr="0052418C">
        <w:rPr>
          <w:rFonts w:ascii="ITC Avant Garde" w:hAnsi="ITC Avant Garde"/>
          <w:color w:val="auto"/>
        </w:rPr>
        <w:t xml:space="preserve">Al respecto, la ORE EM 2022 señala que el pago de los gastos de instalación se realizará al día hábil siguiente de la facturación correspondiente, en este sentido la oferta establece que previo a realizar un pago por gastos de instalación Red </w:t>
      </w:r>
      <w:r w:rsidRPr="0052418C">
        <w:rPr>
          <w:rFonts w:ascii="ITC Avant Garde" w:hAnsi="ITC Avant Garde"/>
          <w:color w:val="auto"/>
        </w:rPr>
        <w:lastRenderedPageBreak/>
        <w:t xml:space="preserve">Nacional otorgará la factura al CS y AS. Ahora bien, respecto a que es injustificado requerir que los pagos de las facturas se efectúen en menos de 8 horas laborales, al existir normas y procesos en las áreas financieras que requieren cierta documentación y validación previo al pago de una factura , se señala que el plazo establecido en la ORE EM 2022 es de un día hábil en el entendido de que es responsabilidad de los CS y AS prever la ejecución de dichos pagos por los servicios solicitados considerando que los CS y AS tienen pleno conocimiento de los servicios solicitados y el costo de los mismos, por lo que una vez recibida la factura, el plazo establecido en la Oferta para el ejecutar el pago correspondiente, es razonable. </w:t>
      </w:r>
    </w:p>
    <w:p w14:paraId="5A21FFF5" w14:textId="77777777" w:rsidR="00A01B40" w:rsidRPr="0052418C" w:rsidRDefault="00A01B40" w:rsidP="0052418C">
      <w:pPr>
        <w:spacing w:after="0" w:line="276" w:lineRule="auto"/>
        <w:ind w:left="0" w:right="0" w:firstLine="0"/>
        <w:rPr>
          <w:rFonts w:ascii="ITC Avant Garde" w:hAnsi="ITC Avant Garde"/>
          <w:color w:val="auto"/>
        </w:rPr>
      </w:pPr>
    </w:p>
    <w:p w14:paraId="656535DD" w14:textId="76128309" w:rsidR="00A01B40" w:rsidRPr="0052418C" w:rsidRDefault="00A01B40" w:rsidP="0052418C">
      <w:pPr>
        <w:spacing w:after="0" w:line="276" w:lineRule="auto"/>
        <w:ind w:left="0" w:right="0" w:firstLine="0"/>
        <w:rPr>
          <w:rFonts w:ascii="ITC Avant Garde" w:hAnsi="ITC Avant Garde"/>
          <w:color w:val="auto"/>
        </w:rPr>
      </w:pPr>
      <w:r w:rsidRPr="0052418C">
        <w:rPr>
          <w:rFonts w:ascii="ITC Avant Garde" w:hAnsi="ITC Avant Garde"/>
          <w:color w:val="auto"/>
        </w:rPr>
        <w:t xml:space="preserve">Por otro lado, la ORE EM 2022 contiene el procedimiento de objeción de facturas, el cual tiene como objetivo establecer condiciones claras y equitativas entre </w:t>
      </w:r>
      <w:r w:rsidR="00790B92" w:rsidRPr="0052418C">
        <w:rPr>
          <w:rFonts w:ascii="ITC Avant Garde" w:hAnsi="ITC Avant Garde" w:cs="Times New Roman"/>
          <w:color w:val="auto"/>
        </w:rPr>
        <w:t xml:space="preserve">Red Nacional </w:t>
      </w:r>
      <w:r w:rsidRPr="0052418C">
        <w:rPr>
          <w:rFonts w:ascii="ITC Avant Garde" w:hAnsi="ITC Avant Garde"/>
          <w:color w:val="auto"/>
        </w:rPr>
        <w:t xml:space="preserve">y los CS y AS. En dicho procedimiento se establece un plazo de 30 (treinta) días naturales para que el CS o AS pueda objetar los servicios no reconocidos, </w:t>
      </w:r>
      <w:r w:rsidR="00790B92" w:rsidRPr="0052418C">
        <w:rPr>
          <w:rFonts w:ascii="ITC Avant Garde" w:hAnsi="ITC Avant Garde" w:cs="Times New Roman"/>
          <w:color w:val="auto"/>
        </w:rPr>
        <w:t xml:space="preserve">Red Nacional </w:t>
      </w:r>
      <w:r w:rsidRPr="0052418C">
        <w:rPr>
          <w:rFonts w:ascii="ITC Avant Garde" w:hAnsi="ITC Avant Garde"/>
          <w:color w:val="auto"/>
        </w:rPr>
        <w:t xml:space="preserve">cuenta con el mismo plazo para analizar la información de dichas objeciones y determinar la procedencia o no de las mismas, </w:t>
      </w:r>
      <w:r w:rsidRPr="00BF6A32">
        <w:rPr>
          <w:rFonts w:ascii="ITC Avant Garde" w:hAnsi="ITC Avant Garde"/>
          <w:b/>
          <w:color w:val="auto"/>
        </w:rPr>
        <w:t>plazo durante el cual se auxiliará del CS o AS para resolver cualquier duda</w:t>
      </w:r>
      <w:r w:rsidRPr="0052418C">
        <w:rPr>
          <w:rFonts w:ascii="ITC Avant Garde" w:hAnsi="ITC Avant Garde"/>
          <w:color w:val="auto"/>
        </w:rPr>
        <w:t xml:space="preserve">. </w:t>
      </w:r>
    </w:p>
    <w:p w14:paraId="76D053A5" w14:textId="77777777" w:rsidR="00A01B40" w:rsidRPr="0052418C" w:rsidRDefault="00A01B40" w:rsidP="0052418C">
      <w:pPr>
        <w:tabs>
          <w:tab w:val="left" w:pos="284"/>
        </w:tabs>
        <w:spacing w:line="276" w:lineRule="auto"/>
        <w:rPr>
          <w:rFonts w:ascii="ITC Avant Garde" w:hAnsi="ITC Avant Garde"/>
          <w:color w:val="auto"/>
        </w:rPr>
      </w:pPr>
    </w:p>
    <w:p w14:paraId="3125E484" w14:textId="77777777" w:rsidR="00A01B40" w:rsidRPr="0052418C" w:rsidRDefault="00A01B40" w:rsidP="0052418C">
      <w:pPr>
        <w:tabs>
          <w:tab w:val="left" w:pos="284"/>
        </w:tabs>
        <w:spacing w:line="276" w:lineRule="auto"/>
        <w:rPr>
          <w:rFonts w:ascii="ITC Avant Garde" w:hAnsi="ITC Avant Garde"/>
          <w:color w:val="auto"/>
        </w:rPr>
      </w:pPr>
      <w:r w:rsidRPr="0052418C">
        <w:rPr>
          <w:rFonts w:ascii="ITC Avant Garde" w:hAnsi="ITC Avant Garde"/>
          <w:color w:val="auto"/>
        </w:rPr>
        <w:t>En ese sentido, la oferta contiene una metodología clara que permite llevar a cabo la conciliación de facturas entre las partes, finalmente respecto a la intervención del Instituto una vez agotados los plazos de negociación en las objeciones de facturas se señala que dicha atribución escapa de la esfera de competencia de la Oferta de Referencia.</w:t>
      </w:r>
    </w:p>
    <w:p w14:paraId="15BC744C" w14:textId="77777777" w:rsidR="00A01B40" w:rsidRPr="0052418C" w:rsidRDefault="00A01B40" w:rsidP="0052418C">
      <w:pPr>
        <w:tabs>
          <w:tab w:val="left" w:pos="284"/>
        </w:tabs>
        <w:spacing w:line="276" w:lineRule="auto"/>
        <w:rPr>
          <w:rFonts w:ascii="ITC Avant Garde" w:hAnsi="ITC Avant Garde"/>
          <w:color w:val="auto"/>
        </w:rPr>
      </w:pPr>
    </w:p>
    <w:p w14:paraId="79C64100" w14:textId="60CD9D11" w:rsidR="00A01B40" w:rsidRPr="0052418C" w:rsidRDefault="00A01B40" w:rsidP="0052418C">
      <w:pPr>
        <w:spacing w:after="0" w:line="276" w:lineRule="auto"/>
        <w:ind w:left="0" w:right="0" w:firstLine="0"/>
        <w:rPr>
          <w:rFonts w:ascii="ITC Avant Garde" w:hAnsi="ITC Avant Garde"/>
          <w:color w:val="auto"/>
        </w:rPr>
      </w:pPr>
      <w:r w:rsidRPr="0052418C">
        <w:rPr>
          <w:rFonts w:ascii="ITC Avant Garde" w:hAnsi="ITC Avant Garde"/>
          <w:color w:val="auto"/>
        </w:rPr>
        <w:t xml:space="preserve">Con respecto a lo argumentado por Axtel, sobre que previo a realizar un pago por gastos de instalación de enlaces nuevos, se incluyan como DEBÍTESE en la facturación mensual, se señala que dicha solicitud excede el ámbito de competencia de este Instituto pues no es autoridad en materia fiscal. Así mismo </w:t>
      </w:r>
      <w:r w:rsidRPr="0052418C">
        <w:rPr>
          <w:rFonts w:ascii="ITC Avant Garde" w:hAnsi="ITC Avant Garde" w:cs="Arial"/>
          <w:color w:val="auto"/>
        </w:rPr>
        <w:t xml:space="preserve">con respecto a que </w:t>
      </w:r>
      <w:r w:rsidR="00790B92" w:rsidRPr="0052418C">
        <w:rPr>
          <w:rFonts w:ascii="ITC Avant Garde" w:hAnsi="ITC Avant Garde" w:cs="Times New Roman"/>
          <w:color w:val="auto"/>
        </w:rPr>
        <w:t xml:space="preserve">Red Nacional </w:t>
      </w:r>
      <w:r w:rsidRPr="0052418C">
        <w:rPr>
          <w:rFonts w:ascii="ITC Avant Garde" w:hAnsi="ITC Avant Garde" w:cs="Arial"/>
          <w:color w:val="auto"/>
        </w:rPr>
        <w:t>acepte un documento entregado de forma electrónica ya sea por correo electrónico o cualquier otro medio electrónico, se señala que esta situación</w:t>
      </w:r>
      <w:r w:rsidRPr="0052418C">
        <w:rPr>
          <w:rFonts w:ascii="ITC Avant Garde" w:hAnsi="ITC Avant Garde"/>
          <w:color w:val="auto"/>
        </w:rPr>
        <w:t xml:space="preserve"> escapa de la esfera de competencia de la Oferta de Referencia.</w:t>
      </w:r>
    </w:p>
    <w:p w14:paraId="45B8A273" w14:textId="77777777" w:rsidR="00A01B40" w:rsidRPr="0052418C" w:rsidRDefault="00A01B40" w:rsidP="0052418C">
      <w:pPr>
        <w:spacing w:after="0" w:line="276" w:lineRule="auto"/>
        <w:ind w:left="0" w:right="0"/>
        <w:rPr>
          <w:rFonts w:ascii="ITC Avant Garde" w:hAnsi="ITC Avant Garde"/>
          <w:color w:val="auto"/>
        </w:rPr>
      </w:pPr>
    </w:p>
    <w:p w14:paraId="573CDC95" w14:textId="11DDA4DE" w:rsidR="00A01B40" w:rsidRPr="0052418C" w:rsidRDefault="00A01B40" w:rsidP="0052418C">
      <w:pPr>
        <w:spacing w:after="0" w:line="276" w:lineRule="auto"/>
        <w:ind w:left="0" w:right="0"/>
        <w:rPr>
          <w:rFonts w:ascii="ITC Avant Garde" w:hAnsi="ITC Avant Garde"/>
          <w:color w:val="auto"/>
        </w:rPr>
      </w:pPr>
      <w:r w:rsidRPr="0052418C">
        <w:rPr>
          <w:rFonts w:ascii="ITC Avant Garde" w:hAnsi="ITC Avant Garde"/>
          <w:color w:val="auto"/>
        </w:rPr>
        <w:t>Por último, se modificó el numeral 3.2 inciso e) de la Cláusula Tercera, a efecto de establecer que las facturas extemporáneas se podrán presentar en un plazo máximo de 90 (noventa) días naturales posteriores al mes de facturación correspondiente, lo anterior conforme a los plazos autorizados por el Instituto en la ORE EM 2021.</w:t>
      </w:r>
    </w:p>
    <w:p w14:paraId="7F0A9809" w14:textId="77777777" w:rsidR="00A544B0" w:rsidRPr="0052418C" w:rsidRDefault="00A544B0" w:rsidP="0052418C">
      <w:pPr>
        <w:spacing w:after="0" w:line="276" w:lineRule="auto"/>
        <w:ind w:left="0" w:right="0"/>
        <w:rPr>
          <w:rFonts w:ascii="ITC Avant Garde" w:hAnsi="ITC Avant Garde"/>
          <w:color w:val="auto"/>
        </w:rPr>
      </w:pPr>
    </w:p>
    <w:p w14:paraId="2744B4ED" w14:textId="78218ECC" w:rsidR="00A544B0" w:rsidRPr="0052418C" w:rsidRDefault="00A544B0" w:rsidP="0052418C">
      <w:pPr>
        <w:spacing w:after="0" w:line="276" w:lineRule="auto"/>
        <w:ind w:left="0" w:right="0"/>
        <w:rPr>
          <w:rFonts w:ascii="ITC Avant Garde" w:hAnsi="ITC Avant Garde" w:cs="Arial"/>
          <w:color w:val="auto"/>
        </w:rPr>
      </w:pPr>
      <w:r w:rsidRPr="0052418C">
        <w:rPr>
          <w:rFonts w:ascii="ITC Avant Garde" w:hAnsi="ITC Avant Garde" w:cs="Arial"/>
          <w:color w:val="auto"/>
        </w:rPr>
        <w:t xml:space="preserve">Por lo que se refiere al </w:t>
      </w:r>
      <w:r w:rsidRPr="0052418C">
        <w:rPr>
          <w:rFonts w:ascii="ITC Avant Garde" w:hAnsi="ITC Avant Garde"/>
        </w:rPr>
        <w:t>plazo para la revisión de facturación y presentación de inconformidad, se señala que la ORE EM 2022</w:t>
      </w:r>
      <w:r w:rsidRPr="002A2137">
        <w:rPr>
          <w:rFonts w:ascii="ITC Avant Garde" w:hAnsi="ITC Avant Garde"/>
        </w:rPr>
        <w:t xml:space="preserve"> </w:t>
      </w:r>
      <w:r w:rsidR="00686180" w:rsidRPr="00B5710C">
        <w:rPr>
          <w:rFonts w:ascii="ITC Avant Garde" w:hAnsi="ITC Avant Garde"/>
        </w:rPr>
        <w:t>fue modificada</w:t>
      </w:r>
      <w:r w:rsidR="00C413BC" w:rsidRPr="00B5710C">
        <w:rPr>
          <w:rFonts w:ascii="ITC Avant Garde" w:hAnsi="ITC Avant Garde"/>
        </w:rPr>
        <w:t xml:space="preserve"> en su inciso e)</w:t>
      </w:r>
      <w:r w:rsidR="00686180" w:rsidRPr="00B5710C">
        <w:rPr>
          <w:rFonts w:ascii="ITC Avant Garde" w:hAnsi="ITC Avant Garde"/>
        </w:rPr>
        <w:t xml:space="preserve"> a </w:t>
      </w:r>
      <w:r w:rsidR="00686180" w:rsidRPr="00B5710C">
        <w:rPr>
          <w:rFonts w:ascii="ITC Avant Garde" w:hAnsi="ITC Avant Garde"/>
        </w:rPr>
        <w:lastRenderedPageBreak/>
        <w:t>efecto de</w:t>
      </w:r>
      <w:r w:rsidRPr="00C413BC">
        <w:rPr>
          <w:rFonts w:ascii="ITC Avant Garde" w:hAnsi="ITC Avant Garde"/>
        </w:rPr>
        <w:t xml:space="preserve"> establece</w:t>
      </w:r>
      <w:r w:rsidR="00686180" w:rsidRPr="00B5710C">
        <w:rPr>
          <w:rFonts w:ascii="ITC Avant Garde" w:hAnsi="ITC Avant Garde"/>
        </w:rPr>
        <w:t>r</w:t>
      </w:r>
      <w:r w:rsidRPr="0052418C">
        <w:rPr>
          <w:rFonts w:ascii="ITC Avant Garde" w:hAnsi="ITC Avant Garde"/>
        </w:rPr>
        <w:t xml:space="preserve"> un plazo que no excederá de 30 (treinta) días naturales </w:t>
      </w:r>
      <w:r w:rsidR="00C413BC" w:rsidRPr="00C413BC">
        <w:rPr>
          <w:rFonts w:ascii="ITC Avant Garde" w:hAnsi="ITC Avant Garde" w:cs="Arial"/>
          <w:color w:val="auto"/>
        </w:rPr>
        <w:t>para</w:t>
      </w:r>
      <w:r w:rsidR="00C413BC">
        <w:rPr>
          <w:rFonts w:ascii="ITC Avant Garde" w:hAnsi="ITC Avant Garde" w:cs="Arial"/>
          <w:color w:val="auto"/>
        </w:rPr>
        <w:t xml:space="preserve"> que los CS y AS puedan</w:t>
      </w:r>
      <w:r w:rsidR="00C413BC" w:rsidRPr="00C413BC">
        <w:rPr>
          <w:rFonts w:ascii="ITC Avant Garde" w:hAnsi="ITC Avant Garde" w:cs="Arial"/>
          <w:color w:val="auto"/>
        </w:rPr>
        <w:t xml:space="preserve"> presentar</w:t>
      </w:r>
      <w:r w:rsidR="00C413BC">
        <w:rPr>
          <w:rFonts w:ascii="ITC Avant Garde" w:hAnsi="ITC Avant Garde" w:cs="Arial"/>
          <w:color w:val="auto"/>
        </w:rPr>
        <w:t xml:space="preserve"> sus</w:t>
      </w:r>
      <w:r w:rsidR="00C413BC" w:rsidRPr="00C413BC">
        <w:rPr>
          <w:rFonts w:ascii="ITC Avant Garde" w:hAnsi="ITC Avant Garde" w:cs="Arial"/>
          <w:color w:val="auto"/>
        </w:rPr>
        <w:t xml:space="preserve"> inconformidades, así como </w:t>
      </w:r>
      <w:r w:rsidR="00C413BC">
        <w:rPr>
          <w:rFonts w:ascii="ITC Avant Garde" w:hAnsi="ITC Avant Garde" w:cs="Arial"/>
          <w:color w:val="auto"/>
        </w:rPr>
        <w:t xml:space="preserve">para que las EM puedan </w:t>
      </w:r>
      <w:r w:rsidR="00C413BC" w:rsidRPr="00C413BC">
        <w:rPr>
          <w:rFonts w:ascii="ITC Avant Garde" w:hAnsi="ITC Avant Garde" w:cs="Arial"/>
          <w:color w:val="auto"/>
        </w:rPr>
        <w:t>determinar la procedencia o improcedencia de las mismas.</w:t>
      </w:r>
    </w:p>
    <w:p w14:paraId="734D7294" w14:textId="77777777" w:rsidR="003445DF" w:rsidRPr="0052418C" w:rsidRDefault="003445DF" w:rsidP="0052418C">
      <w:pPr>
        <w:spacing w:after="0" w:line="276" w:lineRule="auto"/>
        <w:ind w:left="0" w:right="0"/>
        <w:rPr>
          <w:rFonts w:ascii="ITC Avant Garde" w:hAnsi="ITC Avant Garde"/>
          <w:color w:val="auto"/>
        </w:rPr>
      </w:pPr>
    </w:p>
    <w:p w14:paraId="18D29DB0" w14:textId="571D4F49" w:rsidR="009E7FF9" w:rsidRPr="0052418C" w:rsidRDefault="009E7FF9" w:rsidP="0052418C">
      <w:pPr>
        <w:spacing w:after="0" w:line="276" w:lineRule="auto"/>
        <w:ind w:left="0" w:right="0" w:firstLine="0"/>
        <w:rPr>
          <w:rFonts w:ascii="ITC Avant Garde" w:hAnsi="ITC Avant Garde" w:cs="Arial"/>
          <w:b/>
          <w:color w:val="auto"/>
          <w:u w:val="single"/>
        </w:rPr>
      </w:pPr>
      <w:r w:rsidRPr="0052418C">
        <w:rPr>
          <w:rFonts w:ascii="ITC Avant Garde" w:hAnsi="ITC Avant Garde" w:cs="Arial"/>
          <w:b/>
          <w:color w:val="auto"/>
          <w:u w:val="single"/>
        </w:rPr>
        <w:t>CLÁUSULA DECIMA PROCESOS DE BAJA.</w:t>
      </w:r>
    </w:p>
    <w:p w14:paraId="057B528E" w14:textId="77777777" w:rsidR="009E7FF9" w:rsidRPr="0052418C" w:rsidRDefault="009E7FF9" w:rsidP="0052418C">
      <w:pPr>
        <w:pStyle w:val="IFT1"/>
        <w:tabs>
          <w:tab w:val="left" w:pos="426"/>
        </w:tabs>
        <w:spacing w:after="0"/>
        <w:rPr>
          <w:b/>
        </w:rPr>
      </w:pPr>
      <w:r w:rsidRPr="0052418C">
        <w:rPr>
          <w:b/>
        </w:rPr>
        <w:t>AXTEL:</w:t>
      </w:r>
    </w:p>
    <w:p w14:paraId="671ACAAE" w14:textId="65F25DE0" w:rsidR="009E7FF9" w:rsidRPr="0052418C" w:rsidRDefault="009E7FF9" w:rsidP="0052418C">
      <w:pPr>
        <w:pStyle w:val="IFT1"/>
        <w:tabs>
          <w:tab w:val="left" w:pos="426"/>
        </w:tabs>
        <w:spacing w:after="0"/>
        <w:rPr>
          <w:bCs/>
        </w:rPr>
      </w:pPr>
      <w:r w:rsidRPr="008F50F1">
        <w:t xml:space="preserve">Respecto al numeral 10.1 Axtel </w:t>
      </w:r>
      <w:r w:rsidR="00B5710C" w:rsidRPr="008F50F1">
        <w:t>sugirió</w:t>
      </w:r>
      <w:r w:rsidRPr="008F50F1">
        <w:t xml:space="preserve"> que, </w:t>
      </w:r>
      <w:r w:rsidR="00B5710C" w:rsidRPr="008F50F1">
        <w:t xml:space="preserve">en caso de </w:t>
      </w:r>
      <w:r w:rsidRPr="008F50F1">
        <w:t>una imposibilidad técnica</w:t>
      </w:r>
      <w:r w:rsidR="00B5710C" w:rsidRPr="008F50F1">
        <w:t>, la baja se realice en forma escrita</w:t>
      </w:r>
      <w:r w:rsidRPr="008F50F1">
        <w:t xml:space="preserve">, </w:t>
      </w:r>
      <w:r w:rsidR="008F50F1" w:rsidRPr="008F50F1">
        <w:t>puntualizando</w:t>
      </w:r>
      <w:r w:rsidR="00B5710C" w:rsidRPr="008F50F1">
        <w:t xml:space="preserve"> que </w:t>
      </w:r>
      <w:r w:rsidRPr="008F50F1">
        <w:t xml:space="preserve">se entiende que el formato por escrito, puede ser simplemente el envío por vía electrónica, haciendo del conocimiento al AEP de las referencias que el CS desee tramitar </w:t>
      </w:r>
      <w:r w:rsidR="008F50F1" w:rsidRPr="008F50F1">
        <w:t>su</w:t>
      </w:r>
      <w:r w:rsidRPr="008F50F1">
        <w:t xml:space="preserve"> baja. Por lo que, Axtel sugiere al Instituto que se especifique el concepto de formato escrito, con el fin de tener claras las acciones puntuales que debe hacer el CS para tramitar una baja, en caso de que el SEG presente imposibilidades técnicas, de ser así, el AEP debe enviar por el mismo medio un acuse de recibido para que el CS tenga la evidencia de solicitud de baja para cotejar al momento de la revisión de la facturación mensual.</w:t>
      </w:r>
    </w:p>
    <w:p w14:paraId="38ABFF4D" w14:textId="77777777" w:rsidR="008F50F1" w:rsidRPr="0052418C" w:rsidRDefault="008F50F1" w:rsidP="0052418C">
      <w:pPr>
        <w:pStyle w:val="IFT1"/>
        <w:tabs>
          <w:tab w:val="left" w:pos="426"/>
        </w:tabs>
        <w:spacing w:after="0"/>
        <w:rPr>
          <w:bCs/>
        </w:rPr>
      </w:pPr>
    </w:p>
    <w:p w14:paraId="55F75C83" w14:textId="35174478" w:rsidR="008F50F1" w:rsidRDefault="008F50F1" w:rsidP="0052418C">
      <w:pPr>
        <w:pStyle w:val="IFT1"/>
        <w:tabs>
          <w:tab w:val="left" w:pos="426"/>
        </w:tabs>
        <w:spacing w:after="0"/>
        <w:rPr>
          <w:rFonts w:ascii="Avant Garde" w:eastAsia="Avant Garde" w:hAnsi="Avant Garde" w:cs="Avant Garde"/>
          <w:bCs/>
          <w:iCs w:val="0"/>
          <w:color w:val="000000"/>
          <w:lang w:eastAsia="es-MX"/>
        </w:rPr>
      </w:pPr>
      <w:r w:rsidRPr="0052418C">
        <w:rPr>
          <w:bCs/>
        </w:rPr>
        <w:t>Asimismo, por lo que respecta al numeral 10.5, Axtel reitero que los gastos de instalación de enlaces se gestionen bajo la figura DEBÍTASE (costos a incluir en la facturación mensual de la renta de los servicios en operación) en la facturación mensual</w:t>
      </w:r>
      <w:r>
        <w:rPr>
          <w:bCs/>
        </w:rPr>
        <w:t>.</w:t>
      </w:r>
    </w:p>
    <w:p w14:paraId="4570C534" w14:textId="77777777" w:rsidR="008F50F1" w:rsidRPr="0052418C" w:rsidRDefault="008F50F1" w:rsidP="0052418C">
      <w:pPr>
        <w:pStyle w:val="IFT1"/>
        <w:tabs>
          <w:tab w:val="left" w:pos="426"/>
        </w:tabs>
        <w:spacing w:after="0"/>
        <w:rPr>
          <w:bCs/>
        </w:rPr>
      </w:pPr>
    </w:p>
    <w:p w14:paraId="7B533A98" w14:textId="77777777" w:rsidR="003C21C5" w:rsidRPr="0052418C" w:rsidRDefault="003C21C5"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p>
    <w:p w14:paraId="286CCFD9" w14:textId="62496099" w:rsidR="00B915C4" w:rsidRPr="0052418C" w:rsidRDefault="00A87E5D" w:rsidP="0052418C">
      <w:pPr>
        <w:spacing w:after="0" w:line="276" w:lineRule="auto"/>
        <w:ind w:left="0" w:right="0" w:firstLine="0"/>
        <w:rPr>
          <w:rFonts w:ascii="ITC Avant Garde" w:hAnsi="ITC Avant Garde" w:cs="Arial"/>
        </w:rPr>
      </w:pPr>
      <w:r w:rsidRPr="0052418C">
        <w:rPr>
          <w:rFonts w:ascii="ITC Avant Garde" w:hAnsi="ITC Avant Garde"/>
          <w:bCs/>
        </w:rPr>
        <w:t xml:space="preserve">Al respecto, se señala </w:t>
      </w:r>
      <w:r w:rsidRPr="0052418C">
        <w:rPr>
          <w:rFonts w:ascii="ITC Avant Garde" w:hAnsi="ITC Avant Garde"/>
          <w:color w:val="auto"/>
        </w:rPr>
        <w:t xml:space="preserve">que el formato por escrito al que hace referencia la cláusula décima, corresponde a un escrito libre que </w:t>
      </w:r>
      <w:r w:rsidRPr="0052418C">
        <w:rPr>
          <w:rFonts w:ascii="ITC Avant Garde" w:hAnsi="ITC Avant Garde" w:cs="Arial"/>
        </w:rPr>
        <w:t xml:space="preserve">únicamente será utilizado en caso de que exista una imposibilidad técnica para la utilización del SEG/SIPO y que se podrá utilizar como medio alternativo de comunicación, cabe señalar que la medida Cuadragésima Segunda de las Medidas Fijas establece que en caso de alguna imposibilidad técnica para la utilización del SEG/SIPO, </w:t>
      </w:r>
      <w:r w:rsidR="00790B92" w:rsidRPr="0052418C">
        <w:rPr>
          <w:rFonts w:ascii="ITC Avant Garde" w:hAnsi="ITC Avant Garde" w:cs="Times New Roman"/>
          <w:color w:val="auto"/>
        </w:rPr>
        <w:t xml:space="preserve">Red Nacional </w:t>
      </w:r>
      <w:r w:rsidRPr="0052418C">
        <w:rPr>
          <w:rFonts w:ascii="ITC Avant Garde" w:hAnsi="ITC Avant Garde" w:cs="Arial"/>
        </w:rPr>
        <w:t xml:space="preserve">deberá habilitar un centro telefónico de atención, así como una dirección de correo electrónico que permita realizar las operaciones necesarias de manera temporal, es así que al corresponder dichos escenarios a situaciones que solo tendrán lugar en caso de que el SEG/SIPO no se encuentre operando, no se considera necesario establecer un formato específico para cada procedimiento previsto en la oferta bajo escenarios en los que el SEG/SIPO no esté disponible. Asimismo, en términos de la Medida Cuadragésima Segunda, </w:t>
      </w:r>
      <w:r w:rsidR="00790B92" w:rsidRPr="0052418C">
        <w:rPr>
          <w:rFonts w:ascii="ITC Avant Garde" w:hAnsi="ITC Avant Garde" w:cs="Times New Roman"/>
          <w:color w:val="auto"/>
        </w:rPr>
        <w:t xml:space="preserve">Red Nacional </w:t>
      </w:r>
      <w:r w:rsidRPr="0052418C">
        <w:rPr>
          <w:rFonts w:ascii="ITC Avant Garde" w:hAnsi="ITC Avant Garde" w:cs="Arial"/>
        </w:rPr>
        <w:t>se encuentra obligado a dar atención a cualquier solicitud que por fallas del SEG se realice por otro medio y posteriormente deberá cargarlo en el SEG para su seguimiento.</w:t>
      </w:r>
    </w:p>
    <w:p w14:paraId="69088E27" w14:textId="77777777" w:rsidR="00A87E5D" w:rsidRPr="0052418C" w:rsidRDefault="00A87E5D" w:rsidP="0052418C">
      <w:pPr>
        <w:spacing w:after="0" w:line="276" w:lineRule="auto"/>
        <w:ind w:left="0" w:right="0" w:firstLine="0"/>
        <w:rPr>
          <w:rFonts w:ascii="ITC Avant Garde" w:hAnsi="ITC Avant Garde"/>
          <w:bCs/>
        </w:rPr>
      </w:pPr>
    </w:p>
    <w:p w14:paraId="716E80E2" w14:textId="77777777" w:rsidR="00B915C4" w:rsidRPr="0052418C" w:rsidRDefault="00B915C4" w:rsidP="0052418C">
      <w:pPr>
        <w:spacing w:after="0" w:line="276" w:lineRule="auto"/>
        <w:ind w:left="0" w:right="0" w:firstLine="0"/>
        <w:rPr>
          <w:rFonts w:ascii="ITC Avant Garde" w:hAnsi="ITC Avant Garde"/>
          <w:color w:val="auto"/>
        </w:rPr>
      </w:pPr>
      <w:r w:rsidRPr="0052418C">
        <w:rPr>
          <w:rFonts w:ascii="ITC Avant Garde" w:hAnsi="ITC Avant Garde"/>
          <w:color w:val="auto"/>
        </w:rPr>
        <w:lastRenderedPageBreak/>
        <w:t>Sobre el comentario de realizar un pago por gastos de instalación se gestionen bajo la figura DEBÍTESE en la facturación mensual, se reitera que dichas solicitudes exceden el ámbito de competencia de este Instituto pues no es autoridad en materia fiscal.</w:t>
      </w:r>
    </w:p>
    <w:p w14:paraId="70619F37" w14:textId="77777777" w:rsidR="00B915C4" w:rsidRPr="0052418C" w:rsidRDefault="00B915C4" w:rsidP="0052418C">
      <w:pPr>
        <w:pStyle w:val="IFT1"/>
        <w:tabs>
          <w:tab w:val="left" w:pos="426"/>
        </w:tabs>
        <w:spacing w:after="0"/>
        <w:rPr>
          <w:bCs/>
        </w:rPr>
      </w:pPr>
    </w:p>
    <w:p w14:paraId="5454FE9D" w14:textId="59E9CA27" w:rsidR="009E7FF9" w:rsidRPr="0052418C" w:rsidRDefault="001E683A" w:rsidP="0052418C">
      <w:pPr>
        <w:spacing w:after="0" w:line="276" w:lineRule="auto"/>
        <w:ind w:left="0" w:right="0" w:firstLine="0"/>
        <w:rPr>
          <w:rFonts w:ascii="ITC Avant Garde" w:hAnsi="ITC Avant Garde" w:cs="Arial"/>
          <w:b/>
          <w:color w:val="auto"/>
          <w:u w:val="single"/>
        </w:rPr>
      </w:pPr>
      <w:r w:rsidRPr="0052418C">
        <w:rPr>
          <w:rFonts w:ascii="ITC Avant Garde" w:hAnsi="ITC Avant Garde" w:cs="Arial"/>
          <w:b/>
          <w:color w:val="auto"/>
          <w:u w:val="single"/>
        </w:rPr>
        <w:t xml:space="preserve">Cláusula Décima Cuarta. </w:t>
      </w:r>
      <w:r w:rsidR="009E7FF9" w:rsidRPr="0052418C">
        <w:rPr>
          <w:rFonts w:ascii="ITC Avant Garde" w:hAnsi="ITC Avant Garde" w:cs="Arial"/>
          <w:b/>
          <w:color w:val="auto"/>
          <w:u w:val="single"/>
        </w:rPr>
        <w:t>CAUSAS DE FUERZA MAYOR Y/O CASO FORTUITO O FUERZA MAYOR.</w:t>
      </w:r>
    </w:p>
    <w:p w14:paraId="5BB8A899" w14:textId="0D8D7B27" w:rsidR="009E7FF9" w:rsidRPr="0052418C" w:rsidRDefault="009E7FF9" w:rsidP="0052418C">
      <w:pPr>
        <w:pStyle w:val="IFT1"/>
        <w:tabs>
          <w:tab w:val="left" w:pos="426"/>
        </w:tabs>
        <w:spacing w:after="0"/>
        <w:rPr>
          <w:b/>
        </w:rPr>
      </w:pPr>
      <w:r w:rsidRPr="0052418C">
        <w:rPr>
          <w:b/>
        </w:rPr>
        <w:t>AXTEL:</w:t>
      </w:r>
    </w:p>
    <w:p w14:paraId="07BA2DE9" w14:textId="2A39822A" w:rsidR="009E7FF9" w:rsidRPr="0052418C" w:rsidRDefault="009E7FF9" w:rsidP="0052418C">
      <w:pPr>
        <w:pStyle w:val="IFT1"/>
        <w:tabs>
          <w:tab w:val="left" w:pos="426"/>
        </w:tabs>
        <w:spacing w:after="0"/>
        <w:rPr>
          <w:bCs/>
        </w:rPr>
      </w:pPr>
      <w:r w:rsidRPr="0052418C">
        <w:rPr>
          <w:bCs/>
        </w:rPr>
        <w:t xml:space="preserve">Axtel señaló que </w:t>
      </w:r>
      <w:r w:rsidR="00DC6BE6" w:rsidRPr="0052418C">
        <w:rPr>
          <w:rFonts w:cs="Arial"/>
        </w:rPr>
        <w:t>Red Nacional</w:t>
      </w:r>
      <w:r w:rsidR="00DC6BE6" w:rsidRPr="0052418C">
        <w:rPr>
          <w:bCs/>
        </w:rPr>
        <w:t xml:space="preserve"> </w:t>
      </w:r>
      <w:r w:rsidRPr="0052418C">
        <w:rPr>
          <w:bCs/>
        </w:rPr>
        <w:t>busca</w:t>
      </w:r>
      <w:r w:rsidR="00DC6BE6" w:rsidRPr="0052418C">
        <w:rPr>
          <w:bCs/>
        </w:rPr>
        <w:t>n</w:t>
      </w:r>
      <w:r w:rsidRPr="0052418C">
        <w:rPr>
          <w:bCs/>
        </w:rPr>
        <w:t xml:space="preserve"> justificar cualquier hecho como caso fortuito y fuerza mayor, utilizando el </w:t>
      </w:r>
      <w:r w:rsidR="00E12156" w:rsidRPr="0052418C">
        <w:rPr>
          <w:bCs/>
        </w:rPr>
        <w:t>término</w:t>
      </w:r>
      <w:r w:rsidRPr="0052418C">
        <w:rPr>
          <w:bCs/>
        </w:rPr>
        <w:t xml:space="preserve"> “incluyendo sin limitar” para conceptualizar por propia decisión escenarios con el fin de deslindarse de responsabilidades.</w:t>
      </w:r>
    </w:p>
    <w:p w14:paraId="0940BBF6" w14:textId="77777777" w:rsidR="00AC153E" w:rsidRPr="0052418C" w:rsidRDefault="00AC153E" w:rsidP="0052418C">
      <w:pPr>
        <w:pStyle w:val="IFT1"/>
        <w:tabs>
          <w:tab w:val="left" w:pos="426"/>
        </w:tabs>
        <w:spacing w:after="0"/>
        <w:rPr>
          <w:bCs/>
        </w:rPr>
      </w:pPr>
    </w:p>
    <w:p w14:paraId="1AEECA68" w14:textId="77777777" w:rsidR="009E7FF9" w:rsidRPr="0052418C" w:rsidRDefault="009E7FF9"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p>
    <w:p w14:paraId="21188A92" w14:textId="1081C66F" w:rsidR="00802229" w:rsidRPr="0052418C" w:rsidRDefault="00802229" w:rsidP="0052418C">
      <w:pPr>
        <w:spacing w:after="0" w:line="276" w:lineRule="auto"/>
        <w:ind w:left="0" w:right="0" w:firstLine="0"/>
        <w:rPr>
          <w:rFonts w:ascii="ITC Avant Garde" w:hAnsi="ITC Avant Garde" w:cs="Arial"/>
          <w:b/>
          <w:color w:val="auto"/>
          <w:u w:val="single"/>
        </w:rPr>
      </w:pPr>
      <w:r w:rsidRPr="0052418C">
        <w:rPr>
          <w:rFonts w:ascii="ITC Avant Garde" w:eastAsia="Times New Roman" w:hAnsi="ITC Avant Garde" w:cs="Times New Roman"/>
          <w:color w:val="auto"/>
        </w:rPr>
        <w:t>La inclusión de dicho texto se refiere a escenarios que no pueden ser delimitados o establecidos de manera específica o particular, al obedecer a situaciones que se pueden ver modificadas o aumentadas por escenarios fuera del control de las partes.</w:t>
      </w:r>
    </w:p>
    <w:p w14:paraId="35EC11F7" w14:textId="7B0D3639" w:rsidR="00E12156" w:rsidRPr="0052418C" w:rsidRDefault="00E12156" w:rsidP="0052418C">
      <w:pPr>
        <w:spacing w:after="0" w:line="276" w:lineRule="auto"/>
        <w:ind w:left="0" w:right="0" w:firstLine="0"/>
        <w:rPr>
          <w:rFonts w:ascii="ITC Avant Garde" w:hAnsi="ITC Avant Garde" w:cs="Arial"/>
          <w:b/>
          <w:color w:val="auto"/>
          <w:u w:val="single"/>
        </w:rPr>
      </w:pPr>
    </w:p>
    <w:p w14:paraId="4D65DCD6" w14:textId="77777777" w:rsidR="00802229" w:rsidRPr="0052418C" w:rsidRDefault="00802229" w:rsidP="0052418C">
      <w:pPr>
        <w:spacing w:after="0" w:line="276" w:lineRule="auto"/>
        <w:ind w:left="0" w:right="0" w:firstLine="0"/>
        <w:rPr>
          <w:rFonts w:ascii="ITC Avant Garde" w:hAnsi="ITC Avant Garde"/>
          <w:b/>
          <w:color w:val="auto"/>
          <w:u w:val="single"/>
        </w:rPr>
      </w:pPr>
      <w:r w:rsidRPr="0052418C">
        <w:rPr>
          <w:rFonts w:ascii="ITC Avant Garde" w:hAnsi="ITC Avant Garde"/>
          <w:b/>
          <w:color w:val="auto"/>
          <w:u w:val="single"/>
        </w:rPr>
        <w:t>Cláusula Vigésima Quinta.</w:t>
      </w:r>
      <w:r w:rsidRPr="0052418C">
        <w:rPr>
          <w:rFonts w:ascii="ITC Avant Garde" w:hAnsi="ITC Avant Garde"/>
          <w:u w:val="single"/>
        </w:rPr>
        <w:t xml:space="preserve"> </w:t>
      </w:r>
      <w:r w:rsidRPr="0052418C">
        <w:rPr>
          <w:rFonts w:ascii="ITC Avant Garde" w:hAnsi="ITC Avant Garde"/>
          <w:b/>
          <w:color w:val="auto"/>
          <w:u w:val="single"/>
        </w:rPr>
        <w:t>SUSPENSIÓN DE LAS MEDIDAS.</w:t>
      </w:r>
    </w:p>
    <w:p w14:paraId="57D5D81B" w14:textId="77777777" w:rsidR="00802229" w:rsidRPr="0052418C" w:rsidRDefault="00802229" w:rsidP="0052418C">
      <w:pPr>
        <w:pStyle w:val="IFT1"/>
        <w:tabs>
          <w:tab w:val="left" w:pos="426"/>
        </w:tabs>
        <w:spacing w:after="0"/>
        <w:rPr>
          <w:b/>
        </w:rPr>
      </w:pPr>
      <w:r w:rsidRPr="0052418C">
        <w:rPr>
          <w:b/>
        </w:rPr>
        <w:t>AXTEL:</w:t>
      </w:r>
    </w:p>
    <w:p w14:paraId="41D05FE5" w14:textId="77777777" w:rsidR="00802229" w:rsidRPr="0052418C" w:rsidRDefault="00802229" w:rsidP="0052418C">
      <w:pPr>
        <w:pStyle w:val="IFT1"/>
        <w:tabs>
          <w:tab w:val="left" w:pos="426"/>
        </w:tabs>
        <w:spacing w:after="0"/>
      </w:pPr>
      <w:r w:rsidRPr="0052418C">
        <w:t>Argumentó que en caso de que durante la vigencia del Convenio y la Oferta celebrado entre el CS y el AEP exista una resolución del Instituto o autoridad competente para dar por terminadas las medidas impuestas al AEP, se solicitó al Instituto considere la obligación de mantener las condiciones, precios y tarifas establecidas hasta en tanto no se cubra el 100% de la vigencia establecida (31 de diciembre de 2022), en caso contrario se tendría un impacto en costos ya establecidos con clientes finales y presupuestos de los CS.</w:t>
      </w:r>
    </w:p>
    <w:p w14:paraId="71FBB718" w14:textId="77777777" w:rsidR="00802229" w:rsidRPr="0052418C" w:rsidRDefault="00802229" w:rsidP="0052418C">
      <w:pPr>
        <w:pStyle w:val="IFT1"/>
        <w:tabs>
          <w:tab w:val="left" w:pos="426"/>
        </w:tabs>
        <w:spacing w:after="0"/>
      </w:pPr>
    </w:p>
    <w:p w14:paraId="60AC0AEE" w14:textId="77777777" w:rsidR="00802229" w:rsidRPr="0052418C" w:rsidRDefault="00802229" w:rsidP="0052418C">
      <w:pPr>
        <w:spacing w:after="0" w:line="276" w:lineRule="auto"/>
        <w:ind w:left="0" w:right="0" w:firstLine="0"/>
        <w:rPr>
          <w:rFonts w:ascii="ITC Avant Garde" w:hAnsi="ITC Avant Garde" w:cs="Times New Roman"/>
          <w:b/>
          <w:color w:val="auto"/>
        </w:rPr>
      </w:pPr>
      <w:r w:rsidRPr="0052418C">
        <w:rPr>
          <w:rFonts w:ascii="ITC Avant Garde" w:hAnsi="ITC Avant Garde" w:cs="Times New Roman"/>
          <w:b/>
          <w:color w:val="auto"/>
        </w:rPr>
        <w:t>Consideraciones del Instituto:</w:t>
      </w:r>
    </w:p>
    <w:p w14:paraId="432C2600" w14:textId="77777777" w:rsidR="00802229" w:rsidRPr="0052418C" w:rsidRDefault="00802229" w:rsidP="0052418C">
      <w:pPr>
        <w:pStyle w:val="IFT1"/>
        <w:tabs>
          <w:tab w:val="left" w:pos="426"/>
        </w:tabs>
        <w:spacing w:after="0"/>
      </w:pPr>
      <w:r w:rsidRPr="0052418C">
        <w:t xml:space="preserve">De conformidad a lo señalado por Axtel, la presente cláusula contiene el procedimiento a seguir en dado caso que haya una suspensión de medidas en las que se establece lo siguiente: </w:t>
      </w:r>
    </w:p>
    <w:p w14:paraId="0FBAAA2A" w14:textId="77777777" w:rsidR="00802229" w:rsidRPr="0052418C" w:rsidRDefault="00802229" w:rsidP="0052418C">
      <w:pPr>
        <w:pStyle w:val="IFT1"/>
        <w:tabs>
          <w:tab w:val="left" w:pos="426"/>
        </w:tabs>
        <w:spacing w:after="0"/>
      </w:pPr>
    </w:p>
    <w:p w14:paraId="14815027" w14:textId="1A5B1869" w:rsidR="00BD758F" w:rsidRPr="001A7720" w:rsidRDefault="00802229" w:rsidP="0052418C">
      <w:pPr>
        <w:pStyle w:val="IFT1"/>
        <w:tabs>
          <w:tab w:val="left" w:pos="426"/>
        </w:tabs>
        <w:spacing w:after="0"/>
        <w:ind w:left="567" w:right="616"/>
        <w:rPr>
          <w:i/>
          <w:iCs w:val="0"/>
          <w:sz w:val="18"/>
          <w:szCs w:val="18"/>
        </w:rPr>
      </w:pPr>
      <w:r w:rsidRPr="001A7720">
        <w:rPr>
          <w:i/>
          <w:iCs w:val="0"/>
          <w:sz w:val="18"/>
          <w:szCs w:val="18"/>
        </w:rPr>
        <w:t xml:space="preserve"> “…</w:t>
      </w:r>
      <w:r w:rsidR="00BF77A0" w:rsidRPr="001A7720">
        <w:rPr>
          <w:i/>
          <w:iCs w:val="0"/>
          <w:sz w:val="18"/>
          <w:szCs w:val="18"/>
        </w:rPr>
        <w:t>Red Nacional/Red Noroeste y el [Concesionario Solicitante</w:t>
      </w:r>
      <w:r w:rsidR="00BD758F" w:rsidRPr="001A7720">
        <w:rPr>
          <w:i/>
          <w:iCs w:val="0"/>
          <w:sz w:val="18"/>
          <w:szCs w:val="18"/>
        </w:rPr>
        <w:t xml:space="preserve"> o Autorizado Solicitante</w:t>
      </w:r>
      <w:r w:rsidR="00BF77A0" w:rsidRPr="001A7720">
        <w:rPr>
          <w:i/>
          <w:iCs w:val="0"/>
          <w:sz w:val="18"/>
          <w:szCs w:val="18"/>
        </w:rPr>
        <w:t>]</w:t>
      </w:r>
      <w:r w:rsidRPr="001A7720">
        <w:rPr>
          <w:i/>
          <w:iCs w:val="0"/>
          <w:sz w:val="18"/>
          <w:szCs w:val="18"/>
        </w:rPr>
        <w:t xml:space="preserve"> se obligan a negociar de buena fe</w:t>
      </w:r>
      <w:r w:rsidR="00BD758F" w:rsidRPr="001A7720">
        <w:rPr>
          <w:i/>
          <w:iCs w:val="0"/>
          <w:sz w:val="18"/>
          <w:szCs w:val="18"/>
        </w:rPr>
        <w:t xml:space="preserve">, con independencia de las acciones que el Instituto pueda ejercer en el marco de sus facultades de acuerdo con la normatividad vigente, </w:t>
      </w:r>
      <w:r w:rsidRPr="001A7720">
        <w:rPr>
          <w:i/>
          <w:iCs w:val="0"/>
          <w:sz w:val="18"/>
          <w:szCs w:val="18"/>
        </w:rPr>
        <w:t xml:space="preserve">durante un periodo de 120 (ciento veinte) días naturales, los nuevos términos y condiciones aplicables a los </w:t>
      </w:r>
      <w:r w:rsidR="00BD758F" w:rsidRPr="001A7720">
        <w:rPr>
          <w:i/>
          <w:iCs w:val="0"/>
          <w:sz w:val="18"/>
          <w:szCs w:val="18"/>
        </w:rPr>
        <w:t>servicios</w:t>
      </w:r>
      <w:r w:rsidRPr="001A7720">
        <w:rPr>
          <w:i/>
          <w:iCs w:val="0"/>
          <w:sz w:val="18"/>
          <w:szCs w:val="18"/>
        </w:rPr>
        <w:t xml:space="preserve"> objeto del presente CONVENIO que reflejen la nueva situación jurídica aplicable a dichos </w:t>
      </w:r>
      <w:r w:rsidR="00BD758F" w:rsidRPr="001A7720">
        <w:rPr>
          <w:i/>
          <w:iCs w:val="0"/>
          <w:sz w:val="18"/>
          <w:szCs w:val="18"/>
        </w:rPr>
        <w:t>servicios</w:t>
      </w:r>
      <w:r w:rsidRPr="001A7720">
        <w:rPr>
          <w:i/>
          <w:iCs w:val="0"/>
          <w:sz w:val="18"/>
          <w:szCs w:val="18"/>
        </w:rPr>
        <w:t xml:space="preserve">, plazo durante el cual permanecerán vigentes las últimas tarifas, términos y condiciones suscritos entre las PARTES. </w:t>
      </w:r>
    </w:p>
    <w:p w14:paraId="264E4BBB" w14:textId="77777777" w:rsidR="00070003" w:rsidRDefault="00070003" w:rsidP="0052418C">
      <w:pPr>
        <w:pStyle w:val="IFT1"/>
        <w:tabs>
          <w:tab w:val="left" w:pos="426"/>
        </w:tabs>
        <w:spacing w:after="0"/>
        <w:ind w:left="567" w:right="616"/>
        <w:rPr>
          <w:i/>
          <w:iCs w:val="0"/>
          <w:sz w:val="18"/>
          <w:szCs w:val="18"/>
        </w:rPr>
      </w:pPr>
    </w:p>
    <w:p w14:paraId="071ED0C6" w14:textId="1DC8400F" w:rsidR="00802229" w:rsidRPr="001A7720" w:rsidRDefault="00802229" w:rsidP="0052418C">
      <w:pPr>
        <w:pStyle w:val="IFT1"/>
        <w:tabs>
          <w:tab w:val="left" w:pos="426"/>
        </w:tabs>
        <w:spacing w:after="0"/>
        <w:ind w:left="567" w:right="616"/>
        <w:rPr>
          <w:i/>
          <w:iCs w:val="0"/>
          <w:sz w:val="18"/>
          <w:szCs w:val="18"/>
        </w:rPr>
      </w:pPr>
      <w:r w:rsidRPr="001A7720">
        <w:rPr>
          <w:i/>
          <w:iCs w:val="0"/>
          <w:sz w:val="18"/>
          <w:szCs w:val="18"/>
        </w:rPr>
        <w:lastRenderedPageBreak/>
        <w:t xml:space="preserve">Las Partes podrán acordar prorrogar </w:t>
      </w:r>
      <w:r w:rsidR="00BD758F" w:rsidRPr="001A7720">
        <w:rPr>
          <w:i/>
          <w:iCs w:val="0"/>
          <w:sz w:val="18"/>
          <w:szCs w:val="18"/>
        </w:rPr>
        <w:t xml:space="preserve">de mutuo acuerdo </w:t>
      </w:r>
      <w:r w:rsidRPr="001A7720">
        <w:rPr>
          <w:i/>
          <w:iCs w:val="0"/>
          <w:sz w:val="18"/>
          <w:szCs w:val="18"/>
        </w:rPr>
        <w:t>el periodo de negociación cuantas veces lo consideren necesario.”</w:t>
      </w:r>
    </w:p>
    <w:p w14:paraId="443BE24B" w14:textId="77777777" w:rsidR="00802229" w:rsidRPr="0052418C" w:rsidRDefault="00802229" w:rsidP="0052418C">
      <w:pPr>
        <w:pStyle w:val="IFT1"/>
        <w:tabs>
          <w:tab w:val="left" w:pos="426"/>
        </w:tabs>
        <w:spacing w:after="0"/>
        <w:ind w:left="567" w:right="616"/>
        <w:rPr>
          <w:sz w:val="18"/>
          <w:szCs w:val="18"/>
        </w:rPr>
      </w:pPr>
    </w:p>
    <w:p w14:paraId="48653116" w14:textId="77777777" w:rsidR="00802229" w:rsidRPr="00BD758F" w:rsidRDefault="00802229" w:rsidP="0052418C">
      <w:pPr>
        <w:pStyle w:val="IFT1"/>
        <w:tabs>
          <w:tab w:val="left" w:pos="426"/>
        </w:tabs>
        <w:spacing w:after="0"/>
        <w:ind w:left="567" w:right="616"/>
        <w:rPr>
          <w:sz w:val="18"/>
          <w:szCs w:val="18"/>
        </w:rPr>
      </w:pPr>
      <w:r w:rsidRPr="0052418C">
        <w:rPr>
          <w:i/>
          <w:iCs w:val="0"/>
          <w:sz w:val="18"/>
          <w:szCs w:val="18"/>
        </w:rPr>
        <w:tab/>
      </w:r>
      <w:r w:rsidRPr="0052418C">
        <w:rPr>
          <w:i/>
          <w:iCs w:val="0"/>
          <w:sz w:val="18"/>
          <w:szCs w:val="18"/>
        </w:rPr>
        <w:tab/>
      </w:r>
      <w:r w:rsidRPr="0052418C">
        <w:rPr>
          <w:i/>
          <w:iCs w:val="0"/>
          <w:sz w:val="18"/>
          <w:szCs w:val="18"/>
        </w:rPr>
        <w:tab/>
      </w:r>
      <w:r w:rsidRPr="0052418C">
        <w:rPr>
          <w:i/>
          <w:iCs w:val="0"/>
          <w:sz w:val="18"/>
          <w:szCs w:val="18"/>
        </w:rPr>
        <w:tab/>
      </w:r>
      <w:r w:rsidRPr="0052418C">
        <w:rPr>
          <w:i/>
          <w:iCs w:val="0"/>
          <w:sz w:val="18"/>
          <w:szCs w:val="18"/>
        </w:rPr>
        <w:tab/>
      </w:r>
      <w:r w:rsidRPr="0052418C">
        <w:rPr>
          <w:i/>
          <w:iCs w:val="0"/>
          <w:sz w:val="18"/>
          <w:szCs w:val="18"/>
        </w:rPr>
        <w:tab/>
      </w:r>
      <w:r w:rsidRPr="0052418C">
        <w:rPr>
          <w:i/>
          <w:iCs w:val="0"/>
          <w:sz w:val="18"/>
          <w:szCs w:val="18"/>
        </w:rPr>
        <w:tab/>
      </w:r>
      <w:r w:rsidRPr="0052418C">
        <w:rPr>
          <w:i/>
          <w:iCs w:val="0"/>
          <w:sz w:val="18"/>
          <w:szCs w:val="18"/>
        </w:rPr>
        <w:tab/>
      </w:r>
      <w:r w:rsidRPr="0052418C">
        <w:rPr>
          <w:i/>
          <w:iCs w:val="0"/>
          <w:sz w:val="18"/>
          <w:szCs w:val="18"/>
        </w:rPr>
        <w:tab/>
      </w:r>
      <w:r w:rsidRPr="00BD758F">
        <w:rPr>
          <w:sz w:val="18"/>
          <w:szCs w:val="18"/>
        </w:rPr>
        <w:t>(énfasis añadido)</w:t>
      </w:r>
    </w:p>
    <w:p w14:paraId="44E62D55" w14:textId="77777777" w:rsidR="00802229" w:rsidRPr="0052418C" w:rsidRDefault="00802229" w:rsidP="0052418C">
      <w:pPr>
        <w:spacing w:after="0" w:line="276" w:lineRule="auto"/>
        <w:ind w:left="0" w:right="0" w:firstLine="0"/>
        <w:rPr>
          <w:rFonts w:ascii="ITC Avant Garde" w:hAnsi="ITC Avant Garde" w:cs="Arial"/>
          <w:b/>
          <w:color w:val="auto"/>
          <w:u w:val="single"/>
        </w:rPr>
      </w:pPr>
    </w:p>
    <w:p w14:paraId="28A30DDD" w14:textId="11BE07EA" w:rsidR="00B00966" w:rsidRPr="0052418C" w:rsidRDefault="00936A14" w:rsidP="0052418C">
      <w:pPr>
        <w:spacing w:after="0" w:line="276" w:lineRule="auto"/>
        <w:ind w:left="0" w:right="0" w:firstLine="0"/>
        <w:rPr>
          <w:rFonts w:ascii="ITC Avant Garde" w:hAnsi="ITC Avant Garde" w:cs="Arial"/>
          <w:b/>
          <w:color w:val="auto"/>
          <w:u w:val="single"/>
        </w:rPr>
      </w:pPr>
      <w:r w:rsidRPr="0052418C">
        <w:rPr>
          <w:rFonts w:ascii="ITC Avant Garde" w:hAnsi="ITC Avant Garde" w:cs="Arial"/>
          <w:b/>
          <w:color w:val="auto"/>
          <w:u w:val="single"/>
        </w:rPr>
        <w:t>ANEXO “A” TARIFAS</w:t>
      </w:r>
      <w:r w:rsidR="00B10628" w:rsidRPr="0052418C">
        <w:rPr>
          <w:rFonts w:ascii="ITC Avant Garde" w:hAnsi="ITC Avant Garde" w:cs="Arial"/>
          <w:b/>
          <w:color w:val="auto"/>
          <w:u w:val="single"/>
        </w:rPr>
        <w:t>.</w:t>
      </w:r>
    </w:p>
    <w:p w14:paraId="3B861A6A" w14:textId="31E42ED2" w:rsidR="00F275C7" w:rsidRPr="0052418C" w:rsidRDefault="00ED39C6"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MEGA CABLE:</w:t>
      </w:r>
    </w:p>
    <w:p w14:paraId="0A02DA41" w14:textId="77777777" w:rsidR="00C602E0" w:rsidRPr="0052418C" w:rsidRDefault="00C602E0" w:rsidP="0052418C">
      <w:pPr>
        <w:spacing w:after="0" w:line="276" w:lineRule="auto"/>
        <w:ind w:left="0" w:right="0" w:firstLine="0"/>
        <w:rPr>
          <w:rFonts w:ascii="ITC Avant Garde" w:eastAsia="Times New Roman" w:hAnsi="ITC Avant Garde" w:cs="Times New Roman"/>
          <w:iCs/>
          <w:color w:val="auto"/>
          <w:lang w:eastAsia="en-US"/>
        </w:rPr>
      </w:pPr>
      <w:r w:rsidRPr="0052418C">
        <w:rPr>
          <w:rFonts w:ascii="ITC Avant Garde" w:eastAsia="Times New Roman" w:hAnsi="ITC Avant Garde" w:cs="Times New Roman"/>
          <w:iCs/>
          <w:color w:val="auto"/>
          <w:lang w:eastAsia="en-US"/>
        </w:rPr>
        <w:t>Mega Cable señaló que EM insiste en modificar el Anexo de Tarifas con contraprestaciones más elevadas que las determinadas por el Instituto en la ORE EM 2021.</w:t>
      </w:r>
    </w:p>
    <w:p w14:paraId="07392F94" w14:textId="79DF63C1" w:rsidR="00C602E0" w:rsidRPr="0052418C" w:rsidRDefault="00C602E0" w:rsidP="0052418C">
      <w:pPr>
        <w:spacing w:after="0" w:line="276" w:lineRule="auto"/>
        <w:ind w:left="0" w:right="0" w:firstLine="0"/>
        <w:rPr>
          <w:rFonts w:ascii="ITC Avant Garde" w:eastAsia="Times New Roman" w:hAnsi="ITC Avant Garde" w:cs="Times New Roman"/>
          <w:iCs/>
          <w:color w:val="auto"/>
          <w:lang w:eastAsia="en-US"/>
        </w:rPr>
      </w:pPr>
      <w:r w:rsidRPr="0052418C">
        <w:rPr>
          <w:rFonts w:ascii="ITC Avant Garde" w:eastAsia="Times New Roman" w:hAnsi="ITC Avant Garde" w:cs="Times New Roman"/>
          <w:iCs/>
          <w:color w:val="auto"/>
          <w:lang w:eastAsia="en-US"/>
        </w:rPr>
        <w:t xml:space="preserve"> </w:t>
      </w:r>
    </w:p>
    <w:p w14:paraId="617FD14F" w14:textId="4423F648" w:rsidR="00527F4E" w:rsidRPr="0052418C" w:rsidRDefault="00C602E0" w:rsidP="0052418C">
      <w:pPr>
        <w:spacing w:after="0" w:line="276" w:lineRule="auto"/>
        <w:ind w:left="0" w:right="0" w:firstLine="0"/>
        <w:rPr>
          <w:rFonts w:ascii="ITC Avant Garde" w:eastAsia="Times New Roman" w:hAnsi="ITC Avant Garde" w:cs="Times New Roman"/>
          <w:iCs/>
          <w:color w:val="auto"/>
          <w:lang w:eastAsia="en-US"/>
        </w:rPr>
      </w:pPr>
      <w:r w:rsidRPr="0052418C">
        <w:rPr>
          <w:rFonts w:ascii="ITC Avant Garde" w:eastAsia="Times New Roman" w:hAnsi="ITC Avant Garde" w:cs="Times New Roman"/>
          <w:iCs/>
          <w:color w:val="auto"/>
          <w:lang w:eastAsia="en-US"/>
        </w:rPr>
        <w:t>Por lo anterior, s</w:t>
      </w:r>
      <w:r w:rsidR="00527F4E" w:rsidRPr="0052418C">
        <w:rPr>
          <w:rFonts w:ascii="ITC Avant Garde" w:eastAsia="Times New Roman" w:hAnsi="ITC Avant Garde" w:cs="Times New Roman"/>
          <w:iCs/>
          <w:color w:val="auto"/>
          <w:lang w:eastAsia="en-US"/>
        </w:rPr>
        <w:t>olicitó que las tarifas deberán ser resultado de una metodología Costos Incrementales Promedio de Corto Plazo (“CIPLP”), la cual arrojaría niveles menores o en todo caso, similares a los de la ORE EM 2021, puesto que se observa una tendencia decreciente en los conceptos recurrentes y no recurrentes de las tarifas de enlaces en los últimos años.</w:t>
      </w:r>
    </w:p>
    <w:p w14:paraId="46AF7F39" w14:textId="77777777" w:rsidR="00F57091" w:rsidRPr="0052418C" w:rsidRDefault="00F57091" w:rsidP="0052418C">
      <w:pPr>
        <w:spacing w:after="0" w:line="276" w:lineRule="auto"/>
        <w:ind w:left="0" w:right="0" w:firstLine="0"/>
        <w:rPr>
          <w:rFonts w:ascii="ITC Avant Garde" w:hAnsi="ITC Avant Garde" w:cs="Arial"/>
          <w:color w:val="auto"/>
        </w:rPr>
      </w:pPr>
    </w:p>
    <w:p w14:paraId="1FCFFB2A" w14:textId="77777777" w:rsidR="00F754E4" w:rsidRPr="0052418C" w:rsidRDefault="00F754E4"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 xml:space="preserve">GRUPO AT&amp;T: </w:t>
      </w:r>
    </w:p>
    <w:p w14:paraId="2E096CF2" w14:textId="772DC73D" w:rsidR="00F754E4" w:rsidRPr="0052418C" w:rsidRDefault="00B51BFC"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Manifestó</w:t>
      </w:r>
      <w:r w:rsidR="00F754E4" w:rsidRPr="0052418C">
        <w:rPr>
          <w:rFonts w:ascii="ITC Avant Garde" w:hAnsi="ITC Avant Garde" w:cs="Arial"/>
          <w:color w:val="auto"/>
        </w:rPr>
        <w:t xml:space="preserve"> </w:t>
      </w:r>
      <w:r w:rsidR="00003DD5" w:rsidRPr="0052418C">
        <w:rPr>
          <w:rFonts w:ascii="ITC Avant Garde" w:hAnsi="ITC Avant Garde" w:cs="Arial"/>
          <w:color w:val="auto"/>
        </w:rPr>
        <w:t>que las tarifas deben ser fijadas por la Instituto mediante la utilización de una metodología de costos LRIC, debido a que las tarifas que propone Re</w:t>
      </w:r>
      <w:r w:rsidR="00802229" w:rsidRPr="0052418C">
        <w:rPr>
          <w:rFonts w:ascii="ITC Avant Garde" w:hAnsi="ITC Avant Garde" w:cs="Arial"/>
          <w:color w:val="auto"/>
        </w:rPr>
        <w:t>d</w:t>
      </w:r>
      <w:r w:rsidR="00003DD5" w:rsidRPr="0052418C">
        <w:rPr>
          <w:rFonts w:ascii="ITC Avant Garde" w:hAnsi="ITC Avant Garde" w:cs="Arial"/>
          <w:color w:val="auto"/>
        </w:rPr>
        <w:t xml:space="preserve"> Nacional son desproporcionadas y fuera de cualquier justificación</w:t>
      </w:r>
      <w:r w:rsidR="00F754E4" w:rsidRPr="0052418C">
        <w:rPr>
          <w:rFonts w:ascii="ITC Avant Garde" w:hAnsi="ITC Avant Garde" w:cs="Arial"/>
          <w:color w:val="auto"/>
        </w:rPr>
        <w:t>.</w:t>
      </w:r>
    </w:p>
    <w:p w14:paraId="52AF9151" w14:textId="3B29605B" w:rsidR="002C3057" w:rsidRPr="0052418C" w:rsidRDefault="002C3057" w:rsidP="0052418C">
      <w:pPr>
        <w:spacing w:after="0" w:line="276" w:lineRule="auto"/>
        <w:ind w:left="0" w:right="0" w:firstLine="0"/>
        <w:rPr>
          <w:rFonts w:ascii="ITC Avant Garde" w:hAnsi="ITC Avant Garde" w:cs="Arial"/>
          <w:color w:val="auto"/>
        </w:rPr>
      </w:pPr>
    </w:p>
    <w:p w14:paraId="3D624F43" w14:textId="452005BE" w:rsidR="000B5A7A" w:rsidRPr="0052418C" w:rsidRDefault="000B5A7A"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Asimismo, solicitó que se debe de eliminar el punto en el cual Red Nacional pretende cobrar por elaborar un presupuesto.</w:t>
      </w:r>
    </w:p>
    <w:p w14:paraId="21A72198" w14:textId="77777777" w:rsidR="000B5A7A" w:rsidRPr="0052418C" w:rsidRDefault="000B5A7A" w:rsidP="0052418C">
      <w:pPr>
        <w:spacing w:after="0" w:line="276" w:lineRule="auto"/>
        <w:ind w:left="0" w:right="0" w:firstLine="0"/>
        <w:rPr>
          <w:rFonts w:ascii="ITC Avant Garde" w:hAnsi="ITC Avant Garde" w:cs="Arial"/>
          <w:color w:val="auto"/>
        </w:rPr>
      </w:pPr>
    </w:p>
    <w:p w14:paraId="1E5977E1" w14:textId="77777777" w:rsidR="00C65FCF" w:rsidRPr="0052418C" w:rsidRDefault="00C65FCF"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AXTEL:</w:t>
      </w:r>
    </w:p>
    <w:p w14:paraId="6958C0E3" w14:textId="2B41A26F" w:rsidR="00C65FCF" w:rsidRPr="0052418C" w:rsidRDefault="00C65FCF"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Respecto a los gastos de instalación para tramo local Axtel señaló que </w:t>
      </w:r>
      <w:r w:rsidR="00DC6BE6" w:rsidRPr="0052418C">
        <w:rPr>
          <w:rFonts w:ascii="ITC Avant Garde" w:hAnsi="ITC Avant Garde" w:cs="Arial"/>
        </w:rPr>
        <w:t>Red Nacional</w:t>
      </w:r>
      <w:r w:rsidR="00DC6BE6" w:rsidRPr="0052418C">
        <w:rPr>
          <w:rFonts w:ascii="ITC Avant Garde" w:hAnsi="ITC Avant Garde"/>
          <w:bCs/>
          <w:color w:val="auto"/>
        </w:rPr>
        <w:t xml:space="preserve"> </w:t>
      </w:r>
      <w:r w:rsidRPr="0052418C">
        <w:rPr>
          <w:rFonts w:ascii="ITC Avant Garde" w:hAnsi="ITC Avant Garde" w:cs="Arial"/>
          <w:color w:val="auto"/>
        </w:rPr>
        <w:t>propone</w:t>
      </w:r>
      <w:r w:rsidR="00DC6BE6" w:rsidRPr="0052418C">
        <w:rPr>
          <w:rFonts w:ascii="ITC Avant Garde" w:hAnsi="ITC Avant Garde" w:cs="Arial"/>
          <w:color w:val="auto"/>
        </w:rPr>
        <w:t>n</w:t>
      </w:r>
      <w:r w:rsidRPr="0052418C">
        <w:rPr>
          <w:rFonts w:ascii="ITC Avant Garde" w:hAnsi="ITC Avant Garde" w:cs="Arial"/>
          <w:color w:val="auto"/>
        </w:rPr>
        <w:t xml:space="preserve"> incrementos a las tarifas del orden del 58% y 534% para todo tipo de enlaces, lo que afectará directamente a la migración del servicio de TDM a ETH</w:t>
      </w:r>
    </w:p>
    <w:p w14:paraId="0CECAF9E" w14:textId="77777777" w:rsidR="00C65FCF" w:rsidRPr="0052418C" w:rsidRDefault="00C65FCF" w:rsidP="0052418C">
      <w:pPr>
        <w:spacing w:after="0" w:line="276" w:lineRule="auto"/>
        <w:ind w:left="0" w:right="0" w:firstLine="0"/>
        <w:rPr>
          <w:rFonts w:ascii="ITC Avant Garde" w:hAnsi="ITC Avant Garde" w:cs="Arial"/>
          <w:color w:val="auto"/>
        </w:rPr>
      </w:pPr>
    </w:p>
    <w:p w14:paraId="6F19EA22" w14:textId="77777777" w:rsidR="00C65FCF" w:rsidRPr="0052418C" w:rsidRDefault="00C65FCF"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Por lo anterior Axtel solicitó modificar las tarifas de gastos de instalación, procurando mejorar las que se encuentran en la ORE vigente.</w:t>
      </w:r>
    </w:p>
    <w:p w14:paraId="5037FADC" w14:textId="77777777" w:rsidR="00C65FCF" w:rsidRPr="0052418C" w:rsidRDefault="00C65FCF" w:rsidP="0052418C">
      <w:pPr>
        <w:spacing w:after="0" w:line="276" w:lineRule="auto"/>
        <w:ind w:left="0" w:right="0" w:firstLine="0"/>
        <w:rPr>
          <w:rFonts w:ascii="ITC Avant Garde" w:hAnsi="ITC Avant Garde" w:cs="Arial"/>
          <w:color w:val="auto"/>
        </w:rPr>
      </w:pPr>
    </w:p>
    <w:p w14:paraId="0E9FA1F7" w14:textId="62B53195" w:rsidR="00C65FCF" w:rsidRPr="0052418C" w:rsidRDefault="00C65FCF"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En referencia a la Renta mensual por tramo local, Axtel señaló que </w:t>
      </w:r>
      <w:r w:rsidR="00DC6BE6" w:rsidRPr="0052418C">
        <w:rPr>
          <w:rFonts w:ascii="ITC Avant Garde" w:hAnsi="ITC Avant Garde" w:cs="Arial"/>
        </w:rPr>
        <w:t>Red Nacional</w:t>
      </w:r>
      <w:r w:rsidR="00DC6BE6" w:rsidRPr="0052418C">
        <w:rPr>
          <w:rFonts w:ascii="ITC Avant Garde" w:hAnsi="ITC Avant Garde"/>
          <w:bCs/>
          <w:color w:val="auto"/>
        </w:rPr>
        <w:t xml:space="preserve"> </w:t>
      </w:r>
      <w:r w:rsidRPr="0052418C">
        <w:rPr>
          <w:rFonts w:ascii="ITC Avant Garde" w:hAnsi="ITC Avant Garde" w:cs="Arial"/>
          <w:color w:val="auto"/>
        </w:rPr>
        <w:t>propone</w:t>
      </w:r>
      <w:r w:rsidR="00DC6BE6" w:rsidRPr="0052418C">
        <w:rPr>
          <w:rFonts w:ascii="ITC Avant Garde" w:hAnsi="ITC Avant Garde" w:cs="Arial"/>
          <w:color w:val="auto"/>
        </w:rPr>
        <w:t>n</w:t>
      </w:r>
      <w:r w:rsidRPr="0052418C">
        <w:rPr>
          <w:rFonts w:ascii="ITC Avant Garde" w:hAnsi="ITC Avant Garde" w:cs="Arial"/>
          <w:color w:val="auto"/>
        </w:rPr>
        <w:t xml:space="preserve"> incrementos a las tarifas del orden del 12% y 420% para todo tipo de enlaces, llama la atención que incluso para enlaces TDM el incremento sea de 312% cuando para dicha tecnología </w:t>
      </w:r>
      <w:r w:rsidR="00DC6BE6" w:rsidRPr="0052418C">
        <w:rPr>
          <w:rFonts w:ascii="ITC Avant Garde" w:hAnsi="ITC Avant Garde" w:cs="Arial"/>
        </w:rPr>
        <w:t>Red Nacional</w:t>
      </w:r>
      <w:r w:rsidR="00DC6BE6" w:rsidRPr="0052418C">
        <w:rPr>
          <w:rFonts w:ascii="ITC Avant Garde" w:hAnsi="ITC Avant Garde"/>
          <w:bCs/>
          <w:color w:val="auto"/>
        </w:rPr>
        <w:t xml:space="preserve"> </w:t>
      </w:r>
      <w:r w:rsidRPr="0052418C">
        <w:rPr>
          <w:rFonts w:ascii="ITC Avant Garde" w:hAnsi="ITC Avant Garde" w:cs="Arial"/>
          <w:color w:val="auto"/>
        </w:rPr>
        <w:t>ya no invierte</w:t>
      </w:r>
      <w:r w:rsidR="00DC6BE6" w:rsidRPr="0052418C">
        <w:rPr>
          <w:rFonts w:ascii="ITC Avant Garde" w:hAnsi="ITC Avant Garde" w:cs="Arial"/>
          <w:color w:val="auto"/>
        </w:rPr>
        <w:t>n</w:t>
      </w:r>
      <w:r w:rsidRPr="0052418C">
        <w:rPr>
          <w:rFonts w:ascii="ITC Avant Garde" w:hAnsi="ITC Avant Garde" w:cs="Arial"/>
          <w:color w:val="auto"/>
        </w:rPr>
        <w:t>.</w:t>
      </w:r>
    </w:p>
    <w:p w14:paraId="1D15449E" w14:textId="77777777" w:rsidR="00C65FCF" w:rsidRPr="0052418C" w:rsidRDefault="00C65FCF" w:rsidP="0052418C">
      <w:pPr>
        <w:spacing w:after="0" w:line="276" w:lineRule="auto"/>
        <w:ind w:left="0" w:right="0" w:firstLine="0"/>
        <w:rPr>
          <w:rFonts w:ascii="ITC Avant Garde" w:hAnsi="ITC Avant Garde" w:cs="Arial"/>
          <w:color w:val="auto"/>
        </w:rPr>
      </w:pPr>
    </w:p>
    <w:p w14:paraId="53F62A9A" w14:textId="55E760F9" w:rsidR="00C65FCF" w:rsidRPr="0052418C" w:rsidRDefault="00C65FCF"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Axtel solicitó al Instituto que no se incrementen de forma desmedida y sin fundamentos los precios para los diferentes tipos de enlaces, cuando en la práctica internacional se presenta una tendencia a la reducción del precio de los </w:t>
      </w:r>
      <w:r w:rsidRPr="0052418C">
        <w:rPr>
          <w:rFonts w:ascii="ITC Avant Garde" w:hAnsi="ITC Avant Garde" w:cs="Arial"/>
          <w:color w:val="auto"/>
        </w:rPr>
        <w:lastRenderedPageBreak/>
        <w:t xml:space="preserve">servicios debido a una evolución tecnológica y la reducción en el costo de los </w:t>
      </w:r>
      <w:r w:rsidRPr="00DD57EA">
        <w:rPr>
          <w:rFonts w:ascii="ITC Avant Garde" w:hAnsi="ITC Avant Garde" w:cs="Arial"/>
          <w:color w:val="auto"/>
        </w:rPr>
        <w:t xml:space="preserve">equipos. </w:t>
      </w:r>
      <w:r w:rsidR="00E65ACE" w:rsidRPr="00DD57EA">
        <w:rPr>
          <w:rFonts w:ascii="ITC Avant Garde" w:hAnsi="ITC Avant Garde" w:cs="Arial"/>
          <w:color w:val="auto"/>
        </w:rPr>
        <w:t>Axtel ha evidenciado que el AEP en la Propuesta de oferta ha</w:t>
      </w:r>
      <w:r w:rsidR="00E65ACE" w:rsidRPr="00E65ACE">
        <w:rPr>
          <w:rFonts w:ascii="ITC Avant Garde" w:hAnsi="ITC Avant Garde" w:cs="Arial"/>
          <w:color w:val="auto"/>
        </w:rPr>
        <w:t xml:space="preserve"> incrementado el costo de los enlaces de forma abrupta sin considerar los efectos al mercado y comprometiendo una migración de servicios de TDM a ETH por cuestiones de obsolescencia que el AEP ha </w:t>
      </w:r>
      <w:r w:rsidR="00BE3C38">
        <w:rPr>
          <w:rFonts w:ascii="ITC Avant Garde" w:hAnsi="ITC Avant Garde" w:cs="Arial"/>
          <w:color w:val="auto"/>
        </w:rPr>
        <w:t xml:space="preserve">tratado de </w:t>
      </w:r>
      <w:r w:rsidR="00E65ACE" w:rsidRPr="00E65ACE">
        <w:rPr>
          <w:rFonts w:ascii="ITC Avant Garde" w:hAnsi="ITC Avant Garde" w:cs="Arial"/>
          <w:color w:val="auto"/>
        </w:rPr>
        <w:t>justifica</w:t>
      </w:r>
      <w:r w:rsidR="00BE3C38">
        <w:rPr>
          <w:rFonts w:ascii="ITC Avant Garde" w:hAnsi="ITC Avant Garde" w:cs="Arial"/>
          <w:color w:val="auto"/>
        </w:rPr>
        <w:t>r</w:t>
      </w:r>
      <w:r w:rsidR="00E65ACE" w:rsidRPr="00E65ACE">
        <w:rPr>
          <w:rFonts w:ascii="ITC Avant Garde" w:hAnsi="ITC Avant Garde" w:cs="Arial"/>
          <w:color w:val="auto"/>
        </w:rPr>
        <w:t xml:space="preserve"> ampliamente.</w:t>
      </w:r>
    </w:p>
    <w:p w14:paraId="25CD418B" w14:textId="77777777" w:rsidR="00C65FCF" w:rsidRPr="0052418C" w:rsidRDefault="00C65FCF" w:rsidP="0052418C">
      <w:pPr>
        <w:spacing w:after="0" w:line="276" w:lineRule="auto"/>
        <w:ind w:left="0" w:right="0" w:firstLine="0"/>
        <w:rPr>
          <w:rFonts w:ascii="ITC Avant Garde" w:hAnsi="ITC Avant Garde" w:cs="Arial"/>
          <w:color w:val="auto"/>
        </w:rPr>
      </w:pPr>
    </w:p>
    <w:p w14:paraId="15B2BEEB" w14:textId="593481AD" w:rsidR="00C65FCF" w:rsidRPr="0052418C" w:rsidRDefault="00C65FCF"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Respecto al Anexo A numeral 3 denominado elaboración de proyectos especiales, Axtel señala que </w:t>
      </w:r>
      <w:r w:rsidR="00DC6BE6" w:rsidRPr="0052418C">
        <w:rPr>
          <w:rFonts w:ascii="ITC Avant Garde" w:hAnsi="ITC Avant Garde" w:cs="Arial"/>
          <w:color w:val="auto"/>
        </w:rPr>
        <w:t xml:space="preserve">Red Nacional </w:t>
      </w:r>
      <w:r w:rsidRPr="0052418C">
        <w:rPr>
          <w:rFonts w:ascii="ITC Avant Garde" w:hAnsi="ITC Avant Garde" w:cs="Arial"/>
          <w:color w:val="auto"/>
        </w:rPr>
        <w:t>busc</w:t>
      </w:r>
      <w:r w:rsidR="00DC6BE6" w:rsidRPr="0052418C">
        <w:rPr>
          <w:rFonts w:ascii="ITC Avant Garde" w:hAnsi="ITC Avant Garde" w:cs="Arial"/>
          <w:color w:val="auto"/>
        </w:rPr>
        <w:t>aron</w:t>
      </w:r>
      <w:r w:rsidRPr="0052418C">
        <w:rPr>
          <w:rFonts w:ascii="ITC Avant Garde" w:hAnsi="ITC Avant Garde" w:cs="Arial"/>
          <w:color w:val="auto"/>
        </w:rPr>
        <w:t xml:space="preserve"> cobrar el estudio de factibilidad cuando una solicitud de alta sea considerada como proyecto especial y el CS no acepte el proyecto, siendo que la generación de cotizaciones en cualquier industria es parte del costo de venta y nunca la refleja al cliente.</w:t>
      </w:r>
    </w:p>
    <w:p w14:paraId="0552E77C" w14:textId="77777777" w:rsidR="00C65FCF" w:rsidRPr="0052418C" w:rsidRDefault="00C65FCF" w:rsidP="0052418C">
      <w:pPr>
        <w:spacing w:after="0" w:line="276" w:lineRule="auto"/>
        <w:ind w:left="0" w:right="0" w:firstLine="0"/>
        <w:rPr>
          <w:rFonts w:ascii="ITC Avant Garde" w:hAnsi="ITC Avant Garde" w:cs="Arial"/>
          <w:color w:val="auto"/>
        </w:rPr>
      </w:pPr>
    </w:p>
    <w:p w14:paraId="588736AB" w14:textId="6201A484" w:rsidR="00C65FCF" w:rsidRPr="0052418C" w:rsidRDefault="00C65FCF"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Por lo anterior, Axtel solicitó al Instituto se elimine este cobro debido a que en cualquier operación comercial una cotización no se cobra; la infraestructura que se llega a pagar por concepto de Proyecto Especial no es de uso exclusivo del CS y la infraestructura al término del período de contratación queda en propiedad de </w:t>
      </w:r>
      <w:r w:rsidR="00DC6BE6" w:rsidRPr="0052418C">
        <w:rPr>
          <w:rFonts w:ascii="ITC Avant Garde" w:hAnsi="ITC Avant Garde" w:cs="Arial"/>
          <w:color w:val="auto"/>
        </w:rPr>
        <w:t>Red Nacional</w:t>
      </w:r>
      <w:r w:rsidRPr="0052418C">
        <w:rPr>
          <w:rFonts w:ascii="ITC Avant Garde" w:hAnsi="ITC Avant Garde" w:cs="Arial"/>
          <w:color w:val="auto"/>
        </w:rPr>
        <w:t>.</w:t>
      </w:r>
    </w:p>
    <w:p w14:paraId="564927EB" w14:textId="77777777" w:rsidR="00C65FCF" w:rsidRPr="0052418C" w:rsidRDefault="00C65FCF" w:rsidP="0052418C">
      <w:pPr>
        <w:spacing w:after="0" w:line="276" w:lineRule="auto"/>
        <w:ind w:left="0" w:right="0" w:firstLine="0"/>
        <w:rPr>
          <w:rFonts w:ascii="ITC Avant Garde" w:hAnsi="ITC Avant Garde" w:cs="Arial"/>
          <w:color w:val="auto"/>
        </w:rPr>
      </w:pPr>
    </w:p>
    <w:p w14:paraId="4F8D4E7E" w14:textId="15E13384" w:rsidR="00C65FCF" w:rsidRPr="0052418C" w:rsidRDefault="00C65FCF"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Respecto al Anexo A numeral 4 denominado habilitación por enlace Axtel señaló que </w:t>
      </w:r>
      <w:r w:rsidR="00DC6BE6" w:rsidRPr="0052418C">
        <w:rPr>
          <w:rFonts w:ascii="ITC Avant Garde" w:hAnsi="ITC Avant Garde" w:cs="Arial"/>
        </w:rPr>
        <w:t>Red Nacional</w:t>
      </w:r>
      <w:r w:rsidR="00DC6BE6" w:rsidRPr="0052418C">
        <w:rPr>
          <w:rFonts w:ascii="ITC Avant Garde" w:hAnsi="ITC Avant Garde"/>
          <w:bCs/>
          <w:color w:val="auto"/>
        </w:rPr>
        <w:t xml:space="preserve"> </w:t>
      </w:r>
      <w:r w:rsidRPr="0052418C">
        <w:rPr>
          <w:rFonts w:ascii="ITC Avant Garde" w:hAnsi="ITC Avant Garde" w:cs="Arial"/>
          <w:color w:val="auto"/>
        </w:rPr>
        <w:t>intent</w:t>
      </w:r>
      <w:r w:rsidR="00DC6BE6" w:rsidRPr="0052418C">
        <w:rPr>
          <w:rFonts w:ascii="ITC Avant Garde" w:hAnsi="ITC Avant Garde" w:cs="Arial"/>
          <w:color w:val="auto"/>
        </w:rPr>
        <w:t>aron</w:t>
      </w:r>
      <w:r w:rsidRPr="0052418C">
        <w:rPr>
          <w:rFonts w:ascii="ITC Avant Garde" w:hAnsi="ITC Avant Garde" w:cs="Arial"/>
          <w:color w:val="auto"/>
        </w:rPr>
        <w:t xml:space="preserve"> cobrar por la habilitación de enlaces cuando estos lleguen a un Hu</w:t>
      </w:r>
      <w:r w:rsidR="00DC6BE6" w:rsidRPr="0052418C">
        <w:rPr>
          <w:rFonts w:ascii="ITC Avant Garde" w:hAnsi="ITC Avant Garde" w:cs="Arial"/>
          <w:color w:val="auto"/>
        </w:rPr>
        <w:t>b</w:t>
      </w:r>
      <w:r w:rsidRPr="0052418C">
        <w:rPr>
          <w:rFonts w:ascii="ITC Avant Garde" w:hAnsi="ITC Avant Garde" w:cs="Arial"/>
          <w:color w:val="auto"/>
        </w:rPr>
        <w:t>, lo cual es injustificado y desincentiva la migración de enlaces vigentes con tecnología TDM hacia la tecnología Ethernet.</w:t>
      </w:r>
    </w:p>
    <w:p w14:paraId="7B0915BB" w14:textId="77777777" w:rsidR="00C65FCF" w:rsidRPr="0052418C" w:rsidRDefault="00C65FCF" w:rsidP="0052418C">
      <w:pPr>
        <w:spacing w:after="0" w:line="276" w:lineRule="auto"/>
        <w:ind w:left="0" w:right="0" w:firstLine="0"/>
        <w:rPr>
          <w:rFonts w:ascii="ITC Avant Garde" w:hAnsi="ITC Avant Garde" w:cs="Arial"/>
          <w:color w:val="auto"/>
        </w:rPr>
      </w:pPr>
    </w:p>
    <w:p w14:paraId="26939E99" w14:textId="77777777" w:rsidR="00C65FCF" w:rsidRPr="0052418C" w:rsidRDefault="00C65FCF"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En virtud de lo anterior Axtel solicitó la eliminación del cobro por la habilitación por enlaces que lleguen a un Hub dado que si no se elimina se dejaría al CS con una baja competencia en el mercado con este tipo de condiciones.</w:t>
      </w:r>
    </w:p>
    <w:p w14:paraId="08380A35" w14:textId="77777777" w:rsidR="00C65FCF" w:rsidRPr="0052418C" w:rsidRDefault="00C65FCF" w:rsidP="0052418C">
      <w:pPr>
        <w:spacing w:after="0" w:line="276" w:lineRule="auto"/>
        <w:ind w:left="0" w:right="0" w:firstLine="0"/>
        <w:rPr>
          <w:rFonts w:ascii="ITC Avant Garde" w:hAnsi="ITC Avant Garde" w:cs="Arial"/>
          <w:color w:val="auto"/>
        </w:rPr>
      </w:pPr>
    </w:p>
    <w:p w14:paraId="7CD8A5B1" w14:textId="5DED6E02" w:rsidR="00C65FCF" w:rsidRPr="0052418C" w:rsidRDefault="0073758B" w:rsidP="0052418C">
      <w:pPr>
        <w:spacing w:after="0" w:line="276" w:lineRule="auto"/>
        <w:ind w:left="0" w:right="0" w:firstLine="0"/>
        <w:rPr>
          <w:rFonts w:ascii="ITC Avant Garde" w:hAnsi="ITC Avant Garde" w:cs="Arial"/>
          <w:b/>
          <w:bCs/>
          <w:color w:val="auto"/>
        </w:rPr>
      </w:pPr>
      <w:r w:rsidRPr="0052418C">
        <w:rPr>
          <w:rFonts w:ascii="ITC Avant Garde" w:hAnsi="ITC Avant Garde" w:cs="Arial"/>
          <w:b/>
          <w:bCs/>
          <w:color w:val="auto"/>
        </w:rPr>
        <w:t>PEGASO:</w:t>
      </w:r>
    </w:p>
    <w:p w14:paraId="30E20FC4" w14:textId="5AB3DE61" w:rsidR="00BD3645" w:rsidRPr="0052418C" w:rsidRDefault="00A5766F"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Señaló que el AEP argumenta que tiene derecho a recuperar los costos en los que efectivamente incurre al prestar los servicios de enlaces dedicados</w:t>
      </w:r>
      <w:r w:rsidR="00BE2B90" w:rsidRPr="0052418C">
        <w:rPr>
          <w:rFonts w:ascii="ITC Avant Garde" w:hAnsi="ITC Avant Garde" w:cs="Arial"/>
          <w:color w:val="auto"/>
        </w:rPr>
        <w:t>, lo cual no sucede con las tarifas actuales, S</w:t>
      </w:r>
      <w:r w:rsidR="00BE2B90" w:rsidRPr="0052418C">
        <w:rPr>
          <w:rFonts w:ascii="ITC Avant Garde" w:hAnsi="ITC Avant Garde" w:cs="Arial"/>
          <w:color w:val="auto"/>
        </w:rPr>
        <w:tab/>
        <w:t xml:space="preserve">in embargo, Pegaso afirma que las tarifas se fijan mediante un modelo de costos en el que incurriría el operador regulado bajo el enfoque de operador hipotético eficiente, por lo que no se trasladan </w:t>
      </w:r>
      <w:r w:rsidR="007704B2" w:rsidRPr="0052418C">
        <w:rPr>
          <w:rFonts w:ascii="ITC Avant Garde" w:hAnsi="ITC Avant Garde" w:cs="Arial"/>
          <w:color w:val="auto"/>
        </w:rPr>
        <w:t xml:space="preserve">de esta manera a las tarifas reguladas posibles ineficiencias en las que podría estar incurriendo el operador regulado. Así mismo, dado que con el modelo de costos se calculan tarifas de los operadores mayoristas </w:t>
      </w:r>
      <w:r w:rsidR="00BD3645" w:rsidRPr="0052418C">
        <w:rPr>
          <w:rFonts w:ascii="ITC Avant Garde" w:hAnsi="ITC Avant Garde" w:cs="Arial"/>
          <w:color w:val="auto"/>
        </w:rPr>
        <w:t>y no minoristas es falso que con estas tarifas se genere un subsidio a los CS y con ello se desincentive la inversión tanto del CS como del AEP.</w:t>
      </w:r>
    </w:p>
    <w:p w14:paraId="41671956" w14:textId="2B43D9E0" w:rsidR="00186A5F" w:rsidRPr="0052418C" w:rsidRDefault="00186A5F" w:rsidP="0052418C">
      <w:pPr>
        <w:spacing w:after="0" w:line="276" w:lineRule="auto"/>
        <w:ind w:left="0" w:right="0" w:firstLine="0"/>
        <w:rPr>
          <w:rFonts w:ascii="ITC Avant Garde" w:hAnsi="ITC Avant Garde" w:cs="Arial"/>
          <w:color w:val="auto"/>
        </w:rPr>
      </w:pPr>
    </w:p>
    <w:p w14:paraId="650A33D9" w14:textId="3A332422" w:rsidR="00186A5F" w:rsidRPr="0052418C" w:rsidRDefault="00186A5F" w:rsidP="0052418C">
      <w:pPr>
        <w:spacing w:after="0" w:line="276" w:lineRule="auto"/>
        <w:ind w:left="0" w:right="0" w:firstLine="0"/>
        <w:rPr>
          <w:rFonts w:ascii="ITC Avant Garde" w:hAnsi="ITC Avant Garde"/>
          <w:bCs/>
          <w:color w:val="auto"/>
        </w:rPr>
      </w:pPr>
      <w:r w:rsidRPr="0052418C">
        <w:rPr>
          <w:rFonts w:ascii="ITC Avant Garde" w:hAnsi="ITC Avant Garde"/>
          <w:bCs/>
          <w:color w:val="auto"/>
        </w:rPr>
        <w:t xml:space="preserve">Asimismo, añadió que las falsas acusaciones que vierte el AEP manifestando que con las tarifas vigentes se generaría un subsidio a los CS que desincentivaría la </w:t>
      </w:r>
      <w:r w:rsidRPr="0052418C">
        <w:rPr>
          <w:rFonts w:ascii="ITC Avant Garde" w:hAnsi="ITC Avant Garde"/>
          <w:bCs/>
          <w:color w:val="auto"/>
        </w:rPr>
        <w:lastRenderedPageBreak/>
        <w:t>inversión tanto de los CS como del propio AEP. Puntualizo que la propuesta de tarifas de enlaces dedicados llega a multiplicar por 5 y hasta por 8 los precios de instalación de los enlaces y la renta mensual.</w:t>
      </w:r>
    </w:p>
    <w:p w14:paraId="56FDF69B" w14:textId="0CD03C82" w:rsidR="00186A5F" w:rsidRPr="0052418C" w:rsidRDefault="00186A5F" w:rsidP="0052418C">
      <w:pPr>
        <w:spacing w:after="0" w:line="276" w:lineRule="auto"/>
        <w:ind w:left="0" w:right="0" w:firstLine="0"/>
        <w:rPr>
          <w:rFonts w:ascii="ITC Avant Garde" w:hAnsi="ITC Avant Garde" w:cs="Arial"/>
          <w:color w:val="auto"/>
        </w:rPr>
      </w:pPr>
    </w:p>
    <w:p w14:paraId="6C375FB5" w14:textId="41214DBC" w:rsidR="00D47CC4" w:rsidRPr="0052418C" w:rsidRDefault="00D47CC4"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r w:rsidR="00367679" w:rsidRPr="0052418C">
        <w:rPr>
          <w:rFonts w:ascii="ITC Avant Garde" w:hAnsi="ITC Avant Garde" w:cs="Arial"/>
          <w:b/>
          <w:color w:val="auto"/>
        </w:rPr>
        <w:t>:</w:t>
      </w:r>
    </w:p>
    <w:p w14:paraId="235F9E3D" w14:textId="22B7D427" w:rsidR="0059153A" w:rsidRPr="0052418C" w:rsidRDefault="00C70A81"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Al respecto, la Medida Trigésima Séptima de las Medidas Fijas establece que las tarifas aplicables al Servicio Mayorista de Enlaces Dedicados se determinarán a partir de un modelo de costos basado en una metodología de costos incrementales promedio de largo plazo, que al efecto emita el Instituto; ello en concordancia con la Medida Cuadragésima Primera de las Medidas Fijas en donde se señala que la Oferta de Referencia correspondiente deberá contener las tarifas. </w:t>
      </w:r>
    </w:p>
    <w:p w14:paraId="26464AD3" w14:textId="77777777" w:rsidR="0059153A" w:rsidRPr="0052418C" w:rsidRDefault="0059153A" w:rsidP="0052418C">
      <w:pPr>
        <w:spacing w:after="0" w:line="276" w:lineRule="auto"/>
        <w:ind w:left="0" w:right="0" w:firstLine="0"/>
        <w:rPr>
          <w:rFonts w:ascii="ITC Avant Garde" w:hAnsi="ITC Avant Garde" w:cs="Arial"/>
          <w:color w:val="auto"/>
        </w:rPr>
      </w:pPr>
    </w:p>
    <w:p w14:paraId="6DD79413" w14:textId="2DD8D4CF" w:rsidR="00564127" w:rsidRPr="0052418C" w:rsidRDefault="00564127" w:rsidP="0052418C">
      <w:pPr>
        <w:spacing w:after="0" w:line="276" w:lineRule="auto"/>
        <w:ind w:left="0" w:right="0" w:firstLine="0"/>
        <w:rPr>
          <w:rFonts w:ascii="ITC Avant Garde" w:hAnsi="ITC Avant Garde"/>
          <w:color w:val="auto"/>
        </w:rPr>
      </w:pPr>
      <w:r w:rsidRPr="0052418C">
        <w:rPr>
          <w:rFonts w:ascii="ITC Avant Garde" w:hAnsi="ITC Avant Garde"/>
          <w:color w:val="auto"/>
        </w:rPr>
        <w:t xml:space="preserve">Es necesario señalar que la metodología instrumentada por este Instituto, Costos Incrementales Totales Promedio de Largo Plazo (CITLP) se considera una mejor práctica internacional tanto por reguladores como por organismos especializados en telecomunicaciones. Esto debido a que dicha metodología permite la recuperación de todos los costos en los que se incurre por proveer el servicio de manera eficiente, a la vez que otorga un mark up que permite recuperar una porción razonable de los costos comunes y compartidos de los servicios que presta la empresa regulada. De tal forma, las tarifas establecidas en el presente instrumento regulatorio garantizan a </w:t>
      </w:r>
      <w:r w:rsidR="00790B92" w:rsidRPr="0052418C">
        <w:rPr>
          <w:rFonts w:ascii="ITC Avant Garde" w:hAnsi="ITC Avant Garde" w:cs="Times New Roman"/>
          <w:color w:val="auto"/>
        </w:rPr>
        <w:t xml:space="preserve">Red Nacional </w:t>
      </w:r>
      <w:r w:rsidRPr="0052418C">
        <w:rPr>
          <w:rFonts w:ascii="ITC Avant Garde" w:hAnsi="ITC Avant Garde"/>
          <w:color w:val="auto"/>
        </w:rPr>
        <w:t>el eficiente retorno de los costos contraídos por el suministro del servicio de enlaces dedicados, al tiempo que incentivan un crecimiento en la demanda de los mismos y, por ende, la competencia en el segmento correspondiente.</w:t>
      </w:r>
    </w:p>
    <w:p w14:paraId="02588E33" w14:textId="77777777" w:rsidR="00564127" w:rsidRPr="0052418C" w:rsidRDefault="00564127" w:rsidP="0052418C">
      <w:pPr>
        <w:spacing w:after="0" w:line="276" w:lineRule="auto"/>
        <w:ind w:left="0" w:right="0" w:firstLine="0"/>
        <w:rPr>
          <w:rFonts w:ascii="ITC Avant Garde" w:hAnsi="ITC Avant Garde"/>
          <w:color w:val="auto"/>
        </w:rPr>
      </w:pPr>
    </w:p>
    <w:p w14:paraId="4E35D476" w14:textId="6E0D3C53" w:rsidR="002A0B85" w:rsidRPr="0052418C" w:rsidRDefault="002A0B85"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Por lo que respecta a que Axtel solicitó al Instituto se elimine el cobro una cotización cuando sea determinado un proyecto especial este se eliminó, debido a que podría constituirse como una barrera económica para el acceso de los CS o AS al servicio o como un incentivo para calificar cualquier solicitud de servicios como Proyecto Especial.</w:t>
      </w:r>
    </w:p>
    <w:p w14:paraId="5105989B" w14:textId="00B2A702" w:rsidR="002A0B85" w:rsidRPr="0052418C" w:rsidRDefault="002A0B85" w:rsidP="0052418C">
      <w:pPr>
        <w:spacing w:after="0" w:line="276" w:lineRule="auto"/>
        <w:ind w:left="0" w:right="0" w:firstLine="0"/>
        <w:rPr>
          <w:rFonts w:ascii="ITC Avant Garde" w:hAnsi="ITC Avant Garde" w:cs="Arial"/>
          <w:color w:val="auto"/>
        </w:rPr>
      </w:pPr>
    </w:p>
    <w:p w14:paraId="563588A1" w14:textId="7AEC21D2" w:rsidR="005D4922" w:rsidRDefault="004A3F49" w:rsidP="005D4922">
      <w:pPr>
        <w:autoSpaceDE w:val="0"/>
        <w:autoSpaceDN w:val="0"/>
        <w:adjustRightInd w:val="0"/>
        <w:spacing w:after="0" w:line="276" w:lineRule="auto"/>
        <w:ind w:left="0" w:right="0" w:firstLine="0"/>
        <w:rPr>
          <w:rFonts w:ascii="ITC Avant Garde" w:hAnsi="ITC Avant Garde" w:cs="Arial"/>
          <w:bCs/>
          <w:color w:val="auto"/>
        </w:rPr>
      </w:pPr>
      <w:r w:rsidRPr="0052418C">
        <w:rPr>
          <w:rFonts w:ascii="ITC Avant Garde" w:hAnsi="ITC Avant Garde" w:cs="Arial"/>
          <w:color w:val="auto"/>
        </w:rPr>
        <w:t>Finalmente,</w:t>
      </w:r>
      <w:r w:rsidR="002A0B85" w:rsidRPr="0052418C">
        <w:rPr>
          <w:rFonts w:ascii="ITC Avant Garde" w:hAnsi="ITC Avant Garde" w:cs="Arial"/>
          <w:color w:val="auto"/>
        </w:rPr>
        <w:t xml:space="preserve"> por lo que </w:t>
      </w:r>
      <w:r w:rsidR="005D4922">
        <w:rPr>
          <w:rFonts w:ascii="ITC Avant Garde" w:hAnsi="ITC Avant Garde" w:cs="Arial"/>
          <w:color w:val="auto"/>
        </w:rPr>
        <w:t xml:space="preserve">señala Axtel </w:t>
      </w:r>
      <w:r w:rsidR="002A0B85" w:rsidRPr="0052418C">
        <w:rPr>
          <w:rFonts w:ascii="ITC Avant Garde" w:hAnsi="ITC Avant Garde" w:cs="Arial"/>
          <w:color w:val="auto"/>
        </w:rPr>
        <w:t>respect</w:t>
      </w:r>
      <w:r w:rsidR="005D4922">
        <w:rPr>
          <w:rFonts w:ascii="ITC Avant Garde" w:hAnsi="ITC Avant Garde" w:cs="Arial"/>
          <w:color w:val="auto"/>
        </w:rPr>
        <w:t>ó</w:t>
      </w:r>
      <w:r w:rsidR="002A0B85" w:rsidRPr="0052418C">
        <w:rPr>
          <w:rFonts w:ascii="ITC Avant Garde" w:hAnsi="ITC Avant Garde" w:cs="Arial"/>
          <w:color w:val="auto"/>
        </w:rPr>
        <w:t xml:space="preserve"> a la eliminación del concepto de habilitación </w:t>
      </w:r>
      <w:r w:rsidR="002A0B85" w:rsidRPr="0052418C">
        <w:rPr>
          <w:rFonts w:ascii="ITC Avant Garde" w:hAnsi="ITC Avant Garde"/>
          <w:bCs/>
          <w:color w:val="auto"/>
        </w:rPr>
        <w:t>de enlace</w:t>
      </w:r>
      <w:r w:rsidR="0075207D">
        <w:rPr>
          <w:rFonts w:ascii="ITC Avant Garde" w:hAnsi="ITC Avant Garde"/>
          <w:bCs/>
          <w:color w:val="auto"/>
        </w:rPr>
        <w:t xml:space="preserve">, </w:t>
      </w:r>
      <w:r w:rsidR="0075207D" w:rsidRPr="0052418C">
        <w:rPr>
          <w:rFonts w:ascii="ITC Avant Garde" w:hAnsi="ITC Avant Garde" w:cs="Arial"/>
          <w:bCs/>
          <w:color w:val="auto"/>
        </w:rPr>
        <w:t xml:space="preserve">se </w:t>
      </w:r>
      <w:r w:rsidR="005D4922">
        <w:rPr>
          <w:rFonts w:ascii="ITC Avant Garde" w:hAnsi="ITC Avant Garde" w:cs="Arial"/>
          <w:bCs/>
          <w:color w:val="auto"/>
        </w:rPr>
        <w:t xml:space="preserve">señala que después del análisis respectivo, se identificó que es necesario establecer </w:t>
      </w:r>
      <w:r w:rsidR="005D4922" w:rsidRPr="005D4922">
        <w:rPr>
          <w:rFonts w:ascii="ITC Avant Garde" w:hAnsi="ITC Avant Garde" w:cs="Arial"/>
          <w:bCs/>
          <w:color w:val="auto"/>
        </w:rPr>
        <w:t xml:space="preserve">la tarifa de habilitación de nuevos enlaces </w:t>
      </w:r>
      <w:r w:rsidR="005D4922">
        <w:rPr>
          <w:rFonts w:ascii="ITC Avant Garde" w:hAnsi="ITC Avant Garde" w:cs="Arial"/>
          <w:bCs/>
          <w:color w:val="auto"/>
        </w:rPr>
        <w:t>c</w:t>
      </w:r>
      <w:r w:rsidR="005D4922" w:rsidRPr="005D4922">
        <w:rPr>
          <w:rFonts w:ascii="ITC Avant Garde" w:hAnsi="ITC Avant Garde" w:cs="Arial"/>
          <w:bCs/>
          <w:color w:val="auto"/>
        </w:rPr>
        <w:t>uando es un enlace existente el que se requiere habilitar en el H</w:t>
      </w:r>
      <w:r w:rsidR="005D4922">
        <w:rPr>
          <w:rFonts w:ascii="ITC Avant Garde" w:hAnsi="ITC Avant Garde" w:cs="Arial"/>
          <w:bCs/>
          <w:color w:val="auto"/>
        </w:rPr>
        <w:t>UB</w:t>
      </w:r>
      <w:r w:rsidR="005D4922" w:rsidRPr="005D4922">
        <w:rPr>
          <w:rFonts w:ascii="ITC Avant Garde" w:hAnsi="ITC Avant Garde" w:cs="Arial"/>
          <w:bCs/>
          <w:color w:val="auto"/>
        </w:rPr>
        <w:t xml:space="preserve"> existente. </w:t>
      </w:r>
    </w:p>
    <w:p w14:paraId="20BB11B5" w14:textId="77777777" w:rsidR="005D4922" w:rsidRDefault="005D4922" w:rsidP="005D4922">
      <w:pPr>
        <w:autoSpaceDE w:val="0"/>
        <w:autoSpaceDN w:val="0"/>
        <w:adjustRightInd w:val="0"/>
        <w:spacing w:after="0" w:line="276" w:lineRule="auto"/>
        <w:ind w:left="0" w:right="0" w:firstLine="0"/>
        <w:rPr>
          <w:rFonts w:ascii="ITC Avant Garde" w:hAnsi="ITC Avant Garde" w:cs="Arial"/>
          <w:bCs/>
          <w:color w:val="auto"/>
        </w:rPr>
      </w:pPr>
    </w:p>
    <w:p w14:paraId="467D2A58" w14:textId="671028EA" w:rsidR="005D4922" w:rsidRPr="005D4922" w:rsidRDefault="005D4922" w:rsidP="005D4922">
      <w:pPr>
        <w:autoSpaceDE w:val="0"/>
        <w:autoSpaceDN w:val="0"/>
        <w:adjustRightInd w:val="0"/>
        <w:spacing w:after="0" w:line="276" w:lineRule="auto"/>
        <w:ind w:left="0" w:right="0" w:firstLine="0"/>
        <w:rPr>
          <w:rFonts w:ascii="ITC Avant Garde" w:hAnsi="ITC Avant Garde" w:cs="Arial"/>
          <w:bCs/>
          <w:color w:val="auto"/>
        </w:rPr>
      </w:pPr>
      <w:r>
        <w:rPr>
          <w:rFonts w:ascii="ITC Avant Garde" w:hAnsi="ITC Avant Garde" w:cs="Arial"/>
          <w:bCs/>
          <w:color w:val="auto"/>
        </w:rPr>
        <w:t xml:space="preserve">Dicho supuesto se refiere a un enlace </w:t>
      </w:r>
      <w:r w:rsidRPr="005D4922">
        <w:rPr>
          <w:rFonts w:ascii="ITC Avant Garde" w:hAnsi="ITC Avant Garde" w:cs="Arial"/>
          <w:bCs/>
          <w:color w:val="auto"/>
        </w:rPr>
        <w:t>que ya están funcionando en alguna central (sin conexión al HUB) y que se requiere que se conecte a un HUB en la misma central</w:t>
      </w:r>
      <w:r>
        <w:rPr>
          <w:rFonts w:ascii="ITC Avant Garde" w:hAnsi="ITC Avant Garde" w:cs="Arial"/>
          <w:bCs/>
          <w:color w:val="auto"/>
        </w:rPr>
        <w:t>, bajo este escenario,</w:t>
      </w:r>
      <w:r w:rsidRPr="005D4922">
        <w:rPr>
          <w:rFonts w:ascii="ITC Avant Garde" w:hAnsi="ITC Avant Garde" w:cs="Arial"/>
          <w:bCs/>
          <w:color w:val="auto"/>
        </w:rPr>
        <w:t xml:space="preserve"> </w:t>
      </w:r>
      <w:r>
        <w:rPr>
          <w:rFonts w:ascii="ITC Avant Garde" w:hAnsi="ITC Avant Garde" w:cs="Arial"/>
          <w:bCs/>
          <w:color w:val="auto"/>
        </w:rPr>
        <w:t>existe</w:t>
      </w:r>
      <w:r w:rsidRPr="005D4922">
        <w:rPr>
          <w:rFonts w:ascii="ITC Avant Garde" w:hAnsi="ITC Avant Garde" w:cs="Arial"/>
          <w:bCs/>
          <w:color w:val="auto"/>
        </w:rPr>
        <w:t xml:space="preserve"> un costo por los trabajos extraordinarios que se requieran en dicha central.</w:t>
      </w:r>
      <w:r>
        <w:rPr>
          <w:rFonts w:ascii="ITC Avant Garde" w:hAnsi="ITC Avant Garde" w:cs="Arial"/>
          <w:bCs/>
          <w:color w:val="auto"/>
        </w:rPr>
        <w:t xml:space="preserve"> </w:t>
      </w:r>
      <w:r w:rsidRPr="005D4922">
        <w:rPr>
          <w:rFonts w:ascii="ITC Avant Garde" w:hAnsi="ITC Avant Garde" w:cs="Arial"/>
          <w:bCs/>
          <w:color w:val="auto"/>
        </w:rPr>
        <w:t xml:space="preserve">En este tenor y conforme lo establecido en las Medidas </w:t>
      </w:r>
      <w:r w:rsidRPr="005D4922">
        <w:rPr>
          <w:rFonts w:ascii="ITC Avant Garde" w:hAnsi="ITC Avant Garde" w:cs="Arial"/>
          <w:bCs/>
          <w:color w:val="auto"/>
        </w:rPr>
        <w:lastRenderedPageBreak/>
        <w:t>Fijas con base en el modelo de costos de enlaces dedicados</w:t>
      </w:r>
      <w:r>
        <w:rPr>
          <w:rFonts w:ascii="ITC Avant Garde" w:hAnsi="ITC Avant Garde" w:cs="Arial"/>
          <w:bCs/>
          <w:color w:val="auto"/>
        </w:rPr>
        <w:t>,</w:t>
      </w:r>
      <w:r w:rsidRPr="005D4922">
        <w:rPr>
          <w:rFonts w:ascii="ITC Avant Garde" w:hAnsi="ITC Avant Garde" w:cs="Arial"/>
          <w:bCs/>
          <w:color w:val="auto"/>
        </w:rPr>
        <w:t xml:space="preserve"> se determin</w:t>
      </w:r>
      <w:r>
        <w:rPr>
          <w:rFonts w:ascii="ITC Avant Garde" w:hAnsi="ITC Avant Garde" w:cs="Arial"/>
          <w:bCs/>
          <w:color w:val="auto"/>
        </w:rPr>
        <w:t>ó</w:t>
      </w:r>
      <w:r w:rsidRPr="005D4922">
        <w:rPr>
          <w:rFonts w:ascii="ITC Avant Garde" w:hAnsi="ITC Avant Garde" w:cs="Arial"/>
          <w:bCs/>
          <w:color w:val="auto"/>
        </w:rPr>
        <w:t xml:space="preserve"> la tarifa aplicable a la habilitación de nuevos enlaces en un Hub existente </w:t>
      </w:r>
      <w:r>
        <w:rPr>
          <w:rFonts w:ascii="ITC Avant Garde" w:hAnsi="ITC Avant Garde" w:cs="Arial"/>
          <w:bCs/>
          <w:color w:val="auto"/>
        </w:rPr>
        <w:t>el cual corresponde a</w:t>
      </w:r>
      <w:r w:rsidRPr="005D4922">
        <w:rPr>
          <w:rFonts w:ascii="ITC Avant Garde" w:hAnsi="ITC Avant Garde" w:cs="Arial"/>
          <w:bCs/>
          <w:color w:val="auto"/>
        </w:rPr>
        <w:t xml:space="preserve"> un pago único por concepto de “Habilitación de enlace existente en central a HUB.</w:t>
      </w:r>
    </w:p>
    <w:p w14:paraId="55E5A2A3" w14:textId="77777777" w:rsidR="0073758B" w:rsidRPr="0052418C" w:rsidRDefault="0073758B" w:rsidP="0052418C">
      <w:pPr>
        <w:autoSpaceDE w:val="0"/>
        <w:autoSpaceDN w:val="0"/>
        <w:adjustRightInd w:val="0"/>
        <w:spacing w:after="0" w:line="276" w:lineRule="auto"/>
        <w:ind w:left="0" w:right="0" w:firstLine="0"/>
        <w:rPr>
          <w:rFonts w:ascii="ITC Avant Garde" w:hAnsi="ITC Avant Garde"/>
          <w:bCs/>
          <w:color w:val="auto"/>
        </w:rPr>
      </w:pPr>
    </w:p>
    <w:p w14:paraId="391E6DD6" w14:textId="00743C77" w:rsidR="00B43E25" w:rsidRPr="0052418C" w:rsidRDefault="00C47D18" w:rsidP="0052418C">
      <w:pPr>
        <w:pStyle w:val="IFTnormal"/>
        <w:spacing w:after="0"/>
        <w:ind w:left="0"/>
        <w:rPr>
          <w:rFonts w:eastAsiaTheme="majorEastAsia" w:cs="Arial"/>
          <w:b/>
          <w:bCs/>
          <w:u w:val="single"/>
          <w:lang w:val="es-ES_tradnl"/>
        </w:rPr>
      </w:pPr>
      <w:r w:rsidRPr="0052418C">
        <w:rPr>
          <w:rFonts w:eastAsiaTheme="majorEastAsia" w:cs="Arial"/>
          <w:b/>
          <w:u w:val="single"/>
          <w:lang w:val="es-ES_tradnl"/>
        </w:rPr>
        <w:t>COMENTARIOS GENERALES.</w:t>
      </w:r>
    </w:p>
    <w:p w14:paraId="1C97DD86" w14:textId="66F452C2" w:rsidR="00E17EB6" w:rsidRPr="0052418C" w:rsidRDefault="003A0B4E" w:rsidP="0052418C">
      <w:pPr>
        <w:pStyle w:val="IFT1"/>
        <w:tabs>
          <w:tab w:val="left" w:pos="426"/>
        </w:tabs>
        <w:spacing w:after="0"/>
        <w:rPr>
          <w:rFonts w:cs="Arial"/>
          <w:b/>
        </w:rPr>
      </w:pPr>
      <w:r w:rsidRPr="0052418C">
        <w:rPr>
          <w:rFonts w:cs="Arial"/>
          <w:b/>
        </w:rPr>
        <w:t>GRUPO AT&amp;T:</w:t>
      </w:r>
    </w:p>
    <w:p w14:paraId="4CEAC555" w14:textId="27D4C18F" w:rsidR="00E17EB6" w:rsidRPr="0052418C" w:rsidRDefault="00E17EB6" w:rsidP="0052418C">
      <w:pPr>
        <w:pStyle w:val="IFT1"/>
        <w:tabs>
          <w:tab w:val="left" w:pos="426"/>
        </w:tabs>
        <w:spacing w:after="0"/>
        <w:rPr>
          <w:rFonts w:cs="Arial"/>
        </w:rPr>
      </w:pPr>
      <w:r w:rsidRPr="0052418C">
        <w:rPr>
          <w:rFonts w:cs="Arial"/>
        </w:rPr>
        <w:t>Manifest</w:t>
      </w:r>
      <w:r w:rsidR="00653DF4" w:rsidRPr="0052418C">
        <w:rPr>
          <w:rFonts w:cs="Arial"/>
        </w:rPr>
        <w:t>ó</w:t>
      </w:r>
      <w:r w:rsidRPr="0052418C">
        <w:rPr>
          <w:rFonts w:cs="Arial"/>
        </w:rPr>
        <w:t xml:space="preserve"> que</w:t>
      </w:r>
      <w:r w:rsidR="00E13C18" w:rsidRPr="0052418C">
        <w:rPr>
          <w:rFonts w:cs="Arial"/>
        </w:rPr>
        <w:t xml:space="preserve"> para que la separación funcional</w:t>
      </w:r>
      <w:r w:rsidR="00A21393" w:rsidRPr="0052418C">
        <w:rPr>
          <w:rFonts w:cs="Arial"/>
        </w:rPr>
        <w:t xml:space="preserve"> de Red Nacional y Telmex tenga beneficios para la competencia es necesario verificar el tratamiento que Red Nacion</w:t>
      </w:r>
      <w:r w:rsidR="00A9160F" w:rsidRPr="0052418C">
        <w:rPr>
          <w:rFonts w:cs="Arial"/>
        </w:rPr>
        <w:t xml:space="preserve">al otorga a los otros operadores </w:t>
      </w:r>
      <w:r w:rsidRPr="0052418C">
        <w:rPr>
          <w:rFonts w:cs="Arial"/>
        </w:rPr>
        <w:t>sea similar al que otorga</w:t>
      </w:r>
      <w:r w:rsidR="00A9160F" w:rsidRPr="0052418C">
        <w:rPr>
          <w:rFonts w:cs="Arial"/>
        </w:rPr>
        <w:t xml:space="preserve"> a</w:t>
      </w:r>
      <w:r w:rsidRPr="0052418C">
        <w:rPr>
          <w:rFonts w:cs="Arial"/>
        </w:rPr>
        <w:t xml:space="preserve"> Telmex, Telnor y Telcel, por lo que siguiere el siguiente formato:</w:t>
      </w:r>
    </w:p>
    <w:p w14:paraId="65A13E0B" w14:textId="77777777" w:rsidR="00E17EB6" w:rsidRPr="0052418C" w:rsidRDefault="00E17EB6" w:rsidP="0052418C">
      <w:pPr>
        <w:pStyle w:val="IFT1"/>
        <w:tabs>
          <w:tab w:val="left" w:pos="426"/>
        </w:tabs>
        <w:spacing w:after="0"/>
        <w:rPr>
          <w:rFonts w:cs="Arial"/>
        </w:rPr>
      </w:pPr>
    </w:p>
    <w:tbl>
      <w:tblPr>
        <w:tblStyle w:val="Tablaconcuadrcula"/>
        <w:tblW w:w="0" w:type="auto"/>
        <w:tblInd w:w="-5" w:type="dxa"/>
        <w:tblLook w:val="04A0" w:firstRow="1" w:lastRow="0" w:firstColumn="1" w:lastColumn="0" w:noHBand="0" w:noVBand="1"/>
      </w:tblPr>
      <w:tblGrid>
        <w:gridCol w:w="2397"/>
        <w:gridCol w:w="1998"/>
        <w:gridCol w:w="1842"/>
        <w:gridCol w:w="1843"/>
      </w:tblGrid>
      <w:tr w:rsidR="00E17EB6" w:rsidRPr="0052418C" w14:paraId="02D72DBD" w14:textId="77777777" w:rsidTr="00534751">
        <w:tc>
          <w:tcPr>
            <w:tcW w:w="2397" w:type="dxa"/>
          </w:tcPr>
          <w:p w14:paraId="75D628F9" w14:textId="77777777" w:rsidR="00E17EB6" w:rsidRPr="0052418C" w:rsidRDefault="00E17EB6" w:rsidP="0052418C">
            <w:pPr>
              <w:pStyle w:val="IFT1"/>
              <w:tabs>
                <w:tab w:val="left" w:pos="426"/>
              </w:tabs>
              <w:spacing w:after="0"/>
              <w:rPr>
                <w:rFonts w:cs="Arial"/>
                <w:sz w:val="18"/>
                <w:szCs w:val="18"/>
              </w:rPr>
            </w:pPr>
            <w:r w:rsidRPr="0052418C">
              <w:rPr>
                <w:rFonts w:cs="Arial"/>
                <w:sz w:val="18"/>
                <w:szCs w:val="18"/>
              </w:rPr>
              <w:t>Mes: xx/21</w:t>
            </w:r>
          </w:p>
          <w:p w14:paraId="33EED7C3" w14:textId="77777777" w:rsidR="00E17EB6" w:rsidRPr="0052418C" w:rsidRDefault="00E17EB6" w:rsidP="0052418C">
            <w:pPr>
              <w:pStyle w:val="IFT1"/>
              <w:tabs>
                <w:tab w:val="left" w:pos="426"/>
              </w:tabs>
              <w:spacing w:after="0"/>
              <w:rPr>
                <w:rFonts w:cs="Arial"/>
                <w:sz w:val="18"/>
                <w:szCs w:val="18"/>
              </w:rPr>
            </w:pPr>
            <w:r w:rsidRPr="0052418C">
              <w:rPr>
                <w:rFonts w:cs="Arial"/>
                <w:sz w:val="18"/>
                <w:szCs w:val="18"/>
              </w:rPr>
              <w:t>parámetro</w:t>
            </w:r>
          </w:p>
        </w:tc>
        <w:tc>
          <w:tcPr>
            <w:tcW w:w="1998" w:type="dxa"/>
          </w:tcPr>
          <w:p w14:paraId="6CD81EB1" w14:textId="77777777" w:rsidR="00E17EB6" w:rsidRPr="0052418C" w:rsidRDefault="00E17EB6" w:rsidP="0052418C">
            <w:pPr>
              <w:pStyle w:val="IFT1"/>
              <w:tabs>
                <w:tab w:val="left" w:pos="426"/>
              </w:tabs>
              <w:spacing w:after="0"/>
              <w:rPr>
                <w:rFonts w:cs="Arial"/>
                <w:sz w:val="18"/>
                <w:szCs w:val="18"/>
              </w:rPr>
            </w:pPr>
            <w:r w:rsidRPr="0052418C">
              <w:rPr>
                <w:rFonts w:cs="Arial"/>
                <w:sz w:val="18"/>
                <w:szCs w:val="18"/>
              </w:rPr>
              <w:t>Telmex/Telnor</w:t>
            </w:r>
          </w:p>
          <w:p w14:paraId="3A1E57C0" w14:textId="77777777" w:rsidR="00E17EB6" w:rsidRPr="0052418C" w:rsidRDefault="00E17EB6" w:rsidP="0052418C">
            <w:pPr>
              <w:pStyle w:val="IFT1"/>
              <w:tabs>
                <w:tab w:val="left" w:pos="426"/>
              </w:tabs>
              <w:spacing w:after="0"/>
              <w:rPr>
                <w:rFonts w:cs="Arial"/>
                <w:sz w:val="18"/>
                <w:szCs w:val="18"/>
              </w:rPr>
            </w:pPr>
          </w:p>
        </w:tc>
        <w:tc>
          <w:tcPr>
            <w:tcW w:w="1842" w:type="dxa"/>
          </w:tcPr>
          <w:p w14:paraId="39192682" w14:textId="77777777" w:rsidR="00E17EB6" w:rsidRPr="0052418C" w:rsidRDefault="00E17EB6" w:rsidP="0052418C">
            <w:pPr>
              <w:pStyle w:val="IFT1"/>
              <w:tabs>
                <w:tab w:val="left" w:pos="426"/>
              </w:tabs>
              <w:spacing w:after="0"/>
              <w:rPr>
                <w:rFonts w:cs="Arial"/>
                <w:sz w:val="18"/>
                <w:szCs w:val="18"/>
              </w:rPr>
            </w:pPr>
            <w:r w:rsidRPr="0052418C">
              <w:rPr>
                <w:rFonts w:cs="Arial"/>
                <w:sz w:val="18"/>
                <w:szCs w:val="18"/>
              </w:rPr>
              <w:t>Telcel</w:t>
            </w:r>
          </w:p>
        </w:tc>
        <w:tc>
          <w:tcPr>
            <w:tcW w:w="1843" w:type="dxa"/>
          </w:tcPr>
          <w:p w14:paraId="14E72731" w14:textId="77777777" w:rsidR="00E17EB6" w:rsidRPr="0052418C" w:rsidRDefault="00E17EB6" w:rsidP="0052418C">
            <w:pPr>
              <w:pStyle w:val="IFT1"/>
              <w:tabs>
                <w:tab w:val="left" w:pos="426"/>
              </w:tabs>
              <w:spacing w:after="0"/>
              <w:rPr>
                <w:rFonts w:cs="Arial"/>
                <w:sz w:val="18"/>
                <w:szCs w:val="18"/>
              </w:rPr>
            </w:pPr>
            <w:r w:rsidRPr="0052418C">
              <w:rPr>
                <w:rFonts w:cs="Arial"/>
                <w:sz w:val="18"/>
                <w:szCs w:val="18"/>
              </w:rPr>
              <w:t>Otros operadores</w:t>
            </w:r>
          </w:p>
        </w:tc>
      </w:tr>
      <w:tr w:rsidR="00E17EB6" w:rsidRPr="0052418C" w14:paraId="769E89D5" w14:textId="77777777" w:rsidTr="00534751">
        <w:tc>
          <w:tcPr>
            <w:tcW w:w="2397" w:type="dxa"/>
          </w:tcPr>
          <w:p w14:paraId="14026236" w14:textId="79A5E81F" w:rsidR="00E17EB6" w:rsidRPr="0052418C" w:rsidRDefault="00E17EB6" w:rsidP="0052418C">
            <w:pPr>
              <w:pStyle w:val="IFT1"/>
              <w:tabs>
                <w:tab w:val="left" w:pos="426"/>
              </w:tabs>
              <w:spacing w:after="0"/>
              <w:rPr>
                <w:rFonts w:cs="Arial"/>
                <w:sz w:val="18"/>
                <w:szCs w:val="18"/>
              </w:rPr>
            </w:pPr>
            <w:r w:rsidRPr="0052418C">
              <w:rPr>
                <w:rFonts w:cs="Arial"/>
                <w:sz w:val="18"/>
                <w:szCs w:val="18"/>
              </w:rPr>
              <w:t>Entreg</w:t>
            </w:r>
            <w:r w:rsidR="00A9160F" w:rsidRPr="0052418C">
              <w:rPr>
                <w:rFonts w:cs="Arial"/>
                <w:sz w:val="18"/>
                <w:szCs w:val="18"/>
              </w:rPr>
              <w:t>ó</w:t>
            </w:r>
            <w:r w:rsidRPr="0052418C">
              <w:rPr>
                <w:rFonts w:cs="Arial"/>
                <w:sz w:val="18"/>
                <w:szCs w:val="18"/>
              </w:rPr>
              <w:t xml:space="preserve"> pronóstico</w:t>
            </w:r>
          </w:p>
        </w:tc>
        <w:tc>
          <w:tcPr>
            <w:tcW w:w="1998" w:type="dxa"/>
          </w:tcPr>
          <w:p w14:paraId="3A7E6E16" w14:textId="77777777" w:rsidR="00E17EB6" w:rsidRPr="0052418C" w:rsidRDefault="00E17EB6" w:rsidP="0052418C">
            <w:pPr>
              <w:pStyle w:val="IFT1"/>
              <w:tabs>
                <w:tab w:val="left" w:pos="426"/>
              </w:tabs>
              <w:spacing w:after="0"/>
              <w:rPr>
                <w:rFonts w:cs="Arial"/>
                <w:sz w:val="18"/>
                <w:szCs w:val="18"/>
              </w:rPr>
            </w:pPr>
          </w:p>
        </w:tc>
        <w:tc>
          <w:tcPr>
            <w:tcW w:w="1842" w:type="dxa"/>
          </w:tcPr>
          <w:p w14:paraId="1F5222E0" w14:textId="77777777" w:rsidR="00E17EB6" w:rsidRPr="0052418C" w:rsidRDefault="00E17EB6" w:rsidP="0052418C">
            <w:pPr>
              <w:pStyle w:val="IFT1"/>
              <w:tabs>
                <w:tab w:val="left" w:pos="426"/>
              </w:tabs>
              <w:spacing w:after="0"/>
              <w:rPr>
                <w:rFonts w:cs="Arial"/>
                <w:sz w:val="18"/>
                <w:szCs w:val="18"/>
              </w:rPr>
            </w:pPr>
          </w:p>
        </w:tc>
        <w:tc>
          <w:tcPr>
            <w:tcW w:w="1843" w:type="dxa"/>
          </w:tcPr>
          <w:p w14:paraId="2D10BFE5" w14:textId="77777777" w:rsidR="00E17EB6" w:rsidRPr="0052418C" w:rsidRDefault="00E17EB6" w:rsidP="0052418C">
            <w:pPr>
              <w:pStyle w:val="IFT1"/>
              <w:tabs>
                <w:tab w:val="left" w:pos="426"/>
              </w:tabs>
              <w:spacing w:after="0"/>
              <w:rPr>
                <w:rFonts w:cs="Arial"/>
                <w:sz w:val="18"/>
                <w:szCs w:val="18"/>
              </w:rPr>
            </w:pPr>
          </w:p>
        </w:tc>
      </w:tr>
      <w:tr w:rsidR="00E17EB6" w:rsidRPr="0052418C" w14:paraId="601D500E" w14:textId="77777777" w:rsidTr="00534751">
        <w:tc>
          <w:tcPr>
            <w:tcW w:w="2397" w:type="dxa"/>
          </w:tcPr>
          <w:p w14:paraId="3B1AA1D2" w14:textId="77777777" w:rsidR="00E17EB6" w:rsidRPr="0052418C" w:rsidRDefault="00E17EB6" w:rsidP="0052418C">
            <w:pPr>
              <w:pStyle w:val="IFT1"/>
              <w:tabs>
                <w:tab w:val="left" w:pos="426"/>
              </w:tabs>
              <w:spacing w:after="0"/>
              <w:rPr>
                <w:rFonts w:cs="Arial"/>
                <w:sz w:val="18"/>
                <w:szCs w:val="18"/>
              </w:rPr>
            </w:pPr>
            <w:r w:rsidRPr="0052418C">
              <w:rPr>
                <w:rFonts w:cs="Arial"/>
                <w:sz w:val="18"/>
                <w:szCs w:val="18"/>
              </w:rPr>
              <w:t xml:space="preserve">Porcentaje de desviación del pronóstico </w:t>
            </w:r>
          </w:p>
        </w:tc>
        <w:tc>
          <w:tcPr>
            <w:tcW w:w="1998" w:type="dxa"/>
          </w:tcPr>
          <w:p w14:paraId="07BECF6E" w14:textId="77777777" w:rsidR="00E17EB6" w:rsidRPr="0052418C" w:rsidRDefault="00E17EB6" w:rsidP="0052418C">
            <w:pPr>
              <w:pStyle w:val="IFT1"/>
              <w:tabs>
                <w:tab w:val="left" w:pos="426"/>
              </w:tabs>
              <w:spacing w:after="0"/>
              <w:rPr>
                <w:rFonts w:cs="Arial"/>
                <w:sz w:val="18"/>
                <w:szCs w:val="18"/>
              </w:rPr>
            </w:pPr>
          </w:p>
        </w:tc>
        <w:tc>
          <w:tcPr>
            <w:tcW w:w="1842" w:type="dxa"/>
          </w:tcPr>
          <w:p w14:paraId="3E287625" w14:textId="77777777" w:rsidR="00E17EB6" w:rsidRPr="0052418C" w:rsidRDefault="00E17EB6" w:rsidP="0052418C">
            <w:pPr>
              <w:pStyle w:val="IFT1"/>
              <w:tabs>
                <w:tab w:val="left" w:pos="426"/>
              </w:tabs>
              <w:spacing w:after="0"/>
              <w:rPr>
                <w:rFonts w:cs="Arial"/>
                <w:sz w:val="18"/>
                <w:szCs w:val="18"/>
              </w:rPr>
            </w:pPr>
          </w:p>
        </w:tc>
        <w:tc>
          <w:tcPr>
            <w:tcW w:w="1843" w:type="dxa"/>
          </w:tcPr>
          <w:p w14:paraId="31493259" w14:textId="77777777" w:rsidR="00E17EB6" w:rsidRPr="0052418C" w:rsidRDefault="00E17EB6" w:rsidP="0052418C">
            <w:pPr>
              <w:pStyle w:val="IFT1"/>
              <w:tabs>
                <w:tab w:val="left" w:pos="426"/>
              </w:tabs>
              <w:spacing w:after="0"/>
              <w:rPr>
                <w:rFonts w:cs="Arial"/>
                <w:sz w:val="18"/>
                <w:szCs w:val="18"/>
              </w:rPr>
            </w:pPr>
          </w:p>
        </w:tc>
      </w:tr>
      <w:tr w:rsidR="00E17EB6" w:rsidRPr="0052418C" w14:paraId="2EBE573E" w14:textId="77777777" w:rsidTr="00534751">
        <w:tc>
          <w:tcPr>
            <w:tcW w:w="2397" w:type="dxa"/>
          </w:tcPr>
          <w:p w14:paraId="5F950D1D" w14:textId="77777777" w:rsidR="00E17EB6" w:rsidRPr="0052418C" w:rsidRDefault="00E17EB6" w:rsidP="0052418C">
            <w:pPr>
              <w:pStyle w:val="IFT1"/>
              <w:tabs>
                <w:tab w:val="left" w:pos="426"/>
              </w:tabs>
              <w:spacing w:after="0"/>
              <w:rPr>
                <w:rFonts w:cs="Arial"/>
                <w:sz w:val="18"/>
                <w:szCs w:val="18"/>
                <w:u w:val="single"/>
              </w:rPr>
            </w:pPr>
            <w:r w:rsidRPr="0052418C">
              <w:rPr>
                <w:rFonts w:cs="Arial"/>
                <w:sz w:val="18"/>
                <w:szCs w:val="18"/>
                <w:u w:val="single"/>
              </w:rPr>
              <w:t>Cantidad de enlaces arrendados</w:t>
            </w:r>
          </w:p>
        </w:tc>
        <w:tc>
          <w:tcPr>
            <w:tcW w:w="1998" w:type="dxa"/>
          </w:tcPr>
          <w:p w14:paraId="7424FE2E" w14:textId="77777777" w:rsidR="00E17EB6" w:rsidRPr="0052418C" w:rsidRDefault="00E17EB6" w:rsidP="0052418C">
            <w:pPr>
              <w:pStyle w:val="IFT1"/>
              <w:tabs>
                <w:tab w:val="left" w:pos="426"/>
              </w:tabs>
              <w:spacing w:after="0"/>
              <w:rPr>
                <w:rFonts w:cs="Arial"/>
                <w:sz w:val="18"/>
                <w:szCs w:val="18"/>
              </w:rPr>
            </w:pPr>
          </w:p>
        </w:tc>
        <w:tc>
          <w:tcPr>
            <w:tcW w:w="1842" w:type="dxa"/>
          </w:tcPr>
          <w:p w14:paraId="4A381316" w14:textId="77777777" w:rsidR="00E17EB6" w:rsidRPr="0052418C" w:rsidRDefault="00E17EB6" w:rsidP="0052418C">
            <w:pPr>
              <w:pStyle w:val="IFT1"/>
              <w:tabs>
                <w:tab w:val="left" w:pos="426"/>
              </w:tabs>
              <w:spacing w:after="0"/>
              <w:rPr>
                <w:rFonts w:cs="Arial"/>
                <w:sz w:val="18"/>
                <w:szCs w:val="18"/>
              </w:rPr>
            </w:pPr>
          </w:p>
        </w:tc>
        <w:tc>
          <w:tcPr>
            <w:tcW w:w="1843" w:type="dxa"/>
          </w:tcPr>
          <w:p w14:paraId="64410DE1" w14:textId="77777777" w:rsidR="00E17EB6" w:rsidRPr="0052418C" w:rsidRDefault="00E17EB6" w:rsidP="0052418C">
            <w:pPr>
              <w:pStyle w:val="IFT1"/>
              <w:tabs>
                <w:tab w:val="left" w:pos="426"/>
              </w:tabs>
              <w:spacing w:after="0"/>
              <w:rPr>
                <w:rFonts w:cs="Arial"/>
                <w:sz w:val="18"/>
                <w:szCs w:val="18"/>
              </w:rPr>
            </w:pPr>
          </w:p>
        </w:tc>
      </w:tr>
      <w:tr w:rsidR="00E17EB6" w:rsidRPr="0052418C" w14:paraId="7265DB35" w14:textId="77777777" w:rsidTr="00534751">
        <w:tc>
          <w:tcPr>
            <w:tcW w:w="2397" w:type="dxa"/>
          </w:tcPr>
          <w:p w14:paraId="5725AB95" w14:textId="77777777" w:rsidR="00E17EB6" w:rsidRPr="0052418C" w:rsidRDefault="00E17EB6" w:rsidP="0052418C">
            <w:pPr>
              <w:pStyle w:val="IFT1"/>
              <w:tabs>
                <w:tab w:val="left" w:pos="426"/>
              </w:tabs>
              <w:spacing w:after="0"/>
              <w:rPr>
                <w:rFonts w:cs="Arial"/>
                <w:sz w:val="18"/>
                <w:szCs w:val="18"/>
              </w:rPr>
            </w:pPr>
            <w:r w:rsidRPr="0052418C">
              <w:rPr>
                <w:rFonts w:cs="Arial"/>
                <w:sz w:val="18"/>
                <w:szCs w:val="18"/>
              </w:rPr>
              <w:t>Fallas reportadas</w:t>
            </w:r>
          </w:p>
        </w:tc>
        <w:tc>
          <w:tcPr>
            <w:tcW w:w="1998" w:type="dxa"/>
          </w:tcPr>
          <w:p w14:paraId="5B344699" w14:textId="77777777" w:rsidR="00E17EB6" w:rsidRPr="0052418C" w:rsidRDefault="00E17EB6" w:rsidP="0052418C">
            <w:pPr>
              <w:pStyle w:val="IFT1"/>
              <w:tabs>
                <w:tab w:val="left" w:pos="426"/>
              </w:tabs>
              <w:spacing w:after="0"/>
              <w:rPr>
                <w:rFonts w:cs="Arial"/>
                <w:sz w:val="18"/>
                <w:szCs w:val="18"/>
              </w:rPr>
            </w:pPr>
          </w:p>
        </w:tc>
        <w:tc>
          <w:tcPr>
            <w:tcW w:w="1842" w:type="dxa"/>
          </w:tcPr>
          <w:p w14:paraId="7F8542C1" w14:textId="77777777" w:rsidR="00E17EB6" w:rsidRPr="0052418C" w:rsidRDefault="00E17EB6" w:rsidP="0052418C">
            <w:pPr>
              <w:pStyle w:val="IFT1"/>
              <w:tabs>
                <w:tab w:val="left" w:pos="426"/>
              </w:tabs>
              <w:spacing w:after="0"/>
              <w:rPr>
                <w:rFonts w:cs="Arial"/>
                <w:sz w:val="18"/>
                <w:szCs w:val="18"/>
              </w:rPr>
            </w:pPr>
          </w:p>
        </w:tc>
        <w:tc>
          <w:tcPr>
            <w:tcW w:w="1843" w:type="dxa"/>
          </w:tcPr>
          <w:p w14:paraId="365EEAE3" w14:textId="77777777" w:rsidR="00E17EB6" w:rsidRPr="0052418C" w:rsidRDefault="00E17EB6" w:rsidP="0052418C">
            <w:pPr>
              <w:pStyle w:val="IFT1"/>
              <w:tabs>
                <w:tab w:val="left" w:pos="426"/>
              </w:tabs>
              <w:spacing w:after="0"/>
              <w:rPr>
                <w:rFonts w:cs="Arial"/>
                <w:sz w:val="18"/>
                <w:szCs w:val="18"/>
              </w:rPr>
            </w:pPr>
          </w:p>
        </w:tc>
      </w:tr>
      <w:tr w:rsidR="00E17EB6" w:rsidRPr="0052418C" w14:paraId="24DE7FBA" w14:textId="77777777" w:rsidTr="00534751">
        <w:tc>
          <w:tcPr>
            <w:tcW w:w="2397" w:type="dxa"/>
          </w:tcPr>
          <w:p w14:paraId="48976ACD" w14:textId="77777777" w:rsidR="00E17EB6" w:rsidRPr="0052418C" w:rsidRDefault="00E17EB6" w:rsidP="0052418C">
            <w:pPr>
              <w:pStyle w:val="IFT1"/>
              <w:tabs>
                <w:tab w:val="left" w:pos="426"/>
              </w:tabs>
              <w:spacing w:after="0"/>
              <w:rPr>
                <w:rFonts w:cs="Arial"/>
                <w:sz w:val="18"/>
                <w:szCs w:val="18"/>
              </w:rPr>
            </w:pPr>
            <w:r w:rsidRPr="0052418C">
              <w:rPr>
                <w:rFonts w:cs="Arial"/>
                <w:sz w:val="18"/>
                <w:szCs w:val="18"/>
              </w:rPr>
              <w:t>Tiempo promedio de reparación (horas)</w:t>
            </w:r>
          </w:p>
        </w:tc>
        <w:tc>
          <w:tcPr>
            <w:tcW w:w="1998" w:type="dxa"/>
          </w:tcPr>
          <w:p w14:paraId="73E91FB3" w14:textId="77777777" w:rsidR="00E17EB6" w:rsidRPr="0052418C" w:rsidRDefault="00E17EB6" w:rsidP="0052418C">
            <w:pPr>
              <w:pStyle w:val="IFT1"/>
              <w:tabs>
                <w:tab w:val="left" w:pos="426"/>
              </w:tabs>
              <w:spacing w:after="0"/>
              <w:rPr>
                <w:rFonts w:cs="Arial"/>
                <w:sz w:val="18"/>
                <w:szCs w:val="18"/>
              </w:rPr>
            </w:pPr>
          </w:p>
        </w:tc>
        <w:tc>
          <w:tcPr>
            <w:tcW w:w="1842" w:type="dxa"/>
          </w:tcPr>
          <w:p w14:paraId="5171FF13" w14:textId="77777777" w:rsidR="00E17EB6" w:rsidRPr="0052418C" w:rsidRDefault="00E17EB6" w:rsidP="0052418C">
            <w:pPr>
              <w:pStyle w:val="IFT1"/>
              <w:tabs>
                <w:tab w:val="left" w:pos="426"/>
              </w:tabs>
              <w:spacing w:after="0"/>
              <w:rPr>
                <w:rFonts w:cs="Arial"/>
                <w:sz w:val="18"/>
                <w:szCs w:val="18"/>
              </w:rPr>
            </w:pPr>
          </w:p>
        </w:tc>
        <w:tc>
          <w:tcPr>
            <w:tcW w:w="1843" w:type="dxa"/>
          </w:tcPr>
          <w:p w14:paraId="1D536F38" w14:textId="77777777" w:rsidR="00E17EB6" w:rsidRPr="0052418C" w:rsidRDefault="00E17EB6" w:rsidP="0052418C">
            <w:pPr>
              <w:pStyle w:val="IFT1"/>
              <w:tabs>
                <w:tab w:val="left" w:pos="426"/>
              </w:tabs>
              <w:spacing w:after="0"/>
              <w:rPr>
                <w:rFonts w:cs="Arial"/>
                <w:sz w:val="18"/>
                <w:szCs w:val="18"/>
              </w:rPr>
            </w:pPr>
          </w:p>
        </w:tc>
      </w:tr>
      <w:tr w:rsidR="00E17EB6" w:rsidRPr="0052418C" w14:paraId="29E8DC30" w14:textId="77777777" w:rsidTr="00534751">
        <w:tc>
          <w:tcPr>
            <w:tcW w:w="2397" w:type="dxa"/>
          </w:tcPr>
          <w:p w14:paraId="06D6C7E2" w14:textId="77777777" w:rsidR="00E17EB6" w:rsidRPr="0052418C" w:rsidRDefault="00E17EB6" w:rsidP="0052418C">
            <w:pPr>
              <w:pStyle w:val="IFT1"/>
              <w:tabs>
                <w:tab w:val="left" w:pos="426"/>
              </w:tabs>
              <w:spacing w:after="0"/>
              <w:rPr>
                <w:rFonts w:cs="Arial"/>
                <w:sz w:val="18"/>
                <w:szCs w:val="18"/>
                <w:u w:val="single"/>
              </w:rPr>
            </w:pPr>
            <w:r w:rsidRPr="0052418C">
              <w:rPr>
                <w:rFonts w:cs="Arial"/>
                <w:sz w:val="18"/>
                <w:szCs w:val="18"/>
                <w:u w:val="single"/>
              </w:rPr>
              <w:t>Enlaces solicitados</w:t>
            </w:r>
          </w:p>
        </w:tc>
        <w:tc>
          <w:tcPr>
            <w:tcW w:w="1998" w:type="dxa"/>
          </w:tcPr>
          <w:p w14:paraId="78BEDD40" w14:textId="77777777" w:rsidR="00E17EB6" w:rsidRPr="0052418C" w:rsidRDefault="00E17EB6" w:rsidP="0052418C">
            <w:pPr>
              <w:pStyle w:val="IFT1"/>
              <w:tabs>
                <w:tab w:val="left" w:pos="426"/>
              </w:tabs>
              <w:spacing w:after="0"/>
              <w:rPr>
                <w:rFonts w:cs="Arial"/>
                <w:sz w:val="18"/>
                <w:szCs w:val="18"/>
              </w:rPr>
            </w:pPr>
          </w:p>
        </w:tc>
        <w:tc>
          <w:tcPr>
            <w:tcW w:w="1842" w:type="dxa"/>
          </w:tcPr>
          <w:p w14:paraId="4D3ACA46" w14:textId="77777777" w:rsidR="00E17EB6" w:rsidRPr="0052418C" w:rsidRDefault="00E17EB6" w:rsidP="0052418C">
            <w:pPr>
              <w:pStyle w:val="IFT1"/>
              <w:tabs>
                <w:tab w:val="left" w:pos="426"/>
              </w:tabs>
              <w:spacing w:after="0"/>
              <w:rPr>
                <w:rFonts w:cs="Arial"/>
                <w:sz w:val="18"/>
                <w:szCs w:val="18"/>
              </w:rPr>
            </w:pPr>
          </w:p>
        </w:tc>
        <w:tc>
          <w:tcPr>
            <w:tcW w:w="1843" w:type="dxa"/>
          </w:tcPr>
          <w:p w14:paraId="636EBA2A" w14:textId="77777777" w:rsidR="00E17EB6" w:rsidRPr="0052418C" w:rsidRDefault="00E17EB6" w:rsidP="0052418C">
            <w:pPr>
              <w:pStyle w:val="IFT1"/>
              <w:tabs>
                <w:tab w:val="left" w:pos="426"/>
              </w:tabs>
              <w:spacing w:after="0"/>
              <w:rPr>
                <w:rFonts w:cs="Arial"/>
                <w:sz w:val="18"/>
                <w:szCs w:val="18"/>
              </w:rPr>
            </w:pPr>
          </w:p>
        </w:tc>
      </w:tr>
      <w:tr w:rsidR="00E17EB6" w:rsidRPr="0052418C" w14:paraId="59FD31FC" w14:textId="77777777" w:rsidTr="00534751">
        <w:tc>
          <w:tcPr>
            <w:tcW w:w="2397" w:type="dxa"/>
          </w:tcPr>
          <w:p w14:paraId="6553EBBC" w14:textId="77777777" w:rsidR="00E17EB6" w:rsidRPr="0052418C" w:rsidRDefault="00E17EB6" w:rsidP="0052418C">
            <w:pPr>
              <w:pStyle w:val="IFT1"/>
              <w:tabs>
                <w:tab w:val="left" w:pos="426"/>
              </w:tabs>
              <w:spacing w:after="0"/>
              <w:rPr>
                <w:rFonts w:cs="Arial"/>
                <w:sz w:val="18"/>
                <w:szCs w:val="18"/>
              </w:rPr>
            </w:pPr>
            <w:r w:rsidRPr="0052418C">
              <w:rPr>
                <w:rFonts w:cs="Arial"/>
                <w:sz w:val="18"/>
                <w:szCs w:val="18"/>
              </w:rPr>
              <w:t>Tiempo promedio de entrega de los enlaces (días)</w:t>
            </w:r>
          </w:p>
        </w:tc>
        <w:tc>
          <w:tcPr>
            <w:tcW w:w="1998" w:type="dxa"/>
          </w:tcPr>
          <w:p w14:paraId="5F878461" w14:textId="77777777" w:rsidR="00E17EB6" w:rsidRPr="0052418C" w:rsidRDefault="00E17EB6" w:rsidP="0052418C">
            <w:pPr>
              <w:pStyle w:val="IFT1"/>
              <w:tabs>
                <w:tab w:val="left" w:pos="426"/>
              </w:tabs>
              <w:spacing w:after="0"/>
              <w:rPr>
                <w:rFonts w:cs="Arial"/>
                <w:sz w:val="18"/>
                <w:szCs w:val="18"/>
              </w:rPr>
            </w:pPr>
          </w:p>
        </w:tc>
        <w:tc>
          <w:tcPr>
            <w:tcW w:w="1842" w:type="dxa"/>
          </w:tcPr>
          <w:p w14:paraId="6CEE6B75" w14:textId="77777777" w:rsidR="00E17EB6" w:rsidRPr="0052418C" w:rsidRDefault="00E17EB6" w:rsidP="0052418C">
            <w:pPr>
              <w:pStyle w:val="IFT1"/>
              <w:tabs>
                <w:tab w:val="left" w:pos="426"/>
              </w:tabs>
              <w:spacing w:after="0"/>
              <w:rPr>
                <w:rFonts w:cs="Arial"/>
                <w:sz w:val="18"/>
                <w:szCs w:val="18"/>
              </w:rPr>
            </w:pPr>
          </w:p>
        </w:tc>
        <w:tc>
          <w:tcPr>
            <w:tcW w:w="1843" w:type="dxa"/>
          </w:tcPr>
          <w:p w14:paraId="119D48C4" w14:textId="77777777" w:rsidR="00E17EB6" w:rsidRPr="0052418C" w:rsidRDefault="00E17EB6" w:rsidP="0052418C">
            <w:pPr>
              <w:pStyle w:val="IFT1"/>
              <w:tabs>
                <w:tab w:val="left" w:pos="426"/>
              </w:tabs>
              <w:spacing w:after="0"/>
              <w:rPr>
                <w:rFonts w:cs="Arial"/>
                <w:sz w:val="18"/>
                <w:szCs w:val="18"/>
              </w:rPr>
            </w:pPr>
          </w:p>
        </w:tc>
      </w:tr>
      <w:tr w:rsidR="00E17EB6" w:rsidRPr="0052418C" w14:paraId="65D0BF04" w14:textId="77777777" w:rsidTr="00534751">
        <w:tc>
          <w:tcPr>
            <w:tcW w:w="2397" w:type="dxa"/>
          </w:tcPr>
          <w:p w14:paraId="617385E2" w14:textId="77777777" w:rsidR="00E17EB6" w:rsidRPr="0052418C" w:rsidRDefault="00E17EB6" w:rsidP="0052418C">
            <w:pPr>
              <w:pStyle w:val="IFT1"/>
              <w:tabs>
                <w:tab w:val="left" w:pos="426"/>
              </w:tabs>
              <w:spacing w:after="0"/>
              <w:rPr>
                <w:rFonts w:cs="Arial"/>
                <w:sz w:val="18"/>
                <w:szCs w:val="18"/>
              </w:rPr>
            </w:pPr>
            <w:r w:rsidRPr="0052418C">
              <w:rPr>
                <w:rFonts w:cs="Arial"/>
                <w:sz w:val="18"/>
                <w:szCs w:val="18"/>
              </w:rPr>
              <w:t>Porcentajes de proyectos especiales</w:t>
            </w:r>
          </w:p>
        </w:tc>
        <w:tc>
          <w:tcPr>
            <w:tcW w:w="1998" w:type="dxa"/>
          </w:tcPr>
          <w:p w14:paraId="27E41A2D" w14:textId="77777777" w:rsidR="00E17EB6" w:rsidRPr="0052418C" w:rsidRDefault="00E17EB6" w:rsidP="0052418C">
            <w:pPr>
              <w:pStyle w:val="IFT1"/>
              <w:tabs>
                <w:tab w:val="left" w:pos="426"/>
              </w:tabs>
              <w:spacing w:after="0"/>
              <w:rPr>
                <w:rFonts w:cs="Arial"/>
                <w:sz w:val="18"/>
                <w:szCs w:val="18"/>
              </w:rPr>
            </w:pPr>
          </w:p>
        </w:tc>
        <w:tc>
          <w:tcPr>
            <w:tcW w:w="1842" w:type="dxa"/>
          </w:tcPr>
          <w:p w14:paraId="74CCF97A" w14:textId="77777777" w:rsidR="00E17EB6" w:rsidRPr="0052418C" w:rsidRDefault="00E17EB6" w:rsidP="0052418C">
            <w:pPr>
              <w:pStyle w:val="IFT1"/>
              <w:tabs>
                <w:tab w:val="left" w:pos="426"/>
              </w:tabs>
              <w:spacing w:after="0"/>
              <w:rPr>
                <w:rFonts w:cs="Arial"/>
                <w:sz w:val="18"/>
                <w:szCs w:val="18"/>
              </w:rPr>
            </w:pPr>
          </w:p>
        </w:tc>
        <w:tc>
          <w:tcPr>
            <w:tcW w:w="1843" w:type="dxa"/>
          </w:tcPr>
          <w:p w14:paraId="768BA1F2" w14:textId="77777777" w:rsidR="00E17EB6" w:rsidRPr="0052418C" w:rsidRDefault="00E17EB6" w:rsidP="0052418C">
            <w:pPr>
              <w:pStyle w:val="IFT1"/>
              <w:tabs>
                <w:tab w:val="left" w:pos="426"/>
              </w:tabs>
              <w:spacing w:after="0"/>
              <w:rPr>
                <w:rFonts w:cs="Arial"/>
                <w:sz w:val="18"/>
                <w:szCs w:val="18"/>
              </w:rPr>
            </w:pPr>
          </w:p>
        </w:tc>
      </w:tr>
    </w:tbl>
    <w:p w14:paraId="143CF145" w14:textId="77777777" w:rsidR="00E17EB6" w:rsidRPr="0052418C" w:rsidRDefault="00E17EB6" w:rsidP="0052418C">
      <w:pPr>
        <w:pStyle w:val="IFT1"/>
        <w:tabs>
          <w:tab w:val="left" w:pos="426"/>
        </w:tabs>
        <w:spacing w:after="0"/>
        <w:rPr>
          <w:rFonts w:cs="Arial"/>
        </w:rPr>
      </w:pPr>
    </w:p>
    <w:p w14:paraId="5AFF26BA" w14:textId="7E2EB19D" w:rsidR="00A10A22" w:rsidRPr="0052418C" w:rsidRDefault="00A10A22" w:rsidP="0052418C">
      <w:pPr>
        <w:spacing w:after="0" w:line="276" w:lineRule="auto"/>
        <w:ind w:left="0" w:right="0" w:firstLine="0"/>
        <w:rPr>
          <w:rFonts w:ascii="ITC Avant Garde" w:hAnsi="ITC Avant Garde" w:cs="Arial"/>
          <w:b/>
          <w:color w:val="auto"/>
        </w:rPr>
      </w:pPr>
      <w:r w:rsidRPr="0052418C">
        <w:rPr>
          <w:rFonts w:ascii="ITC Avant Garde" w:hAnsi="ITC Avant Garde" w:cs="Arial"/>
          <w:b/>
          <w:color w:val="auto"/>
        </w:rPr>
        <w:t>Consideraciones del Instituto:</w:t>
      </w:r>
    </w:p>
    <w:p w14:paraId="215A6135" w14:textId="7248FC71" w:rsidR="00D65F48" w:rsidRPr="0052418C" w:rsidRDefault="00D65F48" w:rsidP="0052418C">
      <w:pPr>
        <w:spacing w:after="0" w:line="276" w:lineRule="auto"/>
        <w:ind w:left="0" w:right="0" w:firstLine="0"/>
        <w:rPr>
          <w:rFonts w:ascii="ITC Avant Garde" w:hAnsi="ITC Avant Garde" w:cs="Times New Roman"/>
          <w:color w:val="auto"/>
        </w:rPr>
      </w:pPr>
      <w:r w:rsidRPr="0052418C">
        <w:rPr>
          <w:rFonts w:ascii="ITC Avant Garde" w:hAnsi="ITC Avant Garde" w:cs="Times New Roman"/>
          <w:color w:val="auto"/>
        </w:rPr>
        <w:t xml:space="preserve">Respecto </w:t>
      </w:r>
      <w:r w:rsidR="00D260F4" w:rsidRPr="0052418C">
        <w:rPr>
          <w:rFonts w:ascii="ITC Avant Garde" w:hAnsi="ITC Avant Garde" w:cs="Times New Roman"/>
          <w:color w:val="auto"/>
        </w:rPr>
        <w:t>a la propuesta de</w:t>
      </w:r>
      <w:r w:rsidRPr="0052418C">
        <w:rPr>
          <w:rFonts w:ascii="ITC Avant Garde" w:hAnsi="ITC Avant Garde" w:cs="Times New Roman"/>
          <w:color w:val="auto"/>
        </w:rPr>
        <w:t xml:space="preserve"> Grupo AT&amp;T, se señala que se encuentra fuera del alcance la Oferta realizar dicho análisis o determinar si se está cumpliendo o no dicho principio.</w:t>
      </w:r>
    </w:p>
    <w:p w14:paraId="3ACA9FC0" w14:textId="77777777" w:rsidR="00242C31" w:rsidRPr="0052418C" w:rsidRDefault="00242C31" w:rsidP="0052418C">
      <w:pPr>
        <w:pStyle w:val="IFT1"/>
        <w:tabs>
          <w:tab w:val="left" w:pos="426"/>
        </w:tabs>
        <w:spacing w:after="0"/>
        <w:rPr>
          <w:rFonts w:cs="Arial"/>
        </w:rPr>
      </w:pPr>
    </w:p>
    <w:p w14:paraId="2A63EAD3" w14:textId="563470D3" w:rsidR="00186A5F" w:rsidRPr="0052418C" w:rsidRDefault="00186A5F" w:rsidP="0052418C">
      <w:pPr>
        <w:pStyle w:val="IFT1"/>
        <w:tabs>
          <w:tab w:val="left" w:pos="426"/>
        </w:tabs>
        <w:spacing w:after="0"/>
        <w:rPr>
          <w:rFonts w:cs="Arial"/>
          <w:b/>
        </w:rPr>
      </w:pPr>
      <w:r w:rsidRPr="0052418C">
        <w:rPr>
          <w:rFonts w:cs="Arial"/>
          <w:b/>
        </w:rPr>
        <w:t>PEGASO:</w:t>
      </w:r>
    </w:p>
    <w:p w14:paraId="0DDF5F02" w14:textId="5C88C5DE" w:rsidR="00186A5F" w:rsidRPr="0052418C" w:rsidRDefault="00186A5F" w:rsidP="0052418C">
      <w:pPr>
        <w:spacing w:after="0" w:line="276" w:lineRule="auto"/>
        <w:ind w:left="0" w:right="0" w:firstLine="0"/>
        <w:rPr>
          <w:rFonts w:ascii="ITC Avant Garde" w:hAnsi="ITC Avant Garde" w:cs="Arial"/>
          <w:color w:val="auto"/>
        </w:rPr>
      </w:pPr>
      <w:r w:rsidRPr="0052418C">
        <w:rPr>
          <w:rFonts w:ascii="ITC Avant Garde" w:hAnsi="ITC Avant Garde" w:cs="Arial"/>
          <w:color w:val="auto"/>
        </w:rPr>
        <w:t xml:space="preserve">Pegaso señaló que existe una evidente discriminación de precios a los CS respecto </w:t>
      </w:r>
      <w:r w:rsidR="00573F5B">
        <w:rPr>
          <w:rFonts w:ascii="ITC Avant Garde" w:hAnsi="ITC Avant Garde" w:cs="Arial"/>
          <w:color w:val="auto"/>
        </w:rPr>
        <w:t>a</w:t>
      </w:r>
      <w:r w:rsidR="00573F5B" w:rsidRPr="0052418C">
        <w:rPr>
          <w:rFonts w:ascii="ITC Avant Garde" w:hAnsi="ITC Avant Garde" w:cs="Arial"/>
          <w:color w:val="auto"/>
        </w:rPr>
        <w:t xml:space="preserve"> </w:t>
      </w:r>
      <w:r w:rsidRPr="0052418C">
        <w:rPr>
          <w:rFonts w:ascii="ITC Avant Garde" w:hAnsi="ITC Avant Garde" w:cs="Arial"/>
          <w:color w:val="auto"/>
        </w:rPr>
        <w:t>los precios que el AEP ofrece a su propia parte comercial</w:t>
      </w:r>
      <w:r w:rsidR="00573F5B">
        <w:rPr>
          <w:rFonts w:ascii="ITC Avant Garde" w:hAnsi="ITC Avant Garde" w:cs="Arial"/>
          <w:color w:val="auto"/>
        </w:rPr>
        <w:t>/</w:t>
      </w:r>
      <w:r w:rsidRPr="0052418C">
        <w:rPr>
          <w:rFonts w:ascii="ITC Avant Garde" w:hAnsi="ITC Avant Garde" w:cs="Arial"/>
          <w:color w:val="auto"/>
        </w:rPr>
        <w:t>minorista</w:t>
      </w:r>
      <w:r w:rsidR="00573F5B">
        <w:rPr>
          <w:rFonts w:ascii="ITC Avant Garde" w:hAnsi="ITC Avant Garde" w:cs="Arial"/>
          <w:color w:val="auto"/>
        </w:rPr>
        <w:t>. Argument</w:t>
      </w:r>
      <w:r w:rsidR="00842789">
        <w:rPr>
          <w:rFonts w:ascii="ITC Avant Garde" w:hAnsi="ITC Avant Garde" w:cs="Arial"/>
          <w:color w:val="auto"/>
        </w:rPr>
        <w:t>ó</w:t>
      </w:r>
      <w:r w:rsidR="00573F5B">
        <w:rPr>
          <w:rFonts w:ascii="ITC Avant Garde" w:hAnsi="ITC Avant Garde" w:cs="Arial"/>
          <w:color w:val="auto"/>
        </w:rPr>
        <w:t xml:space="preserve"> que encuentra</w:t>
      </w:r>
      <w:r w:rsidRPr="0052418C">
        <w:rPr>
          <w:rFonts w:ascii="ITC Avant Garde" w:hAnsi="ITC Avant Garde" w:cs="Arial"/>
          <w:color w:val="auto"/>
        </w:rPr>
        <w:t xml:space="preserve"> discriminación </w:t>
      </w:r>
      <w:r w:rsidR="00573F5B">
        <w:rPr>
          <w:rFonts w:ascii="ITC Avant Garde" w:hAnsi="ITC Avant Garde" w:cs="Arial"/>
          <w:color w:val="auto"/>
        </w:rPr>
        <w:t xml:space="preserve">de precios en las tarifas del servicio, </w:t>
      </w:r>
      <w:r w:rsidRPr="0052418C">
        <w:rPr>
          <w:rFonts w:ascii="ITC Avant Garde" w:hAnsi="ITC Avant Garde" w:cs="Arial"/>
          <w:color w:val="auto"/>
        </w:rPr>
        <w:t xml:space="preserve">tanto en la parte de la instalación, </w:t>
      </w:r>
      <w:r w:rsidR="00573F5B">
        <w:rPr>
          <w:rFonts w:ascii="ITC Avant Garde" w:hAnsi="ITC Avant Garde" w:cs="Arial"/>
          <w:color w:val="auto"/>
        </w:rPr>
        <w:t xml:space="preserve">como en la </w:t>
      </w:r>
      <w:r w:rsidRPr="0052418C">
        <w:rPr>
          <w:rFonts w:ascii="ITC Avant Garde" w:hAnsi="ITC Avant Garde" w:cs="Arial"/>
          <w:color w:val="auto"/>
        </w:rPr>
        <w:t>renta mensual y</w:t>
      </w:r>
      <w:r w:rsidR="00573F5B">
        <w:rPr>
          <w:rFonts w:ascii="ITC Avant Garde" w:hAnsi="ITC Avant Garde" w:cs="Arial"/>
          <w:color w:val="auto"/>
        </w:rPr>
        <w:t xml:space="preserve"> en el concepto de</w:t>
      </w:r>
      <w:r w:rsidRPr="0052418C">
        <w:rPr>
          <w:rFonts w:ascii="ITC Avant Garde" w:hAnsi="ITC Avant Garde" w:cs="Arial"/>
          <w:color w:val="auto"/>
        </w:rPr>
        <w:t xml:space="preserve"> proyectos especiales, cargo único que cobra el AEP</w:t>
      </w:r>
      <w:r w:rsidR="00573F5B" w:rsidRPr="00573F5B">
        <w:t xml:space="preserve"> </w:t>
      </w:r>
      <w:r w:rsidR="00573F5B" w:rsidRPr="00EB1B04">
        <w:t>previo a la provisión del servicio bajo el argumento de requerirse una adecuación de la infraestructura del tramo final para conectar las dos puntas del servicio</w:t>
      </w:r>
      <w:r w:rsidRPr="0052418C">
        <w:rPr>
          <w:rFonts w:ascii="ITC Avant Garde" w:hAnsi="ITC Avant Garde" w:cs="Arial"/>
          <w:color w:val="auto"/>
        </w:rPr>
        <w:t xml:space="preserve">. </w:t>
      </w:r>
      <w:r w:rsidR="00573F5B" w:rsidRPr="00EB1B04">
        <w:t xml:space="preserve">Adicionó que, el servicio mayorista de Enlaces Dedicados, en términos económicos, estaría notablemente por encima en costos </w:t>
      </w:r>
      <w:r w:rsidR="00573F5B" w:rsidRPr="00EB1B04">
        <w:lastRenderedPageBreak/>
        <w:t>del resto de las alternativas en el mercado, especialmente en aquellos de alta capacidad (superiores o iguales a 10 Gbps)</w:t>
      </w:r>
      <w:r w:rsidRPr="0052418C">
        <w:rPr>
          <w:rFonts w:ascii="ITC Avant Garde" w:hAnsi="ITC Avant Garde" w:cs="Arial"/>
          <w:color w:val="auto"/>
        </w:rPr>
        <w:t>.</w:t>
      </w:r>
    </w:p>
    <w:p w14:paraId="078F398C" w14:textId="13777A14" w:rsidR="001569F1" w:rsidRDefault="001569F1" w:rsidP="0052418C">
      <w:pPr>
        <w:pStyle w:val="IFT1"/>
        <w:tabs>
          <w:tab w:val="left" w:pos="426"/>
        </w:tabs>
        <w:spacing w:after="0"/>
        <w:rPr>
          <w:rFonts w:cs="Arial"/>
          <w:b/>
        </w:rPr>
      </w:pPr>
    </w:p>
    <w:p w14:paraId="394BA5E8" w14:textId="58759D2C" w:rsidR="00186A5F" w:rsidRPr="0052418C" w:rsidRDefault="00186A5F" w:rsidP="0052418C">
      <w:pPr>
        <w:pStyle w:val="IFT1"/>
        <w:tabs>
          <w:tab w:val="left" w:pos="426"/>
        </w:tabs>
        <w:spacing w:after="0"/>
        <w:rPr>
          <w:rFonts w:cs="Arial"/>
          <w:b/>
        </w:rPr>
      </w:pPr>
      <w:r w:rsidRPr="0052418C">
        <w:rPr>
          <w:rFonts w:cs="Arial"/>
          <w:b/>
        </w:rPr>
        <w:t>Consideraciones del Instituto:</w:t>
      </w:r>
    </w:p>
    <w:p w14:paraId="0F027E59" w14:textId="561B2AD2" w:rsidR="00573F5B" w:rsidRPr="00EB1B04" w:rsidRDefault="00573F5B" w:rsidP="00573F5B">
      <w:pPr>
        <w:spacing w:after="0" w:line="276" w:lineRule="auto"/>
        <w:ind w:left="0" w:right="0" w:firstLine="0"/>
        <w:rPr>
          <w:rFonts w:ascii="ITC Avant Garde" w:hAnsi="ITC Avant Garde" w:cs="Times New Roman"/>
          <w:b/>
          <w:color w:val="auto"/>
        </w:rPr>
      </w:pPr>
      <w:r w:rsidRPr="00EB1B04">
        <w:rPr>
          <w:rFonts w:ascii="ITC Avant Garde" w:hAnsi="ITC Avant Garde"/>
          <w:color w:val="auto"/>
        </w:rPr>
        <w:t>Las verificaciones y procedimientos de investigación a efecto de determinar discriminación de precios en el mercado para el servicio de enlaces se encuentran fuera del alcance de la Oferta de Referencia.</w:t>
      </w:r>
    </w:p>
    <w:p w14:paraId="7B3110D4" w14:textId="77777777" w:rsidR="001569F1" w:rsidRPr="0052418C" w:rsidRDefault="001569F1" w:rsidP="0052418C">
      <w:pPr>
        <w:spacing w:after="0" w:line="276" w:lineRule="auto"/>
        <w:ind w:left="0" w:right="0" w:firstLine="0"/>
        <w:rPr>
          <w:rFonts w:ascii="ITC Avant Garde" w:hAnsi="ITC Avant Garde" w:cs="Arial"/>
          <w:color w:val="auto"/>
        </w:rPr>
      </w:pPr>
    </w:p>
    <w:p w14:paraId="6820F100" w14:textId="5663E57E" w:rsidR="00C0092E" w:rsidRPr="0052418C" w:rsidRDefault="004928D8" w:rsidP="0052418C">
      <w:pPr>
        <w:pStyle w:val="IFT1"/>
        <w:tabs>
          <w:tab w:val="left" w:pos="426"/>
        </w:tabs>
        <w:spacing w:after="0"/>
        <w:rPr>
          <w:rFonts w:cs="Arial"/>
          <w:b/>
        </w:rPr>
      </w:pPr>
      <w:r w:rsidRPr="0052418C">
        <w:rPr>
          <w:rFonts w:cs="Arial"/>
          <w:b/>
        </w:rPr>
        <w:t>PEGASO:</w:t>
      </w:r>
    </w:p>
    <w:p w14:paraId="0BA430ED" w14:textId="77777777" w:rsidR="00186A5F" w:rsidRPr="0052418C" w:rsidRDefault="00186A5F" w:rsidP="0052418C">
      <w:pPr>
        <w:pStyle w:val="IFT1"/>
        <w:tabs>
          <w:tab w:val="left" w:pos="426"/>
        </w:tabs>
        <w:spacing w:after="0"/>
      </w:pPr>
      <w:r w:rsidRPr="0052418C">
        <w:t>Argumentó que la propia oferta de referencia de enlaces dedicados debe incorporar unos indicadores clave de desempeño específicos para el servicio de Enlaces Dedicados, que garanticen el mismo trato que da el AEP a su propia operación y a los CS, así como el mismo trato entre los distintos CS.</w:t>
      </w:r>
    </w:p>
    <w:p w14:paraId="34F5A2B4" w14:textId="77777777" w:rsidR="00186A5F" w:rsidRPr="0052418C" w:rsidRDefault="00186A5F" w:rsidP="0052418C">
      <w:pPr>
        <w:pStyle w:val="IFT1"/>
        <w:tabs>
          <w:tab w:val="left" w:pos="426"/>
        </w:tabs>
        <w:spacing w:after="0"/>
      </w:pPr>
    </w:p>
    <w:p w14:paraId="4E6FAC7B" w14:textId="58883555" w:rsidR="00186A5F" w:rsidRPr="0052418C" w:rsidRDefault="00186A5F" w:rsidP="0052418C">
      <w:pPr>
        <w:pStyle w:val="IFT1"/>
        <w:tabs>
          <w:tab w:val="left" w:pos="426"/>
        </w:tabs>
        <w:spacing w:after="0"/>
      </w:pPr>
      <w:r w:rsidRPr="0052418C">
        <w:t>Finalmente señal</w:t>
      </w:r>
      <w:r w:rsidR="000F01DF">
        <w:t>ó</w:t>
      </w:r>
      <w:r w:rsidRPr="0052418C">
        <w:t xml:space="preserve"> que los Indicadores clave de desempeño deberán ser relevantes del servicio aguas abajo, incluyendo tanto indicadores del nivel mayorista, como indicadores que permitan comparar con los valores del nivel minorista del AEP, donde podrá evidenciarse un evidente trato favorable al propio AEP, donde con certeza anticipamos que el AEP no experimentará, en promedio, los dilatados plazos que experimentan los CS en la provisión de los enlaces a sus respectivos clientes. Además, </w:t>
      </w:r>
      <w:r w:rsidR="00842789" w:rsidRPr="0052418C">
        <w:t>solicit</w:t>
      </w:r>
      <w:r w:rsidR="00842789">
        <w:t>ó</w:t>
      </w:r>
      <w:r w:rsidR="00842789" w:rsidRPr="0052418C">
        <w:t xml:space="preserve"> </w:t>
      </w:r>
      <w:r w:rsidRPr="0052418C">
        <w:t>que los indicadores del desempeño sean desarrollados conforme a la práctica internacional y con las recomendaciones que han hecho llegar al Instituto en ocasiones anteriores.</w:t>
      </w:r>
    </w:p>
    <w:p w14:paraId="5CC2A595" w14:textId="77777777" w:rsidR="00632160" w:rsidRPr="0052418C" w:rsidRDefault="00632160" w:rsidP="0052418C">
      <w:pPr>
        <w:pStyle w:val="IFT1"/>
        <w:tabs>
          <w:tab w:val="left" w:pos="426"/>
        </w:tabs>
        <w:spacing w:after="0"/>
      </w:pPr>
    </w:p>
    <w:p w14:paraId="42343E9E" w14:textId="347DA1FA" w:rsidR="00B10628" w:rsidRPr="0052418C" w:rsidRDefault="00462517" w:rsidP="0052418C">
      <w:pPr>
        <w:pStyle w:val="IFT1"/>
        <w:tabs>
          <w:tab w:val="left" w:pos="426"/>
        </w:tabs>
        <w:spacing w:after="0"/>
        <w:rPr>
          <w:rFonts w:cs="Arial"/>
        </w:rPr>
      </w:pPr>
      <w:r w:rsidRPr="0052418C">
        <w:rPr>
          <w:rFonts w:cs="Arial"/>
          <w:b/>
          <w:iCs w:val="0"/>
        </w:rPr>
        <w:t>Consideraciones del Instituto</w:t>
      </w:r>
      <w:r w:rsidR="00F678A5" w:rsidRPr="0052418C">
        <w:rPr>
          <w:rFonts w:cs="Arial"/>
          <w:b/>
          <w:iCs w:val="0"/>
        </w:rPr>
        <w:t>:</w:t>
      </w:r>
    </w:p>
    <w:p w14:paraId="142900FD" w14:textId="0529E029" w:rsidR="00541530" w:rsidRPr="0052418C" w:rsidRDefault="00541530" w:rsidP="0052418C">
      <w:pPr>
        <w:autoSpaceDE w:val="0"/>
        <w:autoSpaceDN w:val="0"/>
        <w:adjustRightInd w:val="0"/>
        <w:spacing w:after="0" w:line="276" w:lineRule="auto"/>
        <w:ind w:left="0" w:right="0" w:firstLine="0"/>
        <w:rPr>
          <w:rFonts w:ascii="ITC Avant Garde" w:hAnsi="ITC Avant Garde"/>
          <w:color w:val="auto"/>
        </w:rPr>
      </w:pPr>
      <w:r w:rsidRPr="0052418C">
        <w:rPr>
          <w:rFonts w:ascii="ITC Avant Garde" w:hAnsi="ITC Avant Garde"/>
          <w:color w:val="auto"/>
        </w:rPr>
        <w:t>La inclusión de indicadores clave de desempeño se encuentran fuera del alcance de la Oferta de Referencia.</w:t>
      </w:r>
    </w:p>
    <w:p w14:paraId="156F6A7A" w14:textId="77777777" w:rsidR="00215384" w:rsidRPr="0052418C" w:rsidRDefault="00215384" w:rsidP="0052418C">
      <w:pPr>
        <w:pStyle w:val="IFT1"/>
        <w:tabs>
          <w:tab w:val="left" w:pos="426"/>
        </w:tabs>
        <w:spacing w:after="0"/>
        <w:rPr>
          <w:rFonts w:cs="Arial"/>
        </w:rPr>
      </w:pPr>
    </w:p>
    <w:p w14:paraId="761CDB9A" w14:textId="6AEF575B" w:rsidR="00915B2C" w:rsidRPr="0052418C" w:rsidRDefault="00495C8B" w:rsidP="0052418C">
      <w:pPr>
        <w:pStyle w:val="IFT1"/>
        <w:tabs>
          <w:tab w:val="left" w:pos="426"/>
        </w:tabs>
        <w:spacing w:after="0"/>
        <w:rPr>
          <w:rFonts w:cs="Arial"/>
          <w:b/>
        </w:rPr>
      </w:pPr>
      <w:r w:rsidRPr="0052418C">
        <w:rPr>
          <w:rFonts w:cs="Arial"/>
          <w:b/>
        </w:rPr>
        <w:t>AXTEL:</w:t>
      </w:r>
    </w:p>
    <w:p w14:paraId="2D1484BE" w14:textId="0F45947D" w:rsidR="009E7FF9" w:rsidRPr="0052418C" w:rsidRDefault="00907D6A" w:rsidP="0052418C">
      <w:pPr>
        <w:pStyle w:val="IFT1"/>
        <w:tabs>
          <w:tab w:val="left" w:pos="426"/>
        </w:tabs>
        <w:spacing w:after="0"/>
        <w:rPr>
          <w:rFonts w:cs="Arial"/>
        </w:rPr>
      </w:pPr>
      <w:r>
        <w:t>S</w:t>
      </w:r>
      <w:r w:rsidR="009E7FF9" w:rsidRPr="004949D0">
        <w:t>eñal</w:t>
      </w:r>
      <w:r w:rsidRPr="004949D0">
        <w:t>ó</w:t>
      </w:r>
      <w:r w:rsidR="009E7FF9" w:rsidRPr="0052418C">
        <w:t xml:space="preserve"> que en diversas partes de la Oferta se establece el texto “</w:t>
      </w:r>
      <w:r w:rsidRPr="0096507A">
        <w:rPr>
          <w:i/>
          <w:iCs w:val="0"/>
        </w:rPr>
        <w:t>Enunciativa mas no limitativa</w:t>
      </w:r>
      <w:r w:rsidR="009E7FF9" w:rsidRPr="0052418C">
        <w:t>”, concepto que ha ocasionado discrecionalidad en favor de la AEP para justificar cualquier omisión o responsabilidad a su cargo, dejando en total estado de indefensión a los CS ante cualquier reclamación o penalización</w:t>
      </w:r>
      <w:r>
        <w:t>,</w:t>
      </w:r>
      <w:r w:rsidR="00632160" w:rsidRPr="0052418C">
        <w:t xml:space="preserve"> </w:t>
      </w:r>
      <w:r>
        <w:t>se recomienda</w:t>
      </w:r>
      <w:r w:rsidR="009E7FF9" w:rsidRPr="0052418C">
        <w:t xml:space="preserve"> dejar sin efecto dicho concepto.</w:t>
      </w:r>
    </w:p>
    <w:p w14:paraId="5DE67E94" w14:textId="77777777" w:rsidR="009E7FF9" w:rsidRPr="0052418C" w:rsidRDefault="009E7FF9" w:rsidP="0052418C">
      <w:pPr>
        <w:pStyle w:val="IFT1"/>
        <w:tabs>
          <w:tab w:val="left" w:pos="426"/>
        </w:tabs>
        <w:spacing w:after="0"/>
        <w:rPr>
          <w:rFonts w:cs="Arial"/>
        </w:rPr>
      </w:pPr>
    </w:p>
    <w:p w14:paraId="1FB95649" w14:textId="77777777" w:rsidR="009E7FF9" w:rsidRPr="0052418C" w:rsidRDefault="009E7FF9" w:rsidP="0052418C">
      <w:pPr>
        <w:pStyle w:val="IFT1"/>
        <w:tabs>
          <w:tab w:val="left" w:pos="426"/>
        </w:tabs>
        <w:spacing w:after="0"/>
        <w:rPr>
          <w:rFonts w:cs="Arial"/>
          <w:b/>
        </w:rPr>
      </w:pPr>
      <w:r w:rsidRPr="0052418C">
        <w:rPr>
          <w:rFonts w:cs="Arial"/>
          <w:b/>
        </w:rPr>
        <w:t>Consideraciones del Instituto:</w:t>
      </w:r>
    </w:p>
    <w:p w14:paraId="285DF0B4" w14:textId="08E0E138" w:rsidR="00314866" w:rsidRPr="0052418C" w:rsidRDefault="00314866" w:rsidP="0052418C">
      <w:pPr>
        <w:spacing w:line="276" w:lineRule="auto"/>
        <w:rPr>
          <w:rFonts w:ascii="ITC Avant Garde" w:hAnsi="ITC Avant Garde"/>
        </w:rPr>
      </w:pPr>
      <w:r w:rsidRPr="0052418C">
        <w:rPr>
          <w:rFonts w:ascii="ITC Avant Garde" w:eastAsia="Times New Roman" w:hAnsi="ITC Avant Garde" w:cs="Times New Roman"/>
          <w:color w:val="auto"/>
        </w:rPr>
        <w:t>La inclusión de dicho texto se refiere a escenarios que no pueden ser delimitados o establecidos de manera específica o particular, al obedecer a situaciones que se pueden ver modificadas o aumentadas por escenarios fuera del control de las partes, por lo que cada uno de los párrafos en los que se agrega dicho texto</w:t>
      </w:r>
      <w:r w:rsidRPr="0052418C">
        <w:rPr>
          <w:rFonts w:ascii="ITC Avant Garde" w:hAnsi="ITC Avant Garde"/>
        </w:rPr>
        <w:t xml:space="preserve"> se ha valorado y revisado a detalle a efecto de evitar situaciones que permitan al AEP </w:t>
      </w:r>
      <w:r w:rsidRPr="0052418C">
        <w:rPr>
          <w:rFonts w:ascii="ITC Avant Garde" w:hAnsi="ITC Avant Garde"/>
        </w:rPr>
        <w:lastRenderedPageBreak/>
        <w:t>establecer escenarios discrecionales en afectación a los CS y AS, a guisa de ejemplo dicho texto fue eliminado del numeral 2.5.6 “Proyectos Especiales” con la finalidad de evitar prácticas abusivas por parte del AEP.</w:t>
      </w:r>
    </w:p>
    <w:p w14:paraId="004120FF" w14:textId="77777777" w:rsidR="00993F4C" w:rsidRDefault="00993F4C" w:rsidP="0052418C">
      <w:pPr>
        <w:pStyle w:val="IFT1"/>
        <w:tabs>
          <w:tab w:val="left" w:pos="426"/>
        </w:tabs>
        <w:spacing w:after="0"/>
        <w:rPr>
          <w:rFonts w:cs="Arial"/>
          <w:b/>
          <w:bCs/>
        </w:rPr>
      </w:pPr>
    </w:p>
    <w:p w14:paraId="72D85081" w14:textId="1890A61B" w:rsidR="0006689A" w:rsidRPr="0052418C" w:rsidRDefault="00632160" w:rsidP="0052418C">
      <w:pPr>
        <w:pStyle w:val="IFT1"/>
        <w:tabs>
          <w:tab w:val="left" w:pos="426"/>
        </w:tabs>
        <w:spacing w:after="0"/>
        <w:rPr>
          <w:rFonts w:cs="Arial"/>
          <w:b/>
          <w:bCs/>
        </w:rPr>
      </w:pPr>
      <w:r w:rsidRPr="0052418C">
        <w:rPr>
          <w:rFonts w:cs="Arial"/>
          <w:b/>
          <w:bCs/>
        </w:rPr>
        <w:t>MEGA CABLE:</w:t>
      </w:r>
    </w:p>
    <w:p w14:paraId="0C7B43C5" w14:textId="022FFB92" w:rsidR="0006689A" w:rsidRPr="0052418C" w:rsidRDefault="00486DF1" w:rsidP="0052418C">
      <w:pPr>
        <w:spacing w:after="0" w:line="276" w:lineRule="auto"/>
        <w:rPr>
          <w:rFonts w:ascii="ITC Avant Garde" w:hAnsi="ITC Avant Garde"/>
        </w:rPr>
      </w:pPr>
      <w:r w:rsidRPr="00907D6A">
        <w:rPr>
          <w:rFonts w:ascii="ITC Avant Garde" w:hAnsi="ITC Avant Garde"/>
        </w:rPr>
        <w:t>S</w:t>
      </w:r>
      <w:r w:rsidR="0006689A" w:rsidRPr="00907D6A">
        <w:rPr>
          <w:rFonts w:ascii="ITC Avant Garde" w:hAnsi="ITC Avant Garde"/>
        </w:rPr>
        <w:t>eñaló que con la finalidad de impulsar</w:t>
      </w:r>
      <w:r w:rsidR="0006689A" w:rsidRPr="0052418C">
        <w:rPr>
          <w:rFonts w:ascii="ITC Avant Garde" w:hAnsi="ITC Avant Garde"/>
        </w:rPr>
        <w:t xml:space="preserve"> una mayor penetración de servicios de acceso a internet de banda ancha y mayor competencia efectiva en el mercado del servicio de acceso a Internet</w:t>
      </w:r>
      <w:r w:rsidR="006C4508">
        <w:rPr>
          <w:rFonts w:ascii="ITC Avant Garde" w:hAnsi="ITC Avant Garde"/>
        </w:rPr>
        <w:t>,</w:t>
      </w:r>
      <w:r w:rsidR="0006689A" w:rsidRPr="0052418C">
        <w:rPr>
          <w:rFonts w:ascii="ITC Avant Garde" w:hAnsi="ITC Avant Garde"/>
        </w:rPr>
        <w:t xml:space="preserve"> resulta necesario que el Instituto considere que, junto con las tarifas de los enlaces dedicados, se determinen las tarifas para la modalidad en que se contraten tanto los enlaces</w:t>
      </w:r>
      <w:r w:rsidR="006C4508">
        <w:rPr>
          <w:rFonts w:ascii="ITC Avant Garde" w:hAnsi="ITC Avant Garde"/>
        </w:rPr>
        <w:t xml:space="preserve"> dedicados</w:t>
      </w:r>
      <w:r w:rsidR="0006689A" w:rsidRPr="0052418C">
        <w:rPr>
          <w:rFonts w:ascii="ITC Avant Garde" w:hAnsi="ITC Avant Garde"/>
        </w:rPr>
        <w:t xml:space="preserve"> como el servicio de internet directo empresarial.</w:t>
      </w:r>
    </w:p>
    <w:p w14:paraId="6FE390A4" w14:textId="77777777" w:rsidR="0006689A" w:rsidRPr="0052418C" w:rsidRDefault="0006689A" w:rsidP="0052418C">
      <w:pPr>
        <w:spacing w:after="0" w:line="276" w:lineRule="auto"/>
        <w:rPr>
          <w:rFonts w:ascii="ITC Avant Garde" w:hAnsi="ITC Avant Garde"/>
        </w:rPr>
      </w:pPr>
    </w:p>
    <w:p w14:paraId="0830C6A3" w14:textId="3292CCD8" w:rsidR="0006689A" w:rsidRPr="0052418C" w:rsidRDefault="0006689A" w:rsidP="0052418C">
      <w:pPr>
        <w:spacing w:after="0" w:line="276" w:lineRule="auto"/>
        <w:rPr>
          <w:rFonts w:ascii="ITC Avant Garde" w:hAnsi="ITC Avant Garde"/>
        </w:rPr>
      </w:pPr>
      <w:r w:rsidRPr="0052418C">
        <w:rPr>
          <w:rFonts w:ascii="ITC Avant Garde" w:hAnsi="ITC Avant Garde"/>
        </w:rPr>
        <w:t xml:space="preserve">Finalmente argumentó que la </w:t>
      </w:r>
      <w:r w:rsidR="001A2F5F" w:rsidRPr="0052418C">
        <w:rPr>
          <w:rFonts w:ascii="ITC Avant Garde" w:hAnsi="ITC Avant Garde"/>
        </w:rPr>
        <w:t>P</w:t>
      </w:r>
      <w:r w:rsidRPr="0052418C">
        <w:rPr>
          <w:rFonts w:ascii="ITC Avant Garde" w:hAnsi="ITC Avant Garde"/>
        </w:rPr>
        <w:t>ropuesta de</w:t>
      </w:r>
      <w:r w:rsidR="001A2F5F" w:rsidRPr="0052418C">
        <w:rPr>
          <w:rFonts w:ascii="ITC Avant Garde" w:hAnsi="ITC Avant Garde"/>
        </w:rPr>
        <w:t xml:space="preserve"> Oferta </w:t>
      </w:r>
      <w:r w:rsidRPr="0052418C">
        <w:rPr>
          <w:rFonts w:ascii="ITC Avant Garde" w:hAnsi="ITC Avant Garde"/>
        </w:rPr>
        <w:t>modificadas y autorizadas por el Instituto siguen careciendo de los elementos necesarios y específicos para garantizar la replicabilidad económica y técnica en los segmentos corporativos y de gobierno. Adicionalmente señaló que, los competidores del AEP siguen sin poder competir eficazmente con aqu</w:t>
      </w:r>
      <w:r w:rsidR="006C4508">
        <w:rPr>
          <w:rFonts w:ascii="ITC Avant Garde" w:hAnsi="ITC Avant Garde"/>
        </w:rPr>
        <w:t>é</w:t>
      </w:r>
      <w:r w:rsidRPr="0052418C">
        <w:rPr>
          <w:rFonts w:ascii="ITC Avant Garde" w:hAnsi="ITC Avant Garde"/>
        </w:rPr>
        <w:t>l en licitaciones gubernamentales o en la provisión de servicios a grandes corporativos.</w:t>
      </w:r>
    </w:p>
    <w:p w14:paraId="524113C9" w14:textId="563A28BC" w:rsidR="0006689A" w:rsidRPr="0052418C" w:rsidRDefault="0006689A" w:rsidP="0052418C">
      <w:pPr>
        <w:spacing w:after="0" w:line="276" w:lineRule="auto"/>
        <w:rPr>
          <w:rFonts w:ascii="ITC Avant Garde" w:hAnsi="ITC Avant Garde"/>
        </w:rPr>
      </w:pPr>
    </w:p>
    <w:p w14:paraId="0E8C9E2B" w14:textId="028E22BA" w:rsidR="000E12FB" w:rsidRPr="0052418C" w:rsidRDefault="000E12FB" w:rsidP="0052418C">
      <w:pPr>
        <w:pStyle w:val="IFT1"/>
        <w:tabs>
          <w:tab w:val="left" w:pos="426"/>
        </w:tabs>
        <w:spacing w:after="0"/>
        <w:rPr>
          <w:rFonts w:cs="Arial"/>
          <w:b/>
          <w:bCs/>
        </w:rPr>
      </w:pPr>
      <w:r w:rsidRPr="0052418C">
        <w:rPr>
          <w:rFonts w:cs="Arial"/>
          <w:b/>
          <w:bCs/>
        </w:rPr>
        <w:t>CANIETI:</w:t>
      </w:r>
    </w:p>
    <w:p w14:paraId="439CA15A" w14:textId="06CFFEB5" w:rsidR="000E12FB" w:rsidRPr="0052418C" w:rsidRDefault="000E12FB" w:rsidP="0052418C">
      <w:pPr>
        <w:pStyle w:val="IFT1"/>
        <w:tabs>
          <w:tab w:val="left" w:pos="426"/>
        </w:tabs>
        <w:spacing w:after="0"/>
        <w:rPr>
          <w:rFonts w:cs="Arial"/>
        </w:rPr>
      </w:pPr>
      <w:r w:rsidRPr="0052418C">
        <w:rPr>
          <w:rFonts w:cs="Arial"/>
        </w:rPr>
        <w:t>Señaló que Red Nacional</w:t>
      </w:r>
      <w:r w:rsidRPr="0052418C">
        <w:rPr>
          <w:bCs/>
        </w:rPr>
        <w:t xml:space="preserve"> </w:t>
      </w:r>
      <w:r w:rsidRPr="0052418C">
        <w:rPr>
          <w:rFonts w:cs="Arial"/>
        </w:rPr>
        <w:t xml:space="preserve">mediante su </w:t>
      </w:r>
      <w:r w:rsidRPr="004949D0">
        <w:rPr>
          <w:rFonts w:cs="Arial"/>
        </w:rPr>
        <w:t>Propuesta de Oferta</w:t>
      </w:r>
      <w:r w:rsidRPr="0052418C">
        <w:rPr>
          <w:rFonts w:cs="Arial"/>
        </w:rPr>
        <w:t xml:space="preserve"> pretende incrementar sus ingresos y al mismo tiempo bajar las condiciones de calidad, teniendo como efecto el desplazamiento de </w:t>
      </w:r>
      <w:r w:rsidR="004A1A4A">
        <w:rPr>
          <w:rFonts w:cs="Arial"/>
        </w:rPr>
        <w:t>sus</w:t>
      </w:r>
      <w:r w:rsidRPr="0052418C">
        <w:rPr>
          <w:rFonts w:cs="Arial"/>
        </w:rPr>
        <w:t xml:space="preserve"> competidores. Es por ello que, la EM </w:t>
      </w:r>
      <w:r w:rsidR="004A1A4A">
        <w:rPr>
          <w:rFonts w:cs="Arial"/>
        </w:rPr>
        <w:t>intentó</w:t>
      </w:r>
      <w:r w:rsidRPr="0052418C">
        <w:rPr>
          <w:rFonts w:cs="Arial"/>
        </w:rPr>
        <w:t xml:space="preserve"> infringir la Medida CUADRAGESIMA PRIMERA de las Medidas Fijas </w:t>
      </w:r>
      <w:r w:rsidR="004A1A4A">
        <w:rPr>
          <w:rFonts w:cs="Arial"/>
        </w:rPr>
        <w:t>al proponer</w:t>
      </w:r>
      <w:r w:rsidRPr="0052418C">
        <w:rPr>
          <w:rFonts w:cs="Arial"/>
        </w:rPr>
        <w:t xml:space="preserve">: i) </w:t>
      </w:r>
      <w:r w:rsidR="00486DF1">
        <w:rPr>
          <w:rFonts w:cs="Arial"/>
        </w:rPr>
        <w:t>e</w:t>
      </w:r>
      <w:r w:rsidRPr="0052418C">
        <w:rPr>
          <w:rFonts w:cs="Arial"/>
        </w:rPr>
        <w:t xml:space="preserve">levar los precios de los servicios de enlaces dedicados en las diferentes tecnologías; ii) </w:t>
      </w:r>
      <w:r w:rsidR="00486DF1">
        <w:rPr>
          <w:rFonts w:cs="Arial"/>
        </w:rPr>
        <w:t>c</w:t>
      </w:r>
      <w:r w:rsidRPr="0052418C">
        <w:rPr>
          <w:rFonts w:cs="Arial"/>
        </w:rPr>
        <w:t xml:space="preserve">obrar por la entrega de servicios de enlaces dedicados a operadores coubicados en las centrales de interconexión, prácticamente la misma renta que cobra por un tramo local; iii) </w:t>
      </w:r>
      <w:r w:rsidR="00486DF1">
        <w:rPr>
          <w:rFonts w:cs="Arial"/>
        </w:rPr>
        <w:t>i</w:t>
      </w:r>
      <w:r w:rsidRPr="0052418C">
        <w:rPr>
          <w:rFonts w:cs="Arial"/>
        </w:rPr>
        <w:t xml:space="preserve">mponer nuevos cobros por habilitación de servicios, cotizaciones y pruebas que buscan encarecer el servicio; </w:t>
      </w:r>
      <w:r w:rsidRPr="004949D0">
        <w:rPr>
          <w:rFonts w:cs="Arial"/>
        </w:rPr>
        <w:t xml:space="preserve">iv) </w:t>
      </w:r>
      <w:r w:rsidR="004A1A4A" w:rsidRPr="004949D0">
        <w:rPr>
          <w:rFonts w:cs="Arial"/>
        </w:rPr>
        <w:t>i</w:t>
      </w:r>
      <w:r w:rsidRPr="004949D0">
        <w:rPr>
          <w:rFonts w:cs="Arial"/>
        </w:rPr>
        <w:t>ncrementar los plazos de entrega de los enlaces dedicados, así como los plazo</w:t>
      </w:r>
      <w:r w:rsidR="004A1A4A" w:rsidRPr="004949D0">
        <w:rPr>
          <w:rFonts w:cs="Arial"/>
        </w:rPr>
        <w:t>s</w:t>
      </w:r>
      <w:r w:rsidRPr="0052418C">
        <w:rPr>
          <w:rFonts w:cs="Arial"/>
        </w:rPr>
        <w:t xml:space="preserve"> </w:t>
      </w:r>
      <w:r w:rsidRPr="004949D0">
        <w:rPr>
          <w:rFonts w:cs="Arial"/>
        </w:rPr>
        <w:t xml:space="preserve">de reparación de fallas </w:t>
      </w:r>
      <w:r w:rsidR="004A1A4A" w:rsidRPr="004949D0">
        <w:rPr>
          <w:rFonts w:cs="Arial"/>
        </w:rPr>
        <w:t>de</w:t>
      </w:r>
      <w:r w:rsidRPr="004949D0">
        <w:rPr>
          <w:rFonts w:cs="Arial"/>
        </w:rPr>
        <w:t xml:space="preserve"> los enlaces de interconexión o cobrar más para entregas en menores tiempos</w:t>
      </w:r>
      <w:r w:rsidR="00460950" w:rsidRPr="004949D0">
        <w:rPr>
          <w:rFonts w:cs="Arial"/>
        </w:rPr>
        <w:t>,</w:t>
      </w:r>
      <w:r w:rsidRPr="004949D0">
        <w:rPr>
          <w:rFonts w:cs="Arial"/>
        </w:rPr>
        <w:t xml:space="preserve"> </w:t>
      </w:r>
      <w:r w:rsidR="00460950" w:rsidRPr="004949D0">
        <w:rPr>
          <w:rFonts w:cs="Arial"/>
        </w:rPr>
        <w:t xml:space="preserve">sin que existe una trasparente medición de los tiempos </w:t>
      </w:r>
      <w:r w:rsidRPr="004949D0">
        <w:rPr>
          <w:rFonts w:cs="Arial"/>
        </w:rPr>
        <w:t>en los cuales se presta el servicio a sí mismo; v) Reducir las penalizaciones</w:t>
      </w:r>
      <w:r w:rsidRPr="0052418C">
        <w:rPr>
          <w:rFonts w:cs="Arial"/>
        </w:rPr>
        <w:t xml:space="preserve"> ante las fallas que presente al entregar los servicios y vi) </w:t>
      </w:r>
      <w:r w:rsidR="00486DF1">
        <w:rPr>
          <w:rFonts w:cs="Arial"/>
        </w:rPr>
        <w:t>a</w:t>
      </w:r>
      <w:r w:rsidRPr="0052418C">
        <w:rPr>
          <w:rFonts w:cs="Arial"/>
        </w:rPr>
        <w:t>mpliar su discrecionalidad para seguir desconociendo diversas medidas de preponderancia.</w:t>
      </w:r>
    </w:p>
    <w:p w14:paraId="6AE6C957" w14:textId="77777777" w:rsidR="000E12FB" w:rsidRPr="0052418C" w:rsidRDefault="000E12FB" w:rsidP="0052418C">
      <w:pPr>
        <w:pStyle w:val="IFT1"/>
        <w:tabs>
          <w:tab w:val="left" w:pos="426"/>
        </w:tabs>
        <w:spacing w:after="0"/>
        <w:rPr>
          <w:rFonts w:cs="Arial"/>
        </w:rPr>
      </w:pPr>
    </w:p>
    <w:p w14:paraId="32C71208" w14:textId="4B292E54" w:rsidR="000E12FB" w:rsidRPr="0052418C" w:rsidRDefault="000E12FB" w:rsidP="0052418C">
      <w:pPr>
        <w:pStyle w:val="IFT1"/>
        <w:tabs>
          <w:tab w:val="left" w:pos="426"/>
        </w:tabs>
        <w:spacing w:after="0"/>
        <w:rPr>
          <w:rFonts w:cs="Arial"/>
        </w:rPr>
      </w:pPr>
      <w:r w:rsidRPr="004949D0">
        <w:rPr>
          <w:rFonts w:cs="Arial"/>
        </w:rPr>
        <w:t xml:space="preserve">Por lo que CANIETI solicitó </w:t>
      </w:r>
      <w:r w:rsidR="00460950" w:rsidRPr="004949D0">
        <w:rPr>
          <w:rFonts w:cs="Arial"/>
        </w:rPr>
        <w:t>lo siguiente: i) se</w:t>
      </w:r>
      <w:r w:rsidRPr="004949D0">
        <w:rPr>
          <w:rFonts w:cs="Arial"/>
        </w:rPr>
        <w:t xml:space="preserve"> rechace</w:t>
      </w:r>
      <w:r w:rsidR="00460950" w:rsidRPr="004949D0">
        <w:rPr>
          <w:rFonts w:cs="Arial"/>
        </w:rPr>
        <w:t>n</w:t>
      </w:r>
      <w:r w:rsidRPr="004949D0">
        <w:rPr>
          <w:rFonts w:cs="Arial"/>
        </w:rPr>
        <w:t xml:space="preserve"> las propuestas de Red Nacional</w:t>
      </w:r>
      <w:r w:rsidRPr="004949D0">
        <w:rPr>
          <w:bCs/>
        </w:rPr>
        <w:t xml:space="preserve"> </w:t>
      </w:r>
      <w:r w:rsidRPr="004949D0">
        <w:rPr>
          <w:rFonts w:cs="Arial"/>
        </w:rPr>
        <w:t xml:space="preserve">por ser contrarias a la sana competencia, </w:t>
      </w:r>
      <w:r w:rsidR="00460950" w:rsidRPr="004949D0">
        <w:rPr>
          <w:rFonts w:cs="Arial"/>
        </w:rPr>
        <w:t xml:space="preserve">ii) se </w:t>
      </w:r>
      <w:r w:rsidRPr="004949D0">
        <w:rPr>
          <w:rFonts w:cs="Arial"/>
        </w:rPr>
        <w:t>limit</w:t>
      </w:r>
      <w:r w:rsidR="00460950" w:rsidRPr="004949D0">
        <w:rPr>
          <w:rFonts w:cs="Arial"/>
        </w:rPr>
        <w:t>e</w:t>
      </w:r>
      <w:r w:rsidRPr="004949D0">
        <w:rPr>
          <w:rFonts w:cs="Arial"/>
        </w:rPr>
        <w:t xml:space="preserve"> la discrecionalidad</w:t>
      </w:r>
      <w:r w:rsidRPr="0052418C">
        <w:rPr>
          <w:rFonts w:cs="Arial"/>
        </w:rPr>
        <w:t xml:space="preserve"> de Red Nacional</w:t>
      </w:r>
      <w:r w:rsidRPr="0052418C">
        <w:rPr>
          <w:bCs/>
        </w:rPr>
        <w:t xml:space="preserve"> </w:t>
      </w:r>
      <w:r w:rsidRPr="0052418C">
        <w:rPr>
          <w:rFonts w:cs="Arial"/>
        </w:rPr>
        <w:t xml:space="preserve">en cuanto a la interpretación de la Oferta, </w:t>
      </w:r>
      <w:r w:rsidR="00460950">
        <w:rPr>
          <w:rFonts w:cs="Arial"/>
        </w:rPr>
        <w:t xml:space="preserve">iii) </w:t>
      </w:r>
      <w:r w:rsidRPr="0052418C">
        <w:rPr>
          <w:rFonts w:cs="Arial"/>
        </w:rPr>
        <w:t>supervise, verifique y penalice conforme a la Ley las acciones anticompetitivas o violatorias de las medidas o de la Oferta que ha transgredido Red Nacional</w:t>
      </w:r>
      <w:r w:rsidR="00460950">
        <w:rPr>
          <w:rFonts w:cs="Arial"/>
        </w:rPr>
        <w:t xml:space="preserve"> y iv)</w:t>
      </w:r>
      <w:r w:rsidRPr="0052418C">
        <w:rPr>
          <w:rFonts w:cs="Arial"/>
        </w:rPr>
        <w:t xml:space="preserve"> </w:t>
      </w:r>
      <w:r w:rsidR="00BA026D" w:rsidRPr="0052418C">
        <w:rPr>
          <w:rFonts w:cs="Arial"/>
        </w:rPr>
        <w:t>supervi</w:t>
      </w:r>
      <w:r w:rsidR="00BA026D">
        <w:rPr>
          <w:rFonts w:cs="Arial"/>
        </w:rPr>
        <w:t>se</w:t>
      </w:r>
      <w:r w:rsidR="00BA026D" w:rsidRPr="0052418C">
        <w:rPr>
          <w:rFonts w:cs="Arial"/>
        </w:rPr>
        <w:t xml:space="preserve"> </w:t>
      </w:r>
      <w:r w:rsidRPr="0052418C">
        <w:rPr>
          <w:rFonts w:cs="Arial"/>
        </w:rPr>
        <w:t>y verifi</w:t>
      </w:r>
      <w:r w:rsidR="00460950">
        <w:rPr>
          <w:rFonts w:cs="Arial"/>
        </w:rPr>
        <w:t>que</w:t>
      </w:r>
      <w:r w:rsidRPr="0052418C">
        <w:rPr>
          <w:rFonts w:cs="Arial"/>
        </w:rPr>
        <w:t xml:space="preserve"> </w:t>
      </w:r>
      <w:r w:rsidRPr="0052418C">
        <w:rPr>
          <w:rFonts w:cs="Arial"/>
        </w:rPr>
        <w:lastRenderedPageBreak/>
        <w:t>la forma en la que Red Nacional</w:t>
      </w:r>
      <w:r w:rsidRPr="0052418C">
        <w:rPr>
          <w:bCs/>
        </w:rPr>
        <w:t xml:space="preserve"> </w:t>
      </w:r>
      <w:r w:rsidRPr="0052418C">
        <w:rPr>
          <w:rFonts w:cs="Arial"/>
        </w:rPr>
        <w:t>abastece de enlaces y demás servicios a Telmex División, subsidiarias y filiales o Telcel pues es probable que haya un sesgo en favor de sus propietarios o accionistas mayoritarios.</w:t>
      </w:r>
    </w:p>
    <w:p w14:paraId="1039A571" w14:textId="77777777" w:rsidR="000E12FB" w:rsidRPr="0052418C" w:rsidRDefault="000E12FB" w:rsidP="0052418C">
      <w:pPr>
        <w:spacing w:after="0" w:line="276" w:lineRule="auto"/>
        <w:rPr>
          <w:rFonts w:ascii="ITC Avant Garde" w:hAnsi="ITC Avant Garde"/>
        </w:rPr>
      </w:pPr>
    </w:p>
    <w:p w14:paraId="4F953047" w14:textId="69884492" w:rsidR="0006689A" w:rsidRPr="0052418C" w:rsidRDefault="0006689A" w:rsidP="0052418C">
      <w:pPr>
        <w:pStyle w:val="IFT1"/>
        <w:tabs>
          <w:tab w:val="left" w:pos="426"/>
        </w:tabs>
        <w:spacing w:after="0"/>
        <w:rPr>
          <w:b/>
        </w:rPr>
      </w:pPr>
      <w:r w:rsidRPr="0052418C">
        <w:rPr>
          <w:b/>
        </w:rPr>
        <w:t>Consideraciones del Instituto:</w:t>
      </w:r>
    </w:p>
    <w:p w14:paraId="0EC3BF2D" w14:textId="11B55622" w:rsidR="00C53FA4" w:rsidRPr="0052418C" w:rsidRDefault="00F73976" w:rsidP="0052418C">
      <w:pPr>
        <w:spacing w:after="0" w:line="276" w:lineRule="auto"/>
        <w:rPr>
          <w:rFonts w:ascii="ITC Avant Garde" w:hAnsi="ITC Avant Garde"/>
        </w:rPr>
      </w:pPr>
      <w:r>
        <w:rPr>
          <w:rFonts w:ascii="ITC Avant Garde" w:hAnsi="ITC Avant Garde"/>
        </w:rPr>
        <w:t>Con relación a lo mencionado por la CANIETI, se señala que en cumplimiento a la establecido en la LFTR y las Medidas fijas la Propuesta de Oferta fue sometida a un proceso de revisión a efecto de asegurar que los términos y condiciones cumplan con la regulación aplicable y establezcan términos y condiciones favorables a los CS y AS, lo anterior a efecto</w:t>
      </w:r>
      <w:r w:rsidR="00C53FA4" w:rsidRPr="0052418C">
        <w:rPr>
          <w:rFonts w:ascii="ITC Avant Garde" w:hAnsi="ITC Avant Garde"/>
        </w:rPr>
        <w:t xml:space="preserve"> que los servicios mayoristas se presten de manera justa y equitativa, evitando incurrir en prácticas anticompetitivas en la prestación de </w:t>
      </w:r>
      <w:r>
        <w:rPr>
          <w:rFonts w:ascii="ITC Avant Garde" w:hAnsi="ITC Avant Garde"/>
        </w:rPr>
        <w:t>é</w:t>
      </w:r>
      <w:r w:rsidR="00C53FA4" w:rsidRPr="0052418C">
        <w:rPr>
          <w:rFonts w:ascii="ITC Avant Garde" w:hAnsi="ITC Avant Garde"/>
        </w:rPr>
        <w:t xml:space="preserve">stos, por lo que </w:t>
      </w:r>
      <w:r>
        <w:rPr>
          <w:rFonts w:ascii="ITC Avant Garde" w:hAnsi="ITC Avant Garde"/>
        </w:rPr>
        <w:t>el Instituto se aseguró de que las modificaciones para la aprobación de la ORE EM 2022 cumplieran con dicho propósito</w:t>
      </w:r>
      <w:r w:rsidR="00C53FA4" w:rsidRPr="0052418C">
        <w:rPr>
          <w:rFonts w:ascii="ITC Avant Garde" w:hAnsi="ITC Avant Garde"/>
        </w:rPr>
        <w:t xml:space="preserve"> </w:t>
      </w:r>
      <w:r>
        <w:rPr>
          <w:rFonts w:ascii="ITC Avant Garde" w:hAnsi="ITC Avant Garde"/>
        </w:rPr>
        <w:t>a fin de</w:t>
      </w:r>
      <w:r w:rsidR="00C53FA4" w:rsidRPr="0052418C">
        <w:rPr>
          <w:rFonts w:ascii="ITC Avant Garde" w:hAnsi="ITC Avant Garde"/>
        </w:rPr>
        <w:t xml:space="preserve"> asegurar que los términos y condiciones que se establezcan permitan </w:t>
      </w:r>
      <w:r w:rsidR="002962A6" w:rsidRPr="0052418C">
        <w:rPr>
          <w:rFonts w:ascii="ITC Avant Garde" w:hAnsi="ITC Avant Garde"/>
        </w:rPr>
        <w:t xml:space="preserve">reducir y en la medida de lo posible eliminar políticas discriminatorias, entre los diversos participantes del mercado, y con ello </w:t>
      </w:r>
      <w:r w:rsidR="00C53FA4" w:rsidRPr="0052418C">
        <w:rPr>
          <w:rFonts w:ascii="ITC Avant Garde" w:hAnsi="ITC Avant Garde"/>
        </w:rPr>
        <w:t>mejorar la competencia en el mercado y conseguir mejores condiciones de calidad y precio para los consumidores.</w:t>
      </w:r>
    </w:p>
    <w:p w14:paraId="4D8D4DE0" w14:textId="3308DE07" w:rsidR="00F73976" w:rsidRDefault="00F73976" w:rsidP="00F73976">
      <w:pPr>
        <w:spacing w:after="0" w:line="276" w:lineRule="auto"/>
        <w:rPr>
          <w:rFonts w:ascii="ITC Avant Garde" w:hAnsi="ITC Avant Garde"/>
        </w:rPr>
      </w:pPr>
    </w:p>
    <w:p w14:paraId="4B68E6F1" w14:textId="602CD863" w:rsidR="00D86920" w:rsidRDefault="00F73976" w:rsidP="00D86920">
      <w:pPr>
        <w:spacing w:after="0" w:line="276" w:lineRule="auto"/>
        <w:rPr>
          <w:rFonts w:ascii="ITC Avant Garde" w:hAnsi="ITC Avant Garde"/>
        </w:rPr>
      </w:pPr>
      <w:r>
        <w:rPr>
          <w:rFonts w:ascii="ITC Avant Garde" w:hAnsi="ITC Avant Garde"/>
        </w:rPr>
        <w:t>Ahora bien, el proceso de verificación, supervisión y penalización de los incumplimientos de Red Nacional quedan fuera del alcance la ORE EM 2022</w:t>
      </w:r>
      <w:r w:rsidR="00D86920">
        <w:rPr>
          <w:rFonts w:ascii="ITC Avant Garde" w:hAnsi="ITC Avant Garde"/>
        </w:rPr>
        <w:t>.</w:t>
      </w:r>
    </w:p>
    <w:p w14:paraId="0A72EB19" w14:textId="77777777" w:rsidR="00D86920" w:rsidRDefault="00D86920" w:rsidP="00D86920">
      <w:pPr>
        <w:spacing w:after="0" w:line="276" w:lineRule="auto"/>
        <w:rPr>
          <w:rFonts w:ascii="ITC Avant Garde" w:hAnsi="ITC Avant Garde"/>
        </w:rPr>
      </w:pPr>
    </w:p>
    <w:p w14:paraId="7B9005C5" w14:textId="18D23A8E" w:rsidR="00D86920" w:rsidRPr="00EB1B04" w:rsidRDefault="00DF6F16" w:rsidP="00D86920">
      <w:pPr>
        <w:spacing w:after="0" w:line="276" w:lineRule="auto"/>
        <w:rPr>
          <w:rFonts w:ascii="ITC Avant Garde" w:hAnsi="ITC Avant Garde"/>
          <w:color w:val="auto"/>
        </w:rPr>
      </w:pPr>
      <w:r w:rsidRPr="00BA026D">
        <w:rPr>
          <w:rFonts w:ascii="ITC Avant Garde" w:hAnsi="ITC Avant Garde"/>
        </w:rPr>
        <w:t>Finalmente, respecto a</w:t>
      </w:r>
      <w:r w:rsidR="000E12FB" w:rsidRPr="00BA026D">
        <w:rPr>
          <w:rFonts w:ascii="ITC Avant Garde" w:hAnsi="ITC Avant Garde"/>
        </w:rPr>
        <w:t xml:space="preserve"> lo </w:t>
      </w:r>
      <w:r w:rsidRPr="00BA026D">
        <w:rPr>
          <w:rFonts w:ascii="ITC Avant Garde" w:hAnsi="ITC Avant Garde"/>
        </w:rPr>
        <w:t>argumentado</w:t>
      </w:r>
      <w:r w:rsidR="000E12FB" w:rsidRPr="00BA026D">
        <w:rPr>
          <w:rFonts w:ascii="ITC Avant Garde" w:hAnsi="ITC Avant Garde"/>
        </w:rPr>
        <w:t xml:space="preserve"> por Mega Cable, se señala que </w:t>
      </w:r>
      <w:r w:rsidR="00D86920" w:rsidRPr="00BA026D">
        <w:rPr>
          <w:rFonts w:ascii="ITC Avant Garde" w:hAnsi="ITC Avant Garde"/>
          <w:color w:val="auto"/>
        </w:rPr>
        <w:t>la ORE EM</w:t>
      </w:r>
      <w:r w:rsidR="00D86920" w:rsidRPr="00EB1B04">
        <w:rPr>
          <w:rFonts w:ascii="ITC Avant Garde" w:hAnsi="ITC Avant Garde"/>
          <w:color w:val="auto"/>
        </w:rPr>
        <w:t xml:space="preserve"> 2022 corresponde a la regulación del Servicio Mayorista de Enlaces Dedicados que </w:t>
      </w:r>
      <w:r w:rsidR="00D86920">
        <w:rPr>
          <w:rFonts w:ascii="ITC Avant Garde" w:hAnsi="ITC Avant Garde"/>
          <w:color w:val="auto"/>
        </w:rPr>
        <w:t>Red Nacional</w:t>
      </w:r>
      <w:r w:rsidR="00D86920" w:rsidRPr="00EB1B04">
        <w:rPr>
          <w:rFonts w:ascii="ITC Avant Garde" w:hAnsi="ITC Avant Garde"/>
          <w:color w:val="auto"/>
        </w:rPr>
        <w:t xml:space="preserve"> se encuentra obligado a prestar a los CS y AS que así se lo soliciten, dicho servicio corresponde a un canal limpio</w:t>
      </w:r>
      <w:r w:rsidR="00D86920" w:rsidRPr="00EB1B04">
        <w:rPr>
          <w:rFonts w:ascii="ITC Avant Garde" w:hAnsi="ITC Avant Garde"/>
          <w:b/>
          <w:bCs/>
          <w:color w:val="auto"/>
        </w:rPr>
        <w:t xml:space="preserve"> </w:t>
      </w:r>
      <w:r w:rsidR="00D86920" w:rsidRPr="00EB1B04">
        <w:rPr>
          <w:rFonts w:ascii="ITC Avant Garde" w:hAnsi="ITC Avant Garde"/>
          <w:color w:val="auto"/>
        </w:rPr>
        <w:t>que proporciona capacidad de transmisión exclusiva, dedicada y transparente entre dos puntos, y que es el CS y AS quien determina el tráfico a ser transportado por el mismo, es así que la prestación del servicio de acceso a Internet no se trata de un enlace dedicado por lo que se encuentra fuera del alcance de la Oferta.</w:t>
      </w:r>
    </w:p>
    <w:p w14:paraId="5F3A442F" w14:textId="77777777" w:rsidR="00D86920" w:rsidRPr="00EB1B04" w:rsidRDefault="00D86920" w:rsidP="00D86920">
      <w:pPr>
        <w:spacing w:after="0" w:line="276" w:lineRule="auto"/>
        <w:rPr>
          <w:rFonts w:ascii="ITC Avant Garde" w:hAnsi="ITC Avant Garde"/>
          <w:color w:val="auto"/>
        </w:rPr>
      </w:pPr>
    </w:p>
    <w:p w14:paraId="36943A1F" w14:textId="6F189778" w:rsidR="00632160" w:rsidRPr="0052418C" w:rsidRDefault="00D86920" w:rsidP="00D86920">
      <w:pPr>
        <w:autoSpaceDE w:val="0"/>
        <w:autoSpaceDN w:val="0"/>
        <w:adjustRightInd w:val="0"/>
        <w:spacing w:after="0" w:line="276" w:lineRule="auto"/>
        <w:ind w:left="0" w:right="0" w:firstLine="0"/>
        <w:rPr>
          <w:rFonts w:ascii="ITC Avant Garde" w:hAnsi="ITC Avant Garde" w:cs="Arial"/>
        </w:rPr>
      </w:pPr>
      <w:r w:rsidRPr="00EB1B04">
        <w:rPr>
          <w:rFonts w:ascii="ITC Avant Garde" w:hAnsi="ITC Avant Garde"/>
          <w:color w:val="auto"/>
        </w:rPr>
        <w:t xml:space="preserve">Por otro lado, la ORE </w:t>
      </w:r>
      <w:r>
        <w:rPr>
          <w:rFonts w:ascii="ITC Avant Garde" w:hAnsi="ITC Avant Garde"/>
          <w:color w:val="auto"/>
        </w:rPr>
        <w:t>E</w:t>
      </w:r>
      <w:r w:rsidRPr="00EB1B04">
        <w:rPr>
          <w:rFonts w:ascii="ITC Avant Garde" w:hAnsi="ITC Avant Garde"/>
          <w:color w:val="auto"/>
        </w:rPr>
        <w:t xml:space="preserve">M 2022 establece las condiciones necesarias que garanticen la eficiente prestación de los servicios de enlaces dedicados, tomando como base el marco regulatorio aplicable como son las Medidas Fijas a las que está obligado a cumplir el AEP, es así que los términos y condiciones establecidos en la ORE DM 2022 permiten que el servicio de enlaces dedicados se preste en condiciones competitivas y en términos no discriminatorios que permitan </w:t>
      </w:r>
      <w:r w:rsidRPr="00EB1B04">
        <w:rPr>
          <w:rFonts w:ascii="ITC Avant Garde" w:hAnsi="ITC Avant Garde"/>
        </w:rPr>
        <w:t>garantizar la replicabilidad técnica y económica</w:t>
      </w:r>
      <w:r w:rsidRPr="00EB1B04">
        <w:rPr>
          <w:rFonts w:ascii="ITC Avant Garde" w:hAnsi="ITC Avant Garde"/>
          <w:color w:val="auto"/>
        </w:rPr>
        <w:t xml:space="preserve">. </w:t>
      </w:r>
    </w:p>
    <w:p w14:paraId="7264577D" w14:textId="0E7D4635" w:rsidR="00702AFB" w:rsidRPr="0052418C" w:rsidRDefault="00702AFB" w:rsidP="0052418C">
      <w:pPr>
        <w:pStyle w:val="IFT1"/>
        <w:tabs>
          <w:tab w:val="left" w:pos="426"/>
        </w:tabs>
        <w:spacing w:after="0"/>
        <w:rPr>
          <w:rFonts w:cs="Arial"/>
        </w:rPr>
      </w:pPr>
    </w:p>
    <w:p w14:paraId="48240FE6" w14:textId="301A8E4C" w:rsidR="004230E7" w:rsidRPr="0052418C" w:rsidRDefault="004230E7" w:rsidP="0052418C">
      <w:pPr>
        <w:pStyle w:val="IFT1"/>
        <w:tabs>
          <w:tab w:val="left" w:pos="426"/>
        </w:tabs>
        <w:spacing w:after="0"/>
        <w:rPr>
          <w:rFonts w:cs="Arial"/>
        </w:rPr>
      </w:pPr>
    </w:p>
    <w:sectPr w:rsidR="004230E7" w:rsidRPr="0052418C" w:rsidSect="00971200">
      <w:footerReference w:type="default" r:id="rId12"/>
      <w:pgSz w:w="12240" w:h="15840"/>
      <w:pgMar w:top="1417" w:right="175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9429D" w14:textId="77777777" w:rsidR="00CA3226" w:rsidRDefault="00CA3226" w:rsidP="00850E38">
      <w:pPr>
        <w:spacing w:after="0" w:line="240" w:lineRule="auto"/>
      </w:pPr>
      <w:r>
        <w:separator/>
      </w:r>
    </w:p>
  </w:endnote>
  <w:endnote w:type="continuationSeparator" w:id="0">
    <w:p w14:paraId="268CE02C" w14:textId="77777777" w:rsidR="00CA3226" w:rsidRDefault="00CA3226" w:rsidP="00850E38">
      <w:pPr>
        <w:spacing w:after="0" w:line="240" w:lineRule="auto"/>
      </w:pPr>
      <w:r>
        <w:continuationSeparator/>
      </w:r>
    </w:p>
  </w:endnote>
  <w:endnote w:type="continuationNotice" w:id="1">
    <w:p w14:paraId="358C108A" w14:textId="77777777" w:rsidR="00CA3226" w:rsidRDefault="00CA3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 Garde">
    <w:altName w:val="Century Gothic"/>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30204"/>
    <w:charset w:val="00"/>
    <w:family w:val="swiss"/>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871081"/>
      <w:docPartObj>
        <w:docPartGallery w:val="Page Numbers (Bottom of Page)"/>
        <w:docPartUnique/>
      </w:docPartObj>
    </w:sdtPr>
    <w:sdtEndPr/>
    <w:sdtContent>
      <w:p w14:paraId="6B7EC7E7" w14:textId="6341B193" w:rsidR="00A24979" w:rsidRDefault="00A24979">
        <w:pPr>
          <w:pStyle w:val="Piedepgina"/>
          <w:jc w:val="right"/>
        </w:pPr>
        <w:r>
          <w:fldChar w:fldCharType="begin"/>
        </w:r>
        <w:r>
          <w:instrText>PAGE   \* MERGEFORMAT</w:instrText>
        </w:r>
        <w:r>
          <w:fldChar w:fldCharType="separate"/>
        </w:r>
        <w:r w:rsidRPr="000F50CB">
          <w:rPr>
            <w:noProof/>
            <w:lang w:val="es-ES"/>
          </w:rPr>
          <w:t>54</w:t>
        </w:r>
        <w:r>
          <w:fldChar w:fldCharType="end"/>
        </w:r>
      </w:p>
    </w:sdtContent>
  </w:sdt>
  <w:p w14:paraId="79C7CD65" w14:textId="77777777" w:rsidR="00A24979" w:rsidRDefault="00A249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74EF3" w14:textId="77777777" w:rsidR="00CA3226" w:rsidRDefault="00CA3226" w:rsidP="00850E38">
      <w:pPr>
        <w:spacing w:after="0" w:line="240" w:lineRule="auto"/>
      </w:pPr>
      <w:r>
        <w:separator/>
      </w:r>
    </w:p>
  </w:footnote>
  <w:footnote w:type="continuationSeparator" w:id="0">
    <w:p w14:paraId="501FDDFD" w14:textId="77777777" w:rsidR="00CA3226" w:rsidRDefault="00CA3226" w:rsidP="00850E38">
      <w:pPr>
        <w:spacing w:after="0" w:line="240" w:lineRule="auto"/>
      </w:pPr>
      <w:r>
        <w:continuationSeparator/>
      </w:r>
    </w:p>
  </w:footnote>
  <w:footnote w:type="continuationNotice" w:id="1">
    <w:p w14:paraId="565B4333" w14:textId="77777777" w:rsidR="00CA3226" w:rsidRDefault="00CA32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27FF"/>
    <w:multiLevelType w:val="hybridMultilevel"/>
    <w:tmpl w:val="54B87B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4223130"/>
    <w:multiLevelType w:val="hybridMultilevel"/>
    <w:tmpl w:val="8A08C7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4166F2"/>
    <w:multiLevelType w:val="hybridMultilevel"/>
    <w:tmpl w:val="4A9A483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7556AD3"/>
    <w:multiLevelType w:val="hybridMultilevel"/>
    <w:tmpl w:val="B9741190"/>
    <w:lvl w:ilvl="0" w:tplc="080A0001">
      <w:start w:val="1"/>
      <w:numFmt w:val="bullet"/>
      <w:lvlText w:val=""/>
      <w:lvlJc w:val="left"/>
      <w:pPr>
        <w:ind w:left="715" w:hanging="360"/>
      </w:pPr>
      <w:rPr>
        <w:rFonts w:ascii="Symbol" w:hAnsi="Symbol" w:hint="default"/>
      </w:rPr>
    </w:lvl>
    <w:lvl w:ilvl="1" w:tplc="080A0003" w:tentative="1">
      <w:start w:val="1"/>
      <w:numFmt w:val="bullet"/>
      <w:lvlText w:val="o"/>
      <w:lvlJc w:val="left"/>
      <w:pPr>
        <w:ind w:left="1435" w:hanging="360"/>
      </w:pPr>
      <w:rPr>
        <w:rFonts w:ascii="Courier New" w:hAnsi="Courier New" w:cs="Courier New" w:hint="default"/>
      </w:rPr>
    </w:lvl>
    <w:lvl w:ilvl="2" w:tplc="080A0005" w:tentative="1">
      <w:start w:val="1"/>
      <w:numFmt w:val="bullet"/>
      <w:lvlText w:val=""/>
      <w:lvlJc w:val="left"/>
      <w:pPr>
        <w:ind w:left="2155" w:hanging="360"/>
      </w:pPr>
      <w:rPr>
        <w:rFonts w:ascii="Wingdings" w:hAnsi="Wingdings" w:hint="default"/>
      </w:rPr>
    </w:lvl>
    <w:lvl w:ilvl="3" w:tplc="080A0001" w:tentative="1">
      <w:start w:val="1"/>
      <w:numFmt w:val="bullet"/>
      <w:lvlText w:val=""/>
      <w:lvlJc w:val="left"/>
      <w:pPr>
        <w:ind w:left="2875" w:hanging="360"/>
      </w:pPr>
      <w:rPr>
        <w:rFonts w:ascii="Symbol" w:hAnsi="Symbol" w:hint="default"/>
      </w:rPr>
    </w:lvl>
    <w:lvl w:ilvl="4" w:tplc="080A0003" w:tentative="1">
      <w:start w:val="1"/>
      <w:numFmt w:val="bullet"/>
      <w:lvlText w:val="o"/>
      <w:lvlJc w:val="left"/>
      <w:pPr>
        <w:ind w:left="3595" w:hanging="360"/>
      </w:pPr>
      <w:rPr>
        <w:rFonts w:ascii="Courier New" w:hAnsi="Courier New" w:cs="Courier New" w:hint="default"/>
      </w:rPr>
    </w:lvl>
    <w:lvl w:ilvl="5" w:tplc="080A0005" w:tentative="1">
      <w:start w:val="1"/>
      <w:numFmt w:val="bullet"/>
      <w:lvlText w:val=""/>
      <w:lvlJc w:val="left"/>
      <w:pPr>
        <w:ind w:left="4315" w:hanging="360"/>
      </w:pPr>
      <w:rPr>
        <w:rFonts w:ascii="Wingdings" w:hAnsi="Wingdings" w:hint="default"/>
      </w:rPr>
    </w:lvl>
    <w:lvl w:ilvl="6" w:tplc="080A0001" w:tentative="1">
      <w:start w:val="1"/>
      <w:numFmt w:val="bullet"/>
      <w:lvlText w:val=""/>
      <w:lvlJc w:val="left"/>
      <w:pPr>
        <w:ind w:left="5035" w:hanging="360"/>
      </w:pPr>
      <w:rPr>
        <w:rFonts w:ascii="Symbol" w:hAnsi="Symbol" w:hint="default"/>
      </w:rPr>
    </w:lvl>
    <w:lvl w:ilvl="7" w:tplc="080A0003" w:tentative="1">
      <w:start w:val="1"/>
      <w:numFmt w:val="bullet"/>
      <w:lvlText w:val="o"/>
      <w:lvlJc w:val="left"/>
      <w:pPr>
        <w:ind w:left="5755" w:hanging="360"/>
      </w:pPr>
      <w:rPr>
        <w:rFonts w:ascii="Courier New" w:hAnsi="Courier New" w:cs="Courier New" w:hint="default"/>
      </w:rPr>
    </w:lvl>
    <w:lvl w:ilvl="8" w:tplc="080A0005" w:tentative="1">
      <w:start w:val="1"/>
      <w:numFmt w:val="bullet"/>
      <w:lvlText w:val=""/>
      <w:lvlJc w:val="left"/>
      <w:pPr>
        <w:ind w:left="6475" w:hanging="360"/>
      </w:pPr>
      <w:rPr>
        <w:rFonts w:ascii="Wingdings" w:hAnsi="Wingdings" w:hint="default"/>
      </w:rPr>
    </w:lvl>
  </w:abstractNum>
  <w:abstractNum w:abstractNumId="4" w15:restartNumberingAfterBreak="0">
    <w:nsid w:val="0AEA6B79"/>
    <w:multiLevelType w:val="hybridMultilevel"/>
    <w:tmpl w:val="88F21F32"/>
    <w:lvl w:ilvl="0" w:tplc="D0002F38">
      <w:start w:val="1"/>
      <w:numFmt w:val="lowerRoman"/>
      <w:lvlText w:val="(%1)"/>
      <w:lvlJc w:val="left"/>
      <w:pPr>
        <w:ind w:left="715" w:hanging="360"/>
      </w:pPr>
      <w:rPr>
        <w:rFonts w:hint="default"/>
        <w:b/>
      </w:rPr>
    </w:lvl>
    <w:lvl w:ilvl="1" w:tplc="080A0019" w:tentative="1">
      <w:start w:val="1"/>
      <w:numFmt w:val="lowerLetter"/>
      <w:lvlText w:val="%2."/>
      <w:lvlJc w:val="left"/>
      <w:pPr>
        <w:ind w:left="1435" w:hanging="360"/>
      </w:pPr>
    </w:lvl>
    <w:lvl w:ilvl="2" w:tplc="080A001B" w:tentative="1">
      <w:start w:val="1"/>
      <w:numFmt w:val="lowerRoman"/>
      <w:lvlText w:val="%3."/>
      <w:lvlJc w:val="right"/>
      <w:pPr>
        <w:ind w:left="2155" w:hanging="180"/>
      </w:pPr>
    </w:lvl>
    <w:lvl w:ilvl="3" w:tplc="080A000F" w:tentative="1">
      <w:start w:val="1"/>
      <w:numFmt w:val="decimal"/>
      <w:lvlText w:val="%4."/>
      <w:lvlJc w:val="left"/>
      <w:pPr>
        <w:ind w:left="2875" w:hanging="360"/>
      </w:pPr>
    </w:lvl>
    <w:lvl w:ilvl="4" w:tplc="080A0019" w:tentative="1">
      <w:start w:val="1"/>
      <w:numFmt w:val="lowerLetter"/>
      <w:lvlText w:val="%5."/>
      <w:lvlJc w:val="left"/>
      <w:pPr>
        <w:ind w:left="3595" w:hanging="360"/>
      </w:pPr>
    </w:lvl>
    <w:lvl w:ilvl="5" w:tplc="080A001B" w:tentative="1">
      <w:start w:val="1"/>
      <w:numFmt w:val="lowerRoman"/>
      <w:lvlText w:val="%6."/>
      <w:lvlJc w:val="right"/>
      <w:pPr>
        <w:ind w:left="4315" w:hanging="180"/>
      </w:pPr>
    </w:lvl>
    <w:lvl w:ilvl="6" w:tplc="080A000F" w:tentative="1">
      <w:start w:val="1"/>
      <w:numFmt w:val="decimal"/>
      <w:lvlText w:val="%7."/>
      <w:lvlJc w:val="left"/>
      <w:pPr>
        <w:ind w:left="5035" w:hanging="360"/>
      </w:pPr>
    </w:lvl>
    <w:lvl w:ilvl="7" w:tplc="080A0019" w:tentative="1">
      <w:start w:val="1"/>
      <w:numFmt w:val="lowerLetter"/>
      <w:lvlText w:val="%8."/>
      <w:lvlJc w:val="left"/>
      <w:pPr>
        <w:ind w:left="5755" w:hanging="360"/>
      </w:pPr>
    </w:lvl>
    <w:lvl w:ilvl="8" w:tplc="080A001B" w:tentative="1">
      <w:start w:val="1"/>
      <w:numFmt w:val="lowerRoman"/>
      <w:lvlText w:val="%9."/>
      <w:lvlJc w:val="right"/>
      <w:pPr>
        <w:ind w:left="6475" w:hanging="180"/>
      </w:pPr>
    </w:lvl>
  </w:abstractNum>
  <w:abstractNum w:abstractNumId="5" w15:restartNumberingAfterBreak="0">
    <w:nsid w:val="0AFD432A"/>
    <w:multiLevelType w:val="hybridMultilevel"/>
    <w:tmpl w:val="30D0FC52"/>
    <w:lvl w:ilvl="0" w:tplc="F8D0CC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6402B1"/>
    <w:multiLevelType w:val="hybridMultilevel"/>
    <w:tmpl w:val="BAB8C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761DB5"/>
    <w:multiLevelType w:val="hybridMultilevel"/>
    <w:tmpl w:val="4B10F41A"/>
    <w:lvl w:ilvl="0" w:tplc="080A0019">
      <w:start w:val="1"/>
      <w:numFmt w:val="lowerLetter"/>
      <w:lvlText w:val="%1."/>
      <w:lvlJc w:val="left"/>
      <w:pPr>
        <w:ind w:left="1440" w:hanging="36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8" w15:restartNumberingAfterBreak="0">
    <w:nsid w:val="0D77378A"/>
    <w:multiLevelType w:val="hybridMultilevel"/>
    <w:tmpl w:val="CB4A60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A06359"/>
    <w:multiLevelType w:val="hybridMultilevel"/>
    <w:tmpl w:val="1108A152"/>
    <w:lvl w:ilvl="0" w:tplc="4AC839B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17455F"/>
    <w:multiLevelType w:val="hybridMultilevel"/>
    <w:tmpl w:val="CDD03D26"/>
    <w:lvl w:ilvl="0" w:tplc="080A0001">
      <w:start w:val="1"/>
      <w:numFmt w:val="bullet"/>
      <w:lvlText w:val=""/>
      <w:lvlJc w:val="left"/>
      <w:pPr>
        <w:ind w:left="715" w:hanging="360"/>
      </w:pPr>
      <w:rPr>
        <w:rFonts w:ascii="Symbol" w:hAnsi="Symbol" w:hint="default"/>
      </w:rPr>
    </w:lvl>
    <w:lvl w:ilvl="1" w:tplc="080A0003" w:tentative="1">
      <w:start w:val="1"/>
      <w:numFmt w:val="bullet"/>
      <w:lvlText w:val="o"/>
      <w:lvlJc w:val="left"/>
      <w:pPr>
        <w:ind w:left="1435" w:hanging="360"/>
      </w:pPr>
      <w:rPr>
        <w:rFonts w:ascii="Courier New" w:hAnsi="Courier New" w:cs="Courier New" w:hint="default"/>
      </w:rPr>
    </w:lvl>
    <w:lvl w:ilvl="2" w:tplc="080A0005" w:tentative="1">
      <w:start w:val="1"/>
      <w:numFmt w:val="bullet"/>
      <w:lvlText w:val=""/>
      <w:lvlJc w:val="left"/>
      <w:pPr>
        <w:ind w:left="2155" w:hanging="360"/>
      </w:pPr>
      <w:rPr>
        <w:rFonts w:ascii="Wingdings" w:hAnsi="Wingdings" w:hint="default"/>
      </w:rPr>
    </w:lvl>
    <w:lvl w:ilvl="3" w:tplc="080A0001" w:tentative="1">
      <w:start w:val="1"/>
      <w:numFmt w:val="bullet"/>
      <w:lvlText w:val=""/>
      <w:lvlJc w:val="left"/>
      <w:pPr>
        <w:ind w:left="2875" w:hanging="360"/>
      </w:pPr>
      <w:rPr>
        <w:rFonts w:ascii="Symbol" w:hAnsi="Symbol" w:hint="default"/>
      </w:rPr>
    </w:lvl>
    <w:lvl w:ilvl="4" w:tplc="080A0003" w:tentative="1">
      <w:start w:val="1"/>
      <w:numFmt w:val="bullet"/>
      <w:lvlText w:val="o"/>
      <w:lvlJc w:val="left"/>
      <w:pPr>
        <w:ind w:left="3595" w:hanging="360"/>
      </w:pPr>
      <w:rPr>
        <w:rFonts w:ascii="Courier New" w:hAnsi="Courier New" w:cs="Courier New" w:hint="default"/>
      </w:rPr>
    </w:lvl>
    <w:lvl w:ilvl="5" w:tplc="080A0005" w:tentative="1">
      <w:start w:val="1"/>
      <w:numFmt w:val="bullet"/>
      <w:lvlText w:val=""/>
      <w:lvlJc w:val="left"/>
      <w:pPr>
        <w:ind w:left="4315" w:hanging="360"/>
      </w:pPr>
      <w:rPr>
        <w:rFonts w:ascii="Wingdings" w:hAnsi="Wingdings" w:hint="default"/>
      </w:rPr>
    </w:lvl>
    <w:lvl w:ilvl="6" w:tplc="080A0001" w:tentative="1">
      <w:start w:val="1"/>
      <w:numFmt w:val="bullet"/>
      <w:lvlText w:val=""/>
      <w:lvlJc w:val="left"/>
      <w:pPr>
        <w:ind w:left="5035" w:hanging="360"/>
      </w:pPr>
      <w:rPr>
        <w:rFonts w:ascii="Symbol" w:hAnsi="Symbol" w:hint="default"/>
      </w:rPr>
    </w:lvl>
    <w:lvl w:ilvl="7" w:tplc="080A0003" w:tentative="1">
      <w:start w:val="1"/>
      <w:numFmt w:val="bullet"/>
      <w:lvlText w:val="o"/>
      <w:lvlJc w:val="left"/>
      <w:pPr>
        <w:ind w:left="5755" w:hanging="360"/>
      </w:pPr>
      <w:rPr>
        <w:rFonts w:ascii="Courier New" w:hAnsi="Courier New" w:cs="Courier New" w:hint="default"/>
      </w:rPr>
    </w:lvl>
    <w:lvl w:ilvl="8" w:tplc="080A0005" w:tentative="1">
      <w:start w:val="1"/>
      <w:numFmt w:val="bullet"/>
      <w:lvlText w:val=""/>
      <w:lvlJc w:val="left"/>
      <w:pPr>
        <w:ind w:left="6475" w:hanging="360"/>
      </w:pPr>
      <w:rPr>
        <w:rFonts w:ascii="Wingdings" w:hAnsi="Wingdings" w:hint="default"/>
      </w:rPr>
    </w:lvl>
  </w:abstractNum>
  <w:abstractNum w:abstractNumId="11" w15:restartNumberingAfterBreak="0">
    <w:nsid w:val="0FB7080A"/>
    <w:multiLevelType w:val="hybridMultilevel"/>
    <w:tmpl w:val="93524B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12CD7403"/>
    <w:multiLevelType w:val="hybridMultilevel"/>
    <w:tmpl w:val="C032F02A"/>
    <w:lvl w:ilvl="0" w:tplc="080A0001">
      <w:start w:val="1"/>
      <w:numFmt w:val="bullet"/>
      <w:lvlText w:val=""/>
      <w:lvlJc w:val="left"/>
      <w:pPr>
        <w:ind w:left="715" w:hanging="360"/>
      </w:pPr>
      <w:rPr>
        <w:rFonts w:ascii="Symbol" w:hAnsi="Symbol" w:hint="default"/>
      </w:rPr>
    </w:lvl>
    <w:lvl w:ilvl="1" w:tplc="080A0003" w:tentative="1">
      <w:start w:val="1"/>
      <w:numFmt w:val="bullet"/>
      <w:lvlText w:val="o"/>
      <w:lvlJc w:val="left"/>
      <w:pPr>
        <w:ind w:left="1435" w:hanging="360"/>
      </w:pPr>
      <w:rPr>
        <w:rFonts w:ascii="Courier New" w:hAnsi="Courier New" w:cs="Courier New" w:hint="default"/>
      </w:rPr>
    </w:lvl>
    <w:lvl w:ilvl="2" w:tplc="080A0005" w:tentative="1">
      <w:start w:val="1"/>
      <w:numFmt w:val="bullet"/>
      <w:lvlText w:val=""/>
      <w:lvlJc w:val="left"/>
      <w:pPr>
        <w:ind w:left="2155" w:hanging="360"/>
      </w:pPr>
      <w:rPr>
        <w:rFonts w:ascii="Wingdings" w:hAnsi="Wingdings" w:hint="default"/>
      </w:rPr>
    </w:lvl>
    <w:lvl w:ilvl="3" w:tplc="080A0001" w:tentative="1">
      <w:start w:val="1"/>
      <w:numFmt w:val="bullet"/>
      <w:lvlText w:val=""/>
      <w:lvlJc w:val="left"/>
      <w:pPr>
        <w:ind w:left="2875" w:hanging="360"/>
      </w:pPr>
      <w:rPr>
        <w:rFonts w:ascii="Symbol" w:hAnsi="Symbol" w:hint="default"/>
      </w:rPr>
    </w:lvl>
    <w:lvl w:ilvl="4" w:tplc="080A0003" w:tentative="1">
      <w:start w:val="1"/>
      <w:numFmt w:val="bullet"/>
      <w:lvlText w:val="o"/>
      <w:lvlJc w:val="left"/>
      <w:pPr>
        <w:ind w:left="3595" w:hanging="360"/>
      </w:pPr>
      <w:rPr>
        <w:rFonts w:ascii="Courier New" w:hAnsi="Courier New" w:cs="Courier New" w:hint="default"/>
      </w:rPr>
    </w:lvl>
    <w:lvl w:ilvl="5" w:tplc="080A0005" w:tentative="1">
      <w:start w:val="1"/>
      <w:numFmt w:val="bullet"/>
      <w:lvlText w:val=""/>
      <w:lvlJc w:val="left"/>
      <w:pPr>
        <w:ind w:left="4315" w:hanging="360"/>
      </w:pPr>
      <w:rPr>
        <w:rFonts w:ascii="Wingdings" w:hAnsi="Wingdings" w:hint="default"/>
      </w:rPr>
    </w:lvl>
    <w:lvl w:ilvl="6" w:tplc="080A0001" w:tentative="1">
      <w:start w:val="1"/>
      <w:numFmt w:val="bullet"/>
      <w:lvlText w:val=""/>
      <w:lvlJc w:val="left"/>
      <w:pPr>
        <w:ind w:left="5035" w:hanging="360"/>
      </w:pPr>
      <w:rPr>
        <w:rFonts w:ascii="Symbol" w:hAnsi="Symbol" w:hint="default"/>
      </w:rPr>
    </w:lvl>
    <w:lvl w:ilvl="7" w:tplc="080A0003" w:tentative="1">
      <w:start w:val="1"/>
      <w:numFmt w:val="bullet"/>
      <w:lvlText w:val="o"/>
      <w:lvlJc w:val="left"/>
      <w:pPr>
        <w:ind w:left="5755" w:hanging="360"/>
      </w:pPr>
      <w:rPr>
        <w:rFonts w:ascii="Courier New" w:hAnsi="Courier New" w:cs="Courier New" w:hint="default"/>
      </w:rPr>
    </w:lvl>
    <w:lvl w:ilvl="8" w:tplc="080A0005" w:tentative="1">
      <w:start w:val="1"/>
      <w:numFmt w:val="bullet"/>
      <w:lvlText w:val=""/>
      <w:lvlJc w:val="left"/>
      <w:pPr>
        <w:ind w:left="6475" w:hanging="360"/>
      </w:pPr>
      <w:rPr>
        <w:rFonts w:ascii="Wingdings" w:hAnsi="Wingdings" w:hint="default"/>
      </w:rPr>
    </w:lvl>
  </w:abstractNum>
  <w:abstractNum w:abstractNumId="13" w15:restartNumberingAfterBreak="0">
    <w:nsid w:val="13747B8D"/>
    <w:multiLevelType w:val="hybridMultilevel"/>
    <w:tmpl w:val="5E2AFFC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38467B8"/>
    <w:multiLevelType w:val="hybridMultilevel"/>
    <w:tmpl w:val="710A0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42050E6"/>
    <w:multiLevelType w:val="hybridMultilevel"/>
    <w:tmpl w:val="7FE62A2A"/>
    <w:lvl w:ilvl="0" w:tplc="C1D0F5D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5FC1DB8"/>
    <w:multiLevelType w:val="hybridMultilevel"/>
    <w:tmpl w:val="9C2A7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9AB7DF7"/>
    <w:multiLevelType w:val="hybridMultilevel"/>
    <w:tmpl w:val="7468306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19C4294D"/>
    <w:multiLevelType w:val="hybridMultilevel"/>
    <w:tmpl w:val="1D3622D8"/>
    <w:lvl w:ilvl="0" w:tplc="080A0001">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A2F41CA"/>
    <w:multiLevelType w:val="hybridMultilevel"/>
    <w:tmpl w:val="2F949A3C"/>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1A305B3D"/>
    <w:multiLevelType w:val="hybridMultilevel"/>
    <w:tmpl w:val="FAC26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C824DB0"/>
    <w:multiLevelType w:val="hybridMultilevel"/>
    <w:tmpl w:val="38FA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8354232"/>
    <w:multiLevelType w:val="hybridMultilevel"/>
    <w:tmpl w:val="C7D616A4"/>
    <w:lvl w:ilvl="0" w:tplc="080A0001">
      <w:start w:val="1"/>
      <w:numFmt w:val="bullet"/>
      <w:lvlText w:val=""/>
      <w:lvlJc w:val="left"/>
      <w:pPr>
        <w:ind w:left="715" w:hanging="360"/>
      </w:pPr>
      <w:rPr>
        <w:rFonts w:ascii="Symbol" w:hAnsi="Symbol" w:hint="default"/>
      </w:rPr>
    </w:lvl>
    <w:lvl w:ilvl="1" w:tplc="080A0003" w:tentative="1">
      <w:start w:val="1"/>
      <w:numFmt w:val="bullet"/>
      <w:lvlText w:val="o"/>
      <w:lvlJc w:val="left"/>
      <w:pPr>
        <w:ind w:left="1435" w:hanging="360"/>
      </w:pPr>
      <w:rPr>
        <w:rFonts w:ascii="Courier New" w:hAnsi="Courier New" w:cs="Courier New" w:hint="default"/>
      </w:rPr>
    </w:lvl>
    <w:lvl w:ilvl="2" w:tplc="080A0005" w:tentative="1">
      <w:start w:val="1"/>
      <w:numFmt w:val="bullet"/>
      <w:lvlText w:val=""/>
      <w:lvlJc w:val="left"/>
      <w:pPr>
        <w:ind w:left="2155" w:hanging="360"/>
      </w:pPr>
      <w:rPr>
        <w:rFonts w:ascii="Wingdings" w:hAnsi="Wingdings" w:hint="default"/>
      </w:rPr>
    </w:lvl>
    <w:lvl w:ilvl="3" w:tplc="080A0001" w:tentative="1">
      <w:start w:val="1"/>
      <w:numFmt w:val="bullet"/>
      <w:lvlText w:val=""/>
      <w:lvlJc w:val="left"/>
      <w:pPr>
        <w:ind w:left="2875" w:hanging="360"/>
      </w:pPr>
      <w:rPr>
        <w:rFonts w:ascii="Symbol" w:hAnsi="Symbol" w:hint="default"/>
      </w:rPr>
    </w:lvl>
    <w:lvl w:ilvl="4" w:tplc="080A0003" w:tentative="1">
      <w:start w:val="1"/>
      <w:numFmt w:val="bullet"/>
      <w:lvlText w:val="o"/>
      <w:lvlJc w:val="left"/>
      <w:pPr>
        <w:ind w:left="3595" w:hanging="360"/>
      </w:pPr>
      <w:rPr>
        <w:rFonts w:ascii="Courier New" w:hAnsi="Courier New" w:cs="Courier New" w:hint="default"/>
      </w:rPr>
    </w:lvl>
    <w:lvl w:ilvl="5" w:tplc="080A0005" w:tentative="1">
      <w:start w:val="1"/>
      <w:numFmt w:val="bullet"/>
      <w:lvlText w:val=""/>
      <w:lvlJc w:val="left"/>
      <w:pPr>
        <w:ind w:left="4315" w:hanging="360"/>
      </w:pPr>
      <w:rPr>
        <w:rFonts w:ascii="Wingdings" w:hAnsi="Wingdings" w:hint="default"/>
      </w:rPr>
    </w:lvl>
    <w:lvl w:ilvl="6" w:tplc="080A0001" w:tentative="1">
      <w:start w:val="1"/>
      <w:numFmt w:val="bullet"/>
      <w:lvlText w:val=""/>
      <w:lvlJc w:val="left"/>
      <w:pPr>
        <w:ind w:left="5035" w:hanging="360"/>
      </w:pPr>
      <w:rPr>
        <w:rFonts w:ascii="Symbol" w:hAnsi="Symbol" w:hint="default"/>
      </w:rPr>
    </w:lvl>
    <w:lvl w:ilvl="7" w:tplc="080A0003" w:tentative="1">
      <w:start w:val="1"/>
      <w:numFmt w:val="bullet"/>
      <w:lvlText w:val="o"/>
      <w:lvlJc w:val="left"/>
      <w:pPr>
        <w:ind w:left="5755" w:hanging="360"/>
      </w:pPr>
      <w:rPr>
        <w:rFonts w:ascii="Courier New" w:hAnsi="Courier New" w:cs="Courier New" w:hint="default"/>
      </w:rPr>
    </w:lvl>
    <w:lvl w:ilvl="8" w:tplc="080A0005" w:tentative="1">
      <w:start w:val="1"/>
      <w:numFmt w:val="bullet"/>
      <w:lvlText w:val=""/>
      <w:lvlJc w:val="left"/>
      <w:pPr>
        <w:ind w:left="6475" w:hanging="360"/>
      </w:pPr>
      <w:rPr>
        <w:rFonts w:ascii="Wingdings" w:hAnsi="Wingdings" w:hint="default"/>
      </w:rPr>
    </w:lvl>
  </w:abstractNum>
  <w:abstractNum w:abstractNumId="23" w15:restartNumberingAfterBreak="0">
    <w:nsid w:val="28A74F35"/>
    <w:multiLevelType w:val="hybridMultilevel"/>
    <w:tmpl w:val="C9DC6FDA"/>
    <w:lvl w:ilvl="0" w:tplc="080A0001">
      <w:start w:val="1"/>
      <w:numFmt w:val="bullet"/>
      <w:lvlText w:val=""/>
      <w:lvlJc w:val="left"/>
      <w:pPr>
        <w:ind w:left="715" w:hanging="360"/>
      </w:pPr>
      <w:rPr>
        <w:rFonts w:ascii="Symbol" w:hAnsi="Symbol" w:hint="default"/>
      </w:rPr>
    </w:lvl>
    <w:lvl w:ilvl="1" w:tplc="080A0003" w:tentative="1">
      <w:start w:val="1"/>
      <w:numFmt w:val="bullet"/>
      <w:lvlText w:val="o"/>
      <w:lvlJc w:val="left"/>
      <w:pPr>
        <w:ind w:left="1435" w:hanging="360"/>
      </w:pPr>
      <w:rPr>
        <w:rFonts w:ascii="Courier New" w:hAnsi="Courier New" w:cs="Courier New" w:hint="default"/>
      </w:rPr>
    </w:lvl>
    <w:lvl w:ilvl="2" w:tplc="080A0005" w:tentative="1">
      <w:start w:val="1"/>
      <w:numFmt w:val="bullet"/>
      <w:lvlText w:val=""/>
      <w:lvlJc w:val="left"/>
      <w:pPr>
        <w:ind w:left="2155" w:hanging="360"/>
      </w:pPr>
      <w:rPr>
        <w:rFonts w:ascii="Wingdings" w:hAnsi="Wingdings" w:hint="default"/>
      </w:rPr>
    </w:lvl>
    <w:lvl w:ilvl="3" w:tplc="080A0001" w:tentative="1">
      <w:start w:val="1"/>
      <w:numFmt w:val="bullet"/>
      <w:lvlText w:val=""/>
      <w:lvlJc w:val="left"/>
      <w:pPr>
        <w:ind w:left="2875" w:hanging="360"/>
      </w:pPr>
      <w:rPr>
        <w:rFonts w:ascii="Symbol" w:hAnsi="Symbol" w:hint="default"/>
      </w:rPr>
    </w:lvl>
    <w:lvl w:ilvl="4" w:tplc="080A0003" w:tentative="1">
      <w:start w:val="1"/>
      <w:numFmt w:val="bullet"/>
      <w:lvlText w:val="o"/>
      <w:lvlJc w:val="left"/>
      <w:pPr>
        <w:ind w:left="3595" w:hanging="360"/>
      </w:pPr>
      <w:rPr>
        <w:rFonts w:ascii="Courier New" w:hAnsi="Courier New" w:cs="Courier New" w:hint="default"/>
      </w:rPr>
    </w:lvl>
    <w:lvl w:ilvl="5" w:tplc="080A0005" w:tentative="1">
      <w:start w:val="1"/>
      <w:numFmt w:val="bullet"/>
      <w:lvlText w:val=""/>
      <w:lvlJc w:val="left"/>
      <w:pPr>
        <w:ind w:left="4315" w:hanging="360"/>
      </w:pPr>
      <w:rPr>
        <w:rFonts w:ascii="Wingdings" w:hAnsi="Wingdings" w:hint="default"/>
      </w:rPr>
    </w:lvl>
    <w:lvl w:ilvl="6" w:tplc="080A0001" w:tentative="1">
      <w:start w:val="1"/>
      <w:numFmt w:val="bullet"/>
      <w:lvlText w:val=""/>
      <w:lvlJc w:val="left"/>
      <w:pPr>
        <w:ind w:left="5035" w:hanging="360"/>
      </w:pPr>
      <w:rPr>
        <w:rFonts w:ascii="Symbol" w:hAnsi="Symbol" w:hint="default"/>
      </w:rPr>
    </w:lvl>
    <w:lvl w:ilvl="7" w:tplc="080A0003" w:tentative="1">
      <w:start w:val="1"/>
      <w:numFmt w:val="bullet"/>
      <w:lvlText w:val="o"/>
      <w:lvlJc w:val="left"/>
      <w:pPr>
        <w:ind w:left="5755" w:hanging="360"/>
      </w:pPr>
      <w:rPr>
        <w:rFonts w:ascii="Courier New" w:hAnsi="Courier New" w:cs="Courier New" w:hint="default"/>
      </w:rPr>
    </w:lvl>
    <w:lvl w:ilvl="8" w:tplc="080A0005" w:tentative="1">
      <w:start w:val="1"/>
      <w:numFmt w:val="bullet"/>
      <w:lvlText w:val=""/>
      <w:lvlJc w:val="left"/>
      <w:pPr>
        <w:ind w:left="6475" w:hanging="360"/>
      </w:pPr>
      <w:rPr>
        <w:rFonts w:ascii="Wingdings" w:hAnsi="Wingdings" w:hint="default"/>
      </w:rPr>
    </w:lvl>
  </w:abstractNum>
  <w:abstractNum w:abstractNumId="24" w15:restartNumberingAfterBreak="0">
    <w:nsid w:val="2BFF01BB"/>
    <w:multiLevelType w:val="hybridMultilevel"/>
    <w:tmpl w:val="07349CAE"/>
    <w:lvl w:ilvl="0" w:tplc="464A0920">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2C317E98"/>
    <w:multiLevelType w:val="hybridMultilevel"/>
    <w:tmpl w:val="BF56C4B6"/>
    <w:lvl w:ilvl="0" w:tplc="D0002F3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C364A7B"/>
    <w:multiLevelType w:val="hybridMultilevel"/>
    <w:tmpl w:val="0C50B266"/>
    <w:lvl w:ilvl="0" w:tplc="080A0013">
      <w:start w:val="1"/>
      <w:numFmt w:val="upperRoman"/>
      <w:lvlText w:val="%1."/>
      <w:lvlJc w:val="right"/>
      <w:pPr>
        <w:ind w:left="1140" w:hanging="4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2C3661A6"/>
    <w:multiLevelType w:val="multilevel"/>
    <w:tmpl w:val="C49C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A903E8"/>
    <w:multiLevelType w:val="hybridMultilevel"/>
    <w:tmpl w:val="07DE3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2343B07"/>
    <w:multiLevelType w:val="hybridMultilevel"/>
    <w:tmpl w:val="5D9EE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4560892"/>
    <w:multiLevelType w:val="hybridMultilevel"/>
    <w:tmpl w:val="C944E0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78A790F"/>
    <w:multiLevelType w:val="hybridMultilevel"/>
    <w:tmpl w:val="E17021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8403F28"/>
    <w:multiLevelType w:val="hybridMultilevel"/>
    <w:tmpl w:val="03762102"/>
    <w:lvl w:ilvl="0" w:tplc="080A0001">
      <w:start w:val="1"/>
      <w:numFmt w:val="bullet"/>
      <w:lvlText w:val=""/>
      <w:lvlJc w:val="left"/>
      <w:pPr>
        <w:ind w:left="1435" w:hanging="360"/>
      </w:pPr>
      <w:rPr>
        <w:rFonts w:ascii="Symbol" w:hAnsi="Symbol" w:hint="default"/>
      </w:rPr>
    </w:lvl>
    <w:lvl w:ilvl="1" w:tplc="080A0003" w:tentative="1">
      <w:start w:val="1"/>
      <w:numFmt w:val="bullet"/>
      <w:lvlText w:val="o"/>
      <w:lvlJc w:val="left"/>
      <w:pPr>
        <w:ind w:left="2155" w:hanging="360"/>
      </w:pPr>
      <w:rPr>
        <w:rFonts w:ascii="Courier New" w:hAnsi="Courier New" w:cs="Courier New" w:hint="default"/>
      </w:rPr>
    </w:lvl>
    <w:lvl w:ilvl="2" w:tplc="080A0005" w:tentative="1">
      <w:start w:val="1"/>
      <w:numFmt w:val="bullet"/>
      <w:lvlText w:val=""/>
      <w:lvlJc w:val="left"/>
      <w:pPr>
        <w:ind w:left="2875" w:hanging="360"/>
      </w:pPr>
      <w:rPr>
        <w:rFonts w:ascii="Wingdings" w:hAnsi="Wingdings" w:hint="default"/>
      </w:rPr>
    </w:lvl>
    <w:lvl w:ilvl="3" w:tplc="080A0001" w:tentative="1">
      <w:start w:val="1"/>
      <w:numFmt w:val="bullet"/>
      <w:lvlText w:val=""/>
      <w:lvlJc w:val="left"/>
      <w:pPr>
        <w:ind w:left="3595" w:hanging="360"/>
      </w:pPr>
      <w:rPr>
        <w:rFonts w:ascii="Symbol" w:hAnsi="Symbol" w:hint="default"/>
      </w:rPr>
    </w:lvl>
    <w:lvl w:ilvl="4" w:tplc="080A0003" w:tentative="1">
      <w:start w:val="1"/>
      <w:numFmt w:val="bullet"/>
      <w:lvlText w:val="o"/>
      <w:lvlJc w:val="left"/>
      <w:pPr>
        <w:ind w:left="4315" w:hanging="360"/>
      </w:pPr>
      <w:rPr>
        <w:rFonts w:ascii="Courier New" w:hAnsi="Courier New" w:cs="Courier New" w:hint="default"/>
      </w:rPr>
    </w:lvl>
    <w:lvl w:ilvl="5" w:tplc="080A0005" w:tentative="1">
      <w:start w:val="1"/>
      <w:numFmt w:val="bullet"/>
      <w:lvlText w:val=""/>
      <w:lvlJc w:val="left"/>
      <w:pPr>
        <w:ind w:left="5035" w:hanging="360"/>
      </w:pPr>
      <w:rPr>
        <w:rFonts w:ascii="Wingdings" w:hAnsi="Wingdings" w:hint="default"/>
      </w:rPr>
    </w:lvl>
    <w:lvl w:ilvl="6" w:tplc="080A0001" w:tentative="1">
      <w:start w:val="1"/>
      <w:numFmt w:val="bullet"/>
      <w:lvlText w:val=""/>
      <w:lvlJc w:val="left"/>
      <w:pPr>
        <w:ind w:left="5755" w:hanging="360"/>
      </w:pPr>
      <w:rPr>
        <w:rFonts w:ascii="Symbol" w:hAnsi="Symbol" w:hint="default"/>
      </w:rPr>
    </w:lvl>
    <w:lvl w:ilvl="7" w:tplc="080A0003" w:tentative="1">
      <w:start w:val="1"/>
      <w:numFmt w:val="bullet"/>
      <w:lvlText w:val="o"/>
      <w:lvlJc w:val="left"/>
      <w:pPr>
        <w:ind w:left="6475" w:hanging="360"/>
      </w:pPr>
      <w:rPr>
        <w:rFonts w:ascii="Courier New" w:hAnsi="Courier New" w:cs="Courier New" w:hint="default"/>
      </w:rPr>
    </w:lvl>
    <w:lvl w:ilvl="8" w:tplc="080A0005" w:tentative="1">
      <w:start w:val="1"/>
      <w:numFmt w:val="bullet"/>
      <w:lvlText w:val=""/>
      <w:lvlJc w:val="left"/>
      <w:pPr>
        <w:ind w:left="7195" w:hanging="360"/>
      </w:pPr>
      <w:rPr>
        <w:rFonts w:ascii="Wingdings" w:hAnsi="Wingdings" w:hint="default"/>
      </w:rPr>
    </w:lvl>
  </w:abstractNum>
  <w:abstractNum w:abstractNumId="33" w15:restartNumberingAfterBreak="0">
    <w:nsid w:val="394C55E0"/>
    <w:multiLevelType w:val="hybridMultilevel"/>
    <w:tmpl w:val="86E44D6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15:restartNumberingAfterBreak="0">
    <w:nsid w:val="3C7F1168"/>
    <w:multiLevelType w:val="hybridMultilevel"/>
    <w:tmpl w:val="964C6F1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D0A6CFC"/>
    <w:multiLevelType w:val="hybridMultilevel"/>
    <w:tmpl w:val="96E0992E"/>
    <w:lvl w:ilvl="0" w:tplc="D0002F38">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D0002F38">
      <w:start w:val="1"/>
      <w:numFmt w:val="low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DA22FCA"/>
    <w:multiLevelType w:val="hybridMultilevel"/>
    <w:tmpl w:val="40A8E7BA"/>
    <w:lvl w:ilvl="0" w:tplc="080A0001">
      <w:start w:val="1"/>
      <w:numFmt w:val="bullet"/>
      <w:lvlText w:val=""/>
      <w:lvlJc w:val="left"/>
      <w:pPr>
        <w:ind w:left="715" w:hanging="360"/>
      </w:pPr>
      <w:rPr>
        <w:rFonts w:ascii="Symbol" w:hAnsi="Symbol" w:hint="default"/>
      </w:rPr>
    </w:lvl>
    <w:lvl w:ilvl="1" w:tplc="080A0003" w:tentative="1">
      <w:start w:val="1"/>
      <w:numFmt w:val="bullet"/>
      <w:lvlText w:val="o"/>
      <w:lvlJc w:val="left"/>
      <w:pPr>
        <w:ind w:left="1435" w:hanging="360"/>
      </w:pPr>
      <w:rPr>
        <w:rFonts w:ascii="Courier New" w:hAnsi="Courier New" w:cs="Courier New" w:hint="default"/>
      </w:rPr>
    </w:lvl>
    <w:lvl w:ilvl="2" w:tplc="080A0005" w:tentative="1">
      <w:start w:val="1"/>
      <w:numFmt w:val="bullet"/>
      <w:lvlText w:val=""/>
      <w:lvlJc w:val="left"/>
      <w:pPr>
        <w:ind w:left="2155" w:hanging="360"/>
      </w:pPr>
      <w:rPr>
        <w:rFonts w:ascii="Wingdings" w:hAnsi="Wingdings" w:hint="default"/>
      </w:rPr>
    </w:lvl>
    <w:lvl w:ilvl="3" w:tplc="080A0001" w:tentative="1">
      <w:start w:val="1"/>
      <w:numFmt w:val="bullet"/>
      <w:lvlText w:val=""/>
      <w:lvlJc w:val="left"/>
      <w:pPr>
        <w:ind w:left="2875" w:hanging="360"/>
      </w:pPr>
      <w:rPr>
        <w:rFonts w:ascii="Symbol" w:hAnsi="Symbol" w:hint="default"/>
      </w:rPr>
    </w:lvl>
    <w:lvl w:ilvl="4" w:tplc="080A0003" w:tentative="1">
      <w:start w:val="1"/>
      <w:numFmt w:val="bullet"/>
      <w:lvlText w:val="o"/>
      <w:lvlJc w:val="left"/>
      <w:pPr>
        <w:ind w:left="3595" w:hanging="360"/>
      </w:pPr>
      <w:rPr>
        <w:rFonts w:ascii="Courier New" w:hAnsi="Courier New" w:cs="Courier New" w:hint="default"/>
      </w:rPr>
    </w:lvl>
    <w:lvl w:ilvl="5" w:tplc="080A0005" w:tentative="1">
      <w:start w:val="1"/>
      <w:numFmt w:val="bullet"/>
      <w:lvlText w:val=""/>
      <w:lvlJc w:val="left"/>
      <w:pPr>
        <w:ind w:left="4315" w:hanging="360"/>
      </w:pPr>
      <w:rPr>
        <w:rFonts w:ascii="Wingdings" w:hAnsi="Wingdings" w:hint="default"/>
      </w:rPr>
    </w:lvl>
    <w:lvl w:ilvl="6" w:tplc="080A0001" w:tentative="1">
      <w:start w:val="1"/>
      <w:numFmt w:val="bullet"/>
      <w:lvlText w:val=""/>
      <w:lvlJc w:val="left"/>
      <w:pPr>
        <w:ind w:left="5035" w:hanging="360"/>
      </w:pPr>
      <w:rPr>
        <w:rFonts w:ascii="Symbol" w:hAnsi="Symbol" w:hint="default"/>
      </w:rPr>
    </w:lvl>
    <w:lvl w:ilvl="7" w:tplc="080A0003" w:tentative="1">
      <w:start w:val="1"/>
      <w:numFmt w:val="bullet"/>
      <w:lvlText w:val="o"/>
      <w:lvlJc w:val="left"/>
      <w:pPr>
        <w:ind w:left="5755" w:hanging="360"/>
      </w:pPr>
      <w:rPr>
        <w:rFonts w:ascii="Courier New" w:hAnsi="Courier New" w:cs="Courier New" w:hint="default"/>
      </w:rPr>
    </w:lvl>
    <w:lvl w:ilvl="8" w:tplc="080A0005" w:tentative="1">
      <w:start w:val="1"/>
      <w:numFmt w:val="bullet"/>
      <w:lvlText w:val=""/>
      <w:lvlJc w:val="left"/>
      <w:pPr>
        <w:ind w:left="6475" w:hanging="360"/>
      </w:pPr>
      <w:rPr>
        <w:rFonts w:ascii="Wingdings" w:hAnsi="Wingdings" w:hint="default"/>
      </w:rPr>
    </w:lvl>
  </w:abstractNum>
  <w:abstractNum w:abstractNumId="37" w15:restartNumberingAfterBreak="0">
    <w:nsid w:val="40E60098"/>
    <w:multiLevelType w:val="hybridMultilevel"/>
    <w:tmpl w:val="E14489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161644F"/>
    <w:multiLevelType w:val="hybridMultilevel"/>
    <w:tmpl w:val="E43A3D1E"/>
    <w:lvl w:ilvl="0" w:tplc="080A0001">
      <w:start w:val="1"/>
      <w:numFmt w:val="bullet"/>
      <w:lvlText w:val=""/>
      <w:lvlJc w:val="left"/>
      <w:pPr>
        <w:ind w:left="2727" w:hanging="360"/>
      </w:pPr>
      <w:rPr>
        <w:rFonts w:ascii="Symbol" w:hAnsi="Symbol" w:hint="default"/>
      </w:rPr>
    </w:lvl>
    <w:lvl w:ilvl="1" w:tplc="080A0003" w:tentative="1">
      <w:start w:val="1"/>
      <w:numFmt w:val="bullet"/>
      <w:lvlText w:val="o"/>
      <w:lvlJc w:val="left"/>
      <w:pPr>
        <w:ind w:left="3447" w:hanging="360"/>
      </w:pPr>
      <w:rPr>
        <w:rFonts w:ascii="Courier New" w:hAnsi="Courier New" w:cs="Courier New" w:hint="default"/>
      </w:rPr>
    </w:lvl>
    <w:lvl w:ilvl="2" w:tplc="080A0005" w:tentative="1">
      <w:start w:val="1"/>
      <w:numFmt w:val="bullet"/>
      <w:lvlText w:val=""/>
      <w:lvlJc w:val="left"/>
      <w:pPr>
        <w:ind w:left="4167" w:hanging="360"/>
      </w:pPr>
      <w:rPr>
        <w:rFonts w:ascii="Wingdings" w:hAnsi="Wingdings" w:hint="default"/>
      </w:rPr>
    </w:lvl>
    <w:lvl w:ilvl="3" w:tplc="080A0001" w:tentative="1">
      <w:start w:val="1"/>
      <w:numFmt w:val="bullet"/>
      <w:lvlText w:val=""/>
      <w:lvlJc w:val="left"/>
      <w:pPr>
        <w:ind w:left="4887" w:hanging="360"/>
      </w:pPr>
      <w:rPr>
        <w:rFonts w:ascii="Symbol" w:hAnsi="Symbol" w:hint="default"/>
      </w:rPr>
    </w:lvl>
    <w:lvl w:ilvl="4" w:tplc="080A0003" w:tentative="1">
      <w:start w:val="1"/>
      <w:numFmt w:val="bullet"/>
      <w:lvlText w:val="o"/>
      <w:lvlJc w:val="left"/>
      <w:pPr>
        <w:ind w:left="5607" w:hanging="360"/>
      </w:pPr>
      <w:rPr>
        <w:rFonts w:ascii="Courier New" w:hAnsi="Courier New" w:cs="Courier New" w:hint="default"/>
      </w:rPr>
    </w:lvl>
    <w:lvl w:ilvl="5" w:tplc="080A0005" w:tentative="1">
      <w:start w:val="1"/>
      <w:numFmt w:val="bullet"/>
      <w:lvlText w:val=""/>
      <w:lvlJc w:val="left"/>
      <w:pPr>
        <w:ind w:left="6327" w:hanging="360"/>
      </w:pPr>
      <w:rPr>
        <w:rFonts w:ascii="Wingdings" w:hAnsi="Wingdings" w:hint="default"/>
      </w:rPr>
    </w:lvl>
    <w:lvl w:ilvl="6" w:tplc="080A0001" w:tentative="1">
      <w:start w:val="1"/>
      <w:numFmt w:val="bullet"/>
      <w:lvlText w:val=""/>
      <w:lvlJc w:val="left"/>
      <w:pPr>
        <w:ind w:left="7047" w:hanging="360"/>
      </w:pPr>
      <w:rPr>
        <w:rFonts w:ascii="Symbol" w:hAnsi="Symbol" w:hint="default"/>
      </w:rPr>
    </w:lvl>
    <w:lvl w:ilvl="7" w:tplc="080A0003" w:tentative="1">
      <w:start w:val="1"/>
      <w:numFmt w:val="bullet"/>
      <w:lvlText w:val="o"/>
      <w:lvlJc w:val="left"/>
      <w:pPr>
        <w:ind w:left="7767" w:hanging="360"/>
      </w:pPr>
      <w:rPr>
        <w:rFonts w:ascii="Courier New" w:hAnsi="Courier New" w:cs="Courier New" w:hint="default"/>
      </w:rPr>
    </w:lvl>
    <w:lvl w:ilvl="8" w:tplc="080A0005" w:tentative="1">
      <w:start w:val="1"/>
      <w:numFmt w:val="bullet"/>
      <w:lvlText w:val=""/>
      <w:lvlJc w:val="left"/>
      <w:pPr>
        <w:ind w:left="8487" w:hanging="360"/>
      </w:pPr>
      <w:rPr>
        <w:rFonts w:ascii="Wingdings" w:hAnsi="Wingdings" w:hint="default"/>
      </w:rPr>
    </w:lvl>
  </w:abstractNum>
  <w:abstractNum w:abstractNumId="39" w15:restartNumberingAfterBreak="0">
    <w:nsid w:val="4431511C"/>
    <w:multiLevelType w:val="hybridMultilevel"/>
    <w:tmpl w:val="C5422604"/>
    <w:lvl w:ilvl="0" w:tplc="080A0001">
      <w:start w:val="1"/>
      <w:numFmt w:val="bullet"/>
      <w:lvlText w:val=""/>
      <w:lvlJc w:val="left"/>
      <w:pPr>
        <w:ind w:left="715" w:hanging="360"/>
      </w:pPr>
      <w:rPr>
        <w:rFonts w:ascii="Symbol" w:hAnsi="Symbol" w:hint="default"/>
      </w:rPr>
    </w:lvl>
    <w:lvl w:ilvl="1" w:tplc="080A0003" w:tentative="1">
      <w:start w:val="1"/>
      <w:numFmt w:val="bullet"/>
      <w:lvlText w:val="o"/>
      <w:lvlJc w:val="left"/>
      <w:pPr>
        <w:ind w:left="1435" w:hanging="360"/>
      </w:pPr>
      <w:rPr>
        <w:rFonts w:ascii="Courier New" w:hAnsi="Courier New" w:cs="Courier New" w:hint="default"/>
      </w:rPr>
    </w:lvl>
    <w:lvl w:ilvl="2" w:tplc="080A0005" w:tentative="1">
      <w:start w:val="1"/>
      <w:numFmt w:val="bullet"/>
      <w:lvlText w:val=""/>
      <w:lvlJc w:val="left"/>
      <w:pPr>
        <w:ind w:left="2155" w:hanging="360"/>
      </w:pPr>
      <w:rPr>
        <w:rFonts w:ascii="Wingdings" w:hAnsi="Wingdings" w:hint="default"/>
      </w:rPr>
    </w:lvl>
    <w:lvl w:ilvl="3" w:tplc="080A0001" w:tentative="1">
      <w:start w:val="1"/>
      <w:numFmt w:val="bullet"/>
      <w:lvlText w:val=""/>
      <w:lvlJc w:val="left"/>
      <w:pPr>
        <w:ind w:left="2875" w:hanging="360"/>
      </w:pPr>
      <w:rPr>
        <w:rFonts w:ascii="Symbol" w:hAnsi="Symbol" w:hint="default"/>
      </w:rPr>
    </w:lvl>
    <w:lvl w:ilvl="4" w:tplc="080A0003" w:tentative="1">
      <w:start w:val="1"/>
      <w:numFmt w:val="bullet"/>
      <w:lvlText w:val="o"/>
      <w:lvlJc w:val="left"/>
      <w:pPr>
        <w:ind w:left="3595" w:hanging="360"/>
      </w:pPr>
      <w:rPr>
        <w:rFonts w:ascii="Courier New" w:hAnsi="Courier New" w:cs="Courier New" w:hint="default"/>
      </w:rPr>
    </w:lvl>
    <w:lvl w:ilvl="5" w:tplc="080A0005" w:tentative="1">
      <w:start w:val="1"/>
      <w:numFmt w:val="bullet"/>
      <w:lvlText w:val=""/>
      <w:lvlJc w:val="left"/>
      <w:pPr>
        <w:ind w:left="4315" w:hanging="360"/>
      </w:pPr>
      <w:rPr>
        <w:rFonts w:ascii="Wingdings" w:hAnsi="Wingdings" w:hint="default"/>
      </w:rPr>
    </w:lvl>
    <w:lvl w:ilvl="6" w:tplc="080A0001" w:tentative="1">
      <w:start w:val="1"/>
      <w:numFmt w:val="bullet"/>
      <w:lvlText w:val=""/>
      <w:lvlJc w:val="left"/>
      <w:pPr>
        <w:ind w:left="5035" w:hanging="360"/>
      </w:pPr>
      <w:rPr>
        <w:rFonts w:ascii="Symbol" w:hAnsi="Symbol" w:hint="default"/>
      </w:rPr>
    </w:lvl>
    <w:lvl w:ilvl="7" w:tplc="080A0003" w:tentative="1">
      <w:start w:val="1"/>
      <w:numFmt w:val="bullet"/>
      <w:lvlText w:val="o"/>
      <w:lvlJc w:val="left"/>
      <w:pPr>
        <w:ind w:left="5755" w:hanging="360"/>
      </w:pPr>
      <w:rPr>
        <w:rFonts w:ascii="Courier New" w:hAnsi="Courier New" w:cs="Courier New" w:hint="default"/>
      </w:rPr>
    </w:lvl>
    <w:lvl w:ilvl="8" w:tplc="080A0005" w:tentative="1">
      <w:start w:val="1"/>
      <w:numFmt w:val="bullet"/>
      <w:lvlText w:val=""/>
      <w:lvlJc w:val="left"/>
      <w:pPr>
        <w:ind w:left="6475" w:hanging="360"/>
      </w:pPr>
      <w:rPr>
        <w:rFonts w:ascii="Wingdings" w:hAnsi="Wingdings" w:hint="default"/>
      </w:rPr>
    </w:lvl>
  </w:abstractNum>
  <w:abstractNum w:abstractNumId="40" w15:restartNumberingAfterBreak="0">
    <w:nsid w:val="463075D0"/>
    <w:multiLevelType w:val="hybridMultilevel"/>
    <w:tmpl w:val="F1A61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6F72637"/>
    <w:multiLevelType w:val="hybridMultilevel"/>
    <w:tmpl w:val="712077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7">
      <w:start w:val="1"/>
      <w:numFmt w:val="lowerLetter"/>
      <w:lvlText w:val="%3)"/>
      <w:lvlJc w:val="lef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99A5951"/>
    <w:multiLevelType w:val="hybridMultilevel"/>
    <w:tmpl w:val="65AAA892"/>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15:restartNumberingAfterBreak="0">
    <w:nsid w:val="4D266579"/>
    <w:multiLevelType w:val="hybridMultilevel"/>
    <w:tmpl w:val="0798D5A2"/>
    <w:lvl w:ilvl="0" w:tplc="C63EF0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F437883"/>
    <w:multiLevelType w:val="hybridMultilevel"/>
    <w:tmpl w:val="09C65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FD445D8"/>
    <w:multiLevelType w:val="hybridMultilevel"/>
    <w:tmpl w:val="7D06D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3150E0D"/>
    <w:multiLevelType w:val="hybridMultilevel"/>
    <w:tmpl w:val="65E0B65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3407D59"/>
    <w:multiLevelType w:val="hybridMultilevel"/>
    <w:tmpl w:val="0958F1F4"/>
    <w:lvl w:ilvl="0" w:tplc="080A0001">
      <w:start w:val="1"/>
      <w:numFmt w:val="bullet"/>
      <w:lvlText w:val=""/>
      <w:lvlJc w:val="left"/>
      <w:pPr>
        <w:ind w:left="715" w:hanging="360"/>
      </w:pPr>
      <w:rPr>
        <w:rFonts w:ascii="Symbol" w:hAnsi="Symbol" w:hint="default"/>
      </w:rPr>
    </w:lvl>
    <w:lvl w:ilvl="1" w:tplc="080A0003" w:tentative="1">
      <w:start w:val="1"/>
      <w:numFmt w:val="bullet"/>
      <w:lvlText w:val="o"/>
      <w:lvlJc w:val="left"/>
      <w:pPr>
        <w:ind w:left="1435" w:hanging="360"/>
      </w:pPr>
      <w:rPr>
        <w:rFonts w:ascii="Courier New" w:hAnsi="Courier New" w:cs="Courier New" w:hint="default"/>
      </w:rPr>
    </w:lvl>
    <w:lvl w:ilvl="2" w:tplc="080A0005" w:tentative="1">
      <w:start w:val="1"/>
      <w:numFmt w:val="bullet"/>
      <w:lvlText w:val=""/>
      <w:lvlJc w:val="left"/>
      <w:pPr>
        <w:ind w:left="2155" w:hanging="360"/>
      </w:pPr>
      <w:rPr>
        <w:rFonts w:ascii="Wingdings" w:hAnsi="Wingdings" w:hint="default"/>
      </w:rPr>
    </w:lvl>
    <w:lvl w:ilvl="3" w:tplc="080A0001" w:tentative="1">
      <w:start w:val="1"/>
      <w:numFmt w:val="bullet"/>
      <w:lvlText w:val=""/>
      <w:lvlJc w:val="left"/>
      <w:pPr>
        <w:ind w:left="2875" w:hanging="360"/>
      </w:pPr>
      <w:rPr>
        <w:rFonts w:ascii="Symbol" w:hAnsi="Symbol" w:hint="default"/>
      </w:rPr>
    </w:lvl>
    <w:lvl w:ilvl="4" w:tplc="080A0003" w:tentative="1">
      <w:start w:val="1"/>
      <w:numFmt w:val="bullet"/>
      <w:lvlText w:val="o"/>
      <w:lvlJc w:val="left"/>
      <w:pPr>
        <w:ind w:left="3595" w:hanging="360"/>
      </w:pPr>
      <w:rPr>
        <w:rFonts w:ascii="Courier New" w:hAnsi="Courier New" w:cs="Courier New" w:hint="default"/>
      </w:rPr>
    </w:lvl>
    <w:lvl w:ilvl="5" w:tplc="080A0005" w:tentative="1">
      <w:start w:val="1"/>
      <w:numFmt w:val="bullet"/>
      <w:lvlText w:val=""/>
      <w:lvlJc w:val="left"/>
      <w:pPr>
        <w:ind w:left="4315" w:hanging="360"/>
      </w:pPr>
      <w:rPr>
        <w:rFonts w:ascii="Wingdings" w:hAnsi="Wingdings" w:hint="default"/>
      </w:rPr>
    </w:lvl>
    <w:lvl w:ilvl="6" w:tplc="080A0001" w:tentative="1">
      <w:start w:val="1"/>
      <w:numFmt w:val="bullet"/>
      <w:lvlText w:val=""/>
      <w:lvlJc w:val="left"/>
      <w:pPr>
        <w:ind w:left="5035" w:hanging="360"/>
      </w:pPr>
      <w:rPr>
        <w:rFonts w:ascii="Symbol" w:hAnsi="Symbol" w:hint="default"/>
      </w:rPr>
    </w:lvl>
    <w:lvl w:ilvl="7" w:tplc="080A0003" w:tentative="1">
      <w:start w:val="1"/>
      <w:numFmt w:val="bullet"/>
      <w:lvlText w:val="o"/>
      <w:lvlJc w:val="left"/>
      <w:pPr>
        <w:ind w:left="5755" w:hanging="360"/>
      </w:pPr>
      <w:rPr>
        <w:rFonts w:ascii="Courier New" w:hAnsi="Courier New" w:cs="Courier New" w:hint="default"/>
      </w:rPr>
    </w:lvl>
    <w:lvl w:ilvl="8" w:tplc="080A0005" w:tentative="1">
      <w:start w:val="1"/>
      <w:numFmt w:val="bullet"/>
      <w:lvlText w:val=""/>
      <w:lvlJc w:val="left"/>
      <w:pPr>
        <w:ind w:left="6475" w:hanging="360"/>
      </w:pPr>
      <w:rPr>
        <w:rFonts w:ascii="Wingdings" w:hAnsi="Wingdings" w:hint="default"/>
      </w:rPr>
    </w:lvl>
  </w:abstractNum>
  <w:abstractNum w:abstractNumId="48" w15:restartNumberingAfterBreak="0">
    <w:nsid w:val="59124C12"/>
    <w:multiLevelType w:val="hybridMultilevel"/>
    <w:tmpl w:val="16E0E1E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9C47747"/>
    <w:multiLevelType w:val="hybridMultilevel"/>
    <w:tmpl w:val="8206A210"/>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50" w15:restartNumberingAfterBreak="0">
    <w:nsid w:val="5D3337FB"/>
    <w:multiLevelType w:val="hybridMultilevel"/>
    <w:tmpl w:val="B270F4C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1" w15:restartNumberingAfterBreak="0">
    <w:nsid w:val="5E1E6150"/>
    <w:multiLevelType w:val="hybridMultilevel"/>
    <w:tmpl w:val="FD2C355A"/>
    <w:lvl w:ilvl="0" w:tplc="080A0001">
      <w:start w:val="1"/>
      <w:numFmt w:val="bullet"/>
      <w:lvlText w:val=""/>
      <w:lvlJc w:val="left"/>
      <w:pPr>
        <w:ind w:left="715" w:hanging="360"/>
      </w:pPr>
      <w:rPr>
        <w:rFonts w:ascii="Symbol" w:hAnsi="Symbol" w:hint="default"/>
      </w:rPr>
    </w:lvl>
    <w:lvl w:ilvl="1" w:tplc="080A0003" w:tentative="1">
      <w:start w:val="1"/>
      <w:numFmt w:val="bullet"/>
      <w:lvlText w:val="o"/>
      <w:lvlJc w:val="left"/>
      <w:pPr>
        <w:ind w:left="1435" w:hanging="360"/>
      </w:pPr>
      <w:rPr>
        <w:rFonts w:ascii="Courier New" w:hAnsi="Courier New" w:cs="Courier New" w:hint="default"/>
      </w:rPr>
    </w:lvl>
    <w:lvl w:ilvl="2" w:tplc="080A0005" w:tentative="1">
      <w:start w:val="1"/>
      <w:numFmt w:val="bullet"/>
      <w:lvlText w:val=""/>
      <w:lvlJc w:val="left"/>
      <w:pPr>
        <w:ind w:left="2155" w:hanging="360"/>
      </w:pPr>
      <w:rPr>
        <w:rFonts w:ascii="Wingdings" w:hAnsi="Wingdings" w:hint="default"/>
      </w:rPr>
    </w:lvl>
    <w:lvl w:ilvl="3" w:tplc="080A0001" w:tentative="1">
      <w:start w:val="1"/>
      <w:numFmt w:val="bullet"/>
      <w:lvlText w:val=""/>
      <w:lvlJc w:val="left"/>
      <w:pPr>
        <w:ind w:left="2875" w:hanging="360"/>
      </w:pPr>
      <w:rPr>
        <w:rFonts w:ascii="Symbol" w:hAnsi="Symbol" w:hint="default"/>
      </w:rPr>
    </w:lvl>
    <w:lvl w:ilvl="4" w:tplc="080A0003" w:tentative="1">
      <w:start w:val="1"/>
      <w:numFmt w:val="bullet"/>
      <w:lvlText w:val="o"/>
      <w:lvlJc w:val="left"/>
      <w:pPr>
        <w:ind w:left="3595" w:hanging="360"/>
      </w:pPr>
      <w:rPr>
        <w:rFonts w:ascii="Courier New" w:hAnsi="Courier New" w:cs="Courier New" w:hint="default"/>
      </w:rPr>
    </w:lvl>
    <w:lvl w:ilvl="5" w:tplc="080A0005" w:tentative="1">
      <w:start w:val="1"/>
      <w:numFmt w:val="bullet"/>
      <w:lvlText w:val=""/>
      <w:lvlJc w:val="left"/>
      <w:pPr>
        <w:ind w:left="4315" w:hanging="360"/>
      </w:pPr>
      <w:rPr>
        <w:rFonts w:ascii="Wingdings" w:hAnsi="Wingdings" w:hint="default"/>
      </w:rPr>
    </w:lvl>
    <w:lvl w:ilvl="6" w:tplc="080A0001" w:tentative="1">
      <w:start w:val="1"/>
      <w:numFmt w:val="bullet"/>
      <w:lvlText w:val=""/>
      <w:lvlJc w:val="left"/>
      <w:pPr>
        <w:ind w:left="5035" w:hanging="360"/>
      </w:pPr>
      <w:rPr>
        <w:rFonts w:ascii="Symbol" w:hAnsi="Symbol" w:hint="default"/>
      </w:rPr>
    </w:lvl>
    <w:lvl w:ilvl="7" w:tplc="080A0003" w:tentative="1">
      <w:start w:val="1"/>
      <w:numFmt w:val="bullet"/>
      <w:lvlText w:val="o"/>
      <w:lvlJc w:val="left"/>
      <w:pPr>
        <w:ind w:left="5755" w:hanging="360"/>
      </w:pPr>
      <w:rPr>
        <w:rFonts w:ascii="Courier New" w:hAnsi="Courier New" w:cs="Courier New" w:hint="default"/>
      </w:rPr>
    </w:lvl>
    <w:lvl w:ilvl="8" w:tplc="080A0005" w:tentative="1">
      <w:start w:val="1"/>
      <w:numFmt w:val="bullet"/>
      <w:lvlText w:val=""/>
      <w:lvlJc w:val="left"/>
      <w:pPr>
        <w:ind w:left="6475" w:hanging="360"/>
      </w:pPr>
      <w:rPr>
        <w:rFonts w:ascii="Wingdings" w:hAnsi="Wingdings" w:hint="default"/>
      </w:rPr>
    </w:lvl>
  </w:abstractNum>
  <w:abstractNum w:abstractNumId="52" w15:restartNumberingAfterBreak="0">
    <w:nsid w:val="5F3E1D88"/>
    <w:multiLevelType w:val="hybridMultilevel"/>
    <w:tmpl w:val="63E814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645F6316"/>
    <w:multiLevelType w:val="hybridMultilevel"/>
    <w:tmpl w:val="A392B112"/>
    <w:lvl w:ilvl="0" w:tplc="E9E6B322">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4" w15:restartNumberingAfterBreak="0">
    <w:nsid w:val="65DF635B"/>
    <w:multiLevelType w:val="hybridMultilevel"/>
    <w:tmpl w:val="1BEA3470"/>
    <w:lvl w:ilvl="0" w:tplc="B92AF874">
      <w:start w:val="24"/>
      <w:numFmt w:val="decimal"/>
      <w:lvlText w:val="%1)"/>
      <w:lvlJc w:val="left"/>
      <w:pPr>
        <w:ind w:left="785" w:hanging="360"/>
      </w:pPr>
      <w:rPr>
        <w:rFonts w:hint="default"/>
        <w:b/>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55" w15:restartNumberingAfterBreak="0">
    <w:nsid w:val="6698E7C0"/>
    <w:multiLevelType w:val="hybridMultilevel"/>
    <w:tmpl w:val="96F990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8915F6C"/>
    <w:multiLevelType w:val="hybridMultilevel"/>
    <w:tmpl w:val="815637B2"/>
    <w:lvl w:ilvl="0" w:tplc="54E43DA6">
      <w:start w:val="10"/>
      <w:numFmt w:val="bullet"/>
      <w:lvlText w:val="–"/>
      <w:lvlJc w:val="left"/>
      <w:pPr>
        <w:ind w:left="1335" w:hanging="360"/>
      </w:pPr>
      <w:rPr>
        <w:rFonts w:ascii="ITC Avant Garde" w:eastAsia="Calibri" w:hAnsi="ITC Avant Garde" w:cs="Arial"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57" w15:restartNumberingAfterBreak="0">
    <w:nsid w:val="6B905276"/>
    <w:multiLevelType w:val="hybridMultilevel"/>
    <w:tmpl w:val="76B8D2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6E4F0C79"/>
    <w:multiLevelType w:val="multilevel"/>
    <w:tmpl w:val="59DE00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6E71462F"/>
    <w:multiLevelType w:val="hybridMultilevel"/>
    <w:tmpl w:val="BDF629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71646371"/>
    <w:multiLevelType w:val="hybridMultilevel"/>
    <w:tmpl w:val="6482302E"/>
    <w:lvl w:ilvl="0" w:tplc="080A0001">
      <w:start w:val="1"/>
      <w:numFmt w:val="bullet"/>
      <w:lvlText w:val=""/>
      <w:lvlJc w:val="left"/>
      <w:pPr>
        <w:ind w:left="1277" w:hanging="360"/>
      </w:pPr>
      <w:rPr>
        <w:rFonts w:ascii="Symbol" w:hAnsi="Symbol" w:hint="default"/>
      </w:rPr>
    </w:lvl>
    <w:lvl w:ilvl="1" w:tplc="080A0003" w:tentative="1">
      <w:start w:val="1"/>
      <w:numFmt w:val="bullet"/>
      <w:lvlText w:val="o"/>
      <w:lvlJc w:val="left"/>
      <w:pPr>
        <w:ind w:left="1997" w:hanging="360"/>
      </w:pPr>
      <w:rPr>
        <w:rFonts w:ascii="Courier New" w:hAnsi="Courier New" w:cs="Courier New" w:hint="default"/>
      </w:rPr>
    </w:lvl>
    <w:lvl w:ilvl="2" w:tplc="080A0005" w:tentative="1">
      <w:start w:val="1"/>
      <w:numFmt w:val="bullet"/>
      <w:lvlText w:val=""/>
      <w:lvlJc w:val="left"/>
      <w:pPr>
        <w:ind w:left="2717" w:hanging="360"/>
      </w:pPr>
      <w:rPr>
        <w:rFonts w:ascii="Wingdings" w:hAnsi="Wingdings" w:hint="default"/>
      </w:rPr>
    </w:lvl>
    <w:lvl w:ilvl="3" w:tplc="080A0001" w:tentative="1">
      <w:start w:val="1"/>
      <w:numFmt w:val="bullet"/>
      <w:lvlText w:val=""/>
      <w:lvlJc w:val="left"/>
      <w:pPr>
        <w:ind w:left="3437" w:hanging="360"/>
      </w:pPr>
      <w:rPr>
        <w:rFonts w:ascii="Symbol" w:hAnsi="Symbol" w:hint="default"/>
      </w:rPr>
    </w:lvl>
    <w:lvl w:ilvl="4" w:tplc="080A0003" w:tentative="1">
      <w:start w:val="1"/>
      <w:numFmt w:val="bullet"/>
      <w:lvlText w:val="o"/>
      <w:lvlJc w:val="left"/>
      <w:pPr>
        <w:ind w:left="4157" w:hanging="360"/>
      </w:pPr>
      <w:rPr>
        <w:rFonts w:ascii="Courier New" w:hAnsi="Courier New" w:cs="Courier New" w:hint="default"/>
      </w:rPr>
    </w:lvl>
    <w:lvl w:ilvl="5" w:tplc="080A0005" w:tentative="1">
      <w:start w:val="1"/>
      <w:numFmt w:val="bullet"/>
      <w:lvlText w:val=""/>
      <w:lvlJc w:val="left"/>
      <w:pPr>
        <w:ind w:left="4877" w:hanging="360"/>
      </w:pPr>
      <w:rPr>
        <w:rFonts w:ascii="Wingdings" w:hAnsi="Wingdings" w:hint="default"/>
      </w:rPr>
    </w:lvl>
    <w:lvl w:ilvl="6" w:tplc="080A0001" w:tentative="1">
      <w:start w:val="1"/>
      <w:numFmt w:val="bullet"/>
      <w:lvlText w:val=""/>
      <w:lvlJc w:val="left"/>
      <w:pPr>
        <w:ind w:left="5597" w:hanging="360"/>
      </w:pPr>
      <w:rPr>
        <w:rFonts w:ascii="Symbol" w:hAnsi="Symbol" w:hint="default"/>
      </w:rPr>
    </w:lvl>
    <w:lvl w:ilvl="7" w:tplc="080A0003" w:tentative="1">
      <w:start w:val="1"/>
      <w:numFmt w:val="bullet"/>
      <w:lvlText w:val="o"/>
      <w:lvlJc w:val="left"/>
      <w:pPr>
        <w:ind w:left="6317" w:hanging="360"/>
      </w:pPr>
      <w:rPr>
        <w:rFonts w:ascii="Courier New" w:hAnsi="Courier New" w:cs="Courier New" w:hint="default"/>
      </w:rPr>
    </w:lvl>
    <w:lvl w:ilvl="8" w:tplc="080A0005" w:tentative="1">
      <w:start w:val="1"/>
      <w:numFmt w:val="bullet"/>
      <w:lvlText w:val=""/>
      <w:lvlJc w:val="left"/>
      <w:pPr>
        <w:ind w:left="7037" w:hanging="360"/>
      </w:pPr>
      <w:rPr>
        <w:rFonts w:ascii="Wingdings" w:hAnsi="Wingdings" w:hint="default"/>
      </w:rPr>
    </w:lvl>
  </w:abstractNum>
  <w:abstractNum w:abstractNumId="61" w15:restartNumberingAfterBreak="0">
    <w:nsid w:val="72E46172"/>
    <w:multiLevelType w:val="hybridMultilevel"/>
    <w:tmpl w:val="41188CB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6112D7E"/>
    <w:multiLevelType w:val="hybridMultilevel"/>
    <w:tmpl w:val="5EB0F8CE"/>
    <w:lvl w:ilvl="0" w:tplc="080A0001">
      <w:start w:val="1"/>
      <w:numFmt w:val="bullet"/>
      <w:lvlText w:val=""/>
      <w:lvlJc w:val="left"/>
      <w:pPr>
        <w:ind w:left="1335" w:hanging="360"/>
      </w:pPr>
      <w:rPr>
        <w:rFonts w:ascii="Symbol" w:hAnsi="Symbol"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63" w15:restartNumberingAfterBreak="0">
    <w:nsid w:val="76154BE1"/>
    <w:multiLevelType w:val="hybridMultilevel"/>
    <w:tmpl w:val="74988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7676580D"/>
    <w:multiLevelType w:val="hybridMultilevel"/>
    <w:tmpl w:val="7414BCE4"/>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65" w15:restartNumberingAfterBreak="0">
    <w:nsid w:val="7720510C"/>
    <w:multiLevelType w:val="multilevel"/>
    <w:tmpl w:val="1184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8C27A1B"/>
    <w:multiLevelType w:val="hybridMultilevel"/>
    <w:tmpl w:val="4574F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7E500451"/>
    <w:multiLevelType w:val="hybridMultilevel"/>
    <w:tmpl w:val="A77E068C"/>
    <w:lvl w:ilvl="0" w:tplc="080A0001">
      <w:start w:val="1"/>
      <w:numFmt w:val="bullet"/>
      <w:lvlText w:val=""/>
      <w:lvlJc w:val="left"/>
      <w:pPr>
        <w:ind w:left="715" w:hanging="360"/>
      </w:pPr>
      <w:rPr>
        <w:rFonts w:ascii="Symbol" w:hAnsi="Symbol" w:hint="default"/>
      </w:rPr>
    </w:lvl>
    <w:lvl w:ilvl="1" w:tplc="080A0003" w:tentative="1">
      <w:start w:val="1"/>
      <w:numFmt w:val="bullet"/>
      <w:lvlText w:val="o"/>
      <w:lvlJc w:val="left"/>
      <w:pPr>
        <w:ind w:left="1435" w:hanging="360"/>
      </w:pPr>
      <w:rPr>
        <w:rFonts w:ascii="Courier New" w:hAnsi="Courier New" w:cs="Courier New" w:hint="default"/>
      </w:rPr>
    </w:lvl>
    <w:lvl w:ilvl="2" w:tplc="080A0005" w:tentative="1">
      <w:start w:val="1"/>
      <w:numFmt w:val="bullet"/>
      <w:lvlText w:val=""/>
      <w:lvlJc w:val="left"/>
      <w:pPr>
        <w:ind w:left="2155" w:hanging="360"/>
      </w:pPr>
      <w:rPr>
        <w:rFonts w:ascii="Wingdings" w:hAnsi="Wingdings" w:hint="default"/>
      </w:rPr>
    </w:lvl>
    <w:lvl w:ilvl="3" w:tplc="080A0001" w:tentative="1">
      <w:start w:val="1"/>
      <w:numFmt w:val="bullet"/>
      <w:lvlText w:val=""/>
      <w:lvlJc w:val="left"/>
      <w:pPr>
        <w:ind w:left="2875" w:hanging="360"/>
      </w:pPr>
      <w:rPr>
        <w:rFonts w:ascii="Symbol" w:hAnsi="Symbol" w:hint="default"/>
      </w:rPr>
    </w:lvl>
    <w:lvl w:ilvl="4" w:tplc="080A0003" w:tentative="1">
      <w:start w:val="1"/>
      <w:numFmt w:val="bullet"/>
      <w:lvlText w:val="o"/>
      <w:lvlJc w:val="left"/>
      <w:pPr>
        <w:ind w:left="3595" w:hanging="360"/>
      </w:pPr>
      <w:rPr>
        <w:rFonts w:ascii="Courier New" w:hAnsi="Courier New" w:cs="Courier New" w:hint="default"/>
      </w:rPr>
    </w:lvl>
    <w:lvl w:ilvl="5" w:tplc="080A0005" w:tentative="1">
      <w:start w:val="1"/>
      <w:numFmt w:val="bullet"/>
      <w:lvlText w:val=""/>
      <w:lvlJc w:val="left"/>
      <w:pPr>
        <w:ind w:left="4315" w:hanging="360"/>
      </w:pPr>
      <w:rPr>
        <w:rFonts w:ascii="Wingdings" w:hAnsi="Wingdings" w:hint="default"/>
      </w:rPr>
    </w:lvl>
    <w:lvl w:ilvl="6" w:tplc="080A0001" w:tentative="1">
      <w:start w:val="1"/>
      <w:numFmt w:val="bullet"/>
      <w:lvlText w:val=""/>
      <w:lvlJc w:val="left"/>
      <w:pPr>
        <w:ind w:left="5035" w:hanging="360"/>
      </w:pPr>
      <w:rPr>
        <w:rFonts w:ascii="Symbol" w:hAnsi="Symbol" w:hint="default"/>
      </w:rPr>
    </w:lvl>
    <w:lvl w:ilvl="7" w:tplc="080A0003" w:tentative="1">
      <w:start w:val="1"/>
      <w:numFmt w:val="bullet"/>
      <w:lvlText w:val="o"/>
      <w:lvlJc w:val="left"/>
      <w:pPr>
        <w:ind w:left="5755" w:hanging="360"/>
      </w:pPr>
      <w:rPr>
        <w:rFonts w:ascii="Courier New" w:hAnsi="Courier New" w:cs="Courier New" w:hint="default"/>
      </w:rPr>
    </w:lvl>
    <w:lvl w:ilvl="8" w:tplc="080A0005" w:tentative="1">
      <w:start w:val="1"/>
      <w:numFmt w:val="bullet"/>
      <w:lvlText w:val=""/>
      <w:lvlJc w:val="left"/>
      <w:pPr>
        <w:ind w:left="6475" w:hanging="360"/>
      </w:pPr>
      <w:rPr>
        <w:rFonts w:ascii="Wingdings" w:hAnsi="Wingdings" w:hint="default"/>
      </w:rPr>
    </w:lvl>
  </w:abstractNum>
  <w:num w:numId="1">
    <w:abstractNumId w:val="48"/>
  </w:num>
  <w:num w:numId="2">
    <w:abstractNumId w:val="62"/>
  </w:num>
  <w:num w:numId="3">
    <w:abstractNumId w:val="56"/>
  </w:num>
  <w:num w:numId="4">
    <w:abstractNumId w:val="47"/>
  </w:num>
  <w:num w:numId="5">
    <w:abstractNumId w:val="36"/>
  </w:num>
  <w:num w:numId="6">
    <w:abstractNumId w:val="22"/>
  </w:num>
  <w:num w:numId="7">
    <w:abstractNumId w:val="32"/>
  </w:num>
  <w:num w:numId="8">
    <w:abstractNumId w:val="57"/>
  </w:num>
  <w:num w:numId="9">
    <w:abstractNumId w:val="28"/>
  </w:num>
  <w:num w:numId="10">
    <w:abstractNumId w:val="61"/>
  </w:num>
  <w:num w:numId="11">
    <w:abstractNumId w:val="11"/>
  </w:num>
  <w:num w:numId="12">
    <w:abstractNumId w:val="8"/>
  </w:num>
  <w:num w:numId="13">
    <w:abstractNumId w:val="52"/>
  </w:num>
  <w:num w:numId="14">
    <w:abstractNumId w:val="42"/>
  </w:num>
  <w:num w:numId="15">
    <w:abstractNumId w:val="19"/>
  </w:num>
  <w:num w:numId="16">
    <w:abstractNumId w:val="21"/>
  </w:num>
  <w:num w:numId="17">
    <w:abstractNumId w:val="4"/>
  </w:num>
  <w:num w:numId="18">
    <w:abstractNumId w:val="51"/>
  </w:num>
  <w:num w:numId="19">
    <w:abstractNumId w:val="39"/>
  </w:num>
  <w:num w:numId="20">
    <w:abstractNumId w:val="67"/>
  </w:num>
  <w:num w:numId="21">
    <w:abstractNumId w:val="65"/>
  </w:num>
  <w:num w:numId="22">
    <w:abstractNumId w:val="23"/>
  </w:num>
  <w:num w:numId="23">
    <w:abstractNumId w:val="12"/>
  </w:num>
  <w:num w:numId="24">
    <w:abstractNumId w:val="3"/>
  </w:num>
  <w:num w:numId="25">
    <w:abstractNumId w:val="10"/>
  </w:num>
  <w:num w:numId="26">
    <w:abstractNumId w:val="7"/>
  </w:num>
  <w:num w:numId="27">
    <w:abstractNumId w:val="33"/>
  </w:num>
  <w:num w:numId="28">
    <w:abstractNumId w:val="6"/>
  </w:num>
  <w:num w:numId="29">
    <w:abstractNumId w:val="41"/>
  </w:num>
  <w:num w:numId="30">
    <w:abstractNumId w:val="5"/>
  </w:num>
  <w:num w:numId="31">
    <w:abstractNumId w:val="27"/>
  </w:num>
  <w:num w:numId="32">
    <w:abstractNumId w:val="37"/>
  </w:num>
  <w:num w:numId="33">
    <w:abstractNumId w:val="55"/>
  </w:num>
  <w:num w:numId="34">
    <w:abstractNumId w:val="31"/>
  </w:num>
  <w:num w:numId="35">
    <w:abstractNumId w:val="58"/>
  </w:num>
  <w:num w:numId="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num>
  <w:num w:numId="62">
    <w:abstractNumId w:val="64"/>
  </w:num>
  <w:num w:numId="63">
    <w:abstractNumId w:val="1"/>
  </w:num>
  <w:num w:numId="64">
    <w:abstractNumId w:val="30"/>
  </w:num>
  <w:num w:numId="65">
    <w:abstractNumId w:val="13"/>
  </w:num>
  <w:num w:numId="66">
    <w:abstractNumId w:val="26"/>
  </w:num>
  <w:num w:numId="67">
    <w:abstractNumId w:val="20"/>
  </w:num>
  <w:num w:numId="68">
    <w:abstractNumId w:val="29"/>
  </w:num>
  <w:num w:numId="69">
    <w:abstractNumId w:val="14"/>
  </w:num>
  <w:num w:numId="70">
    <w:abstractNumId w:val="53"/>
  </w:num>
  <w:num w:numId="71">
    <w:abstractNumId w:val="60"/>
  </w:num>
  <w:num w:numId="72">
    <w:abstractNumId w:val="0"/>
  </w:num>
  <w:num w:numId="73">
    <w:abstractNumId w:val="63"/>
  </w:num>
  <w:num w:numId="74">
    <w:abstractNumId w:val="24"/>
  </w:num>
  <w:num w:numId="75">
    <w:abstractNumId w:val="25"/>
  </w:num>
  <w:num w:numId="76">
    <w:abstractNumId w:val="43"/>
  </w:num>
  <w:num w:numId="77">
    <w:abstractNumId w:val="46"/>
  </w:num>
  <w:num w:numId="78">
    <w:abstractNumId w:val="16"/>
  </w:num>
  <w:num w:numId="79">
    <w:abstractNumId w:val="9"/>
  </w:num>
  <w:num w:numId="80">
    <w:abstractNumId w:val="18"/>
  </w:num>
  <w:num w:numId="81">
    <w:abstractNumId w:val="54"/>
  </w:num>
  <w:num w:numId="82">
    <w:abstractNumId w:val="45"/>
  </w:num>
  <w:num w:numId="83">
    <w:abstractNumId w:val="17"/>
  </w:num>
  <w:num w:numId="84">
    <w:abstractNumId w:val="59"/>
  </w:num>
  <w:num w:numId="85">
    <w:abstractNumId w:val="38"/>
  </w:num>
  <w:num w:numId="86">
    <w:abstractNumId w:val="49"/>
  </w:num>
  <w:num w:numId="87">
    <w:abstractNumId w:val="34"/>
  </w:num>
  <w:num w:numId="88">
    <w:abstractNumId w:val="40"/>
  </w:num>
  <w:num w:numId="89">
    <w:abstractNumId w:val="2"/>
  </w:num>
  <w:num w:numId="90">
    <w:abstractNumId w:val="66"/>
  </w:num>
  <w:num w:numId="91">
    <w:abstractNumId w:val="35"/>
  </w:num>
  <w:num w:numId="92">
    <w:abstractNumId w:val="15"/>
  </w:num>
  <w:num w:numId="93">
    <w:abstractNumId w:val="5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419"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0" w:nlCheck="1" w:checkStyle="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636"/>
    <w:rsid w:val="00000287"/>
    <w:rsid w:val="0000073B"/>
    <w:rsid w:val="00000C86"/>
    <w:rsid w:val="000010F1"/>
    <w:rsid w:val="00002462"/>
    <w:rsid w:val="00002A0A"/>
    <w:rsid w:val="00002ADF"/>
    <w:rsid w:val="00002D87"/>
    <w:rsid w:val="00003DD5"/>
    <w:rsid w:val="00003E6C"/>
    <w:rsid w:val="00004806"/>
    <w:rsid w:val="00004A99"/>
    <w:rsid w:val="00004C05"/>
    <w:rsid w:val="00004F4F"/>
    <w:rsid w:val="0000523A"/>
    <w:rsid w:val="00005595"/>
    <w:rsid w:val="00005BB5"/>
    <w:rsid w:val="0000630F"/>
    <w:rsid w:val="00006624"/>
    <w:rsid w:val="00006AE6"/>
    <w:rsid w:val="00006CB0"/>
    <w:rsid w:val="0000721C"/>
    <w:rsid w:val="0001021E"/>
    <w:rsid w:val="00010397"/>
    <w:rsid w:val="000104AE"/>
    <w:rsid w:val="000107C6"/>
    <w:rsid w:val="000112FD"/>
    <w:rsid w:val="0001137A"/>
    <w:rsid w:val="000116CC"/>
    <w:rsid w:val="00012799"/>
    <w:rsid w:val="00012E9B"/>
    <w:rsid w:val="00013527"/>
    <w:rsid w:val="00013543"/>
    <w:rsid w:val="00014C91"/>
    <w:rsid w:val="00014EC3"/>
    <w:rsid w:val="0001578A"/>
    <w:rsid w:val="00015CE9"/>
    <w:rsid w:val="00016125"/>
    <w:rsid w:val="00016E9B"/>
    <w:rsid w:val="00016ED7"/>
    <w:rsid w:val="0002032E"/>
    <w:rsid w:val="000209F7"/>
    <w:rsid w:val="00020A5F"/>
    <w:rsid w:val="00020AEF"/>
    <w:rsid w:val="00020EB1"/>
    <w:rsid w:val="00020FEC"/>
    <w:rsid w:val="00021777"/>
    <w:rsid w:val="000217C2"/>
    <w:rsid w:val="000227CE"/>
    <w:rsid w:val="00022D15"/>
    <w:rsid w:val="000233BB"/>
    <w:rsid w:val="00023530"/>
    <w:rsid w:val="00023A5D"/>
    <w:rsid w:val="0002546D"/>
    <w:rsid w:val="000255C3"/>
    <w:rsid w:val="000256BF"/>
    <w:rsid w:val="00025A25"/>
    <w:rsid w:val="00025AA8"/>
    <w:rsid w:val="0002622B"/>
    <w:rsid w:val="00026EAA"/>
    <w:rsid w:val="0002792E"/>
    <w:rsid w:val="000308BA"/>
    <w:rsid w:val="00030FA7"/>
    <w:rsid w:val="00032510"/>
    <w:rsid w:val="00032BD2"/>
    <w:rsid w:val="00033749"/>
    <w:rsid w:val="00033F4B"/>
    <w:rsid w:val="00034323"/>
    <w:rsid w:val="0003441C"/>
    <w:rsid w:val="00034D72"/>
    <w:rsid w:val="00034ECB"/>
    <w:rsid w:val="00035F82"/>
    <w:rsid w:val="00036FFB"/>
    <w:rsid w:val="000372C6"/>
    <w:rsid w:val="00040AC2"/>
    <w:rsid w:val="00041960"/>
    <w:rsid w:val="00042394"/>
    <w:rsid w:val="00042526"/>
    <w:rsid w:val="00042E42"/>
    <w:rsid w:val="000430EE"/>
    <w:rsid w:val="0004310B"/>
    <w:rsid w:val="000438CC"/>
    <w:rsid w:val="00043ADB"/>
    <w:rsid w:val="00044C98"/>
    <w:rsid w:val="000453DB"/>
    <w:rsid w:val="000454D7"/>
    <w:rsid w:val="00045A59"/>
    <w:rsid w:val="00045D8C"/>
    <w:rsid w:val="00046006"/>
    <w:rsid w:val="00046DC5"/>
    <w:rsid w:val="00050C44"/>
    <w:rsid w:val="00051824"/>
    <w:rsid w:val="00051F3D"/>
    <w:rsid w:val="00052757"/>
    <w:rsid w:val="000558F2"/>
    <w:rsid w:val="0005630B"/>
    <w:rsid w:val="000574EA"/>
    <w:rsid w:val="000578D1"/>
    <w:rsid w:val="00057EF2"/>
    <w:rsid w:val="00060002"/>
    <w:rsid w:val="0006042D"/>
    <w:rsid w:val="00060F10"/>
    <w:rsid w:val="00061632"/>
    <w:rsid w:val="000617E2"/>
    <w:rsid w:val="00061A50"/>
    <w:rsid w:val="00061B3A"/>
    <w:rsid w:val="00062695"/>
    <w:rsid w:val="00062914"/>
    <w:rsid w:val="00062A7E"/>
    <w:rsid w:val="00063209"/>
    <w:rsid w:val="0006472A"/>
    <w:rsid w:val="00064EE6"/>
    <w:rsid w:val="000651D4"/>
    <w:rsid w:val="00065B93"/>
    <w:rsid w:val="000667ED"/>
    <w:rsid w:val="0006689A"/>
    <w:rsid w:val="00070003"/>
    <w:rsid w:val="00070300"/>
    <w:rsid w:val="00070793"/>
    <w:rsid w:val="000707CE"/>
    <w:rsid w:val="00071AF5"/>
    <w:rsid w:val="00071D76"/>
    <w:rsid w:val="00072B8F"/>
    <w:rsid w:val="000732C3"/>
    <w:rsid w:val="000735AD"/>
    <w:rsid w:val="00073B37"/>
    <w:rsid w:val="00073CF7"/>
    <w:rsid w:val="00073E01"/>
    <w:rsid w:val="0007441C"/>
    <w:rsid w:val="0007452F"/>
    <w:rsid w:val="00074E54"/>
    <w:rsid w:val="00076043"/>
    <w:rsid w:val="00077DCC"/>
    <w:rsid w:val="00080BC4"/>
    <w:rsid w:val="00082161"/>
    <w:rsid w:val="000822F1"/>
    <w:rsid w:val="0008236C"/>
    <w:rsid w:val="000827B3"/>
    <w:rsid w:val="00082BF5"/>
    <w:rsid w:val="00082EAF"/>
    <w:rsid w:val="00082F8A"/>
    <w:rsid w:val="0008347E"/>
    <w:rsid w:val="0008368F"/>
    <w:rsid w:val="00083819"/>
    <w:rsid w:val="00083B04"/>
    <w:rsid w:val="0008411B"/>
    <w:rsid w:val="0008435A"/>
    <w:rsid w:val="000851D4"/>
    <w:rsid w:val="000853A0"/>
    <w:rsid w:val="000858BC"/>
    <w:rsid w:val="00085911"/>
    <w:rsid w:val="0008647C"/>
    <w:rsid w:val="0008667E"/>
    <w:rsid w:val="00086929"/>
    <w:rsid w:val="000872B1"/>
    <w:rsid w:val="00087F00"/>
    <w:rsid w:val="0009027A"/>
    <w:rsid w:val="0009119A"/>
    <w:rsid w:val="000911E5"/>
    <w:rsid w:val="0009123E"/>
    <w:rsid w:val="000922DF"/>
    <w:rsid w:val="00092F10"/>
    <w:rsid w:val="00093AD7"/>
    <w:rsid w:val="00093D6D"/>
    <w:rsid w:val="00093E7C"/>
    <w:rsid w:val="00094B38"/>
    <w:rsid w:val="00094BA1"/>
    <w:rsid w:val="00096822"/>
    <w:rsid w:val="00096A8E"/>
    <w:rsid w:val="000973A6"/>
    <w:rsid w:val="0009757A"/>
    <w:rsid w:val="00097A4D"/>
    <w:rsid w:val="000A0928"/>
    <w:rsid w:val="000A0F71"/>
    <w:rsid w:val="000A259C"/>
    <w:rsid w:val="000A2A76"/>
    <w:rsid w:val="000A2BB1"/>
    <w:rsid w:val="000A36C9"/>
    <w:rsid w:val="000A393A"/>
    <w:rsid w:val="000A3ED9"/>
    <w:rsid w:val="000A416B"/>
    <w:rsid w:val="000A42C3"/>
    <w:rsid w:val="000A51B1"/>
    <w:rsid w:val="000A5858"/>
    <w:rsid w:val="000A5B2A"/>
    <w:rsid w:val="000A6437"/>
    <w:rsid w:val="000A6BB1"/>
    <w:rsid w:val="000A7A22"/>
    <w:rsid w:val="000B055D"/>
    <w:rsid w:val="000B05CD"/>
    <w:rsid w:val="000B0672"/>
    <w:rsid w:val="000B1076"/>
    <w:rsid w:val="000B24A0"/>
    <w:rsid w:val="000B2B69"/>
    <w:rsid w:val="000B3447"/>
    <w:rsid w:val="000B35EB"/>
    <w:rsid w:val="000B5A7A"/>
    <w:rsid w:val="000B5AF3"/>
    <w:rsid w:val="000B5F09"/>
    <w:rsid w:val="000B6021"/>
    <w:rsid w:val="000B610A"/>
    <w:rsid w:val="000B78D9"/>
    <w:rsid w:val="000C005D"/>
    <w:rsid w:val="000C06D5"/>
    <w:rsid w:val="000C0DEE"/>
    <w:rsid w:val="000C18F0"/>
    <w:rsid w:val="000C1979"/>
    <w:rsid w:val="000C1B90"/>
    <w:rsid w:val="000C1E85"/>
    <w:rsid w:val="000C2549"/>
    <w:rsid w:val="000C27EC"/>
    <w:rsid w:val="000C319E"/>
    <w:rsid w:val="000C3D27"/>
    <w:rsid w:val="000C5D1A"/>
    <w:rsid w:val="000C752A"/>
    <w:rsid w:val="000D01BB"/>
    <w:rsid w:val="000D01D4"/>
    <w:rsid w:val="000D2006"/>
    <w:rsid w:val="000D253B"/>
    <w:rsid w:val="000D2A52"/>
    <w:rsid w:val="000D39B1"/>
    <w:rsid w:val="000D410D"/>
    <w:rsid w:val="000D41BE"/>
    <w:rsid w:val="000D456C"/>
    <w:rsid w:val="000D483B"/>
    <w:rsid w:val="000D50BF"/>
    <w:rsid w:val="000D50D9"/>
    <w:rsid w:val="000D52B2"/>
    <w:rsid w:val="000D53E6"/>
    <w:rsid w:val="000D7610"/>
    <w:rsid w:val="000D7E69"/>
    <w:rsid w:val="000E041E"/>
    <w:rsid w:val="000E045A"/>
    <w:rsid w:val="000E11BA"/>
    <w:rsid w:val="000E12FB"/>
    <w:rsid w:val="000E1B71"/>
    <w:rsid w:val="000E2867"/>
    <w:rsid w:val="000E316B"/>
    <w:rsid w:val="000E3A62"/>
    <w:rsid w:val="000E3C14"/>
    <w:rsid w:val="000E3E9A"/>
    <w:rsid w:val="000E4E46"/>
    <w:rsid w:val="000E4E94"/>
    <w:rsid w:val="000E4EAA"/>
    <w:rsid w:val="000E5FE3"/>
    <w:rsid w:val="000E6021"/>
    <w:rsid w:val="000E6E00"/>
    <w:rsid w:val="000E6F7E"/>
    <w:rsid w:val="000E719E"/>
    <w:rsid w:val="000E7CBF"/>
    <w:rsid w:val="000E7CD8"/>
    <w:rsid w:val="000E7ED2"/>
    <w:rsid w:val="000F00D3"/>
    <w:rsid w:val="000F01DF"/>
    <w:rsid w:val="000F067C"/>
    <w:rsid w:val="000F081D"/>
    <w:rsid w:val="000F1E28"/>
    <w:rsid w:val="000F32F2"/>
    <w:rsid w:val="000F3B06"/>
    <w:rsid w:val="000F40C6"/>
    <w:rsid w:val="000F43EB"/>
    <w:rsid w:val="000F47D3"/>
    <w:rsid w:val="000F4816"/>
    <w:rsid w:val="000F4896"/>
    <w:rsid w:val="000F50CB"/>
    <w:rsid w:val="000F58E0"/>
    <w:rsid w:val="000F5ACA"/>
    <w:rsid w:val="000F6817"/>
    <w:rsid w:val="000F6E8B"/>
    <w:rsid w:val="000F7358"/>
    <w:rsid w:val="000F7948"/>
    <w:rsid w:val="000F7983"/>
    <w:rsid w:val="000F7B5C"/>
    <w:rsid w:val="000F7B76"/>
    <w:rsid w:val="001000F4"/>
    <w:rsid w:val="0010057D"/>
    <w:rsid w:val="0010119A"/>
    <w:rsid w:val="001019A5"/>
    <w:rsid w:val="00101AA7"/>
    <w:rsid w:val="001024F4"/>
    <w:rsid w:val="001030E7"/>
    <w:rsid w:val="001037A4"/>
    <w:rsid w:val="001037FA"/>
    <w:rsid w:val="00104C6A"/>
    <w:rsid w:val="00104CF0"/>
    <w:rsid w:val="001055E1"/>
    <w:rsid w:val="0010770F"/>
    <w:rsid w:val="00107A4B"/>
    <w:rsid w:val="00110C9B"/>
    <w:rsid w:val="001115D2"/>
    <w:rsid w:val="00111994"/>
    <w:rsid w:val="001129D0"/>
    <w:rsid w:val="00112D9C"/>
    <w:rsid w:val="00113BBD"/>
    <w:rsid w:val="00113D61"/>
    <w:rsid w:val="00113DA6"/>
    <w:rsid w:val="001149E3"/>
    <w:rsid w:val="00115414"/>
    <w:rsid w:val="001162F4"/>
    <w:rsid w:val="00116A7F"/>
    <w:rsid w:val="00116AD9"/>
    <w:rsid w:val="00116D5C"/>
    <w:rsid w:val="00116D7E"/>
    <w:rsid w:val="00117740"/>
    <w:rsid w:val="00117FEB"/>
    <w:rsid w:val="00120C84"/>
    <w:rsid w:val="00121AC6"/>
    <w:rsid w:val="00122182"/>
    <w:rsid w:val="00122711"/>
    <w:rsid w:val="0012273D"/>
    <w:rsid w:val="00122DD7"/>
    <w:rsid w:val="0012319A"/>
    <w:rsid w:val="0012357A"/>
    <w:rsid w:val="00123DFA"/>
    <w:rsid w:val="001249B6"/>
    <w:rsid w:val="00124A58"/>
    <w:rsid w:val="00125209"/>
    <w:rsid w:val="0012539F"/>
    <w:rsid w:val="00126516"/>
    <w:rsid w:val="001275F0"/>
    <w:rsid w:val="00127D2F"/>
    <w:rsid w:val="00127EFA"/>
    <w:rsid w:val="001306FB"/>
    <w:rsid w:val="001309BA"/>
    <w:rsid w:val="00131B6A"/>
    <w:rsid w:val="00131FE7"/>
    <w:rsid w:val="0013229C"/>
    <w:rsid w:val="001327DE"/>
    <w:rsid w:val="00132C47"/>
    <w:rsid w:val="00133976"/>
    <w:rsid w:val="00133AC8"/>
    <w:rsid w:val="001356BB"/>
    <w:rsid w:val="001357CE"/>
    <w:rsid w:val="0013698D"/>
    <w:rsid w:val="0013725E"/>
    <w:rsid w:val="001374AC"/>
    <w:rsid w:val="001375D7"/>
    <w:rsid w:val="0013764C"/>
    <w:rsid w:val="001376D0"/>
    <w:rsid w:val="001402A5"/>
    <w:rsid w:val="001407C5"/>
    <w:rsid w:val="00141CCB"/>
    <w:rsid w:val="00141F7C"/>
    <w:rsid w:val="00142883"/>
    <w:rsid w:val="001429E6"/>
    <w:rsid w:val="00143CA4"/>
    <w:rsid w:val="00144658"/>
    <w:rsid w:val="001446FC"/>
    <w:rsid w:val="0014601D"/>
    <w:rsid w:val="00146991"/>
    <w:rsid w:val="00146C5F"/>
    <w:rsid w:val="00146FCB"/>
    <w:rsid w:val="00147271"/>
    <w:rsid w:val="001474FE"/>
    <w:rsid w:val="00147EE6"/>
    <w:rsid w:val="001509F1"/>
    <w:rsid w:val="00151911"/>
    <w:rsid w:val="00151D26"/>
    <w:rsid w:val="001521E3"/>
    <w:rsid w:val="0015222B"/>
    <w:rsid w:val="00152A3D"/>
    <w:rsid w:val="00152DAF"/>
    <w:rsid w:val="0015301C"/>
    <w:rsid w:val="00153D26"/>
    <w:rsid w:val="00153F75"/>
    <w:rsid w:val="001540B3"/>
    <w:rsid w:val="001541AC"/>
    <w:rsid w:val="00154794"/>
    <w:rsid w:val="00154CD9"/>
    <w:rsid w:val="00155101"/>
    <w:rsid w:val="00155471"/>
    <w:rsid w:val="001559CD"/>
    <w:rsid w:val="00155E63"/>
    <w:rsid w:val="00156337"/>
    <w:rsid w:val="001563C4"/>
    <w:rsid w:val="001569F1"/>
    <w:rsid w:val="00157AEC"/>
    <w:rsid w:val="001600E5"/>
    <w:rsid w:val="00160574"/>
    <w:rsid w:val="001606A0"/>
    <w:rsid w:val="001614CA"/>
    <w:rsid w:val="00161692"/>
    <w:rsid w:val="001617AB"/>
    <w:rsid w:val="001627C9"/>
    <w:rsid w:val="001628D3"/>
    <w:rsid w:val="00163272"/>
    <w:rsid w:val="00163E7B"/>
    <w:rsid w:val="0016541D"/>
    <w:rsid w:val="00166904"/>
    <w:rsid w:val="001702B3"/>
    <w:rsid w:val="00171B5D"/>
    <w:rsid w:val="00171C91"/>
    <w:rsid w:val="00171E4D"/>
    <w:rsid w:val="00171F60"/>
    <w:rsid w:val="0017212F"/>
    <w:rsid w:val="00172447"/>
    <w:rsid w:val="0017294E"/>
    <w:rsid w:val="00172D5C"/>
    <w:rsid w:val="001731D8"/>
    <w:rsid w:val="00173500"/>
    <w:rsid w:val="0017350D"/>
    <w:rsid w:val="0017422B"/>
    <w:rsid w:val="00174557"/>
    <w:rsid w:val="00174A2E"/>
    <w:rsid w:val="00174E4B"/>
    <w:rsid w:val="00174EC9"/>
    <w:rsid w:val="001751DD"/>
    <w:rsid w:val="00175981"/>
    <w:rsid w:val="00175CEA"/>
    <w:rsid w:val="00176DFF"/>
    <w:rsid w:val="00177528"/>
    <w:rsid w:val="001805EC"/>
    <w:rsid w:val="00180887"/>
    <w:rsid w:val="00180DF1"/>
    <w:rsid w:val="001814B4"/>
    <w:rsid w:val="0018169C"/>
    <w:rsid w:val="0018264E"/>
    <w:rsid w:val="0018270E"/>
    <w:rsid w:val="00182CA7"/>
    <w:rsid w:val="001834D3"/>
    <w:rsid w:val="00183E66"/>
    <w:rsid w:val="0018402E"/>
    <w:rsid w:val="0018415C"/>
    <w:rsid w:val="00184438"/>
    <w:rsid w:val="00184685"/>
    <w:rsid w:val="00184B9E"/>
    <w:rsid w:val="00184D1B"/>
    <w:rsid w:val="00184F90"/>
    <w:rsid w:val="001855F4"/>
    <w:rsid w:val="00186975"/>
    <w:rsid w:val="00186A5F"/>
    <w:rsid w:val="00186F22"/>
    <w:rsid w:val="00187775"/>
    <w:rsid w:val="00187992"/>
    <w:rsid w:val="00187A26"/>
    <w:rsid w:val="00187D8B"/>
    <w:rsid w:val="001901B1"/>
    <w:rsid w:val="001909F4"/>
    <w:rsid w:val="001925F3"/>
    <w:rsid w:val="00192C75"/>
    <w:rsid w:val="00193296"/>
    <w:rsid w:val="00193BDB"/>
    <w:rsid w:val="00193FD2"/>
    <w:rsid w:val="001940CE"/>
    <w:rsid w:val="001941AD"/>
    <w:rsid w:val="0019440C"/>
    <w:rsid w:val="00194E2B"/>
    <w:rsid w:val="0019750B"/>
    <w:rsid w:val="001975A5"/>
    <w:rsid w:val="001A0546"/>
    <w:rsid w:val="001A18A0"/>
    <w:rsid w:val="001A2665"/>
    <w:rsid w:val="001A29E1"/>
    <w:rsid w:val="001A2EA4"/>
    <w:rsid w:val="001A2F5F"/>
    <w:rsid w:val="001A3757"/>
    <w:rsid w:val="001A72C3"/>
    <w:rsid w:val="001A7720"/>
    <w:rsid w:val="001B037F"/>
    <w:rsid w:val="001B0B8E"/>
    <w:rsid w:val="001B15FD"/>
    <w:rsid w:val="001B2547"/>
    <w:rsid w:val="001B352A"/>
    <w:rsid w:val="001B3DEB"/>
    <w:rsid w:val="001B4012"/>
    <w:rsid w:val="001B480C"/>
    <w:rsid w:val="001B4CBD"/>
    <w:rsid w:val="001B4CF8"/>
    <w:rsid w:val="001B4FE6"/>
    <w:rsid w:val="001B5011"/>
    <w:rsid w:val="001B5A77"/>
    <w:rsid w:val="001B5B6C"/>
    <w:rsid w:val="001B6472"/>
    <w:rsid w:val="001B6BFC"/>
    <w:rsid w:val="001B75AF"/>
    <w:rsid w:val="001B7DBD"/>
    <w:rsid w:val="001B7EF4"/>
    <w:rsid w:val="001C13D4"/>
    <w:rsid w:val="001C163A"/>
    <w:rsid w:val="001C19B5"/>
    <w:rsid w:val="001C1FB7"/>
    <w:rsid w:val="001C3171"/>
    <w:rsid w:val="001C36C8"/>
    <w:rsid w:val="001C3832"/>
    <w:rsid w:val="001C3B49"/>
    <w:rsid w:val="001C4054"/>
    <w:rsid w:val="001C4CF3"/>
    <w:rsid w:val="001C50EF"/>
    <w:rsid w:val="001C5FB7"/>
    <w:rsid w:val="001C6DF7"/>
    <w:rsid w:val="001C6F37"/>
    <w:rsid w:val="001C7253"/>
    <w:rsid w:val="001D00A2"/>
    <w:rsid w:val="001D0124"/>
    <w:rsid w:val="001D02CD"/>
    <w:rsid w:val="001D07F1"/>
    <w:rsid w:val="001D0822"/>
    <w:rsid w:val="001D0A90"/>
    <w:rsid w:val="001D0B9F"/>
    <w:rsid w:val="001D0F9E"/>
    <w:rsid w:val="001D1256"/>
    <w:rsid w:val="001D1462"/>
    <w:rsid w:val="001D3299"/>
    <w:rsid w:val="001D3999"/>
    <w:rsid w:val="001D4422"/>
    <w:rsid w:val="001D5421"/>
    <w:rsid w:val="001D5BDF"/>
    <w:rsid w:val="001D6A90"/>
    <w:rsid w:val="001D7003"/>
    <w:rsid w:val="001D71B2"/>
    <w:rsid w:val="001D7F56"/>
    <w:rsid w:val="001E0432"/>
    <w:rsid w:val="001E0963"/>
    <w:rsid w:val="001E161E"/>
    <w:rsid w:val="001E168E"/>
    <w:rsid w:val="001E1AFF"/>
    <w:rsid w:val="001E256D"/>
    <w:rsid w:val="001E2B1E"/>
    <w:rsid w:val="001E2C9D"/>
    <w:rsid w:val="001E2CE2"/>
    <w:rsid w:val="001E3301"/>
    <w:rsid w:val="001E45AA"/>
    <w:rsid w:val="001E5AAB"/>
    <w:rsid w:val="001E62D1"/>
    <w:rsid w:val="001E683A"/>
    <w:rsid w:val="001E7026"/>
    <w:rsid w:val="001F0594"/>
    <w:rsid w:val="001F0A0E"/>
    <w:rsid w:val="001F0C9D"/>
    <w:rsid w:val="001F0E36"/>
    <w:rsid w:val="001F0F8A"/>
    <w:rsid w:val="001F119F"/>
    <w:rsid w:val="001F12C0"/>
    <w:rsid w:val="001F1AE5"/>
    <w:rsid w:val="001F1FAA"/>
    <w:rsid w:val="001F2576"/>
    <w:rsid w:val="001F3E20"/>
    <w:rsid w:val="001F4AD5"/>
    <w:rsid w:val="001F56BC"/>
    <w:rsid w:val="001F5B47"/>
    <w:rsid w:val="001F5C0F"/>
    <w:rsid w:val="001F6B74"/>
    <w:rsid w:val="001F717E"/>
    <w:rsid w:val="001F74B0"/>
    <w:rsid w:val="001F7ACC"/>
    <w:rsid w:val="0020002C"/>
    <w:rsid w:val="00200091"/>
    <w:rsid w:val="00200119"/>
    <w:rsid w:val="002008B6"/>
    <w:rsid w:val="002010F7"/>
    <w:rsid w:val="0020165C"/>
    <w:rsid w:val="00201C47"/>
    <w:rsid w:val="00201CFE"/>
    <w:rsid w:val="00201FDD"/>
    <w:rsid w:val="002022D8"/>
    <w:rsid w:val="002023C7"/>
    <w:rsid w:val="002030E1"/>
    <w:rsid w:val="002036BF"/>
    <w:rsid w:val="00204863"/>
    <w:rsid w:val="00204C5B"/>
    <w:rsid w:val="0020564D"/>
    <w:rsid w:val="00210331"/>
    <w:rsid w:val="00210477"/>
    <w:rsid w:val="00210524"/>
    <w:rsid w:val="002106A8"/>
    <w:rsid w:val="00211B41"/>
    <w:rsid w:val="002121D8"/>
    <w:rsid w:val="00213268"/>
    <w:rsid w:val="002135A9"/>
    <w:rsid w:val="00214160"/>
    <w:rsid w:val="00214168"/>
    <w:rsid w:val="0021431E"/>
    <w:rsid w:val="0021451F"/>
    <w:rsid w:val="00214624"/>
    <w:rsid w:val="00214E77"/>
    <w:rsid w:val="002152B2"/>
    <w:rsid w:val="00215376"/>
    <w:rsid w:val="00215384"/>
    <w:rsid w:val="0021575A"/>
    <w:rsid w:val="00215EBA"/>
    <w:rsid w:val="00217501"/>
    <w:rsid w:val="002175B0"/>
    <w:rsid w:val="00221435"/>
    <w:rsid w:val="00221637"/>
    <w:rsid w:val="00221CD3"/>
    <w:rsid w:val="00222030"/>
    <w:rsid w:val="002224F9"/>
    <w:rsid w:val="002225EC"/>
    <w:rsid w:val="002230D9"/>
    <w:rsid w:val="00223CED"/>
    <w:rsid w:val="002244F5"/>
    <w:rsid w:val="00224C6E"/>
    <w:rsid w:val="00225F08"/>
    <w:rsid w:val="00226038"/>
    <w:rsid w:val="002264A3"/>
    <w:rsid w:val="00226B8F"/>
    <w:rsid w:val="00230080"/>
    <w:rsid w:val="0023052D"/>
    <w:rsid w:val="00230750"/>
    <w:rsid w:val="00230A1B"/>
    <w:rsid w:val="00231748"/>
    <w:rsid w:val="00231C4B"/>
    <w:rsid w:val="00232268"/>
    <w:rsid w:val="0023249D"/>
    <w:rsid w:val="0023254B"/>
    <w:rsid w:val="002325DE"/>
    <w:rsid w:val="00232A89"/>
    <w:rsid w:val="00232E2C"/>
    <w:rsid w:val="00233436"/>
    <w:rsid w:val="0023400E"/>
    <w:rsid w:val="002340CC"/>
    <w:rsid w:val="002344DE"/>
    <w:rsid w:val="0023494B"/>
    <w:rsid w:val="00234B97"/>
    <w:rsid w:val="00234D18"/>
    <w:rsid w:val="002356DA"/>
    <w:rsid w:val="0023570F"/>
    <w:rsid w:val="00235B2D"/>
    <w:rsid w:val="0023617D"/>
    <w:rsid w:val="0023704C"/>
    <w:rsid w:val="002378F1"/>
    <w:rsid w:val="00237A60"/>
    <w:rsid w:val="00241833"/>
    <w:rsid w:val="0024270E"/>
    <w:rsid w:val="00242BEF"/>
    <w:rsid w:val="00242C31"/>
    <w:rsid w:val="00242CBC"/>
    <w:rsid w:val="00243D51"/>
    <w:rsid w:val="002443F0"/>
    <w:rsid w:val="002453CF"/>
    <w:rsid w:val="0024639F"/>
    <w:rsid w:val="0024640C"/>
    <w:rsid w:val="002464A0"/>
    <w:rsid w:val="00246900"/>
    <w:rsid w:val="002469A5"/>
    <w:rsid w:val="00246DD1"/>
    <w:rsid w:val="0024705F"/>
    <w:rsid w:val="00247175"/>
    <w:rsid w:val="00247664"/>
    <w:rsid w:val="002476FE"/>
    <w:rsid w:val="0024783C"/>
    <w:rsid w:val="00247917"/>
    <w:rsid w:val="002479F0"/>
    <w:rsid w:val="00250012"/>
    <w:rsid w:val="00251091"/>
    <w:rsid w:val="002529BA"/>
    <w:rsid w:val="00252AF4"/>
    <w:rsid w:val="00252B3D"/>
    <w:rsid w:val="00252F42"/>
    <w:rsid w:val="00252F57"/>
    <w:rsid w:val="00253277"/>
    <w:rsid w:val="00253535"/>
    <w:rsid w:val="00253F0C"/>
    <w:rsid w:val="0025427F"/>
    <w:rsid w:val="00254758"/>
    <w:rsid w:val="002557BB"/>
    <w:rsid w:val="00255A95"/>
    <w:rsid w:val="00255F49"/>
    <w:rsid w:val="00255FBE"/>
    <w:rsid w:val="00256F95"/>
    <w:rsid w:val="00257060"/>
    <w:rsid w:val="00260607"/>
    <w:rsid w:val="00261182"/>
    <w:rsid w:val="00261A6F"/>
    <w:rsid w:val="00262E88"/>
    <w:rsid w:val="002637E3"/>
    <w:rsid w:val="00263A93"/>
    <w:rsid w:val="00263A9A"/>
    <w:rsid w:val="00263E28"/>
    <w:rsid w:val="00264F4E"/>
    <w:rsid w:val="00264F66"/>
    <w:rsid w:val="00265CCF"/>
    <w:rsid w:val="00266563"/>
    <w:rsid w:val="002666C0"/>
    <w:rsid w:val="00266913"/>
    <w:rsid w:val="00267945"/>
    <w:rsid w:val="00267C97"/>
    <w:rsid w:val="00267CF7"/>
    <w:rsid w:val="00267DEA"/>
    <w:rsid w:val="002705D4"/>
    <w:rsid w:val="002706C5"/>
    <w:rsid w:val="002715B6"/>
    <w:rsid w:val="00271B58"/>
    <w:rsid w:val="00272B2E"/>
    <w:rsid w:val="00272E48"/>
    <w:rsid w:val="0027369C"/>
    <w:rsid w:val="00274308"/>
    <w:rsid w:val="00274D07"/>
    <w:rsid w:val="002754B1"/>
    <w:rsid w:val="00275879"/>
    <w:rsid w:val="00275BB0"/>
    <w:rsid w:val="00275CEC"/>
    <w:rsid w:val="00275DC2"/>
    <w:rsid w:val="00275DED"/>
    <w:rsid w:val="00275FD7"/>
    <w:rsid w:val="00277340"/>
    <w:rsid w:val="0027746F"/>
    <w:rsid w:val="00277579"/>
    <w:rsid w:val="00280E6A"/>
    <w:rsid w:val="00281282"/>
    <w:rsid w:val="002815AB"/>
    <w:rsid w:val="00281812"/>
    <w:rsid w:val="00281B2A"/>
    <w:rsid w:val="00282C1A"/>
    <w:rsid w:val="002842CB"/>
    <w:rsid w:val="00284C18"/>
    <w:rsid w:val="002858F5"/>
    <w:rsid w:val="0029002F"/>
    <w:rsid w:val="00290133"/>
    <w:rsid w:val="002908F2"/>
    <w:rsid w:val="00290CD2"/>
    <w:rsid w:val="00291223"/>
    <w:rsid w:val="00291C0D"/>
    <w:rsid w:val="00291CC9"/>
    <w:rsid w:val="002923D4"/>
    <w:rsid w:val="0029280D"/>
    <w:rsid w:val="00292D94"/>
    <w:rsid w:val="0029447D"/>
    <w:rsid w:val="002947B4"/>
    <w:rsid w:val="00294AA2"/>
    <w:rsid w:val="00296244"/>
    <w:rsid w:val="002962A6"/>
    <w:rsid w:val="0029630B"/>
    <w:rsid w:val="00296E6C"/>
    <w:rsid w:val="00297096"/>
    <w:rsid w:val="002972EE"/>
    <w:rsid w:val="002973C8"/>
    <w:rsid w:val="002A00C4"/>
    <w:rsid w:val="002A0B85"/>
    <w:rsid w:val="002A0EAE"/>
    <w:rsid w:val="002A18D3"/>
    <w:rsid w:val="002A1AD2"/>
    <w:rsid w:val="002A2137"/>
    <w:rsid w:val="002A2B02"/>
    <w:rsid w:val="002A3AD1"/>
    <w:rsid w:val="002A3BA3"/>
    <w:rsid w:val="002A4730"/>
    <w:rsid w:val="002A6202"/>
    <w:rsid w:val="002A67E7"/>
    <w:rsid w:val="002A6878"/>
    <w:rsid w:val="002A7DD5"/>
    <w:rsid w:val="002B1239"/>
    <w:rsid w:val="002B1E5B"/>
    <w:rsid w:val="002B2231"/>
    <w:rsid w:val="002B2999"/>
    <w:rsid w:val="002B2FDE"/>
    <w:rsid w:val="002B3521"/>
    <w:rsid w:val="002B3D65"/>
    <w:rsid w:val="002B3DD9"/>
    <w:rsid w:val="002B4EC7"/>
    <w:rsid w:val="002B4FAA"/>
    <w:rsid w:val="002B541B"/>
    <w:rsid w:val="002B5A2C"/>
    <w:rsid w:val="002B5BF4"/>
    <w:rsid w:val="002B604C"/>
    <w:rsid w:val="002B62C0"/>
    <w:rsid w:val="002B714E"/>
    <w:rsid w:val="002B7BCC"/>
    <w:rsid w:val="002C0875"/>
    <w:rsid w:val="002C0ADE"/>
    <w:rsid w:val="002C1345"/>
    <w:rsid w:val="002C2069"/>
    <w:rsid w:val="002C2A41"/>
    <w:rsid w:val="002C3057"/>
    <w:rsid w:val="002C3C74"/>
    <w:rsid w:val="002C47D0"/>
    <w:rsid w:val="002C4FC9"/>
    <w:rsid w:val="002C52CE"/>
    <w:rsid w:val="002C64FC"/>
    <w:rsid w:val="002C6985"/>
    <w:rsid w:val="002C6C90"/>
    <w:rsid w:val="002C71D0"/>
    <w:rsid w:val="002C7552"/>
    <w:rsid w:val="002C78B2"/>
    <w:rsid w:val="002D0AA8"/>
    <w:rsid w:val="002D0EE4"/>
    <w:rsid w:val="002D0F0A"/>
    <w:rsid w:val="002D10F3"/>
    <w:rsid w:val="002D1D0D"/>
    <w:rsid w:val="002D2A19"/>
    <w:rsid w:val="002D2D01"/>
    <w:rsid w:val="002D3243"/>
    <w:rsid w:val="002D363E"/>
    <w:rsid w:val="002D4096"/>
    <w:rsid w:val="002D4409"/>
    <w:rsid w:val="002D464D"/>
    <w:rsid w:val="002D477F"/>
    <w:rsid w:val="002D4A1C"/>
    <w:rsid w:val="002D4FB9"/>
    <w:rsid w:val="002D5D98"/>
    <w:rsid w:val="002D768D"/>
    <w:rsid w:val="002E084A"/>
    <w:rsid w:val="002E09B1"/>
    <w:rsid w:val="002E09F0"/>
    <w:rsid w:val="002E0AD8"/>
    <w:rsid w:val="002E0CA6"/>
    <w:rsid w:val="002E0F60"/>
    <w:rsid w:val="002E130D"/>
    <w:rsid w:val="002E147B"/>
    <w:rsid w:val="002E1BB5"/>
    <w:rsid w:val="002E2109"/>
    <w:rsid w:val="002E21BB"/>
    <w:rsid w:val="002E27B9"/>
    <w:rsid w:val="002E31B0"/>
    <w:rsid w:val="002E3E3D"/>
    <w:rsid w:val="002E4B67"/>
    <w:rsid w:val="002E5701"/>
    <w:rsid w:val="002E5A3C"/>
    <w:rsid w:val="002E5BD9"/>
    <w:rsid w:val="002E5E53"/>
    <w:rsid w:val="002E5E77"/>
    <w:rsid w:val="002E677B"/>
    <w:rsid w:val="002E6839"/>
    <w:rsid w:val="002E71FE"/>
    <w:rsid w:val="002E72F3"/>
    <w:rsid w:val="002F08B7"/>
    <w:rsid w:val="002F08BE"/>
    <w:rsid w:val="002F12D7"/>
    <w:rsid w:val="002F1350"/>
    <w:rsid w:val="002F13E8"/>
    <w:rsid w:val="002F175B"/>
    <w:rsid w:val="002F2F9E"/>
    <w:rsid w:val="002F3FBF"/>
    <w:rsid w:val="002F4189"/>
    <w:rsid w:val="002F4D27"/>
    <w:rsid w:val="002F67B2"/>
    <w:rsid w:val="002F6BDC"/>
    <w:rsid w:val="002F6ED7"/>
    <w:rsid w:val="002F72AF"/>
    <w:rsid w:val="002F79F0"/>
    <w:rsid w:val="002F7AB4"/>
    <w:rsid w:val="003003F9"/>
    <w:rsid w:val="00300557"/>
    <w:rsid w:val="00300F64"/>
    <w:rsid w:val="003015F8"/>
    <w:rsid w:val="00301A36"/>
    <w:rsid w:val="00301ACA"/>
    <w:rsid w:val="00301C06"/>
    <w:rsid w:val="00301C95"/>
    <w:rsid w:val="00302FAA"/>
    <w:rsid w:val="003031DE"/>
    <w:rsid w:val="0030381C"/>
    <w:rsid w:val="00303A70"/>
    <w:rsid w:val="00303EE7"/>
    <w:rsid w:val="0030408A"/>
    <w:rsid w:val="003049BB"/>
    <w:rsid w:val="003049E7"/>
    <w:rsid w:val="003051D4"/>
    <w:rsid w:val="003055B0"/>
    <w:rsid w:val="00305995"/>
    <w:rsid w:val="00305D6B"/>
    <w:rsid w:val="003068F9"/>
    <w:rsid w:val="003069CB"/>
    <w:rsid w:val="00306B6C"/>
    <w:rsid w:val="0030737F"/>
    <w:rsid w:val="003112CE"/>
    <w:rsid w:val="00311D17"/>
    <w:rsid w:val="00311DE3"/>
    <w:rsid w:val="0031241A"/>
    <w:rsid w:val="003126AE"/>
    <w:rsid w:val="00312F93"/>
    <w:rsid w:val="00314866"/>
    <w:rsid w:val="00315570"/>
    <w:rsid w:val="00315CC8"/>
    <w:rsid w:val="003161D9"/>
    <w:rsid w:val="0031628D"/>
    <w:rsid w:val="003167AD"/>
    <w:rsid w:val="00316D90"/>
    <w:rsid w:val="00316DC6"/>
    <w:rsid w:val="00317AD1"/>
    <w:rsid w:val="00317D34"/>
    <w:rsid w:val="00317E33"/>
    <w:rsid w:val="00317F28"/>
    <w:rsid w:val="0032087F"/>
    <w:rsid w:val="00320A15"/>
    <w:rsid w:val="00321527"/>
    <w:rsid w:val="00321F8E"/>
    <w:rsid w:val="00322533"/>
    <w:rsid w:val="003238C4"/>
    <w:rsid w:val="0032395B"/>
    <w:rsid w:val="00323AF6"/>
    <w:rsid w:val="00324179"/>
    <w:rsid w:val="00325C12"/>
    <w:rsid w:val="00325F96"/>
    <w:rsid w:val="003261B7"/>
    <w:rsid w:val="00326630"/>
    <w:rsid w:val="003269D4"/>
    <w:rsid w:val="0032722C"/>
    <w:rsid w:val="003303CE"/>
    <w:rsid w:val="00330F38"/>
    <w:rsid w:val="00331010"/>
    <w:rsid w:val="00331122"/>
    <w:rsid w:val="0033127E"/>
    <w:rsid w:val="003314AC"/>
    <w:rsid w:val="0033160A"/>
    <w:rsid w:val="0033199C"/>
    <w:rsid w:val="00331AFD"/>
    <w:rsid w:val="00331D8B"/>
    <w:rsid w:val="00333509"/>
    <w:rsid w:val="00333CBD"/>
    <w:rsid w:val="00333DB7"/>
    <w:rsid w:val="00333DF7"/>
    <w:rsid w:val="00334D08"/>
    <w:rsid w:val="00334F31"/>
    <w:rsid w:val="00334FF5"/>
    <w:rsid w:val="00335935"/>
    <w:rsid w:val="003362F1"/>
    <w:rsid w:val="00336494"/>
    <w:rsid w:val="003366D1"/>
    <w:rsid w:val="00336801"/>
    <w:rsid w:val="00336B4F"/>
    <w:rsid w:val="003371F5"/>
    <w:rsid w:val="0033721E"/>
    <w:rsid w:val="00337249"/>
    <w:rsid w:val="00340871"/>
    <w:rsid w:val="00340F41"/>
    <w:rsid w:val="00341177"/>
    <w:rsid w:val="003412AD"/>
    <w:rsid w:val="0034198E"/>
    <w:rsid w:val="00341B0A"/>
    <w:rsid w:val="003428A7"/>
    <w:rsid w:val="00342F59"/>
    <w:rsid w:val="00343F0F"/>
    <w:rsid w:val="003445DF"/>
    <w:rsid w:val="003449D3"/>
    <w:rsid w:val="00345069"/>
    <w:rsid w:val="003453CD"/>
    <w:rsid w:val="00345613"/>
    <w:rsid w:val="00345A6A"/>
    <w:rsid w:val="0034703E"/>
    <w:rsid w:val="003474C0"/>
    <w:rsid w:val="003477A9"/>
    <w:rsid w:val="00350D83"/>
    <w:rsid w:val="00350ED6"/>
    <w:rsid w:val="0035216D"/>
    <w:rsid w:val="003524DE"/>
    <w:rsid w:val="00352DD4"/>
    <w:rsid w:val="003530D4"/>
    <w:rsid w:val="00353FDF"/>
    <w:rsid w:val="0035424B"/>
    <w:rsid w:val="003547C6"/>
    <w:rsid w:val="003558A0"/>
    <w:rsid w:val="00355F13"/>
    <w:rsid w:val="0035637C"/>
    <w:rsid w:val="00356651"/>
    <w:rsid w:val="0035697C"/>
    <w:rsid w:val="00356A5E"/>
    <w:rsid w:val="00357047"/>
    <w:rsid w:val="003579DC"/>
    <w:rsid w:val="00360260"/>
    <w:rsid w:val="0036057F"/>
    <w:rsid w:val="00360BAF"/>
    <w:rsid w:val="0036142B"/>
    <w:rsid w:val="003620CF"/>
    <w:rsid w:val="003625CD"/>
    <w:rsid w:val="00362A4F"/>
    <w:rsid w:val="00362D7F"/>
    <w:rsid w:val="00363C51"/>
    <w:rsid w:val="00363FC1"/>
    <w:rsid w:val="0036528A"/>
    <w:rsid w:val="0036564E"/>
    <w:rsid w:val="003659AF"/>
    <w:rsid w:val="00365FDC"/>
    <w:rsid w:val="00366883"/>
    <w:rsid w:val="0036735E"/>
    <w:rsid w:val="00367657"/>
    <w:rsid w:val="00367679"/>
    <w:rsid w:val="003700FE"/>
    <w:rsid w:val="00371330"/>
    <w:rsid w:val="0037150A"/>
    <w:rsid w:val="00371586"/>
    <w:rsid w:val="00371DD8"/>
    <w:rsid w:val="00372124"/>
    <w:rsid w:val="0037291F"/>
    <w:rsid w:val="003736E8"/>
    <w:rsid w:val="00373799"/>
    <w:rsid w:val="00373E3A"/>
    <w:rsid w:val="00374990"/>
    <w:rsid w:val="003749CC"/>
    <w:rsid w:val="00374B31"/>
    <w:rsid w:val="003751E9"/>
    <w:rsid w:val="00376A5D"/>
    <w:rsid w:val="00376BCA"/>
    <w:rsid w:val="0037705B"/>
    <w:rsid w:val="0037730B"/>
    <w:rsid w:val="00377474"/>
    <w:rsid w:val="00377693"/>
    <w:rsid w:val="00377FF6"/>
    <w:rsid w:val="003809C4"/>
    <w:rsid w:val="0038121A"/>
    <w:rsid w:val="003828DA"/>
    <w:rsid w:val="00382E78"/>
    <w:rsid w:val="003839C6"/>
    <w:rsid w:val="00384A9B"/>
    <w:rsid w:val="00385377"/>
    <w:rsid w:val="00385EBD"/>
    <w:rsid w:val="00386279"/>
    <w:rsid w:val="003866C0"/>
    <w:rsid w:val="003868AF"/>
    <w:rsid w:val="003871B1"/>
    <w:rsid w:val="0038736A"/>
    <w:rsid w:val="00390055"/>
    <w:rsid w:val="003903EF"/>
    <w:rsid w:val="0039137C"/>
    <w:rsid w:val="00392272"/>
    <w:rsid w:val="003922BB"/>
    <w:rsid w:val="00392DC8"/>
    <w:rsid w:val="00392EB7"/>
    <w:rsid w:val="0039352F"/>
    <w:rsid w:val="003937CA"/>
    <w:rsid w:val="00393C79"/>
    <w:rsid w:val="00393D24"/>
    <w:rsid w:val="00394051"/>
    <w:rsid w:val="003942A3"/>
    <w:rsid w:val="00394546"/>
    <w:rsid w:val="00394FC6"/>
    <w:rsid w:val="00395250"/>
    <w:rsid w:val="0039532D"/>
    <w:rsid w:val="00396226"/>
    <w:rsid w:val="0039796F"/>
    <w:rsid w:val="00397A9E"/>
    <w:rsid w:val="00397BC6"/>
    <w:rsid w:val="003A02B7"/>
    <w:rsid w:val="003A0B4E"/>
    <w:rsid w:val="003A0B53"/>
    <w:rsid w:val="003A1A57"/>
    <w:rsid w:val="003A1E06"/>
    <w:rsid w:val="003A225A"/>
    <w:rsid w:val="003A2539"/>
    <w:rsid w:val="003A3258"/>
    <w:rsid w:val="003A3E97"/>
    <w:rsid w:val="003A3FC9"/>
    <w:rsid w:val="003A50A0"/>
    <w:rsid w:val="003A5F7B"/>
    <w:rsid w:val="003A666C"/>
    <w:rsid w:val="003B088D"/>
    <w:rsid w:val="003B2211"/>
    <w:rsid w:val="003B24D6"/>
    <w:rsid w:val="003B341B"/>
    <w:rsid w:val="003B4053"/>
    <w:rsid w:val="003B4228"/>
    <w:rsid w:val="003B4A51"/>
    <w:rsid w:val="003B4A8A"/>
    <w:rsid w:val="003B4CD8"/>
    <w:rsid w:val="003B5137"/>
    <w:rsid w:val="003B5592"/>
    <w:rsid w:val="003B5E17"/>
    <w:rsid w:val="003B6046"/>
    <w:rsid w:val="003B7A5C"/>
    <w:rsid w:val="003B7CB6"/>
    <w:rsid w:val="003B7FF2"/>
    <w:rsid w:val="003C0453"/>
    <w:rsid w:val="003C04C2"/>
    <w:rsid w:val="003C0ACC"/>
    <w:rsid w:val="003C1B4D"/>
    <w:rsid w:val="003C21C5"/>
    <w:rsid w:val="003C239B"/>
    <w:rsid w:val="003C2698"/>
    <w:rsid w:val="003C29BF"/>
    <w:rsid w:val="003C354C"/>
    <w:rsid w:val="003C4055"/>
    <w:rsid w:val="003C45AA"/>
    <w:rsid w:val="003C45D4"/>
    <w:rsid w:val="003C541A"/>
    <w:rsid w:val="003C5698"/>
    <w:rsid w:val="003C57E2"/>
    <w:rsid w:val="003C5DD8"/>
    <w:rsid w:val="003C6C0D"/>
    <w:rsid w:val="003C6C13"/>
    <w:rsid w:val="003C7394"/>
    <w:rsid w:val="003C7805"/>
    <w:rsid w:val="003D0C4D"/>
    <w:rsid w:val="003D0D92"/>
    <w:rsid w:val="003D1221"/>
    <w:rsid w:val="003D163A"/>
    <w:rsid w:val="003D16FD"/>
    <w:rsid w:val="003D184F"/>
    <w:rsid w:val="003D18F5"/>
    <w:rsid w:val="003D1FD7"/>
    <w:rsid w:val="003D2090"/>
    <w:rsid w:val="003D2488"/>
    <w:rsid w:val="003D2702"/>
    <w:rsid w:val="003D28EE"/>
    <w:rsid w:val="003D3B92"/>
    <w:rsid w:val="003D3C04"/>
    <w:rsid w:val="003D3E74"/>
    <w:rsid w:val="003D4220"/>
    <w:rsid w:val="003D5172"/>
    <w:rsid w:val="003D536D"/>
    <w:rsid w:val="003D5D3E"/>
    <w:rsid w:val="003D62BA"/>
    <w:rsid w:val="003D644F"/>
    <w:rsid w:val="003D65AC"/>
    <w:rsid w:val="003D6E67"/>
    <w:rsid w:val="003E156D"/>
    <w:rsid w:val="003E19EB"/>
    <w:rsid w:val="003E2C61"/>
    <w:rsid w:val="003E3C5A"/>
    <w:rsid w:val="003E3D3C"/>
    <w:rsid w:val="003E4306"/>
    <w:rsid w:val="003E48B6"/>
    <w:rsid w:val="003E4B60"/>
    <w:rsid w:val="003E5270"/>
    <w:rsid w:val="003E6193"/>
    <w:rsid w:val="003E686D"/>
    <w:rsid w:val="003E743F"/>
    <w:rsid w:val="003E7853"/>
    <w:rsid w:val="003E7C74"/>
    <w:rsid w:val="003F003B"/>
    <w:rsid w:val="003F01D2"/>
    <w:rsid w:val="003F02A9"/>
    <w:rsid w:val="003F0742"/>
    <w:rsid w:val="003F1500"/>
    <w:rsid w:val="003F1A2B"/>
    <w:rsid w:val="003F1FAE"/>
    <w:rsid w:val="003F29A7"/>
    <w:rsid w:val="003F2C72"/>
    <w:rsid w:val="003F3CC2"/>
    <w:rsid w:val="003F4574"/>
    <w:rsid w:val="003F4802"/>
    <w:rsid w:val="003F494D"/>
    <w:rsid w:val="003F4CC9"/>
    <w:rsid w:val="003F52AA"/>
    <w:rsid w:val="003F5DEF"/>
    <w:rsid w:val="003F62EC"/>
    <w:rsid w:val="003F63E8"/>
    <w:rsid w:val="003F6627"/>
    <w:rsid w:val="003F71C5"/>
    <w:rsid w:val="003F73E0"/>
    <w:rsid w:val="003F7612"/>
    <w:rsid w:val="00400006"/>
    <w:rsid w:val="00400C55"/>
    <w:rsid w:val="00400E85"/>
    <w:rsid w:val="00401211"/>
    <w:rsid w:val="004014EC"/>
    <w:rsid w:val="00401BBC"/>
    <w:rsid w:val="00401FBD"/>
    <w:rsid w:val="004021E7"/>
    <w:rsid w:val="0040310F"/>
    <w:rsid w:val="00403D97"/>
    <w:rsid w:val="00404273"/>
    <w:rsid w:val="00404B08"/>
    <w:rsid w:val="00404CDE"/>
    <w:rsid w:val="00405214"/>
    <w:rsid w:val="004054B0"/>
    <w:rsid w:val="00405630"/>
    <w:rsid w:val="004063ED"/>
    <w:rsid w:val="00406BD8"/>
    <w:rsid w:val="00406D67"/>
    <w:rsid w:val="00407C05"/>
    <w:rsid w:val="00410DAC"/>
    <w:rsid w:val="00410E76"/>
    <w:rsid w:val="00411023"/>
    <w:rsid w:val="00411028"/>
    <w:rsid w:val="0041123D"/>
    <w:rsid w:val="004118D6"/>
    <w:rsid w:val="00411E52"/>
    <w:rsid w:val="00411F8C"/>
    <w:rsid w:val="00412127"/>
    <w:rsid w:val="00412679"/>
    <w:rsid w:val="00412734"/>
    <w:rsid w:val="0041279A"/>
    <w:rsid w:val="004150F1"/>
    <w:rsid w:val="0041520D"/>
    <w:rsid w:val="0041566C"/>
    <w:rsid w:val="00416DDB"/>
    <w:rsid w:val="00417115"/>
    <w:rsid w:val="0041750F"/>
    <w:rsid w:val="00417DD5"/>
    <w:rsid w:val="00417E2B"/>
    <w:rsid w:val="0042039A"/>
    <w:rsid w:val="0042039B"/>
    <w:rsid w:val="0042145F"/>
    <w:rsid w:val="004218A0"/>
    <w:rsid w:val="00422554"/>
    <w:rsid w:val="00422EB4"/>
    <w:rsid w:val="00422EB6"/>
    <w:rsid w:val="004230E7"/>
    <w:rsid w:val="00423455"/>
    <w:rsid w:val="004237FB"/>
    <w:rsid w:val="004247DA"/>
    <w:rsid w:val="00424BAC"/>
    <w:rsid w:val="00425112"/>
    <w:rsid w:val="0042598A"/>
    <w:rsid w:val="004260C1"/>
    <w:rsid w:val="004260CE"/>
    <w:rsid w:val="00426C9C"/>
    <w:rsid w:val="0042763B"/>
    <w:rsid w:val="004276AA"/>
    <w:rsid w:val="004303DD"/>
    <w:rsid w:val="00430DE8"/>
    <w:rsid w:val="00430F5B"/>
    <w:rsid w:val="00431BD5"/>
    <w:rsid w:val="0043260B"/>
    <w:rsid w:val="00432B0B"/>
    <w:rsid w:val="00432E87"/>
    <w:rsid w:val="00433A2A"/>
    <w:rsid w:val="00434233"/>
    <w:rsid w:val="0043451F"/>
    <w:rsid w:val="00434EC8"/>
    <w:rsid w:val="00434EE5"/>
    <w:rsid w:val="004351A5"/>
    <w:rsid w:val="004361A1"/>
    <w:rsid w:val="00436366"/>
    <w:rsid w:val="00437411"/>
    <w:rsid w:val="00437604"/>
    <w:rsid w:val="00437DAF"/>
    <w:rsid w:val="00437F8E"/>
    <w:rsid w:val="00440754"/>
    <w:rsid w:val="00440BDD"/>
    <w:rsid w:val="0044106D"/>
    <w:rsid w:val="004412CD"/>
    <w:rsid w:val="00441929"/>
    <w:rsid w:val="00441E2D"/>
    <w:rsid w:val="0044234A"/>
    <w:rsid w:val="00442724"/>
    <w:rsid w:val="00442E37"/>
    <w:rsid w:val="0044302B"/>
    <w:rsid w:val="004437D3"/>
    <w:rsid w:val="00443C80"/>
    <w:rsid w:val="00444389"/>
    <w:rsid w:val="00444D12"/>
    <w:rsid w:val="00444D24"/>
    <w:rsid w:val="00446284"/>
    <w:rsid w:val="00446C08"/>
    <w:rsid w:val="00447DB6"/>
    <w:rsid w:val="004502E1"/>
    <w:rsid w:val="00450904"/>
    <w:rsid w:val="00450E50"/>
    <w:rsid w:val="004513AC"/>
    <w:rsid w:val="004515FE"/>
    <w:rsid w:val="00451C7F"/>
    <w:rsid w:val="00451E31"/>
    <w:rsid w:val="00451E48"/>
    <w:rsid w:val="00452321"/>
    <w:rsid w:val="004524FB"/>
    <w:rsid w:val="00453242"/>
    <w:rsid w:val="004533C0"/>
    <w:rsid w:val="00453D5F"/>
    <w:rsid w:val="00453D8C"/>
    <w:rsid w:val="00453F80"/>
    <w:rsid w:val="004541C2"/>
    <w:rsid w:val="0045462A"/>
    <w:rsid w:val="004547CE"/>
    <w:rsid w:val="00454840"/>
    <w:rsid w:val="00455203"/>
    <w:rsid w:val="00455B53"/>
    <w:rsid w:val="00455B9D"/>
    <w:rsid w:val="004566F4"/>
    <w:rsid w:val="00457177"/>
    <w:rsid w:val="004604EF"/>
    <w:rsid w:val="00460950"/>
    <w:rsid w:val="00461E21"/>
    <w:rsid w:val="00462517"/>
    <w:rsid w:val="0046279A"/>
    <w:rsid w:val="00463147"/>
    <w:rsid w:val="004634C2"/>
    <w:rsid w:val="00463757"/>
    <w:rsid w:val="00463BC8"/>
    <w:rsid w:val="00463F81"/>
    <w:rsid w:val="004642DF"/>
    <w:rsid w:val="004644BA"/>
    <w:rsid w:val="00464651"/>
    <w:rsid w:val="00464654"/>
    <w:rsid w:val="00464C5D"/>
    <w:rsid w:val="00464FC1"/>
    <w:rsid w:val="0046561E"/>
    <w:rsid w:val="0046599A"/>
    <w:rsid w:val="00465ADD"/>
    <w:rsid w:val="004660B4"/>
    <w:rsid w:val="00466D21"/>
    <w:rsid w:val="00467F16"/>
    <w:rsid w:val="00470E4E"/>
    <w:rsid w:val="0047134C"/>
    <w:rsid w:val="004713D6"/>
    <w:rsid w:val="004714D1"/>
    <w:rsid w:val="0047269B"/>
    <w:rsid w:val="0047377C"/>
    <w:rsid w:val="00473A19"/>
    <w:rsid w:val="00476345"/>
    <w:rsid w:val="004765E6"/>
    <w:rsid w:val="00476638"/>
    <w:rsid w:val="00476767"/>
    <w:rsid w:val="004773B2"/>
    <w:rsid w:val="00477C4E"/>
    <w:rsid w:val="0048035C"/>
    <w:rsid w:val="00480CB2"/>
    <w:rsid w:val="00480D77"/>
    <w:rsid w:val="00481028"/>
    <w:rsid w:val="004811E6"/>
    <w:rsid w:val="004821B5"/>
    <w:rsid w:val="0048330E"/>
    <w:rsid w:val="004841AE"/>
    <w:rsid w:val="0048456A"/>
    <w:rsid w:val="004845C8"/>
    <w:rsid w:val="004848CE"/>
    <w:rsid w:val="004853C5"/>
    <w:rsid w:val="00485C24"/>
    <w:rsid w:val="004861AA"/>
    <w:rsid w:val="004865BD"/>
    <w:rsid w:val="00486DF1"/>
    <w:rsid w:val="00487BFC"/>
    <w:rsid w:val="004903D7"/>
    <w:rsid w:val="004907CB"/>
    <w:rsid w:val="00490AAD"/>
    <w:rsid w:val="0049102E"/>
    <w:rsid w:val="004915F4"/>
    <w:rsid w:val="00492428"/>
    <w:rsid w:val="004928D8"/>
    <w:rsid w:val="00492CBE"/>
    <w:rsid w:val="00492D25"/>
    <w:rsid w:val="0049393E"/>
    <w:rsid w:val="004949D0"/>
    <w:rsid w:val="00495B2E"/>
    <w:rsid w:val="00495C8B"/>
    <w:rsid w:val="00496261"/>
    <w:rsid w:val="004967E8"/>
    <w:rsid w:val="00496A64"/>
    <w:rsid w:val="004975AF"/>
    <w:rsid w:val="004A0497"/>
    <w:rsid w:val="004A05D1"/>
    <w:rsid w:val="004A07F8"/>
    <w:rsid w:val="004A09E0"/>
    <w:rsid w:val="004A0E8E"/>
    <w:rsid w:val="004A114D"/>
    <w:rsid w:val="004A1A4A"/>
    <w:rsid w:val="004A1AAB"/>
    <w:rsid w:val="004A1FB8"/>
    <w:rsid w:val="004A209B"/>
    <w:rsid w:val="004A2132"/>
    <w:rsid w:val="004A21A7"/>
    <w:rsid w:val="004A2E68"/>
    <w:rsid w:val="004A2E81"/>
    <w:rsid w:val="004A323C"/>
    <w:rsid w:val="004A34EA"/>
    <w:rsid w:val="004A36AE"/>
    <w:rsid w:val="004A3F49"/>
    <w:rsid w:val="004A4257"/>
    <w:rsid w:val="004A492E"/>
    <w:rsid w:val="004A5DEB"/>
    <w:rsid w:val="004A6F90"/>
    <w:rsid w:val="004A7C43"/>
    <w:rsid w:val="004A7FB3"/>
    <w:rsid w:val="004B1207"/>
    <w:rsid w:val="004B270F"/>
    <w:rsid w:val="004B2731"/>
    <w:rsid w:val="004B2AE0"/>
    <w:rsid w:val="004B372E"/>
    <w:rsid w:val="004B3B9A"/>
    <w:rsid w:val="004B3F4E"/>
    <w:rsid w:val="004B4F59"/>
    <w:rsid w:val="004B5366"/>
    <w:rsid w:val="004B5A0E"/>
    <w:rsid w:val="004B6153"/>
    <w:rsid w:val="004B61C6"/>
    <w:rsid w:val="004B65B2"/>
    <w:rsid w:val="004B6644"/>
    <w:rsid w:val="004B68AE"/>
    <w:rsid w:val="004B6FE3"/>
    <w:rsid w:val="004C0390"/>
    <w:rsid w:val="004C06B0"/>
    <w:rsid w:val="004C0805"/>
    <w:rsid w:val="004C0A99"/>
    <w:rsid w:val="004C0AE2"/>
    <w:rsid w:val="004C0EF8"/>
    <w:rsid w:val="004C28CB"/>
    <w:rsid w:val="004C2D95"/>
    <w:rsid w:val="004C35BD"/>
    <w:rsid w:val="004C44EE"/>
    <w:rsid w:val="004C4B82"/>
    <w:rsid w:val="004C5387"/>
    <w:rsid w:val="004C58CC"/>
    <w:rsid w:val="004C5902"/>
    <w:rsid w:val="004C5C11"/>
    <w:rsid w:val="004C5D88"/>
    <w:rsid w:val="004C699B"/>
    <w:rsid w:val="004C6CED"/>
    <w:rsid w:val="004C7209"/>
    <w:rsid w:val="004C741A"/>
    <w:rsid w:val="004C7664"/>
    <w:rsid w:val="004C78F5"/>
    <w:rsid w:val="004C793F"/>
    <w:rsid w:val="004C7C6B"/>
    <w:rsid w:val="004D0014"/>
    <w:rsid w:val="004D080E"/>
    <w:rsid w:val="004D0A60"/>
    <w:rsid w:val="004D1190"/>
    <w:rsid w:val="004D13E6"/>
    <w:rsid w:val="004D15C2"/>
    <w:rsid w:val="004D15D8"/>
    <w:rsid w:val="004D178B"/>
    <w:rsid w:val="004D179E"/>
    <w:rsid w:val="004D1CB6"/>
    <w:rsid w:val="004D2564"/>
    <w:rsid w:val="004D2630"/>
    <w:rsid w:val="004D2977"/>
    <w:rsid w:val="004D3171"/>
    <w:rsid w:val="004D34CE"/>
    <w:rsid w:val="004D40ED"/>
    <w:rsid w:val="004D48FD"/>
    <w:rsid w:val="004D6F7E"/>
    <w:rsid w:val="004D6FB4"/>
    <w:rsid w:val="004D7073"/>
    <w:rsid w:val="004D75B1"/>
    <w:rsid w:val="004D7C88"/>
    <w:rsid w:val="004E0329"/>
    <w:rsid w:val="004E0D17"/>
    <w:rsid w:val="004E10AB"/>
    <w:rsid w:val="004E241B"/>
    <w:rsid w:val="004E2539"/>
    <w:rsid w:val="004E2AF4"/>
    <w:rsid w:val="004E30BA"/>
    <w:rsid w:val="004E33D3"/>
    <w:rsid w:val="004E365C"/>
    <w:rsid w:val="004E3E95"/>
    <w:rsid w:val="004E465E"/>
    <w:rsid w:val="004E4856"/>
    <w:rsid w:val="004E4BD2"/>
    <w:rsid w:val="004E54CD"/>
    <w:rsid w:val="004E59E0"/>
    <w:rsid w:val="004E6FB9"/>
    <w:rsid w:val="004E7815"/>
    <w:rsid w:val="004E7A14"/>
    <w:rsid w:val="004E7E59"/>
    <w:rsid w:val="004F0037"/>
    <w:rsid w:val="004F02C7"/>
    <w:rsid w:val="004F2414"/>
    <w:rsid w:val="004F26A5"/>
    <w:rsid w:val="004F2ED5"/>
    <w:rsid w:val="004F3F92"/>
    <w:rsid w:val="004F4D56"/>
    <w:rsid w:val="004F4E36"/>
    <w:rsid w:val="004F50A6"/>
    <w:rsid w:val="004F70B7"/>
    <w:rsid w:val="004F74A9"/>
    <w:rsid w:val="004F7A1D"/>
    <w:rsid w:val="004F7B50"/>
    <w:rsid w:val="005009F5"/>
    <w:rsid w:val="0050121E"/>
    <w:rsid w:val="00502C75"/>
    <w:rsid w:val="00502D13"/>
    <w:rsid w:val="00503097"/>
    <w:rsid w:val="0050383D"/>
    <w:rsid w:val="00503E20"/>
    <w:rsid w:val="00504D9C"/>
    <w:rsid w:val="005056B2"/>
    <w:rsid w:val="00506028"/>
    <w:rsid w:val="00506D93"/>
    <w:rsid w:val="0050720B"/>
    <w:rsid w:val="00507926"/>
    <w:rsid w:val="00507A10"/>
    <w:rsid w:val="00507C48"/>
    <w:rsid w:val="00507DC1"/>
    <w:rsid w:val="00510347"/>
    <w:rsid w:val="00510707"/>
    <w:rsid w:val="00510806"/>
    <w:rsid w:val="00510FB2"/>
    <w:rsid w:val="00510FBA"/>
    <w:rsid w:val="005114B6"/>
    <w:rsid w:val="00512A21"/>
    <w:rsid w:val="00513426"/>
    <w:rsid w:val="00513729"/>
    <w:rsid w:val="00513E83"/>
    <w:rsid w:val="00515876"/>
    <w:rsid w:val="005167FD"/>
    <w:rsid w:val="0051794B"/>
    <w:rsid w:val="0052111A"/>
    <w:rsid w:val="0052138E"/>
    <w:rsid w:val="0052158E"/>
    <w:rsid w:val="00521C87"/>
    <w:rsid w:val="00521DA1"/>
    <w:rsid w:val="00521E44"/>
    <w:rsid w:val="00521FDC"/>
    <w:rsid w:val="005223AC"/>
    <w:rsid w:val="00523D18"/>
    <w:rsid w:val="0052418C"/>
    <w:rsid w:val="00524E50"/>
    <w:rsid w:val="00524E67"/>
    <w:rsid w:val="00525F24"/>
    <w:rsid w:val="00527432"/>
    <w:rsid w:val="00527852"/>
    <w:rsid w:val="00527F4E"/>
    <w:rsid w:val="00530EF4"/>
    <w:rsid w:val="00532503"/>
    <w:rsid w:val="00532DD3"/>
    <w:rsid w:val="005346AE"/>
    <w:rsid w:val="0053471B"/>
    <w:rsid w:val="00534751"/>
    <w:rsid w:val="00535375"/>
    <w:rsid w:val="0053567D"/>
    <w:rsid w:val="00536025"/>
    <w:rsid w:val="00536709"/>
    <w:rsid w:val="00536A6E"/>
    <w:rsid w:val="00536B9A"/>
    <w:rsid w:val="005377CE"/>
    <w:rsid w:val="0053791C"/>
    <w:rsid w:val="0053792B"/>
    <w:rsid w:val="00537C54"/>
    <w:rsid w:val="00540350"/>
    <w:rsid w:val="00540CBF"/>
    <w:rsid w:val="00541530"/>
    <w:rsid w:val="0054188C"/>
    <w:rsid w:val="00541B62"/>
    <w:rsid w:val="00541D39"/>
    <w:rsid w:val="00542D61"/>
    <w:rsid w:val="00543137"/>
    <w:rsid w:val="005447D7"/>
    <w:rsid w:val="00545264"/>
    <w:rsid w:val="005461D4"/>
    <w:rsid w:val="00546A33"/>
    <w:rsid w:val="0054774B"/>
    <w:rsid w:val="0054780E"/>
    <w:rsid w:val="00550330"/>
    <w:rsid w:val="00551146"/>
    <w:rsid w:val="005512F7"/>
    <w:rsid w:val="00551A3B"/>
    <w:rsid w:val="00552310"/>
    <w:rsid w:val="00552CE3"/>
    <w:rsid w:val="0055319C"/>
    <w:rsid w:val="0055323F"/>
    <w:rsid w:val="00553B03"/>
    <w:rsid w:val="005548CD"/>
    <w:rsid w:val="00556649"/>
    <w:rsid w:val="00556C49"/>
    <w:rsid w:val="00556D85"/>
    <w:rsid w:val="00557675"/>
    <w:rsid w:val="005577F3"/>
    <w:rsid w:val="00557CBC"/>
    <w:rsid w:val="005601C3"/>
    <w:rsid w:val="005604EC"/>
    <w:rsid w:val="00560897"/>
    <w:rsid w:val="0056137B"/>
    <w:rsid w:val="00561949"/>
    <w:rsid w:val="00561FE6"/>
    <w:rsid w:val="00562757"/>
    <w:rsid w:val="00563298"/>
    <w:rsid w:val="00563425"/>
    <w:rsid w:val="005634D5"/>
    <w:rsid w:val="00563AAB"/>
    <w:rsid w:val="00563CC6"/>
    <w:rsid w:val="00563D31"/>
    <w:rsid w:val="00564127"/>
    <w:rsid w:val="00564DD6"/>
    <w:rsid w:val="00564E56"/>
    <w:rsid w:val="005650CA"/>
    <w:rsid w:val="005652D4"/>
    <w:rsid w:val="00565459"/>
    <w:rsid w:val="0056606A"/>
    <w:rsid w:val="00566156"/>
    <w:rsid w:val="0056616D"/>
    <w:rsid w:val="00566828"/>
    <w:rsid w:val="00566A0B"/>
    <w:rsid w:val="00566A51"/>
    <w:rsid w:val="00566D29"/>
    <w:rsid w:val="00566D53"/>
    <w:rsid w:val="00566D5A"/>
    <w:rsid w:val="00566E21"/>
    <w:rsid w:val="00567F04"/>
    <w:rsid w:val="00567F4F"/>
    <w:rsid w:val="005703FE"/>
    <w:rsid w:val="005706F1"/>
    <w:rsid w:val="00570A7F"/>
    <w:rsid w:val="00571047"/>
    <w:rsid w:val="00571280"/>
    <w:rsid w:val="005716F6"/>
    <w:rsid w:val="00571820"/>
    <w:rsid w:val="00572012"/>
    <w:rsid w:val="00572502"/>
    <w:rsid w:val="00573F5B"/>
    <w:rsid w:val="005757A6"/>
    <w:rsid w:val="00575BD3"/>
    <w:rsid w:val="005766DD"/>
    <w:rsid w:val="00577E0D"/>
    <w:rsid w:val="005806DE"/>
    <w:rsid w:val="00580BAE"/>
    <w:rsid w:val="00580D4B"/>
    <w:rsid w:val="00580D9E"/>
    <w:rsid w:val="00580EDB"/>
    <w:rsid w:val="00581080"/>
    <w:rsid w:val="0058210F"/>
    <w:rsid w:val="00582476"/>
    <w:rsid w:val="005824D5"/>
    <w:rsid w:val="005827D1"/>
    <w:rsid w:val="00582941"/>
    <w:rsid w:val="00582D84"/>
    <w:rsid w:val="00583001"/>
    <w:rsid w:val="00583216"/>
    <w:rsid w:val="0058342D"/>
    <w:rsid w:val="0058367B"/>
    <w:rsid w:val="005848B5"/>
    <w:rsid w:val="005849AB"/>
    <w:rsid w:val="00584A27"/>
    <w:rsid w:val="00584CE9"/>
    <w:rsid w:val="00584E57"/>
    <w:rsid w:val="00584EDC"/>
    <w:rsid w:val="005850CE"/>
    <w:rsid w:val="005859C5"/>
    <w:rsid w:val="0058692A"/>
    <w:rsid w:val="0058744E"/>
    <w:rsid w:val="005903AA"/>
    <w:rsid w:val="00590996"/>
    <w:rsid w:val="0059153A"/>
    <w:rsid w:val="0059163A"/>
    <w:rsid w:val="005917A0"/>
    <w:rsid w:val="00591984"/>
    <w:rsid w:val="0059242C"/>
    <w:rsid w:val="00592E13"/>
    <w:rsid w:val="00592FC6"/>
    <w:rsid w:val="00593014"/>
    <w:rsid w:val="005937E1"/>
    <w:rsid w:val="00593DAB"/>
    <w:rsid w:val="005945C5"/>
    <w:rsid w:val="00596096"/>
    <w:rsid w:val="005962F3"/>
    <w:rsid w:val="00596862"/>
    <w:rsid w:val="005A01D2"/>
    <w:rsid w:val="005A07CD"/>
    <w:rsid w:val="005A13C8"/>
    <w:rsid w:val="005A1745"/>
    <w:rsid w:val="005A17CE"/>
    <w:rsid w:val="005A1FF8"/>
    <w:rsid w:val="005A32CE"/>
    <w:rsid w:val="005A33E6"/>
    <w:rsid w:val="005A3BCB"/>
    <w:rsid w:val="005A45FF"/>
    <w:rsid w:val="005A4C7A"/>
    <w:rsid w:val="005A5364"/>
    <w:rsid w:val="005A614A"/>
    <w:rsid w:val="005A63F6"/>
    <w:rsid w:val="005A645A"/>
    <w:rsid w:val="005A6EA5"/>
    <w:rsid w:val="005A71D6"/>
    <w:rsid w:val="005A7CC8"/>
    <w:rsid w:val="005A7FF6"/>
    <w:rsid w:val="005B05AA"/>
    <w:rsid w:val="005B06F9"/>
    <w:rsid w:val="005B0FC5"/>
    <w:rsid w:val="005B1101"/>
    <w:rsid w:val="005B1122"/>
    <w:rsid w:val="005B1F2F"/>
    <w:rsid w:val="005B2520"/>
    <w:rsid w:val="005B3450"/>
    <w:rsid w:val="005B3571"/>
    <w:rsid w:val="005B3988"/>
    <w:rsid w:val="005B726B"/>
    <w:rsid w:val="005B7596"/>
    <w:rsid w:val="005C0FD9"/>
    <w:rsid w:val="005C1427"/>
    <w:rsid w:val="005C16EF"/>
    <w:rsid w:val="005C1824"/>
    <w:rsid w:val="005C1F6B"/>
    <w:rsid w:val="005C205D"/>
    <w:rsid w:val="005C2225"/>
    <w:rsid w:val="005C23E7"/>
    <w:rsid w:val="005C3311"/>
    <w:rsid w:val="005C392E"/>
    <w:rsid w:val="005C3FF7"/>
    <w:rsid w:val="005C584D"/>
    <w:rsid w:val="005C5EC5"/>
    <w:rsid w:val="005C6482"/>
    <w:rsid w:val="005C7482"/>
    <w:rsid w:val="005C7822"/>
    <w:rsid w:val="005C7C8F"/>
    <w:rsid w:val="005D09D2"/>
    <w:rsid w:val="005D0EB9"/>
    <w:rsid w:val="005D1022"/>
    <w:rsid w:val="005D12D7"/>
    <w:rsid w:val="005D1ECD"/>
    <w:rsid w:val="005D218D"/>
    <w:rsid w:val="005D2415"/>
    <w:rsid w:val="005D28A3"/>
    <w:rsid w:val="005D2C60"/>
    <w:rsid w:val="005D33F8"/>
    <w:rsid w:val="005D3523"/>
    <w:rsid w:val="005D3B1A"/>
    <w:rsid w:val="005D3D03"/>
    <w:rsid w:val="005D3D5C"/>
    <w:rsid w:val="005D455A"/>
    <w:rsid w:val="005D4922"/>
    <w:rsid w:val="005D4A5B"/>
    <w:rsid w:val="005D55C1"/>
    <w:rsid w:val="005D5620"/>
    <w:rsid w:val="005D6204"/>
    <w:rsid w:val="005D63D1"/>
    <w:rsid w:val="005D6D94"/>
    <w:rsid w:val="005D720B"/>
    <w:rsid w:val="005D79EE"/>
    <w:rsid w:val="005D7B1D"/>
    <w:rsid w:val="005D7EC3"/>
    <w:rsid w:val="005E0121"/>
    <w:rsid w:val="005E0306"/>
    <w:rsid w:val="005E0312"/>
    <w:rsid w:val="005E187B"/>
    <w:rsid w:val="005E1D1B"/>
    <w:rsid w:val="005E1D38"/>
    <w:rsid w:val="005E24F8"/>
    <w:rsid w:val="005E28A2"/>
    <w:rsid w:val="005E2E56"/>
    <w:rsid w:val="005E303B"/>
    <w:rsid w:val="005E32E9"/>
    <w:rsid w:val="005E36E2"/>
    <w:rsid w:val="005E3823"/>
    <w:rsid w:val="005E3E7C"/>
    <w:rsid w:val="005E427B"/>
    <w:rsid w:val="005E4B60"/>
    <w:rsid w:val="005E4FC6"/>
    <w:rsid w:val="005E5437"/>
    <w:rsid w:val="005E56C8"/>
    <w:rsid w:val="005E5E5B"/>
    <w:rsid w:val="005E600B"/>
    <w:rsid w:val="005E617B"/>
    <w:rsid w:val="005E6937"/>
    <w:rsid w:val="005E704C"/>
    <w:rsid w:val="005E71E2"/>
    <w:rsid w:val="005E73BF"/>
    <w:rsid w:val="005E7B6C"/>
    <w:rsid w:val="005E7E79"/>
    <w:rsid w:val="005E7E9B"/>
    <w:rsid w:val="005F074A"/>
    <w:rsid w:val="005F09E1"/>
    <w:rsid w:val="005F1961"/>
    <w:rsid w:val="005F23D0"/>
    <w:rsid w:val="005F36EE"/>
    <w:rsid w:val="005F3901"/>
    <w:rsid w:val="005F3DD6"/>
    <w:rsid w:val="005F3E1D"/>
    <w:rsid w:val="005F417D"/>
    <w:rsid w:val="005F42E6"/>
    <w:rsid w:val="005F4EF2"/>
    <w:rsid w:val="005F4F96"/>
    <w:rsid w:val="005F5693"/>
    <w:rsid w:val="005F6355"/>
    <w:rsid w:val="005F669E"/>
    <w:rsid w:val="005F6C7C"/>
    <w:rsid w:val="005F7CF7"/>
    <w:rsid w:val="00600837"/>
    <w:rsid w:val="00600CC7"/>
    <w:rsid w:val="00602801"/>
    <w:rsid w:val="00602AB9"/>
    <w:rsid w:val="00602CF3"/>
    <w:rsid w:val="00603342"/>
    <w:rsid w:val="006035CD"/>
    <w:rsid w:val="006037D3"/>
    <w:rsid w:val="006045C3"/>
    <w:rsid w:val="00604F4F"/>
    <w:rsid w:val="00604F9B"/>
    <w:rsid w:val="00605A42"/>
    <w:rsid w:val="006063E6"/>
    <w:rsid w:val="0060669E"/>
    <w:rsid w:val="006067FC"/>
    <w:rsid w:val="006074C8"/>
    <w:rsid w:val="006075D8"/>
    <w:rsid w:val="006078F9"/>
    <w:rsid w:val="00607CE4"/>
    <w:rsid w:val="0061014A"/>
    <w:rsid w:val="006103F8"/>
    <w:rsid w:val="006108F6"/>
    <w:rsid w:val="0061116A"/>
    <w:rsid w:val="00612DDA"/>
    <w:rsid w:val="00612E31"/>
    <w:rsid w:val="00612E60"/>
    <w:rsid w:val="00612F6B"/>
    <w:rsid w:val="00613875"/>
    <w:rsid w:val="00613955"/>
    <w:rsid w:val="0061489D"/>
    <w:rsid w:val="00615446"/>
    <w:rsid w:val="00615DD1"/>
    <w:rsid w:val="00616291"/>
    <w:rsid w:val="0061724C"/>
    <w:rsid w:val="006222E2"/>
    <w:rsid w:val="00622703"/>
    <w:rsid w:val="006229DA"/>
    <w:rsid w:val="006237CD"/>
    <w:rsid w:val="00623C7F"/>
    <w:rsid w:val="006244D3"/>
    <w:rsid w:val="00624B77"/>
    <w:rsid w:val="00624E4E"/>
    <w:rsid w:val="00625088"/>
    <w:rsid w:val="00625263"/>
    <w:rsid w:val="00626288"/>
    <w:rsid w:val="00626CDB"/>
    <w:rsid w:val="00626E7E"/>
    <w:rsid w:val="00627958"/>
    <w:rsid w:val="0063050C"/>
    <w:rsid w:val="006307A2"/>
    <w:rsid w:val="00630854"/>
    <w:rsid w:val="00630A8B"/>
    <w:rsid w:val="00630B0E"/>
    <w:rsid w:val="00630E41"/>
    <w:rsid w:val="00631206"/>
    <w:rsid w:val="00631FBF"/>
    <w:rsid w:val="00632160"/>
    <w:rsid w:val="00632A41"/>
    <w:rsid w:val="0063398D"/>
    <w:rsid w:val="0063404E"/>
    <w:rsid w:val="00634563"/>
    <w:rsid w:val="00634DBF"/>
    <w:rsid w:val="00635AAB"/>
    <w:rsid w:val="00636628"/>
    <w:rsid w:val="00636733"/>
    <w:rsid w:val="006370C2"/>
    <w:rsid w:val="006408FE"/>
    <w:rsid w:val="00640915"/>
    <w:rsid w:val="00640D6A"/>
    <w:rsid w:val="00641B5A"/>
    <w:rsid w:val="00641DDF"/>
    <w:rsid w:val="00642AA0"/>
    <w:rsid w:val="00642D28"/>
    <w:rsid w:val="0064328C"/>
    <w:rsid w:val="00643845"/>
    <w:rsid w:val="00644004"/>
    <w:rsid w:val="00644CBB"/>
    <w:rsid w:val="00644D61"/>
    <w:rsid w:val="006450A4"/>
    <w:rsid w:val="00646319"/>
    <w:rsid w:val="00646ED3"/>
    <w:rsid w:val="00647BC5"/>
    <w:rsid w:val="00647F51"/>
    <w:rsid w:val="00650178"/>
    <w:rsid w:val="00651C91"/>
    <w:rsid w:val="00651D35"/>
    <w:rsid w:val="00651D88"/>
    <w:rsid w:val="00652D5F"/>
    <w:rsid w:val="00653144"/>
    <w:rsid w:val="00653470"/>
    <w:rsid w:val="006535AC"/>
    <w:rsid w:val="00653685"/>
    <w:rsid w:val="00653DF4"/>
    <w:rsid w:val="00654146"/>
    <w:rsid w:val="00654753"/>
    <w:rsid w:val="006548E6"/>
    <w:rsid w:val="00655D3A"/>
    <w:rsid w:val="00655DC9"/>
    <w:rsid w:val="00655E4B"/>
    <w:rsid w:val="00655E6A"/>
    <w:rsid w:val="00656528"/>
    <w:rsid w:val="00656E4B"/>
    <w:rsid w:val="00656FB9"/>
    <w:rsid w:val="00660BFA"/>
    <w:rsid w:val="0066180B"/>
    <w:rsid w:val="00661849"/>
    <w:rsid w:val="00661A44"/>
    <w:rsid w:val="00662275"/>
    <w:rsid w:val="00662316"/>
    <w:rsid w:val="006630FD"/>
    <w:rsid w:val="00663692"/>
    <w:rsid w:val="006639AC"/>
    <w:rsid w:val="00663A71"/>
    <w:rsid w:val="00663B5D"/>
    <w:rsid w:val="006640D5"/>
    <w:rsid w:val="00664609"/>
    <w:rsid w:val="006647D1"/>
    <w:rsid w:val="00664C1D"/>
    <w:rsid w:val="00664EA0"/>
    <w:rsid w:val="00664F29"/>
    <w:rsid w:val="00665443"/>
    <w:rsid w:val="006654B2"/>
    <w:rsid w:val="006659E4"/>
    <w:rsid w:val="00665DC2"/>
    <w:rsid w:val="00666AD1"/>
    <w:rsid w:val="00666F84"/>
    <w:rsid w:val="00667190"/>
    <w:rsid w:val="0066721F"/>
    <w:rsid w:val="0066726E"/>
    <w:rsid w:val="006676FD"/>
    <w:rsid w:val="00667E24"/>
    <w:rsid w:val="00670405"/>
    <w:rsid w:val="0067048D"/>
    <w:rsid w:val="006707E2"/>
    <w:rsid w:val="00670F2A"/>
    <w:rsid w:val="00670F4B"/>
    <w:rsid w:val="0067125E"/>
    <w:rsid w:val="00671DD1"/>
    <w:rsid w:val="006723EB"/>
    <w:rsid w:val="006724A5"/>
    <w:rsid w:val="006749AC"/>
    <w:rsid w:val="00676166"/>
    <w:rsid w:val="0067648C"/>
    <w:rsid w:val="00676807"/>
    <w:rsid w:val="00676D8B"/>
    <w:rsid w:val="00676E1E"/>
    <w:rsid w:val="00677FBB"/>
    <w:rsid w:val="00680431"/>
    <w:rsid w:val="00680D20"/>
    <w:rsid w:val="00681E1A"/>
    <w:rsid w:val="006828B8"/>
    <w:rsid w:val="00682D18"/>
    <w:rsid w:val="00682EE0"/>
    <w:rsid w:val="0068310E"/>
    <w:rsid w:val="006831A8"/>
    <w:rsid w:val="00683529"/>
    <w:rsid w:val="00683648"/>
    <w:rsid w:val="0068369C"/>
    <w:rsid w:val="00683940"/>
    <w:rsid w:val="00683BD2"/>
    <w:rsid w:val="00683D13"/>
    <w:rsid w:val="00684112"/>
    <w:rsid w:val="006841C0"/>
    <w:rsid w:val="006841F3"/>
    <w:rsid w:val="00684525"/>
    <w:rsid w:val="006849FE"/>
    <w:rsid w:val="00684EB5"/>
    <w:rsid w:val="0068506A"/>
    <w:rsid w:val="0068610E"/>
    <w:rsid w:val="0068614A"/>
    <w:rsid w:val="00686180"/>
    <w:rsid w:val="00686DC0"/>
    <w:rsid w:val="00686F93"/>
    <w:rsid w:val="006902E6"/>
    <w:rsid w:val="00690A1D"/>
    <w:rsid w:val="00690B6E"/>
    <w:rsid w:val="00690B96"/>
    <w:rsid w:val="006912E2"/>
    <w:rsid w:val="0069156E"/>
    <w:rsid w:val="00691867"/>
    <w:rsid w:val="006919FB"/>
    <w:rsid w:val="00691BC5"/>
    <w:rsid w:val="00692DF4"/>
    <w:rsid w:val="00692E71"/>
    <w:rsid w:val="00693AA7"/>
    <w:rsid w:val="0069473A"/>
    <w:rsid w:val="00694D6A"/>
    <w:rsid w:val="00694DB6"/>
    <w:rsid w:val="00695327"/>
    <w:rsid w:val="0069592F"/>
    <w:rsid w:val="00695D7D"/>
    <w:rsid w:val="00695D7E"/>
    <w:rsid w:val="00695FBF"/>
    <w:rsid w:val="00697108"/>
    <w:rsid w:val="00697350"/>
    <w:rsid w:val="0069794B"/>
    <w:rsid w:val="00697BF2"/>
    <w:rsid w:val="006A07A6"/>
    <w:rsid w:val="006A0A6B"/>
    <w:rsid w:val="006A0BD3"/>
    <w:rsid w:val="006A10B5"/>
    <w:rsid w:val="006A1B27"/>
    <w:rsid w:val="006A1C4A"/>
    <w:rsid w:val="006A1F02"/>
    <w:rsid w:val="006A249D"/>
    <w:rsid w:val="006A2EE5"/>
    <w:rsid w:val="006A3041"/>
    <w:rsid w:val="006A36C0"/>
    <w:rsid w:val="006A3737"/>
    <w:rsid w:val="006A3EDE"/>
    <w:rsid w:val="006A4B0F"/>
    <w:rsid w:val="006A5025"/>
    <w:rsid w:val="006A56EA"/>
    <w:rsid w:val="006A6635"/>
    <w:rsid w:val="006A6D3E"/>
    <w:rsid w:val="006A6D85"/>
    <w:rsid w:val="006A76D1"/>
    <w:rsid w:val="006B0313"/>
    <w:rsid w:val="006B0574"/>
    <w:rsid w:val="006B1BC0"/>
    <w:rsid w:val="006B3777"/>
    <w:rsid w:val="006B3AE0"/>
    <w:rsid w:val="006B3B7D"/>
    <w:rsid w:val="006B3C20"/>
    <w:rsid w:val="006B452E"/>
    <w:rsid w:val="006B4A67"/>
    <w:rsid w:val="006B4C1E"/>
    <w:rsid w:val="006B6322"/>
    <w:rsid w:val="006B6D00"/>
    <w:rsid w:val="006C20A9"/>
    <w:rsid w:val="006C24CD"/>
    <w:rsid w:val="006C26A0"/>
    <w:rsid w:val="006C291E"/>
    <w:rsid w:val="006C3245"/>
    <w:rsid w:val="006C363C"/>
    <w:rsid w:val="006C3A24"/>
    <w:rsid w:val="006C3E91"/>
    <w:rsid w:val="006C3F71"/>
    <w:rsid w:val="006C4483"/>
    <w:rsid w:val="006C4508"/>
    <w:rsid w:val="006C458D"/>
    <w:rsid w:val="006C45E3"/>
    <w:rsid w:val="006C49F2"/>
    <w:rsid w:val="006C4A5B"/>
    <w:rsid w:val="006C4BBF"/>
    <w:rsid w:val="006C50DB"/>
    <w:rsid w:val="006C5D6E"/>
    <w:rsid w:val="006C620F"/>
    <w:rsid w:val="006C6782"/>
    <w:rsid w:val="006C6E1B"/>
    <w:rsid w:val="006C743B"/>
    <w:rsid w:val="006C792F"/>
    <w:rsid w:val="006C79F2"/>
    <w:rsid w:val="006C7D63"/>
    <w:rsid w:val="006D002A"/>
    <w:rsid w:val="006D02C7"/>
    <w:rsid w:val="006D05ED"/>
    <w:rsid w:val="006D0D74"/>
    <w:rsid w:val="006D1749"/>
    <w:rsid w:val="006D1FB1"/>
    <w:rsid w:val="006D29FE"/>
    <w:rsid w:val="006D31B2"/>
    <w:rsid w:val="006D3201"/>
    <w:rsid w:val="006D33B0"/>
    <w:rsid w:val="006D3F89"/>
    <w:rsid w:val="006D430B"/>
    <w:rsid w:val="006D4B6D"/>
    <w:rsid w:val="006D5776"/>
    <w:rsid w:val="006D6467"/>
    <w:rsid w:val="006D6587"/>
    <w:rsid w:val="006D662F"/>
    <w:rsid w:val="006D668E"/>
    <w:rsid w:val="006D7174"/>
    <w:rsid w:val="006D7278"/>
    <w:rsid w:val="006D7647"/>
    <w:rsid w:val="006D7694"/>
    <w:rsid w:val="006D7A58"/>
    <w:rsid w:val="006E023A"/>
    <w:rsid w:val="006E10E9"/>
    <w:rsid w:val="006E1501"/>
    <w:rsid w:val="006E1654"/>
    <w:rsid w:val="006E174D"/>
    <w:rsid w:val="006E254C"/>
    <w:rsid w:val="006E29FE"/>
    <w:rsid w:val="006E3B2A"/>
    <w:rsid w:val="006E3E3B"/>
    <w:rsid w:val="006E4751"/>
    <w:rsid w:val="006E5816"/>
    <w:rsid w:val="006E5CEF"/>
    <w:rsid w:val="006E5ECE"/>
    <w:rsid w:val="006E6012"/>
    <w:rsid w:val="006E622E"/>
    <w:rsid w:val="006E6306"/>
    <w:rsid w:val="006E6610"/>
    <w:rsid w:val="006E6CD3"/>
    <w:rsid w:val="006E707D"/>
    <w:rsid w:val="006E7671"/>
    <w:rsid w:val="006E790B"/>
    <w:rsid w:val="006E7DC7"/>
    <w:rsid w:val="006F0642"/>
    <w:rsid w:val="006F06EC"/>
    <w:rsid w:val="006F0F10"/>
    <w:rsid w:val="006F17DB"/>
    <w:rsid w:val="006F24FE"/>
    <w:rsid w:val="006F273A"/>
    <w:rsid w:val="006F2B93"/>
    <w:rsid w:val="006F2F8B"/>
    <w:rsid w:val="006F402E"/>
    <w:rsid w:val="006F41EC"/>
    <w:rsid w:val="006F48BA"/>
    <w:rsid w:val="006F6E67"/>
    <w:rsid w:val="006F752F"/>
    <w:rsid w:val="006F7CD5"/>
    <w:rsid w:val="006F7E56"/>
    <w:rsid w:val="0070007F"/>
    <w:rsid w:val="00700128"/>
    <w:rsid w:val="00700CE5"/>
    <w:rsid w:val="007010BB"/>
    <w:rsid w:val="00701BBC"/>
    <w:rsid w:val="00701CAA"/>
    <w:rsid w:val="00702146"/>
    <w:rsid w:val="00702319"/>
    <w:rsid w:val="0070234A"/>
    <w:rsid w:val="00702AFB"/>
    <w:rsid w:val="00703D6D"/>
    <w:rsid w:val="00704060"/>
    <w:rsid w:val="00704A8A"/>
    <w:rsid w:val="00705041"/>
    <w:rsid w:val="007050EB"/>
    <w:rsid w:val="00706001"/>
    <w:rsid w:val="007062F5"/>
    <w:rsid w:val="007064CA"/>
    <w:rsid w:val="00706858"/>
    <w:rsid w:val="00706FCA"/>
    <w:rsid w:val="007072DA"/>
    <w:rsid w:val="007077C1"/>
    <w:rsid w:val="00707A50"/>
    <w:rsid w:val="00707A63"/>
    <w:rsid w:val="00707F2F"/>
    <w:rsid w:val="007102A6"/>
    <w:rsid w:val="007108E8"/>
    <w:rsid w:val="00711A09"/>
    <w:rsid w:val="00711DBE"/>
    <w:rsid w:val="00711ED1"/>
    <w:rsid w:val="00712139"/>
    <w:rsid w:val="007122E2"/>
    <w:rsid w:val="007124DF"/>
    <w:rsid w:val="00713EB3"/>
    <w:rsid w:val="00714B36"/>
    <w:rsid w:val="00716385"/>
    <w:rsid w:val="00716507"/>
    <w:rsid w:val="00717066"/>
    <w:rsid w:val="007171E3"/>
    <w:rsid w:val="00717446"/>
    <w:rsid w:val="007178AB"/>
    <w:rsid w:val="00717AAB"/>
    <w:rsid w:val="00717D14"/>
    <w:rsid w:val="00720A5E"/>
    <w:rsid w:val="00721ADB"/>
    <w:rsid w:val="00722EE0"/>
    <w:rsid w:val="00723AF7"/>
    <w:rsid w:val="00725920"/>
    <w:rsid w:val="00725ABF"/>
    <w:rsid w:val="00725D30"/>
    <w:rsid w:val="0072605A"/>
    <w:rsid w:val="00727749"/>
    <w:rsid w:val="007278C7"/>
    <w:rsid w:val="00727BED"/>
    <w:rsid w:val="00730763"/>
    <w:rsid w:val="00730B8F"/>
    <w:rsid w:val="00730D3C"/>
    <w:rsid w:val="00731F62"/>
    <w:rsid w:val="007322BD"/>
    <w:rsid w:val="0073250A"/>
    <w:rsid w:val="00732559"/>
    <w:rsid w:val="00732817"/>
    <w:rsid w:val="0073290C"/>
    <w:rsid w:val="00733A5E"/>
    <w:rsid w:val="00734191"/>
    <w:rsid w:val="00734326"/>
    <w:rsid w:val="00734CCD"/>
    <w:rsid w:val="0073517C"/>
    <w:rsid w:val="007353D8"/>
    <w:rsid w:val="00735437"/>
    <w:rsid w:val="00735AC3"/>
    <w:rsid w:val="00735EF9"/>
    <w:rsid w:val="007361D3"/>
    <w:rsid w:val="00736457"/>
    <w:rsid w:val="00736936"/>
    <w:rsid w:val="00736C1F"/>
    <w:rsid w:val="007370A4"/>
    <w:rsid w:val="0073758B"/>
    <w:rsid w:val="00737CAE"/>
    <w:rsid w:val="007415D6"/>
    <w:rsid w:val="0074176E"/>
    <w:rsid w:val="0074180E"/>
    <w:rsid w:val="00742B75"/>
    <w:rsid w:val="00743249"/>
    <w:rsid w:val="00743325"/>
    <w:rsid w:val="007437E2"/>
    <w:rsid w:val="00744765"/>
    <w:rsid w:val="00744B29"/>
    <w:rsid w:val="007459DE"/>
    <w:rsid w:val="00746F48"/>
    <w:rsid w:val="0074705D"/>
    <w:rsid w:val="007476E3"/>
    <w:rsid w:val="00747788"/>
    <w:rsid w:val="00747A80"/>
    <w:rsid w:val="00747CEA"/>
    <w:rsid w:val="00747FEB"/>
    <w:rsid w:val="0075043F"/>
    <w:rsid w:val="00750471"/>
    <w:rsid w:val="00750BBF"/>
    <w:rsid w:val="00750C1C"/>
    <w:rsid w:val="00750DBD"/>
    <w:rsid w:val="00750E25"/>
    <w:rsid w:val="007519E1"/>
    <w:rsid w:val="00751EB2"/>
    <w:rsid w:val="0075207D"/>
    <w:rsid w:val="007520B0"/>
    <w:rsid w:val="007522C6"/>
    <w:rsid w:val="0075261F"/>
    <w:rsid w:val="0075291E"/>
    <w:rsid w:val="00752C96"/>
    <w:rsid w:val="0075322F"/>
    <w:rsid w:val="00753739"/>
    <w:rsid w:val="00754C23"/>
    <w:rsid w:val="00755273"/>
    <w:rsid w:val="007563FE"/>
    <w:rsid w:val="00756D43"/>
    <w:rsid w:val="00757CD5"/>
    <w:rsid w:val="00757EA0"/>
    <w:rsid w:val="00760525"/>
    <w:rsid w:val="00760D3A"/>
    <w:rsid w:val="007611BD"/>
    <w:rsid w:val="00761595"/>
    <w:rsid w:val="00761DEA"/>
    <w:rsid w:val="007622C4"/>
    <w:rsid w:val="007624AD"/>
    <w:rsid w:val="00762A09"/>
    <w:rsid w:val="00763619"/>
    <w:rsid w:val="00763B0E"/>
    <w:rsid w:val="00764270"/>
    <w:rsid w:val="00765FE9"/>
    <w:rsid w:val="007663D2"/>
    <w:rsid w:val="00766650"/>
    <w:rsid w:val="00766862"/>
    <w:rsid w:val="00766C8B"/>
    <w:rsid w:val="00767050"/>
    <w:rsid w:val="00767508"/>
    <w:rsid w:val="007676D5"/>
    <w:rsid w:val="00767901"/>
    <w:rsid w:val="00767CE6"/>
    <w:rsid w:val="007704B2"/>
    <w:rsid w:val="00770B2B"/>
    <w:rsid w:val="007711FC"/>
    <w:rsid w:val="007717D3"/>
    <w:rsid w:val="00771BA9"/>
    <w:rsid w:val="00771CFD"/>
    <w:rsid w:val="00771DA3"/>
    <w:rsid w:val="00772656"/>
    <w:rsid w:val="007730E1"/>
    <w:rsid w:val="00773F27"/>
    <w:rsid w:val="0077410A"/>
    <w:rsid w:val="00774EB5"/>
    <w:rsid w:val="0077547B"/>
    <w:rsid w:val="007759F2"/>
    <w:rsid w:val="00775B6B"/>
    <w:rsid w:val="00775D23"/>
    <w:rsid w:val="00776CA7"/>
    <w:rsid w:val="00777247"/>
    <w:rsid w:val="007774ED"/>
    <w:rsid w:val="00780104"/>
    <w:rsid w:val="007806B1"/>
    <w:rsid w:val="00780812"/>
    <w:rsid w:val="00780C79"/>
    <w:rsid w:val="0078112C"/>
    <w:rsid w:val="007818B4"/>
    <w:rsid w:val="00781A31"/>
    <w:rsid w:val="00781BB7"/>
    <w:rsid w:val="007823FC"/>
    <w:rsid w:val="00782629"/>
    <w:rsid w:val="00783535"/>
    <w:rsid w:val="0078542F"/>
    <w:rsid w:val="00785AEB"/>
    <w:rsid w:val="00785C8A"/>
    <w:rsid w:val="00785D6B"/>
    <w:rsid w:val="00786B8A"/>
    <w:rsid w:val="00786FFB"/>
    <w:rsid w:val="00787734"/>
    <w:rsid w:val="00787870"/>
    <w:rsid w:val="00790398"/>
    <w:rsid w:val="00790B92"/>
    <w:rsid w:val="00790C54"/>
    <w:rsid w:val="00790CC1"/>
    <w:rsid w:val="00790F71"/>
    <w:rsid w:val="007912FB"/>
    <w:rsid w:val="00791340"/>
    <w:rsid w:val="0079163B"/>
    <w:rsid w:val="0079260B"/>
    <w:rsid w:val="007926DE"/>
    <w:rsid w:val="00792830"/>
    <w:rsid w:val="00792CA4"/>
    <w:rsid w:val="00793782"/>
    <w:rsid w:val="0079414D"/>
    <w:rsid w:val="00794406"/>
    <w:rsid w:val="00794C03"/>
    <w:rsid w:val="00794CFE"/>
    <w:rsid w:val="007951C4"/>
    <w:rsid w:val="0079593A"/>
    <w:rsid w:val="007959FD"/>
    <w:rsid w:val="0079708F"/>
    <w:rsid w:val="00797663"/>
    <w:rsid w:val="00797FE3"/>
    <w:rsid w:val="007A114B"/>
    <w:rsid w:val="007A160E"/>
    <w:rsid w:val="007A16E7"/>
    <w:rsid w:val="007A232A"/>
    <w:rsid w:val="007A36AE"/>
    <w:rsid w:val="007A40F2"/>
    <w:rsid w:val="007A4859"/>
    <w:rsid w:val="007A5406"/>
    <w:rsid w:val="007A643E"/>
    <w:rsid w:val="007B08CE"/>
    <w:rsid w:val="007B0A7F"/>
    <w:rsid w:val="007B0F9D"/>
    <w:rsid w:val="007B1168"/>
    <w:rsid w:val="007B2602"/>
    <w:rsid w:val="007B4C5B"/>
    <w:rsid w:val="007B4CA4"/>
    <w:rsid w:val="007B5614"/>
    <w:rsid w:val="007B6ED3"/>
    <w:rsid w:val="007B6EEC"/>
    <w:rsid w:val="007B7145"/>
    <w:rsid w:val="007B71AD"/>
    <w:rsid w:val="007B71D1"/>
    <w:rsid w:val="007B758E"/>
    <w:rsid w:val="007B76C8"/>
    <w:rsid w:val="007C05F3"/>
    <w:rsid w:val="007C07BF"/>
    <w:rsid w:val="007C2F41"/>
    <w:rsid w:val="007C344C"/>
    <w:rsid w:val="007C3B0F"/>
    <w:rsid w:val="007C4842"/>
    <w:rsid w:val="007C48D4"/>
    <w:rsid w:val="007C4C3E"/>
    <w:rsid w:val="007C4C64"/>
    <w:rsid w:val="007C516A"/>
    <w:rsid w:val="007C59D7"/>
    <w:rsid w:val="007C59F7"/>
    <w:rsid w:val="007C615F"/>
    <w:rsid w:val="007C6F56"/>
    <w:rsid w:val="007D0A65"/>
    <w:rsid w:val="007D1956"/>
    <w:rsid w:val="007D1F2C"/>
    <w:rsid w:val="007D1F32"/>
    <w:rsid w:val="007D290E"/>
    <w:rsid w:val="007D2B99"/>
    <w:rsid w:val="007D2EF2"/>
    <w:rsid w:val="007D3626"/>
    <w:rsid w:val="007D3F39"/>
    <w:rsid w:val="007D47D7"/>
    <w:rsid w:val="007D5224"/>
    <w:rsid w:val="007D5550"/>
    <w:rsid w:val="007D5930"/>
    <w:rsid w:val="007D6263"/>
    <w:rsid w:val="007D73FB"/>
    <w:rsid w:val="007E04D0"/>
    <w:rsid w:val="007E13B4"/>
    <w:rsid w:val="007E22A9"/>
    <w:rsid w:val="007E34E2"/>
    <w:rsid w:val="007E37A1"/>
    <w:rsid w:val="007E4828"/>
    <w:rsid w:val="007E4AA1"/>
    <w:rsid w:val="007E5D95"/>
    <w:rsid w:val="007E63F1"/>
    <w:rsid w:val="007E6A42"/>
    <w:rsid w:val="007E6FD2"/>
    <w:rsid w:val="007E73AB"/>
    <w:rsid w:val="007E7831"/>
    <w:rsid w:val="007E7EFC"/>
    <w:rsid w:val="007F004D"/>
    <w:rsid w:val="007F02FD"/>
    <w:rsid w:val="007F0633"/>
    <w:rsid w:val="007F107B"/>
    <w:rsid w:val="007F12CC"/>
    <w:rsid w:val="007F1348"/>
    <w:rsid w:val="007F1794"/>
    <w:rsid w:val="007F1C41"/>
    <w:rsid w:val="007F2A2A"/>
    <w:rsid w:val="007F2A36"/>
    <w:rsid w:val="007F2B25"/>
    <w:rsid w:val="007F2B3D"/>
    <w:rsid w:val="007F3B19"/>
    <w:rsid w:val="007F409D"/>
    <w:rsid w:val="007F423B"/>
    <w:rsid w:val="007F45A1"/>
    <w:rsid w:val="007F5047"/>
    <w:rsid w:val="007F557F"/>
    <w:rsid w:val="007F5A86"/>
    <w:rsid w:val="007F6A2D"/>
    <w:rsid w:val="007F6B83"/>
    <w:rsid w:val="007F733E"/>
    <w:rsid w:val="007F765A"/>
    <w:rsid w:val="007F776D"/>
    <w:rsid w:val="007F7B5E"/>
    <w:rsid w:val="007F7EBC"/>
    <w:rsid w:val="00800007"/>
    <w:rsid w:val="0080033B"/>
    <w:rsid w:val="00801346"/>
    <w:rsid w:val="0080137F"/>
    <w:rsid w:val="00802229"/>
    <w:rsid w:val="00802983"/>
    <w:rsid w:val="00802DD7"/>
    <w:rsid w:val="008035D4"/>
    <w:rsid w:val="00803940"/>
    <w:rsid w:val="008050B5"/>
    <w:rsid w:val="00805272"/>
    <w:rsid w:val="0080593C"/>
    <w:rsid w:val="00805BE4"/>
    <w:rsid w:val="00805CF2"/>
    <w:rsid w:val="00806058"/>
    <w:rsid w:val="00806D55"/>
    <w:rsid w:val="008071C7"/>
    <w:rsid w:val="00807762"/>
    <w:rsid w:val="0081097D"/>
    <w:rsid w:val="00810D3C"/>
    <w:rsid w:val="008115E7"/>
    <w:rsid w:val="00812D10"/>
    <w:rsid w:val="00812D19"/>
    <w:rsid w:val="00812DAF"/>
    <w:rsid w:val="008133ED"/>
    <w:rsid w:val="008136EB"/>
    <w:rsid w:val="00813D78"/>
    <w:rsid w:val="00814594"/>
    <w:rsid w:val="00814C3B"/>
    <w:rsid w:val="008164F5"/>
    <w:rsid w:val="00816C1D"/>
    <w:rsid w:val="00817985"/>
    <w:rsid w:val="00820173"/>
    <w:rsid w:val="008202B4"/>
    <w:rsid w:val="008202BA"/>
    <w:rsid w:val="0082055F"/>
    <w:rsid w:val="00820CAE"/>
    <w:rsid w:val="0082100F"/>
    <w:rsid w:val="00822CFF"/>
    <w:rsid w:val="00822D0B"/>
    <w:rsid w:val="00825AA8"/>
    <w:rsid w:val="00825C7C"/>
    <w:rsid w:val="00825E22"/>
    <w:rsid w:val="00826FA6"/>
    <w:rsid w:val="008277C2"/>
    <w:rsid w:val="00830046"/>
    <w:rsid w:val="0083028E"/>
    <w:rsid w:val="00830646"/>
    <w:rsid w:val="00830678"/>
    <w:rsid w:val="0083118B"/>
    <w:rsid w:val="00831665"/>
    <w:rsid w:val="0083171C"/>
    <w:rsid w:val="0083215B"/>
    <w:rsid w:val="00832B80"/>
    <w:rsid w:val="00833296"/>
    <w:rsid w:val="008335E8"/>
    <w:rsid w:val="00833A7D"/>
    <w:rsid w:val="0083413D"/>
    <w:rsid w:val="00835577"/>
    <w:rsid w:val="00835616"/>
    <w:rsid w:val="0083598A"/>
    <w:rsid w:val="00835C8F"/>
    <w:rsid w:val="0083647F"/>
    <w:rsid w:val="0083711E"/>
    <w:rsid w:val="0083714D"/>
    <w:rsid w:val="008400C1"/>
    <w:rsid w:val="008406F0"/>
    <w:rsid w:val="0084092F"/>
    <w:rsid w:val="0084153F"/>
    <w:rsid w:val="00841566"/>
    <w:rsid w:val="00842789"/>
    <w:rsid w:val="008429C4"/>
    <w:rsid w:val="00842F80"/>
    <w:rsid w:val="0084320D"/>
    <w:rsid w:val="00843C7B"/>
    <w:rsid w:val="00843CED"/>
    <w:rsid w:val="008440B4"/>
    <w:rsid w:val="00844110"/>
    <w:rsid w:val="00844257"/>
    <w:rsid w:val="0084549E"/>
    <w:rsid w:val="00845FAE"/>
    <w:rsid w:val="0084614B"/>
    <w:rsid w:val="00847E7F"/>
    <w:rsid w:val="00850377"/>
    <w:rsid w:val="00850585"/>
    <w:rsid w:val="00850E38"/>
    <w:rsid w:val="00851B99"/>
    <w:rsid w:val="008521AE"/>
    <w:rsid w:val="00852F8A"/>
    <w:rsid w:val="00853229"/>
    <w:rsid w:val="00853A50"/>
    <w:rsid w:val="00853E4A"/>
    <w:rsid w:val="008540EA"/>
    <w:rsid w:val="008553DF"/>
    <w:rsid w:val="008556B3"/>
    <w:rsid w:val="00855BCA"/>
    <w:rsid w:val="008562D3"/>
    <w:rsid w:val="0085720D"/>
    <w:rsid w:val="008574C6"/>
    <w:rsid w:val="00857DA5"/>
    <w:rsid w:val="0086021A"/>
    <w:rsid w:val="00860D9C"/>
    <w:rsid w:val="0086102F"/>
    <w:rsid w:val="008616AB"/>
    <w:rsid w:val="00861E8B"/>
    <w:rsid w:val="0086249B"/>
    <w:rsid w:val="00862FC0"/>
    <w:rsid w:val="0086312C"/>
    <w:rsid w:val="00863CE4"/>
    <w:rsid w:val="0086557F"/>
    <w:rsid w:val="00865D3C"/>
    <w:rsid w:val="008668E5"/>
    <w:rsid w:val="00866DE8"/>
    <w:rsid w:val="00866E27"/>
    <w:rsid w:val="0086704F"/>
    <w:rsid w:val="00867367"/>
    <w:rsid w:val="00867829"/>
    <w:rsid w:val="0087033A"/>
    <w:rsid w:val="00870E8E"/>
    <w:rsid w:val="008716A1"/>
    <w:rsid w:val="008717A2"/>
    <w:rsid w:val="00871E71"/>
    <w:rsid w:val="00871EB4"/>
    <w:rsid w:val="00871F56"/>
    <w:rsid w:val="00871FEF"/>
    <w:rsid w:val="00872981"/>
    <w:rsid w:val="00873A95"/>
    <w:rsid w:val="008748F3"/>
    <w:rsid w:val="00874EE9"/>
    <w:rsid w:val="008757A6"/>
    <w:rsid w:val="00875C1C"/>
    <w:rsid w:val="00875EB5"/>
    <w:rsid w:val="008763EE"/>
    <w:rsid w:val="00876B14"/>
    <w:rsid w:val="008773D9"/>
    <w:rsid w:val="008779C0"/>
    <w:rsid w:val="00877A71"/>
    <w:rsid w:val="00877D6C"/>
    <w:rsid w:val="00880581"/>
    <w:rsid w:val="008806EA"/>
    <w:rsid w:val="00880F87"/>
    <w:rsid w:val="0088185C"/>
    <w:rsid w:val="00882A66"/>
    <w:rsid w:val="00883524"/>
    <w:rsid w:val="00883D74"/>
    <w:rsid w:val="00884088"/>
    <w:rsid w:val="008841B2"/>
    <w:rsid w:val="008850C3"/>
    <w:rsid w:val="0088540C"/>
    <w:rsid w:val="00885D5D"/>
    <w:rsid w:val="008864EB"/>
    <w:rsid w:val="0088668E"/>
    <w:rsid w:val="0088742E"/>
    <w:rsid w:val="00890318"/>
    <w:rsid w:val="00890E61"/>
    <w:rsid w:val="0089108F"/>
    <w:rsid w:val="00891838"/>
    <w:rsid w:val="00891A8C"/>
    <w:rsid w:val="008922E9"/>
    <w:rsid w:val="00892F1C"/>
    <w:rsid w:val="008931EC"/>
    <w:rsid w:val="00893D01"/>
    <w:rsid w:val="00893FFD"/>
    <w:rsid w:val="0089492B"/>
    <w:rsid w:val="00894C6F"/>
    <w:rsid w:val="00894E80"/>
    <w:rsid w:val="00895488"/>
    <w:rsid w:val="0089558C"/>
    <w:rsid w:val="00895AE8"/>
    <w:rsid w:val="00895B1A"/>
    <w:rsid w:val="00896A23"/>
    <w:rsid w:val="00897320"/>
    <w:rsid w:val="0089794A"/>
    <w:rsid w:val="00897FED"/>
    <w:rsid w:val="008A1A9F"/>
    <w:rsid w:val="008A1AAD"/>
    <w:rsid w:val="008A1AD8"/>
    <w:rsid w:val="008A1D41"/>
    <w:rsid w:val="008A1D88"/>
    <w:rsid w:val="008A2148"/>
    <w:rsid w:val="008A235E"/>
    <w:rsid w:val="008A292E"/>
    <w:rsid w:val="008A2BF1"/>
    <w:rsid w:val="008A2D67"/>
    <w:rsid w:val="008A3114"/>
    <w:rsid w:val="008A31CE"/>
    <w:rsid w:val="008A3776"/>
    <w:rsid w:val="008A3FBC"/>
    <w:rsid w:val="008A4744"/>
    <w:rsid w:val="008A4B55"/>
    <w:rsid w:val="008A4CA1"/>
    <w:rsid w:val="008A5DB9"/>
    <w:rsid w:val="008A63B6"/>
    <w:rsid w:val="008A649A"/>
    <w:rsid w:val="008A67CB"/>
    <w:rsid w:val="008A7017"/>
    <w:rsid w:val="008A7117"/>
    <w:rsid w:val="008A7FB5"/>
    <w:rsid w:val="008B150B"/>
    <w:rsid w:val="008B2910"/>
    <w:rsid w:val="008B2CF3"/>
    <w:rsid w:val="008B2DEA"/>
    <w:rsid w:val="008B2FB3"/>
    <w:rsid w:val="008B300D"/>
    <w:rsid w:val="008B30D5"/>
    <w:rsid w:val="008B38B2"/>
    <w:rsid w:val="008B43F5"/>
    <w:rsid w:val="008B44A7"/>
    <w:rsid w:val="008B4904"/>
    <w:rsid w:val="008B51F9"/>
    <w:rsid w:val="008B574B"/>
    <w:rsid w:val="008B5EAC"/>
    <w:rsid w:val="008B6BD1"/>
    <w:rsid w:val="008B72BB"/>
    <w:rsid w:val="008C0667"/>
    <w:rsid w:val="008C0F2D"/>
    <w:rsid w:val="008C1345"/>
    <w:rsid w:val="008C1C58"/>
    <w:rsid w:val="008C2529"/>
    <w:rsid w:val="008C2AB8"/>
    <w:rsid w:val="008C2C87"/>
    <w:rsid w:val="008C2CD7"/>
    <w:rsid w:val="008C2D99"/>
    <w:rsid w:val="008C355F"/>
    <w:rsid w:val="008C374F"/>
    <w:rsid w:val="008C37A6"/>
    <w:rsid w:val="008C3A64"/>
    <w:rsid w:val="008C4728"/>
    <w:rsid w:val="008C4899"/>
    <w:rsid w:val="008C4ECE"/>
    <w:rsid w:val="008C5ABC"/>
    <w:rsid w:val="008C6FAA"/>
    <w:rsid w:val="008C6FEF"/>
    <w:rsid w:val="008C70DE"/>
    <w:rsid w:val="008C7941"/>
    <w:rsid w:val="008C7AD1"/>
    <w:rsid w:val="008C7F61"/>
    <w:rsid w:val="008D005B"/>
    <w:rsid w:val="008D1178"/>
    <w:rsid w:val="008D1CA6"/>
    <w:rsid w:val="008D2047"/>
    <w:rsid w:val="008D3066"/>
    <w:rsid w:val="008D3651"/>
    <w:rsid w:val="008D36ED"/>
    <w:rsid w:val="008D3AB6"/>
    <w:rsid w:val="008D41BD"/>
    <w:rsid w:val="008D4D4D"/>
    <w:rsid w:val="008D50EB"/>
    <w:rsid w:val="008D59D6"/>
    <w:rsid w:val="008D5F6D"/>
    <w:rsid w:val="008D6617"/>
    <w:rsid w:val="008D6841"/>
    <w:rsid w:val="008D6C4F"/>
    <w:rsid w:val="008D7AB9"/>
    <w:rsid w:val="008E04D6"/>
    <w:rsid w:val="008E0638"/>
    <w:rsid w:val="008E0868"/>
    <w:rsid w:val="008E08A0"/>
    <w:rsid w:val="008E1ABF"/>
    <w:rsid w:val="008E2D49"/>
    <w:rsid w:val="008E2E21"/>
    <w:rsid w:val="008E2E69"/>
    <w:rsid w:val="008E3033"/>
    <w:rsid w:val="008E379D"/>
    <w:rsid w:val="008E3C56"/>
    <w:rsid w:val="008E42F5"/>
    <w:rsid w:val="008E4D9A"/>
    <w:rsid w:val="008E4F15"/>
    <w:rsid w:val="008E5432"/>
    <w:rsid w:val="008E5642"/>
    <w:rsid w:val="008E5B40"/>
    <w:rsid w:val="008E5C65"/>
    <w:rsid w:val="008E77C7"/>
    <w:rsid w:val="008F008A"/>
    <w:rsid w:val="008F0811"/>
    <w:rsid w:val="008F0FCD"/>
    <w:rsid w:val="008F14C1"/>
    <w:rsid w:val="008F1E3D"/>
    <w:rsid w:val="008F1EBB"/>
    <w:rsid w:val="008F2085"/>
    <w:rsid w:val="008F209D"/>
    <w:rsid w:val="008F25E7"/>
    <w:rsid w:val="008F266A"/>
    <w:rsid w:val="008F26E3"/>
    <w:rsid w:val="008F2C37"/>
    <w:rsid w:val="008F338B"/>
    <w:rsid w:val="008F3D97"/>
    <w:rsid w:val="008F4676"/>
    <w:rsid w:val="008F4696"/>
    <w:rsid w:val="008F50F1"/>
    <w:rsid w:val="008F592B"/>
    <w:rsid w:val="008F718A"/>
    <w:rsid w:val="008F73ED"/>
    <w:rsid w:val="008F7946"/>
    <w:rsid w:val="008F7F5A"/>
    <w:rsid w:val="009003F0"/>
    <w:rsid w:val="0090040C"/>
    <w:rsid w:val="00900ACD"/>
    <w:rsid w:val="00900EA7"/>
    <w:rsid w:val="009010CA"/>
    <w:rsid w:val="009015A8"/>
    <w:rsid w:val="00901E50"/>
    <w:rsid w:val="0090263B"/>
    <w:rsid w:val="00903912"/>
    <w:rsid w:val="009044D1"/>
    <w:rsid w:val="00904F0E"/>
    <w:rsid w:val="00905105"/>
    <w:rsid w:val="009053FD"/>
    <w:rsid w:val="0090560E"/>
    <w:rsid w:val="00905905"/>
    <w:rsid w:val="00905C98"/>
    <w:rsid w:val="00906062"/>
    <w:rsid w:val="009060A3"/>
    <w:rsid w:val="00906151"/>
    <w:rsid w:val="0090656E"/>
    <w:rsid w:val="00906F93"/>
    <w:rsid w:val="009071E5"/>
    <w:rsid w:val="0090729C"/>
    <w:rsid w:val="00907545"/>
    <w:rsid w:val="0090777C"/>
    <w:rsid w:val="00907D6A"/>
    <w:rsid w:val="0091073E"/>
    <w:rsid w:val="00910F2B"/>
    <w:rsid w:val="00910FF2"/>
    <w:rsid w:val="00911322"/>
    <w:rsid w:val="00911C1B"/>
    <w:rsid w:val="00911EFC"/>
    <w:rsid w:val="00912173"/>
    <w:rsid w:val="00912540"/>
    <w:rsid w:val="0091372C"/>
    <w:rsid w:val="009137EB"/>
    <w:rsid w:val="009145C2"/>
    <w:rsid w:val="0091493D"/>
    <w:rsid w:val="009155A8"/>
    <w:rsid w:val="00915B2C"/>
    <w:rsid w:val="00915FEC"/>
    <w:rsid w:val="009162B7"/>
    <w:rsid w:val="009166ED"/>
    <w:rsid w:val="009168A9"/>
    <w:rsid w:val="009200E7"/>
    <w:rsid w:val="00921400"/>
    <w:rsid w:val="00921673"/>
    <w:rsid w:val="009216AA"/>
    <w:rsid w:val="00921988"/>
    <w:rsid w:val="00921B02"/>
    <w:rsid w:val="009230AD"/>
    <w:rsid w:val="00923FC9"/>
    <w:rsid w:val="00924794"/>
    <w:rsid w:val="00925E67"/>
    <w:rsid w:val="00926D28"/>
    <w:rsid w:val="009271BD"/>
    <w:rsid w:val="00927D47"/>
    <w:rsid w:val="00931425"/>
    <w:rsid w:val="009315A4"/>
    <w:rsid w:val="00931A9E"/>
    <w:rsid w:val="0093211F"/>
    <w:rsid w:val="009324B9"/>
    <w:rsid w:val="0093284A"/>
    <w:rsid w:val="0093309F"/>
    <w:rsid w:val="00933957"/>
    <w:rsid w:val="00933F31"/>
    <w:rsid w:val="009340E4"/>
    <w:rsid w:val="009342B9"/>
    <w:rsid w:val="009345C9"/>
    <w:rsid w:val="009347EF"/>
    <w:rsid w:val="00934CAB"/>
    <w:rsid w:val="00934D06"/>
    <w:rsid w:val="00935094"/>
    <w:rsid w:val="00935985"/>
    <w:rsid w:val="00935EA1"/>
    <w:rsid w:val="00936A14"/>
    <w:rsid w:val="009371B1"/>
    <w:rsid w:val="00937743"/>
    <w:rsid w:val="009378D0"/>
    <w:rsid w:val="00937CCA"/>
    <w:rsid w:val="009401E2"/>
    <w:rsid w:val="009408DC"/>
    <w:rsid w:val="00940F2D"/>
    <w:rsid w:val="0094126F"/>
    <w:rsid w:val="0094172B"/>
    <w:rsid w:val="00941D8B"/>
    <w:rsid w:val="00942E2D"/>
    <w:rsid w:val="0094334D"/>
    <w:rsid w:val="0094337A"/>
    <w:rsid w:val="00943452"/>
    <w:rsid w:val="009447A9"/>
    <w:rsid w:val="00945713"/>
    <w:rsid w:val="009477C3"/>
    <w:rsid w:val="00950288"/>
    <w:rsid w:val="00950752"/>
    <w:rsid w:val="00950A0E"/>
    <w:rsid w:val="00950D71"/>
    <w:rsid w:val="00951799"/>
    <w:rsid w:val="00951D6C"/>
    <w:rsid w:val="00951EAA"/>
    <w:rsid w:val="00952115"/>
    <w:rsid w:val="00952C51"/>
    <w:rsid w:val="00952D27"/>
    <w:rsid w:val="009535C2"/>
    <w:rsid w:val="009537FB"/>
    <w:rsid w:val="00953FFC"/>
    <w:rsid w:val="00954CBA"/>
    <w:rsid w:val="00955B23"/>
    <w:rsid w:val="00955D27"/>
    <w:rsid w:val="00955D71"/>
    <w:rsid w:val="009565B7"/>
    <w:rsid w:val="00956A9E"/>
    <w:rsid w:val="00957224"/>
    <w:rsid w:val="00957EE5"/>
    <w:rsid w:val="0096031D"/>
    <w:rsid w:val="00960554"/>
    <w:rsid w:val="009605FC"/>
    <w:rsid w:val="00960675"/>
    <w:rsid w:val="009608E7"/>
    <w:rsid w:val="00960BFB"/>
    <w:rsid w:val="00960C4A"/>
    <w:rsid w:val="0096211F"/>
    <w:rsid w:val="0096223E"/>
    <w:rsid w:val="00962479"/>
    <w:rsid w:val="0096272A"/>
    <w:rsid w:val="00963C2A"/>
    <w:rsid w:val="00964086"/>
    <w:rsid w:val="009647D6"/>
    <w:rsid w:val="00965485"/>
    <w:rsid w:val="00965B6E"/>
    <w:rsid w:val="00965EBA"/>
    <w:rsid w:val="00965FD5"/>
    <w:rsid w:val="0096666B"/>
    <w:rsid w:val="009672ED"/>
    <w:rsid w:val="00967377"/>
    <w:rsid w:val="009676FC"/>
    <w:rsid w:val="00967820"/>
    <w:rsid w:val="00967C4E"/>
    <w:rsid w:val="0097012D"/>
    <w:rsid w:val="00970929"/>
    <w:rsid w:val="00970F74"/>
    <w:rsid w:val="00971200"/>
    <w:rsid w:val="0097126B"/>
    <w:rsid w:val="0097132F"/>
    <w:rsid w:val="00971540"/>
    <w:rsid w:val="00971B98"/>
    <w:rsid w:val="00972625"/>
    <w:rsid w:val="00972DEB"/>
    <w:rsid w:val="00974C00"/>
    <w:rsid w:val="00974E94"/>
    <w:rsid w:val="009754D6"/>
    <w:rsid w:val="00975914"/>
    <w:rsid w:val="00975A0A"/>
    <w:rsid w:val="009764BD"/>
    <w:rsid w:val="0097660A"/>
    <w:rsid w:val="009767B0"/>
    <w:rsid w:val="00976D8D"/>
    <w:rsid w:val="00976F3F"/>
    <w:rsid w:val="00977F3B"/>
    <w:rsid w:val="0098125E"/>
    <w:rsid w:val="009821F3"/>
    <w:rsid w:val="009835CE"/>
    <w:rsid w:val="00983855"/>
    <w:rsid w:val="009840E1"/>
    <w:rsid w:val="00985D1A"/>
    <w:rsid w:val="00986023"/>
    <w:rsid w:val="00986576"/>
    <w:rsid w:val="00990BAC"/>
    <w:rsid w:val="0099109B"/>
    <w:rsid w:val="00991405"/>
    <w:rsid w:val="009919A1"/>
    <w:rsid w:val="00991B0E"/>
    <w:rsid w:val="009926A9"/>
    <w:rsid w:val="00992A9C"/>
    <w:rsid w:val="009930F3"/>
    <w:rsid w:val="0099376F"/>
    <w:rsid w:val="00993A16"/>
    <w:rsid w:val="00993AE8"/>
    <w:rsid w:val="00993F4C"/>
    <w:rsid w:val="00993F9E"/>
    <w:rsid w:val="00994184"/>
    <w:rsid w:val="0099477D"/>
    <w:rsid w:val="00995461"/>
    <w:rsid w:val="00995C35"/>
    <w:rsid w:val="009966B5"/>
    <w:rsid w:val="009966F2"/>
    <w:rsid w:val="009968B5"/>
    <w:rsid w:val="009970C4"/>
    <w:rsid w:val="009A007A"/>
    <w:rsid w:val="009A02C6"/>
    <w:rsid w:val="009A04AF"/>
    <w:rsid w:val="009A13AC"/>
    <w:rsid w:val="009A16D9"/>
    <w:rsid w:val="009A225C"/>
    <w:rsid w:val="009A22BE"/>
    <w:rsid w:val="009A3066"/>
    <w:rsid w:val="009A48D7"/>
    <w:rsid w:val="009A50E3"/>
    <w:rsid w:val="009A5195"/>
    <w:rsid w:val="009A54BE"/>
    <w:rsid w:val="009A5790"/>
    <w:rsid w:val="009A582A"/>
    <w:rsid w:val="009A5F87"/>
    <w:rsid w:val="009A66FC"/>
    <w:rsid w:val="009A6ECF"/>
    <w:rsid w:val="009A76ED"/>
    <w:rsid w:val="009B02CC"/>
    <w:rsid w:val="009B0AC7"/>
    <w:rsid w:val="009B0B1D"/>
    <w:rsid w:val="009B0C50"/>
    <w:rsid w:val="009B121E"/>
    <w:rsid w:val="009B1655"/>
    <w:rsid w:val="009B19A6"/>
    <w:rsid w:val="009B1E89"/>
    <w:rsid w:val="009B1FC9"/>
    <w:rsid w:val="009B22DA"/>
    <w:rsid w:val="009B32F7"/>
    <w:rsid w:val="009B3963"/>
    <w:rsid w:val="009B3CD0"/>
    <w:rsid w:val="009B4899"/>
    <w:rsid w:val="009B52B4"/>
    <w:rsid w:val="009B5ACD"/>
    <w:rsid w:val="009B6196"/>
    <w:rsid w:val="009B68D1"/>
    <w:rsid w:val="009B7099"/>
    <w:rsid w:val="009B7463"/>
    <w:rsid w:val="009B783D"/>
    <w:rsid w:val="009B7CA7"/>
    <w:rsid w:val="009C006B"/>
    <w:rsid w:val="009C0F78"/>
    <w:rsid w:val="009C0FCB"/>
    <w:rsid w:val="009C216A"/>
    <w:rsid w:val="009C2968"/>
    <w:rsid w:val="009C2D77"/>
    <w:rsid w:val="009C3112"/>
    <w:rsid w:val="009C342A"/>
    <w:rsid w:val="009C3CD8"/>
    <w:rsid w:val="009C3D9F"/>
    <w:rsid w:val="009C4483"/>
    <w:rsid w:val="009C49F2"/>
    <w:rsid w:val="009C4ECF"/>
    <w:rsid w:val="009C4FE8"/>
    <w:rsid w:val="009C5F4E"/>
    <w:rsid w:val="009C6187"/>
    <w:rsid w:val="009C73C8"/>
    <w:rsid w:val="009D0718"/>
    <w:rsid w:val="009D1572"/>
    <w:rsid w:val="009D17B3"/>
    <w:rsid w:val="009D1EC2"/>
    <w:rsid w:val="009D2948"/>
    <w:rsid w:val="009D2B1E"/>
    <w:rsid w:val="009D36D5"/>
    <w:rsid w:val="009D3AAA"/>
    <w:rsid w:val="009D3CF6"/>
    <w:rsid w:val="009D43AE"/>
    <w:rsid w:val="009D59AF"/>
    <w:rsid w:val="009D6329"/>
    <w:rsid w:val="009D71A3"/>
    <w:rsid w:val="009D7E1B"/>
    <w:rsid w:val="009E00B7"/>
    <w:rsid w:val="009E04DA"/>
    <w:rsid w:val="009E06B2"/>
    <w:rsid w:val="009E1B25"/>
    <w:rsid w:val="009E1B45"/>
    <w:rsid w:val="009E1C14"/>
    <w:rsid w:val="009E1F77"/>
    <w:rsid w:val="009E42D0"/>
    <w:rsid w:val="009E47C6"/>
    <w:rsid w:val="009E5642"/>
    <w:rsid w:val="009E56F1"/>
    <w:rsid w:val="009E5933"/>
    <w:rsid w:val="009E62D4"/>
    <w:rsid w:val="009E6366"/>
    <w:rsid w:val="009E6CAB"/>
    <w:rsid w:val="009E748F"/>
    <w:rsid w:val="009E7683"/>
    <w:rsid w:val="009E79DE"/>
    <w:rsid w:val="009E7FE8"/>
    <w:rsid w:val="009E7FF9"/>
    <w:rsid w:val="009F11B9"/>
    <w:rsid w:val="009F1565"/>
    <w:rsid w:val="009F1DB1"/>
    <w:rsid w:val="009F3384"/>
    <w:rsid w:val="009F4D46"/>
    <w:rsid w:val="009F4DF5"/>
    <w:rsid w:val="009F5A66"/>
    <w:rsid w:val="009F656C"/>
    <w:rsid w:val="009F7CCB"/>
    <w:rsid w:val="009F7F2C"/>
    <w:rsid w:val="00A00CFB"/>
    <w:rsid w:val="00A0106C"/>
    <w:rsid w:val="00A010FB"/>
    <w:rsid w:val="00A01887"/>
    <w:rsid w:val="00A01A3D"/>
    <w:rsid w:val="00A01B40"/>
    <w:rsid w:val="00A039DE"/>
    <w:rsid w:val="00A0417E"/>
    <w:rsid w:val="00A04272"/>
    <w:rsid w:val="00A042A9"/>
    <w:rsid w:val="00A044DE"/>
    <w:rsid w:val="00A045EA"/>
    <w:rsid w:val="00A04B2E"/>
    <w:rsid w:val="00A04CE0"/>
    <w:rsid w:val="00A06872"/>
    <w:rsid w:val="00A06A39"/>
    <w:rsid w:val="00A07386"/>
    <w:rsid w:val="00A07475"/>
    <w:rsid w:val="00A07920"/>
    <w:rsid w:val="00A079BE"/>
    <w:rsid w:val="00A07C5F"/>
    <w:rsid w:val="00A1087A"/>
    <w:rsid w:val="00A10A22"/>
    <w:rsid w:val="00A10C97"/>
    <w:rsid w:val="00A12997"/>
    <w:rsid w:val="00A12BC3"/>
    <w:rsid w:val="00A131D1"/>
    <w:rsid w:val="00A13A69"/>
    <w:rsid w:val="00A14D7A"/>
    <w:rsid w:val="00A155D4"/>
    <w:rsid w:val="00A16D72"/>
    <w:rsid w:val="00A16E29"/>
    <w:rsid w:val="00A1756E"/>
    <w:rsid w:val="00A205E7"/>
    <w:rsid w:val="00A20649"/>
    <w:rsid w:val="00A20675"/>
    <w:rsid w:val="00A20973"/>
    <w:rsid w:val="00A20C41"/>
    <w:rsid w:val="00A21393"/>
    <w:rsid w:val="00A21C28"/>
    <w:rsid w:val="00A22091"/>
    <w:rsid w:val="00A22142"/>
    <w:rsid w:val="00A22729"/>
    <w:rsid w:val="00A2293F"/>
    <w:rsid w:val="00A22D82"/>
    <w:rsid w:val="00A23214"/>
    <w:rsid w:val="00A23F65"/>
    <w:rsid w:val="00A24889"/>
    <w:rsid w:val="00A24979"/>
    <w:rsid w:val="00A25D0F"/>
    <w:rsid w:val="00A25E5F"/>
    <w:rsid w:val="00A263B2"/>
    <w:rsid w:val="00A26475"/>
    <w:rsid w:val="00A264DB"/>
    <w:rsid w:val="00A26744"/>
    <w:rsid w:val="00A269FA"/>
    <w:rsid w:val="00A26D5D"/>
    <w:rsid w:val="00A26EC4"/>
    <w:rsid w:val="00A270CF"/>
    <w:rsid w:val="00A27879"/>
    <w:rsid w:val="00A27A1D"/>
    <w:rsid w:val="00A27B0B"/>
    <w:rsid w:val="00A27C7F"/>
    <w:rsid w:val="00A27DA3"/>
    <w:rsid w:val="00A3078B"/>
    <w:rsid w:val="00A31139"/>
    <w:rsid w:val="00A31CFD"/>
    <w:rsid w:val="00A325D3"/>
    <w:rsid w:val="00A32614"/>
    <w:rsid w:val="00A332FA"/>
    <w:rsid w:val="00A3354C"/>
    <w:rsid w:val="00A335E8"/>
    <w:rsid w:val="00A338DC"/>
    <w:rsid w:val="00A34DAC"/>
    <w:rsid w:val="00A35781"/>
    <w:rsid w:val="00A3595B"/>
    <w:rsid w:val="00A35EC2"/>
    <w:rsid w:val="00A36510"/>
    <w:rsid w:val="00A36EB2"/>
    <w:rsid w:val="00A375FE"/>
    <w:rsid w:val="00A37AC7"/>
    <w:rsid w:val="00A4079E"/>
    <w:rsid w:val="00A410C2"/>
    <w:rsid w:val="00A4201C"/>
    <w:rsid w:val="00A42557"/>
    <w:rsid w:val="00A426FB"/>
    <w:rsid w:val="00A44092"/>
    <w:rsid w:val="00A4430C"/>
    <w:rsid w:val="00A4438E"/>
    <w:rsid w:val="00A443E7"/>
    <w:rsid w:val="00A44537"/>
    <w:rsid w:val="00A44EE5"/>
    <w:rsid w:val="00A45E95"/>
    <w:rsid w:val="00A46173"/>
    <w:rsid w:val="00A46BCE"/>
    <w:rsid w:val="00A47101"/>
    <w:rsid w:val="00A4714F"/>
    <w:rsid w:val="00A47776"/>
    <w:rsid w:val="00A47B26"/>
    <w:rsid w:val="00A47B74"/>
    <w:rsid w:val="00A50145"/>
    <w:rsid w:val="00A50B6C"/>
    <w:rsid w:val="00A5152D"/>
    <w:rsid w:val="00A52BC8"/>
    <w:rsid w:val="00A52C55"/>
    <w:rsid w:val="00A532B4"/>
    <w:rsid w:val="00A5370B"/>
    <w:rsid w:val="00A537C3"/>
    <w:rsid w:val="00A53894"/>
    <w:rsid w:val="00A53D81"/>
    <w:rsid w:val="00A544B0"/>
    <w:rsid w:val="00A54703"/>
    <w:rsid w:val="00A54AB8"/>
    <w:rsid w:val="00A560DC"/>
    <w:rsid w:val="00A57100"/>
    <w:rsid w:val="00A57258"/>
    <w:rsid w:val="00A5766F"/>
    <w:rsid w:val="00A578D2"/>
    <w:rsid w:val="00A578F3"/>
    <w:rsid w:val="00A605EA"/>
    <w:rsid w:val="00A61782"/>
    <w:rsid w:val="00A61DE5"/>
    <w:rsid w:val="00A61F83"/>
    <w:rsid w:val="00A63602"/>
    <w:rsid w:val="00A63AA2"/>
    <w:rsid w:val="00A64199"/>
    <w:rsid w:val="00A64E96"/>
    <w:rsid w:val="00A65492"/>
    <w:rsid w:val="00A669AA"/>
    <w:rsid w:val="00A66E84"/>
    <w:rsid w:val="00A66EE5"/>
    <w:rsid w:val="00A6730A"/>
    <w:rsid w:val="00A67852"/>
    <w:rsid w:val="00A70071"/>
    <w:rsid w:val="00A70606"/>
    <w:rsid w:val="00A718ED"/>
    <w:rsid w:val="00A71985"/>
    <w:rsid w:val="00A72576"/>
    <w:rsid w:val="00A72C2F"/>
    <w:rsid w:val="00A7490F"/>
    <w:rsid w:val="00A74997"/>
    <w:rsid w:val="00A75077"/>
    <w:rsid w:val="00A75275"/>
    <w:rsid w:val="00A77382"/>
    <w:rsid w:val="00A80B4F"/>
    <w:rsid w:val="00A80C85"/>
    <w:rsid w:val="00A8132B"/>
    <w:rsid w:val="00A81FA0"/>
    <w:rsid w:val="00A82623"/>
    <w:rsid w:val="00A828EB"/>
    <w:rsid w:val="00A82914"/>
    <w:rsid w:val="00A82C8E"/>
    <w:rsid w:val="00A8407D"/>
    <w:rsid w:val="00A84757"/>
    <w:rsid w:val="00A84808"/>
    <w:rsid w:val="00A8636C"/>
    <w:rsid w:val="00A86458"/>
    <w:rsid w:val="00A870C5"/>
    <w:rsid w:val="00A8716E"/>
    <w:rsid w:val="00A8722C"/>
    <w:rsid w:val="00A873F2"/>
    <w:rsid w:val="00A87E5D"/>
    <w:rsid w:val="00A90392"/>
    <w:rsid w:val="00A90E4A"/>
    <w:rsid w:val="00A9160F"/>
    <w:rsid w:val="00A91A0D"/>
    <w:rsid w:val="00A926FD"/>
    <w:rsid w:val="00A9280F"/>
    <w:rsid w:val="00A9348F"/>
    <w:rsid w:val="00A93AF7"/>
    <w:rsid w:val="00A94263"/>
    <w:rsid w:val="00A9478C"/>
    <w:rsid w:val="00A94B34"/>
    <w:rsid w:val="00A95005"/>
    <w:rsid w:val="00A95575"/>
    <w:rsid w:val="00A9570B"/>
    <w:rsid w:val="00A96DD2"/>
    <w:rsid w:val="00A97E85"/>
    <w:rsid w:val="00AA0185"/>
    <w:rsid w:val="00AA0235"/>
    <w:rsid w:val="00AA0A99"/>
    <w:rsid w:val="00AA0C10"/>
    <w:rsid w:val="00AA193B"/>
    <w:rsid w:val="00AA1BD9"/>
    <w:rsid w:val="00AA21A6"/>
    <w:rsid w:val="00AA25A5"/>
    <w:rsid w:val="00AA341C"/>
    <w:rsid w:val="00AA362B"/>
    <w:rsid w:val="00AA38B4"/>
    <w:rsid w:val="00AA3CD7"/>
    <w:rsid w:val="00AA403C"/>
    <w:rsid w:val="00AA4CB3"/>
    <w:rsid w:val="00AA4EA9"/>
    <w:rsid w:val="00AA5646"/>
    <w:rsid w:val="00AA5D96"/>
    <w:rsid w:val="00AA670A"/>
    <w:rsid w:val="00AB0CA1"/>
    <w:rsid w:val="00AB0E4C"/>
    <w:rsid w:val="00AB1A80"/>
    <w:rsid w:val="00AB1B28"/>
    <w:rsid w:val="00AB1EC6"/>
    <w:rsid w:val="00AB2305"/>
    <w:rsid w:val="00AB276C"/>
    <w:rsid w:val="00AB2797"/>
    <w:rsid w:val="00AB4279"/>
    <w:rsid w:val="00AB46B0"/>
    <w:rsid w:val="00AB5358"/>
    <w:rsid w:val="00AB58DA"/>
    <w:rsid w:val="00AB5F12"/>
    <w:rsid w:val="00AB6776"/>
    <w:rsid w:val="00AB7663"/>
    <w:rsid w:val="00AB7802"/>
    <w:rsid w:val="00AC06D6"/>
    <w:rsid w:val="00AC0C34"/>
    <w:rsid w:val="00AC0CA2"/>
    <w:rsid w:val="00AC130C"/>
    <w:rsid w:val="00AC13F7"/>
    <w:rsid w:val="00AC153E"/>
    <w:rsid w:val="00AC15CB"/>
    <w:rsid w:val="00AC1D0E"/>
    <w:rsid w:val="00AC225D"/>
    <w:rsid w:val="00AC267E"/>
    <w:rsid w:val="00AC2E4B"/>
    <w:rsid w:val="00AC35E8"/>
    <w:rsid w:val="00AC37F3"/>
    <w:rsid w:val="00AC40EE"/>
    <w:rsid w:val="00AC4409"/>
    <w:rsid w:val="00AC4E5F"/>
    <w:rsid w:val="00AC5343"/>
    <w:rsid w:val="00AC5B39"/>
    <w:rsid w:val="00AC6505"/>
    <w:rsid w:val="00AC6649"/>
    <w:rsid w:val="00AC6D59"/>
    <w:rsid w:val="00AC6F10"/>
    <w:rsid w:val="00AC72FB"/>
    <w:rsid w:val="00AC7825"/>
    <w:rsid w:val="00AC7A73"/>
    <w:rsid w:val="00AC7CA5"/>
    <w:rsid w:val="00AC7E42"/>
    <w:rsid w:val="00AD0D4C"/>
    <w:rsid w:val="00AD1801"/>
    <w:rsid w:val="00AD1AB3"/>
    <w:rsid w:val="00AD2D3F"/>
    <w:rsid w:val="00AD2E88"/>
    <w:rsid w:val="00AD391D"/>
    <w:rsid w:val="00AD4287"/>
    <w:rsid w:val="00AD4350"/>
    <w:rsid w:val="00AD51EC"/>
    <w:rsid w:val="00AD5F34"/>
    <w:rsid w:val="00AD6238"/>
    <w:rsid w:val="00AD6BE9"/>
    <w:rsid w:val="00AD6FE3"/>
    <w:rsid w:val="00AD707C"/>
    <w:rsid w:val="00AD7886"/>
    <w:rsid w:val="00AE051B"/>
    <w:rsid w:val="00AE0E9C"/>
    <w:rsid w:val="00AE156C"/>
    <w:rsid w:val="00AE1762"/>
    <w:rsid w:val="00AE1ED1"/>
    <w:rsid w:val="00AE2A82"/>
    <w:rsid w:val="00AE2D65"/>
    <w:rsid w:val="00AE2D79"/>
    <w:rsid w:val="00AE3878"/>
    <w:rsid w:val="00AE3D6C"/>
    <w:rsid w:val="00AE3D85"/>
    <w:rsid w:val="00AE41D5"/>
    <w:rsid w:val="00AE4408"/>
    <w:rsid w:val="00AE4612"/>
    <w:rsid w:val="00AE646C"/>
    <w:rsid w:val="00AE6591"/>
    <w:rsid w:val="00AE7807"/>
    <w:rsid w:val="00AE7DF1"/>
    <w:rsid w:val="00AF00FF"/>
    <w:rsid w:val="00AF0249"/>
    <w:rsid w:val="00AF0C5E"/>
    <w:rsid w:val="00AF1429"/>
    <w:rsid w:val="00AF1AC3"/>
    <w:rsid w:val="00AF246F"/>
    <w:rsid w:val="00AF2E00"/>
    <w:rsid w:val="00AF3AD8"/>
    <w:rsid w:val="00AF4C02"/>
    <w:rsid w:val="00AF59B3"/>
    <w:rsid w:val="00AF5F50"/>
    <w:rsid w:val="00AF62DB"/>
    <w:rsid w:val="00AF7193"/>
    <w:rsid w:val="00AF74BC"/>
    <w:rsid w:val="00AF7A1A"/>
    <w:rsid w:val="00B0062C"/>
    <w:rsid w:val="00B007F1"/>
    <w:rsid w:val="00B00966"/>
    <w:rsid w:val="00B01652"/>
    <w:rsid w:val="00B01A81"/>
    <w:rsid w:val="00B02028"/>
    <w:rsid w:val="00B02130"/>
    <w:rsid w:val="00B02240"/>
    <w:rsid w:val="00B02A57"/>
    <w:rsid w:val="00B02BD2"/>
    <w:rsid w:val="00B03268"/>
    <w:rsid w:val="00B0338A"/>
    <w:rsid w:val="00B033F0"/>
    <w:rsid w:val="00B03808"/>
    <w:rsid w:val="00B03811"/>
    <w:rsid w:val="00B042FA"/>
    <w:rsid w:val="00B04B59"/>
    <w:rsid w:val="00B04CBA"/>
    <w:rsid w:val="00B04CBF"/>
    <w:rsid w:val="00B04D40"/>
    <w:rsid w:val="00B05531"/>
    <w:rsid w:val="00B05966"/>
    <w:rsid w:val="00B05AF5"/>
    <w:rsid w:val="00B06A1D"/>
    <w:rsid w:val="00B06DAE"/>
    <w:rsid w:val="00B070E9"/>
    <w:rsid w:val="00B0744E"/>
    <w:rsid w:val="00B076D8"/>
    <w:rsid w:val="00B0796E"/>
    <w:rsid w:val="00B079F2"/>
    <w:rsid w:val="00B07C2C"/>
    <w:rsid w:val="00B07D96"/>
    <w:rsid w:val="00B07EF9"/>
    <w:rsid w:val="00B10628"/>
    <w:rsid w:val="00B10817"/>
    <w:rsid w:val="00B10CF5"/>
    <w:rsid w:val="00B12D34"/>
    <w:rsid w:val="00B1395E"/>
    <w:rsid w:val="00B14566"/>
    <w:rsid w:val="00B149FF"/>
    <w:rsid w:val="00B14D02"/>
    <w:rsid w:val="00B15AE0"/>
    <w:rsid w:val="00B16740"/>
    <w:rsid w:val="00B169D0"/>
    <w:rsid w:val="00B17587"/>
    <w:rsid w:val="00B176EE"/>
    <w:rsid w:val="00B17918"/>
    <w:rsid w:val="00B200A3"/>
    <w:rsid w:val="00B20692"/>
    <w:rsid w:val="00B211C0"/>
    <w:rsid w:val="00B21E39"/>
    <w:rsid w:val="00B22030"/>
    <w:rsid w:val="00B2247D"/>
    <w:rsid w:val="00B22B5F"/>
    <w:rsid w:val="00B22EEE"/>
    <w:rsid w:val="00B23388"/>
    <w:rsid w:val="00B23623"/>
    <w:rsid w:val="00B2362D"/>
    <w:rsid w:val="00B23EE3"/>
    <w:rsid w:val="00B24663"/>
    <w:rsid w:val="00B247FF"/>
    <w:rsid w:val="00B25D3A"/>
    <w:rsid w:val="00B2674A"/>
    <w:rsid w:val="00B300F0"/>
    <w:rsid w:val="00B31171"/>
    <w:rsid w:val="00B317B8"/>
    <w:rsid w:val="00B3181B"/>
    <w:rsid w:val="00B31BBE"/>
    <w:rsid w:val="00B31D47"/>
    <w:rsid w:val="00B32476"/>
    <w:rsid w:val="00B32497"/>
    <w:rsid w:val="00B32812"/>
    <w:rsid w:val="00B329CF"/>
    <w:rsid w:val="00B329F8"/>
    <w:rsid w:val="00B32EDC"/>
    <w:rsid w:val="00B33AC1"/>
    <w:rsid w:val="00B33EF1"/>
    <w:rsid w:val="00B34186"/>
    <w:rsid w:val="00B345E7"/>
    <w:rsid w:val="00B346BD"/>
    <w:rsid w:val="00B34750"/>
    <w:rsid w:val="00B34BC1"/>
    <w:rsid w:val="00B35A27"/>
    <w:rsid w:val="00B35A9D"/>
    <w:rsid w:val="00B377EB"/>
    <w:rsid w:val="00B37DAD"/>
    <w:rsid w:val="00B4013A"/>
    <w:rsid w:val="00B4025A"/>
    <w:rsid w:val="00B40E57"/>
    <w:rsid w:val="00B41645"/>
    <w:rsid w:val="00B41D30"/>
    <w:rsid w:val="00B4300D"/>
    <w:rsid w:val="00B4301A"/>
    <w:rsid w:val="00B43406"/>
    <w:rsid w:val="00B43E25"/>
    <w:rsid w:val="00B44085"/>
    <w:rsid w:val="00B44459"/>
    <w:rsid w:val="00B4450C"/>
    <w:rsid w:val="00B44ED8"/>
    <w:rsid w:val="00B4535B"/>
    <w:rsid w:val="00B45737"/>
    <w:rsid w:val="00B45ADD"/>
    <w:rsid w:val="00B465CF"/>
    <w:rsid w:val="00B46ED8"/>
    <w:rsid w:val="00B46F12"/>
    <w:rsid w:val="00B4717F"/>
    <w:rsid w:val="00B478DD"/>
    <w:rsid w:val="00B506E6"/>
    <w:rsid w:val="00B51BFC"/>
    <w:rsid w:val="00B51EE4"/>
    <w:rsid w:val="00B52DC3"/>
    <w:rsid w:val="00B540FB"/>
    <w:rsid w:val="00B543EF"/>
    <w:rsid w:val="00B55253"/>
    <w:rsid w:val="00B55741"/>
    <w:rsid w:val="00B563F4"/>
    <w:rsid w:val="00B56F70"/>
    <w:rsid w:val="00B5710C"/>
    <w:rsid w:val="00B57607"/>
    <w:rsid w:val="00B57C2C"/>
    <w:rsid w:val="00B57DF2"/>
    <w:rsid w:val="00B608D9"/>
    <w:rsid w:val="00B60B92"/>
    <w:rsid w:val="00B60B95"/>
    <w:rsid w:val="00B61380"/>
    <w:rsid w:val="00B61527"/>
    <w:rsid w:val="00B618BF"/>
    <w:rsid w:val="00B6339E"/>
    <w:rsid w:val="00B638FF"/>
    <w:rsid w:val="00B63BB2"/>
    <w:rsid w:val="00B63E1F"/>
    <w:rsid w:val="00B63E56"/>
    <w:rsid w:val="00B63F31"/>
    <w:rsid w:val="00B6404F"/>
    <w:rsid w:val="00B6499B"/>
    <w:rsid w:val="00B64FD8"/>
    <w:rsid w:val="00B65093"/>
    <w:rsid w:val="00B6548B"/>
    <w:rsid w:val="00B65E9A"/>
    <w:rsid w:val="00B65EA3"/>
    <w:rsid w:val="00B670E4"/>
    <w:rsid w:val="00B6796F"/>
    <w:rsid w:val="00B67BA7"/>
    <w:rsid w:val="00B705AF"/>
    <w:rsid w:val="00B70B09"/>
    <w:rsid w:val="00B71314"/>
    <w:rsid w:val="00B71979"/>
    <w:rsid w:val="00B72049"/>
    <w:rsid w:val="00B72AD6"/>
    <w:rsid w:val="00B72D4C"/>
    <w:rsid w:val="00B741B7"/>
    <w:rsid w:val="00B74D4E"/>
    <w:rsid w:val="00B74EDC"/>
    <w:rsid w:val="00B75C42"/>
    <w:rsid w:val="00B7643E"/>
    <w:rsid w:val="00B767CF"/>
    <w:rsid w:val="00B76CB3"/>
    <w:rsid w:val="00B76EE4"/>
    <w:rsid w:val="00B7714A"/>
    <w:rsid w:val="00B777E6"/>
    <w:rsid w:val="00B802AF"/>
    <w:rsid w:val="00B80447"/>
    <w:rsid w:val="00B8065F"/>
    <w:rsid w:val="00B81175"/>
    <w:rsid w:val="00B81896"/>
    <w:rsid w:val="00B822EC"/>
    <w:rsid w:val="00B84F78"/>
    <w:rsid w:val="00B851F0"/>
    <w:rsid w:val="00B852E3"/>
    <w:rsid w:val="00B854AD"/>
    <w:rsid w:val="00B859C8"/>
    <w:rsid w:val="00B867DA"/>
    <w:rsid w:val="00B90319"/>
    <w:rsid w:val="00B90EF1"/>
    <w:rsid w:val="00B915C4"/>
    <w:rsid w:val="00B928E3"/>
    <w:rsid w:val="00B92AE2"/>
    <w:rsid w:val="00B93321"/>
    <w:rsid w:val="00B93804"/>
    <w:rsid w:val="00B941F8"/>
    <w:rsid w:val="00B943CD"/>
    <w:rsid w:val="00B94780"/>
    <w:rsid w:val="00B947A0"/>
    <w:rsid w:val="00B95C7E"/>
    <w:rsid w:val="00B961A5"/>
    <w:rsid w:val="00B966A1"/>
    <w:rsid w:val="00B96A32"/>
    <w:rsid w:val="00B97058"/>
    <w:rsid w:val="00B9710B"/>
    <w:rsid w:val="00B97300"/>
    <w:rsid w:val="00B97671"/>
    <w:rsid w:val="00B97719"/>
    <w:rsid w:val="00B97905"/>
    <w:rsid w:val="00BA026D"/>
    <w:rsid w:val="00BA07A4"/>
    <w:rsid w:val="00BA0A61"/>
    <w:rsid w:val="00BA17D5"/>
    <w:rsid w:val="00BA2061"/>
    <w:rsid w:val="00BA3A51"/>
    <w:rsid w:val="00BA4531"/>
    <w:rsid w:val="00BA4624"/>
    <w:rsid w:val="00BA5084"/>
    <w:rsid w:val="00BA59C8"/>
    <w:rsid w:val="00BA59D8"/>
    <w:rsid w:val="00BA5B7D"/>
    <w:rsid w:val="00BA68BD"/>
    <w:rsid w:val="00BA6A8E"/>
    <w:rsid w:val="00BA6CD8"/>
    <w:rsid w:val="00BA7633"/>
    <w:rsid w:val="00BA7B20"/>
    <w:rsid w:val="00BA7D09"/>
    <w:rsid w:val="00BB09FF"/>
    <w:rsid w:val="00BB0B91"/>
    <w:rsid w:val="00BB0CA4"/>
    <w:rsid w:val="00BB13A1"/>
    <w:rsid w:val="00BB14F8"/>
    <w:rsid w:val="00BB18B6"/>
    <w:rsid w:val="00BB1C5C"/>
    <w:rsid w:val="00BB1D97"/>
    <w:rsid w:val="00BB26D2"/>
    <w:rsid w:val="00BB35BB"/>
    <w:rsid w:val="00BB388E"/>
    <w:rsid w:val="00BB3D0E"/>
    <w:rsid w:val="00BB40CB"/>
    <w:rsid w:val="00BB48FC"/>
    <w:rsid w:val="00BB4D20"/>
    <w:rsid w:val="00BB5177"/>
    <w:rsid w:val="00BB553A"/>
    <w:rsid w:val="00BB655E"/>
    <w:rsid w:val="00BB6725"/>
    <w:rsid w:val="00BB75F2"/>
    <w:rsid w:val="00BB7A2A"/>
    <w:rsid w:val="00BC0E0C"/>
    <w:rsid w:val="00BC0EE1"/>
    <w:rsid w:val="00BC130D"/>
    <w:rsid w:val="00BC168A"/>
    <w:rsid w:val="00BC1F3F"/>
    <w:rsid w:val="00BC210A"/>
    <w:rsid w:val="00BC245D"/>
    <w:rsid w:val="00BC2A08"/>
    <w:rsid w:val="00BC39D6"/>
    <w:rsid w:val="00BC41DB"/>
    <w:rsid w:val="00BC4881"/>
    <w:rsid w:val="00BC4913"/>
    <w:rsid w:val="00BC4CF1"/>
    <w:rsid w:val="00BC4FA9"/>
    <w:rsid w:val="00BC609C"/>
    <w:rsid w:val="00BC6184"/>
    <w:rsid w:val="00BC6ED0"/>
    <w:rsid w:val="00BC724C"/>
    <w:rsid w:val="00BC7ED6"/>
    <w:rsid w:val="00BC7F43"/>
    <w:rsid w:val="00BD0774"/>
    <w:rsid w:val="00BD1117"/>
    <w:rsid w:val="00BD1663"/>
    <w:rsid w:val="00BD1EFE"/>
    <w:rsid w:val="00BD2696"/>
    <w:rsid w:val="00BD3645"/>
    <w:rsid w:val="00BD422D"/>
    <w:rsid w:val="00BD45F9"/>
    <w:rsid w:val="00BD47E8"/>
    <w:rsid w:val="00BD50ED"/>
    <w:rsid w:val="00BD5E07"/>
    <w:rsid w:val="00BD665D"/>
    <w:rsid w:val="00BD66B6"/>
    <w:rsid w:val="00BD6904"/>
    <w:rsid w:val="00BD6A86"/>
    <w:rsid w:val="00BD6CB0"/>
    <w:rsid w:val="00BD758F"/>
    <w:rsid w:val="00BE0007"/>
    <w:rsid w:val="00BE083A"/>
    <w:rsid w:val="00BE126F"/>
    <w:rsid w:val="00BE2096"/>
    <w:rsid w:val="00BE2680"/>
    <w:rsid w:val="00BE2B90"/>
    <w:rsid w:val="00BE2F6A"/>
    <w:rsid w:val="00BE3156"/>
    <w:rsid w:val="00BE3282"/>
    <w:rsid w:val="00BE32C5"/>
    <w:rsid w:val="00BE3329"/>
    <w:rsid w:val="00BE3B55"/>
    <w:rsid w:val="00BE3C38"/>
    <w:rsid w:val="00BE3C84"/>
    <w:rsid w:val="00BE413E"/>
    <w:rsid w:val="00BE4995"/>
    <w:rsid w:val="00BE50CC"/>
    <w:rsid w:val="00BE513E"/>
    <w:rsid w:val="00BE6636"/>
    <w:rsid w:val="00BE67E5"/>
    <w:rsid w:val="00BE702E"/>
    <w:rsid w:val="00BE71F9"/>
    <w:rsid w:val="00BE74E7"/>
    <w:rsid w:val="00BE78B7"/>
    <w:rsid w:val="00BE7B48"/>
    <w:rsid w:val="00BF06A7"/>
    <w:rsid w:val="00BF0EEA"/>
    <w:rsid w:val="00BF1438"/>
    <w:rsid w:val="00BF18BF"/>
    <w:rsid w:val="00BF1DBB"/>
    <w:rsid w:val="00BF253D"/>
    <w:rsid w:val="00BF26D1"/>
    <w:rsid w:val="00BF3405"/>
    <w:rsid w:val="00BF36E2"/>
    <w:rsid w:val="00BF3C8C"/>
    <w:rsid w:val="00BF41EF"/>
    <w:rsid w:val="00BF4B1E"/>
    <w:rsid w:val="00BF4BBB"/>
    <w:rsid w:val="00BF4C34"/>
    <w:rsid w:val="00BF592D"/>
    <w:rsid w:val="00BF6003"/>
    <w:rsid w:val="00BF64FE"/>
    <w:rsid w:val="00BF6506"/>
    <w:rsid w:val="00BF6A32"/>
    <w:rsid w:val="00BF77A0"/>
    <w:rsid w:val="00C000AA"/>
    <w:rsid w:val="00C00683"/>
    <w:rsid w:val="00C0081B"/>
    <w:rsid w:val="00C0092E"/>
    <w:rsid w:val="00C00ED9"/>
    <w:rsid w:val="00C015BE"/>
    <w:rsid w:val="00C01E17"/>
    <w:rsid w:val="00C02A68"/>
    <w:rsid w:val="00C03015"/>
    <w:rsid w:val="00C036EC"/>
    <w:rsid w:val="00C03A70"/>
    <w:rsid w:val="00C03C48"/>
    <w:rsid w:val="00C053B9"/>
    <w:rsid w:val="00C05596"/>
    <w:rsid w:val="00C058CC"/>
    <w:rsid w:val="00C05F99"/>
    <w:rsid w:val="00C065A1"/>
    <w:rsid w:val="00C076DA"/>
    <w:rsid w:val="00C0783F"/>
    <w:rsid w:val="00C1021B"/>
    <w:rsid w:val="00C1079F"/>
    <w:rsid w:val="00C10E18"/>
    <w:rsid w:val="00C1111F"/>
    <w:rsid w:val="00C11332"/>
    <w:rsid w:val="00C11CE6"/>
    <w:rsid w:val="00C11D0B"/>
    <w:rsid w:val="00C126F0"/>
    <w:rsid w:val="00C13477"/>
    <w:rsid w:val="00C1553B"/>
    <w:rsid w:val="00C159DE"/>
    <w:rsid w:val="00C165F2"/>
    <w:rsid w:val="00C16648"/>
    <w:rsid w:val="00C167D0"/>
    <w:rsid w:val="00C16DAF"/>
    <w:rsid w:val="00C170A8"/>
    <w:rsid w:val="00C1723C"/>
    <w:rsid w:val="00C17369"/>
    <w:rsid w:val="00C174F6"/>
    <w:rsid w:val="00C1793E"/>
    <w:rsid w:val="00C20050"/>
    <w:rsid w:val="00C2023E"/>
    <w:rsid w:val="00C2063C"/>
    <w:rsid w:val="00C206F2"/>
    <w:rsid w:val="00C209E8"/>
    <w:rsid w:val="00C222C0"/>
    <w:rsid w:val="00C2255F"/>
    <w:rsid w:val="00C23B30"/>
    <w:rsid w:val="00C23CF4"/>
    <w:rsid w:val="00C24D70"/>
    <w:rsid w:val="00C24FA8"/>
    <w:rsid w:val="00C256A6"/>
    <w:rsid w:val="00C267D0"/>
    <w:rsid w:val="00C26979"/>
    <w:rsid w:val="00C271BC"/>
    <w:rsid w:val="00C27826"/>
    <w:rsid w:val="00C27C53"/>
    <w:rsid w:val="00C300D3"/>
    <w:rsid w:val="00C30FCE"/>
    <w:rsid w:val="00C31013"/>
    <w:rsid w:val="00C31596"/>
    <w:rsid w:val="00C316AD"/>
    <w:rsid w:val="00C32216"/>
    <w:rsid w:val="00C3270E"/>
    <w:rsid w:val="00C33DBF"/>
    <w:rsid w:val="00C33E2B"/>
    <w:rsid w:val="00C341AC"/>
    <w:rsid w:val="00C346C9"/>
    <w:rsid w:val="00C34C3B"/>
    <w:rsid w:val="00C35829"/>
    <w:rsid w:val="00C359C7"/>
    <w:rsid w:val="00C360BE"/>
    <w:rsid w:val="00C36723"/>
    <w:rsid w:val="00C36786"/>
    <w:rsid w:val="00C36B91"/>
    <w:rsid w:val="00C36D43"/>
    <w:rsid w:val="00C371F4"/>
    <w:rsid w:val="00C37241"/>
    <w:rsid w:val="00C37FAF"/>
    <w:rsid w:val="00C403F7"/>
    <w:rsid w:val="00C413BC"/>
    <w:rsid w:val="00C415A2"/>
    <w:rsid w:val="00C41841"/>
    <w:rsid w:val="00C41D47"/>
    <w:rsid w:val="00C42595"/>
    <w:rsid w:val="00C42812"/>
    <w:rsid w:val="00C42C3E"/>
    <w:rsid w:val="00C43B25"/>
    <w:rsid w:val="00C44723"/>
    <w:rsid w:val="00C4524A"/>
    <w:rsid w:val="00C479A5"/>
    <w:rsid w:val="00C47D18"/>
    <w:rsid w:val="00C50224"/>
    <w:rsid w:val="00C50654"/>
    <w:rsid w:val="00C506CF"/>
    <w:rsid w:val="00C506EC"/>
    <w:rsid w:val="00C50D25"/>
    <w:rsid w:val="00C511EC"/>
    <w:rsid w:val="00C51D09"/>
    <w:rsid w:val="00C51D2F"/>
    <w:rsid w:val="00C53FA4"/>
    <w:rsid w:val="00C5409C"/>
    <w:rsid w:val="00C5454D"/>
    <w:rsid w:val="00C54E9C"/>
    <w:rsid w:val="00C55114"/>
    <w:rsid w:val="00C55547"/>
    <w:rsid w:val="00C556F3"/>
    <w:rsid w:val="00C559C1"/>
    <w:rsid w:val="00C56220"/>
    <w:rsid w:val="00C56533"/>
    <w:rsid w:val="00C56BF6"/>
    <w:rsid w:val="00C56E49"/>
    <w:rsid w:val="00C602E0"/>
    <w:rsid w:val="00C60CE7"/>
    <w:rsid w:val="00C61FDE"/>
    <w:rsid w:val="00C621F4"/>
    <w:rsid w:val="00C629AC"/>
    <w:rsid w:val="00C62CCF"/>
    <w:rsid w:val="00C63453"/>
    <w:rsid w:val="00C634B4"/>
    <w:rsid w:val="00C641AB"/>
    <w:rsid w:val="00C643B0"/>
    <w:rsid w:val="00C65796"/>
    <w:rsid w:val="00C65DB8"/>
    <w:rsid w:val="00C65FCF"/>
    <w:rsid w:val="00C66060"/>
    <w:rsid w:val="00C661C5"/>
    <w:rsid w:val="00C667C6"/>
    <w:rsid w:val="00C67092"/>
    <w:rsid w:val="00C6742B"/>
    <w:rsid w:val="00C70A81"/>
    <w:rsid w:val="00C721D2"/>
    <w:rsid w:val="00C72DE0"/>
    <w:rsid w:val="00C73C84"/>
    <w:rsid w:val="00C73DC2"/>
    <w:rsid w:val="00C74185"/>
    <w:rsid w:val="00C748CB"/>
    <w:rsid w:val="00C74F4B"/>
    <w:rsid w:val="00C76FFF"/>
    <w:rsid w:val="00C77F5E"/>
    <w:rsid w:val="00C8115A"/>
    <w:rsid w:val="00C81F2F"/>
    <w:rsid w:val="00C81FC1"/>
    <w:rsid w:val="00C826C1"/>
    <w:rsid w:val="00C82E53"/>
    <w:rsid w:val="00C834C1"/>
    <w:rsid w:val="00C84492"/>
    <w:rsid w:val="00C84981"/>
    <w:rsid w:val="00C849A8"/>
    <w:rsid w:val="00C851FA"/>
    <w:rsid w:val="00C8563D"/>
    <w:rsid w:val="00C85A76"/>
    <w:rsid w:val="00C860A9"/>
    <w:rsid w:val="00C86F69"/>
    <w:rsid w:val="00C86FCC"/>
    <w:rsid w:val="00C87480"/>
    <w:rsid w:val="00C8762A"/>
    <w:rsid w:val="00C87C55"/>
    <w:rsid w:val="00C87D80"/>
    <w:rsid w:val="00C915AA"/>
    <w:rsid w:val="00C915F0"/>
    <w:rsid w:val="00C91A66"/>
    <w:rsid w:val="00C91F39"/>
    <w:rsid w:val="00C9291E"/>
    <w:rsid w:val="00C92BF2"/>
    <w:rsid w:val="00C932A2"/>
    <w:rsid w:val="00C93A96"/>
    <w:rsid w:val="00C93E0D"/>
    <w:rsid w:val="00C9427F"/>
    <w:rsid w:val="00C943D6"/>
    <w:rsid w:val="00C9442F"/>
    <w:rsid w:val="00C94745"/>
    <w:rsid w:val="00C94EFB"/>
    <w:rsid w:val="00C9523C"/>
    <w:rsid w:val="00C97905"/>
    <w:rsid w:val="00CA028A"/>
    <w:rsid w:val="00CA07B6"/>
    <w:rsid w:val="00CA0DEE"/>
    <w:rsid w:val="00CA1657"/>
    <w:rsid w:val="00CA1661"/>
    <w:rsid w:val="00CA1830"/>
    <w:rsid w:val="00CA1B28"/>
    <w:rsid w:val="00CA1BC9"/>
    <w:rsid w:val="00CA1EAC"/>
    <w:rsid w:val="00CA25F7"/>
    <w:rsid w:val="00CA2879"/>
    <w:rsid w:val="00CA2DDE"/>
    <w:rsid w:val="00CA3226"/>
    <w:rsid w:val="00CA4034"/>
    <w:rsid w:val="00CA409B"/>
    <w:rsid w:val="00CA442E"/>
    <w:rsid w:val="00CA443A"/>
    <w:rsid w:val="00CA4EF5"/>
    <w:rsid w:val="00CA4FAB"/>
    <w:rsid w:val="00CA5053"/>
    <w:rsid w:val="00CA5189"/>
    <w:rsid w:val="00CA51ED"/>
    <w:rsid w:val="00CA541D"/>
    <w:rsid w:val="00CA6B38"/>
    <w:rsid w:val="00CA729B"/>
    <w:rsid w:val="00CA7E18"/>
    <w:rsid w:val="00CB14F2"/>
    <w:rsid w:val="00CB1CF0"/>
    <w:rsid w:val="00CB1DB4"/>
    <w:rsid w:val="00CB1F81"/>
    <w:rsid w:val="00CB2223"/>
    <w:rsid w:val="00CB2C23"/>
    <w:rsid w:val="00CB3F42"/>
    <w:rsid w:val="00CB412F"/>
    <w:rsid w:val="00CB4202"/>
    <w:rsid w:val="00CB440C"/>
    <w:rsid w:val="00CB4877"/>
    <w:rsid w:val="00CB4D1E"/>
    <w:rsid w:val="00CB4F45"/>
    <w:rsid w:val="00CB59A6"/>
    <w:rsid w:val="00CB5EC8"/>
    <w:rsid w:val="00CB5F04"/>
    <w:rsid w:val="00CB639D"/>
    <w:rsid w:val="00CB6B11"/>
    <w:rsid w:val="00CB6BFF"/>
    <w:rsid w:val="00CB7418"/>
    <w:rsid w:val="00CB7E89"/>
    <w:rsid w:val="00CC02C4"/>
    <w:rsid w:val="00CC063F"/>
    <w:rsid w:val="00CC1149"/>
    <w:rsid w:val="00CC1565"/>
    <w:rsid w:val="00CC1577"/>
    <w:rsid w:val="00CC2725"/>
    <w:rsid w:val="00CC2C21"/>
    <w:rsid w:val="00CC2E3B"/>
    <w:rsid w:val="00CC2FB6"/>
    <w:rsid w:val="00CC4099"/>
    <w:rsid w:val="00CC594B"/>
    <w:rsid w:val="00CC6061"/>
    <w:rsid w:val="00CC6BD2"/>
    <w:rsid w:val="00CC71BB"/>
    <w:rsid w:val="00CC7EEA"/>
    <w:rsid w:val="00CD057B"/>
    <w:rsid w:val="00CD05D4"/>
    <w:rsid w:val="00CD06CB"/>
    <w:rsid w:val="00CD09FD"/>
    <w:rsid w:val="00CD131F"/>
    <w:rsid w:val="00CD1527"/>
    <w:rsid w:val="00CD18E2"/>
    <w:rsid w:val="00CD201F"/>
    <w:rsid w:val="00CD2CA6"/>
    <w:rsid w:val="00CD3BD9"/>
    <w:rsid w:val="00CD3FCF"/>
    <w:rsid w:val="00CD4930"/>
    <w:rsid w:val="00CD5073"/>
    <w:rsid w:val="00CD50C8"/>
    <w:rsid w:val="00CD5161"/>
    <w:rsid w:val="00CD5246"/>
    <w:rsid w:val="00CD5414"/>
    <w:rsid w:val="00CD5C29"/>
    <w:rsid w:val="00CD6BC8"/>
    <w:rsid w:val="00CD7852"/>
    <w:rsid w:val="00CD7DD0"/>
    <w:rsid w:val="00CE016F"/>
    <w:rsid w:val="00CE2EB8"/>
    <w:rsid w:val="00CE2F1B"/>
    <w:rsid w:val="00CE3533"/>
    <w:rsid w:val="00CE4252"/>
    <w:rsid w:val="00CE4DE0"/>
    <w:rsid w:val="00CE68DE"/>
    <w:rsid w:val="00CE6CBA"/>
    <w:rsid w:val="00CE7176"/>
    <w:rsid w:val="00CE7CC9"/>
    <w:rsid w:val="00CF0022"/>
    <w:rsid w:val="00CF0113"/>
    <w:rsid w:val="00CF0468"/>
    <w:rsid w:val="00CF05E9"/>
    <w:rsid w:val="00CF080D"/>
    <w:rsid w:val="00CF0913"/>
    <w:rsid w:val="00CF1314"/>
    <w:rsid w:val="00CF2242"/>
    <w:rsid w:val="00CF2403"/>
    <w:rsid w:val="00CF2825"/>
    <w:rsid w:val="00CF3333"/>
    <w:rsid w:val="00CF33E5"/>
    <w:rsid w:val="00CF3C91"/>
    <w:rsid w:val="00CF415E"/>
    <w:rsid w:val="00CF5B41"/>
    <w:rsid w:val="00CF5C64"/>
    <w:rsid w:val="00CF5FB8"/>
    <w:rsid w:val="00CF604C"/>
    <w:rsid w:val="00CF63DC"/>
    <w:rsid w:val="00CF6C60"/>
    <w:rsid w:val="00CF7595"/>
    <w:rsid w:val="00D00D73"/>
    <w:rsid w:val="00D00F77"/>
    <w:rsid w:val="00D02712"/>
    <w:rsid w:val="00D0274A"/>
    <w:rsid w:val="00D0298E"/>
    <w:rsid w:val="00D031D1"/>
    <w:rsid w:val="00D03815"/>
    <w:rsid w:val="00D04AAF"/>
    <w:rsid w:val="00D05148"/>
    <w:rsid w:val="00D05F07"/>
    <w:rsid w:val="00D06239"/>
    <w:rsid w:val="00D0652A"/>
    <w:rsid w:val="00D066BC"/>
    <w:rsid w:val="00D06F0D"/>
    <w:rsid w:val="00D07661"/>
    <w:rsid w:val="00D07D34"/>
    <w:rsid w:val="00D10C29"/>
    <w:rsid w:val="00D10C3A"/>
    <w:rsid w:val="00D1158E"/>
    <w:rsid w:val="00D11672"/>
    <w:rsid w:val="00D1195A"/>
    <w:rsid w:val="00D11A16"/>
    <w:rsid w:val="00D11F3F"/>
    <w:rsid w:val="00D12029"/>
    <w:rsid w:val="00D1229F"/>
    <w:rsid w:val="00D125FA"/>
    <w:rsid w:val="00D12EFD"/>
    <w:rsid w:val="00D1380C"/>
    <w:rsid w:val="00D13D6A"/>
    <w:rsid w:val="00D14469"/>
    <w:rsid w:val="00D14B04"/>
    <w:rsid w:val="00D154AB"/>
    <w:rsid w:val="00D16FB4"/>
    <w:rsid w:val="00D17C2F"/>
    <w:rsid w:val="00D213E9"/>
    <w:rsid w:val="00D223E9"/>
    <w:rsid w:val="00D22B29"/>
    <w:rsid w:val="00D234FD"/>
    <w:rsid w:val="00D23DF3"/>
    <w:rsid w:val="00D24466"/>
    <w:rsid w:val="00D2512C"/>
    <w:rsid w:val="00D251C6"/>
    <w:rsid w:val="00D255B8"/>
    <w:rsid w:val="00D25BE7"/>
    <w:rsid w:val="00D260F4"/>
    <w:rsid w:val="00D26F88"/>
    <w:rsid w:val="00D278C2"/>
    <w:rsid w:val="00D279A8"/>
    <w:rsid w:val="00D30BA8"/>
    <w:rsid w:val="00D31401"/>
    <w:rsid w:val="00D3169E"/>
    <w:rsid w:val="00D31B53"/>
    <w:rsid w:val="00D325FD"/>
    <w:rsid w:val="00D32E5F"/>
    <w:rsid w:val="00D332DC"/>
    <w:rsid w:val="00D33878"/>
    <w:rsid w:val="00D33889"/>
    <w:rsid w:val="00D338CC"/>
    <w:rsid w:val="00D34483"/>
    <w:rsid w:val="00D34936"/>
    <w:rsid w:val="00D357BE"/>
    <w:rsid w:val="00D361F7"/>
    <w:rsid w:val="00D36AEC"/>
    <w:rsid w:val="00D3713A"/>
    <w:rsid w:val="00D37195"/>
    <w:rsid w:val="00D3727F"/>
    <w:rsid w:val="00D3738C"/>
    <w:rsid w:val="00D40725"/>
    <w:rsid w:val="00D41350"/>
    <w:rsid w:val="00D41506"/>
    <w:rsid w:val="00D42026"/>
    <w:rsid w:val="00D421C6"/>
    <w:rsid w:val="00D42321"/>
    <w:rsid w:val="00D4269F"/>
    <w:rsid w:val="00D426C7"/>
    <w:rsid w:val="00D42C0C"/>
    <w:rsid w:val="00D43743"/>
    <w:rsid w:val="00D43C11"/>
    <w:rsid w:val="00D43C5E"/>
    <w:rsid w:val="00D43D47"/>
    <w:rsid w:val="00D4433E"/>
    <w:rsid w:val="00D44451"/>
    <w:rsid w:val="00D444B6"/>
    <w:rsid w:val="00D447A9"/>
    <w:rsid w:val="00D44DB6"/>
    <w:rsid w:val="00D44E95"/>
    <w:rsid w:val="00D45C37"/>
    <w:rsid w:val="00D45EF0"/>
    <w:rsid w:val="00D45F71"/>
    <w:rsid w:val="00D4624E"/>
    <w:rsid w:val="00D463B9"/>
    <w:rsid w:val="00D46B3F"/>
    <w:rsid w:val="00D46E88"/>
    <w:rsid w:val="00D46F6B"/>
    <w:rsid w:val="00D471CD"/>
    <w:rsid w:val="00D47CC4"/>
    <w:rsid w:val="00D51225"/>
    <w:rsid w:val="00D512E4"/>
    <w:rsid w:val="00D51376"/>
    <w:rsid w:val="00D522AC"/>
    <w:rsid w:val="00D533D0"/>
    <w:rsid w:val="00D53C5B"/>
    <w:rsid w:val="00D53DFB"/>
    <w:rsid w:val="00D545F4"/>
    <w:rsid w:val="00D54A7D"/>
    <w:rsid w:val="00D55035"/>
    <w:rsid w:val="00D563AA"/>
    <w:rsid w:val="00D56785"/>
    <w:rsid w:val="00D570DF"/>
    <w:rsid w:val="00D572FC"/>
    <w:rsid w:val="00D60151"/>
    <w:rsid w:val="00D60587"/>
    <w:rsid w:val="00D60BCD"/>
    <w:rsid w:val="00D60BE9"/>
    <w:rsid w:val="00D62946"/>
    <w:rsid w:val="00D631E5"/>
    <w:rsid w:val="00D636CA"/>
    <w:rsid w:val="00D64349"/>
    <w:rsid w:val="00D64354"/>
    <w:rsid w:val="00D64DDB"/>
    <w:rsid w:val="00D656DD"/>
    <w:rsid w:val="00D65B81"/>
    <w:rsid w:val="00D65F48"/>
    <w:rsid w:val="00D66854"/>
    <w:rsid w:val="00D67341"/>
    <w:rsid w:val="00D67448"/>
    <w:rsid w:val="00D67A33"/>
    <w:rsid w:val="00D67B21"/>
    <w:rsid w:val="00D70399"/>
    <w:rsid w:val="00D7057B"/>
    <w:rsid w:val="00D70932"/>
    <w:rsid w:val="00D71728"/>
    <w:rsid w:val="00D72429"/>
    <w:rsid w:val="00D725F4"/>
    <w:rsid w:val="00D72A51"/>
    <w:rsid w:val="00D73D68"/>
    <w:rsid w:val="00D73E22"/>
    <w:rsid w:val="00D73EB8"/>
    <w:rsid w:val="00D748EF"/>
    <w:rsid w:val="00D74CC2"/>
    <w:rsid w:val="00D75D06"/>
    <w:rsid w:val="00D77712"/>
    <w:rsid w:val="00D812FC"/>
    <w:rsid w:val="00D81E4F"/>
    <w:rsid w:val="00D82005"/>
    <w:rsid w:val="00D83B4B"/>
    <w:rsid w:val="00D84DC1"/>
    <w:rsid w:val="00D8537E"/>
    <w:rsid w:val="00D856AC"/>
    <w:rsid w:val="00D86920"/>
    <w:rsid w:val="00D87434"/>
    <w:rsid w:val="00D8762B"/>
    <w:rsid w:val="00D8767B"/>
    <w:rsid w:val="00D8789F"/>
    <w:rsid w:val="00D87F23"/>
    <w:rsid w:val="00D90195"/>
    <w:rsid w:val="00D903A3"/>
    <w:rsid w:val="00D90699"/>
    <w:rsid w:val="00D90701"/>
    <w:rsid w:val="00D90DAD"/>
    <w:rsid w:val="00D90FC3"/>
    <w:rsid w:val="00D90FEE"/>
    <w:rsid w:val="00D915FA"/>
    <w:rsid w:val="00D91CDF"/>
    <w:rsid w:val="00D92765"/>
    <w:rsid w:val="00D928CB"/>
    <w:rsid w:val="00D9372C"/>
    <w:rsid w:val="00D93BE0"/>
    <w:rsid w:val="00D94054"/>
    <w:rsid w:val="00D9559B"/>
    <w:rsid w:val="00D958B8"/>
    <w:rsid w:val="00D960A6"/>
    <w:rsid w:val="00D96394"/>
    <w:rsid w:val="00D96B50"/>
    <w:rsid w:val="00D96C25"/>
    <w:rsid w:val="00DA00C0"/>
    <w:rsid w:val="00DA04C8"/>
    <w:rsid w:val="00DA076A"/>
    <w:rsid w:val="00DA09DF"/>
    <w:rsid w:val="00DA0DB8"/>
    <w:rsid w:val="00DA0F66"/>
    <w:rsid w:val="00DA1082"/>
    <w:rsid w:val="00DA13D1"/>
    <w:rsid w:val="00DA1932"/>
    <w:rsid w:val="00DA1DBE"/>
    <w:rsid w:val="00DA224B"/>
    <w:rsid w:val="00DA2D31"/>
    <w:rsid w:val="00DA2E2B"/>
    <w:rsid w:val="00DA3A07"/>
    <w:rsid w:val="00DA3A84"/>
    <w:rsid w:val="00DA4744"/>
    <w:rsid w:val="00DA4B64"/>
    <w:rsid w:val="00DA5E93"/>
    <w:rsid w:val="00DA60CB"/>
    <w:rsid w:val="00DA65A3"/>
    <w:rsid w:val="00DA6932"/>
    <w:rsid w:val="00DA7EB1"/>
    <w:rsid w:val="00DB019E"/>
    <w:rsid w:val="00DB02B6"/>
    <w:rsid w:val="00DB04A5"/>
    <w:rsid w:val="00DB082F"/>
    <w:rsid w:val="00DB095A"/>
    <w:rsid w:val="00DB2410"/>
    <w:rsid w:val="00DB2642"/>
    <w:rsid w:val="00DB3434"/>
    <w:rsid w:val="00DB3C74"/>
    <w:rsid w:val="00DB4AF1"/>
    <w:rsid w:val="00DB4AFC"/>
    <w:rsid w:val="00DB4CA3"/>
    <w:rsid w:val="00DB5979"/>
    <w:rsid w:val="00DB59AC"/>
    <w:rsid w:val="00DB5C96"/>
    <w:rsid w:val="00DB6767"/>
    <w:rsid w:val="00DB711E"/>
    <w:rsid w:val="00DB7A19"/>
    <w:rsid w:val="00DC0B1C"/>
    <w:rsid w:val="00DC0FCE"/>
    <w:rsid w:val="00DC139C"/>
    <w:rsid w:val="00DC23B5"/>
    <w:rsid w:val="00DC2EB5"/>
    <w:rsid w:val="00DC3734"/>
    <w:rsid w:val="00DC3B94"/>
    <w:rsid w:val="00DC418D"/>
    <w:rsid w:val="00DC49E3"/>
    <w:rsid w:val="00DC4A9B"/>
    <w:rsid w:val="00DC5035"/>
    <w:rsid w:val="00DC6661"/>
    <w:rsid w:val="00DC6BE6"/>
    <w:rsid w:val="00DC6CF9"/>
    <w:rsid w:val="00DC77A5"/>
    <w:rsid w:val="00DC7D7D"/>
    <w:rsid w:val="00DD0461"/>
    <w:rsid w:val="00DD08D3"/>
    <w:rsid w:val="00DD0A7F"/>
    <w:rsid w:val="00DD1411"/>
    <w:rsid w:val="00DD14CC"/>
    <w:rsid w:val="00DD2112"/>
    <w:rsid w:val="00DD21ED"/>
    <w:rsid w:val="00DD2B08"/>
    <w:rsid w:val="00DD2D2E"/>
    <w:rsid w:val="00DD2F05"/>
    <w:rsid w:val="00DD4212"/>
    <w:rsid w:val="00DD442E"/>
    <w:rsid w:val="00DD46BC"/>
    <w:rsid w:val="00DD4779"/>
    <w:rsid w:val="00DD4C1C"/>
    <w:rsid w:val="00DD54F8"/>
    <w:rsid w:val="00DD57EA"/>
    <w:rsid w:val="00DD6160"/>
    <w:rsid w:val="00DD6A2D"/>
    <w:rsid w:val="00DD6FB3"/>
    <w:rsid w:val="00DD75BD"/>
    <w:rsid w:val="00DD7C25"/>
    <w:rsid w:val="00DE007B"/>
    <w:rsid w:val="00DE0380"/>
    <w:rsid w:val="00DE0BD5"/>
    <w:rsid w:val="00DE0E65"/>
    <w:rsid w:val="00DE1618"/>
    <w:rsid w:val="00DE1669"/>
    <w:rsid w:val="00DE2C32"/>
    <w:rsid w:val="00DE3583"/>
    <w:rsid w:val="00DE4C8F"/>
    <w:rsid w:val="00DE5AF7"/>
    <w:rsid w:val="00DE5E02"/>
    <w:rsid w:val="00DE673E"/>
    <w:rsid w:val="00DE69FE"/>
    <w:rsid w:val="00DE71C8"/>
    <w:rsid w:val="00DE738B"/>
    <w:rsid w:val="00DF0D08"/>
    <w:rsid w:val="00DF0F61"/>
    <w:rsid w:val="00DF162E"/>
    <w:rsid w:val="00DF1E3B"/>
    <w:rsid w:val="00DF1F4D"/>
    <w:rsid w:val="00DF2066"/>
    <w:rsid w:val="00DF2972"/>
    <w:rsid w:val="00DF2FD9"/>
    <w:rsid w:val="00DF4B28"/>
    <w:rsid w:val="00DF4C31"/>
    <w:rsid w:val="00DF5213"/>
    <w:rsid w:val="00DF572E"/>
    <w:rsid w:val="00DF5801"/>
    <w:rsid w:val="00DF59FF"/>
    <w:rsid w:val="00DF63EC"/>
    <w:rsid w:val="00DF6F16"/>
    <w:rsid w:val="00DF7464"/>
    <w:rsid w:val="00DF75B1"/>
    <w:rsid w:val="00DF75FB"/>
    <w:rsid w:val="00E002C2"/>
    <w:rsid w:val="00E0097C"/>
    <w:rsid w:val="00E019DE"/>
    <w:rsid w:val="00E01AC3"/>
    <w:rsid w:val="00E03089"/>
    <w:rsid w:val="00E030B3"/>
    <w:rsid w:val="00E03EF2"/>
    <w:rsid w:val="00E0424F"/>
    <w:rsid w:val="00E0448E"/>
    <w:rsid w:val="00E04A96"/>
    <w:rsid w:val="00E05A36"/>
    <w:rsid w:val="00E0626A"/>
    <w:rsid w:val="00E06A57"/>
    <w:rsid w:val="00E06D36"/>
    <w:rsid w:val="00E116A4"/>
    <w:rsid w:val="00E1183F"/>
    <w:rsid w:val="00E118F6"/>
    <w:rsid w:val="00E11EF9"/>
    <w:rsid w:val="00E12156"/>
    <w:rsid w:val="00E126B1"/>
    <w:rsid w:val="00E1279A"/>
    <w:rsid w:val="00E12D72"/>
    <w:rsid w:val="00E12E2D"/>
    <w:rsid w:val="00E13092"/>
    <w:rsid w:val="00E13C18"/>
    <w:rsid w:val="00E13C6A"/>
    <w:rsid w:val="00E13DCE"/>
    <w:rsid w:val="00E13EE9"/>
    <w:rsid w:val="00E14944"/>
    <w:rsid w:val="00E1499B"/>
    <w:rsid w:val="00E14AD4"/>
    <w:rsid w:val="00E14DDD"/>
    <w:rsid w:val="00E14FB2"/>
    <w:rsid w:val="00E15375"/>
    <w:rsid w:val="00E155B7"/>
    <w:rsid w:val="00E15C47"/>
    <w:rsid w:val="00E16F5E"/>
    <w:rsid w:val="00E17395"/>
    <w:rsid w:val="00E17CAF"/>
    <w:rsid w:val="00E17EB6"/>
    <w:rsid w:val="00E2078A"/>
    <w:rsid w:val="00E20AF3"/>
    <w:rsid w:val="00E20C2D"/>
    <w:rsid w:val="00E20E01"/>
    <w:rsid w:val="00E21A52"/>
    <w:rsid w:val="00E2324F"/>
    <w:rsid w:val="00E2353D"/>
    <w:rsid w:val="00E23943"/>
    <w:rsid w:val="00E24519"/>
    <w:rsid w:val="00E24EE6"/>
    <w:rsid w:val="00E25AC9"/>
    <w:rsid w:val="00E25EAB"/>
    <w:rsid w:val="00E260AE"/>
    <w:rsid w:val="00E26270"/>
    <w:rsid w:val="00E271B9"/>
    <w:rsid w:val="00E27528"/>
    <w:rsid w:val="00E27624"/>
    <w:rsid w:val="00E27C01"/>
    <w:rsid w:val="00E30A17"/>
    <w:rsid w:val="00E30E80"/>
    <w:rsid w:val="00E30F18"/>
    <w:rsid w:val="00E316F5"/>
    <w:rsid w:val="00E31F82"/>
    <w:rsid w:val="00E32FFC"/>
    <w:rsid w:val="00E332F7"/>
    <w:rsid w:val="00E34618"/>
    <w:rsid w:val="00E3534A"/>
    <w:rsid w:val="00E35833"/>
    <w:rsid w:val="00E361F4"/>
    <w:rsid w:val="00E36574"/>
    <w:rsid w:val="00E37002"/>
    <w:rsid w:val="00E3737C"/>
    <w:rsid w:val="00E37479"/>
    <w:rsid w:val="00E37493"/>
    <w:rsid w:val="00E37F1C"/>
    <w:rsid w:val="00E40810"/>
    <w:rsid w:val="00E40D2F"/>
    <w:rsid w:val="00E416A5"/>
    <w:rsid w:val="00E43D25"/>
    <w:rsid w:val="00E43E8D"/>
    <w:rsid w:val="00E44036"/>
    <w:rsid w:val="00E444D2"/>
    <w:rsid w:val="00E44975"/>
    <w:rsid w:val="00E45784"/>
    <w:rsid w:val="00E466CC"/>
    <w:rsid w:val="00E47569"/>
    <w:rsid w:val="00E475BA"/>
    <w:rsid w:val="00E4767E"/>
    <w:rsid w:val="00E478DD"/>
    <w:rsid w:val="00E50BDD"/>
    <w:rsid w:val="00E525B0"/>
    <w:rsid w:val="00E52ADC"/>
    <w:rsid w:val="00E53450"/>
    <w:rsid w:val="00E53FBC"/>
    <w:rsid w:val="00E53FF7"/>
    <w:rsid w:val="00E54896"/>
    <w:rsid w:val="00E55135"/>
    <w:rsid w:val="00E5594C"/>
    <w:rsid w:val="00E559BA"/>
    <w:rsid w:val="00E56067"/>
    <w:rsid w:val="00E56F1D"/>
    <w:rsid w:val="00E56F56"/>
    <w:rsid w:val="00E57EA5"/>
    <w:rsid w:val="00E6097E"/>
    <w:rsid w:val="00E60C62"/>
    <w:rsid w:val="00E60E83"/>
    <w:rsid w:val="00E6163C"/>
    <w:rsid w:val="00E627C3"/>
    <w:rsid w:val="00E62C36"/>
    <w:rsid w:val="00E62CEA"/>
    <w:rsid w:val="00E64076"/>
    <w:rsid w:val="00E648CE"/>
    <w:rsid w:val="00E65944"/>
    <w:rsid w:val="00E65ACE"/>
    <w:rsid w:val="00E65AD6"/>
    <w:rsid w:val="00E6684E"/>
    <w:rsid w:val="00E668F9"/>
    <w:rsid w:val="00E66D5A"/>
    <w:rsid w:val="00E6704E"/>
    <w:rsid w:val="00E6759C"/>
    <w:rsid w:val="00E676E5"/>
    <w:rsid w:val="00E67837"/>
    <w:rsid w:val="00E7024F"/>
    <w:rsid w:val="00E7168E"/>
    <w:rsid w:val="00E7199C"/>
    <w:rsid w:val="00E71DAF"/>
    <w:rsid w:val="00E72686"/>
    <w:rsid w:val="00E729B0"/>
    <w:rsid w:val="00E72F34"/>
    <w:rsid w:val="00E73102"/>
    <w:rsid w:val="00E734EE"/>
    <w:rsid w:val="00E73796"/>
    <w:rsid w:val="00E74346"/>
    <w:rsid w:val="00E74F87"/>
    <w:rsid w:val="00E7533D"/>
    <w:rsid w:val="00E753FE"/>
    <w:rsid w:val="00E75F4B"/>
    <w:rsid w:val="00E761FB"/>
    <w:rsid w:val="00E765F8"/>
    <w:rsid w:val="00E76616"/>
    <w:rsid w:val="00E7700D"/>
    <w:rsid w:val="00E77497"/>
    <w:rsid w:val="00E775A2"/>
    <w:rsid w:val="00E776FB"/>
    <w:rsid w:val="00E77853"/>
    <w:rsid w:val="00E7797F"/>
    <w:rsid w:val="00E812F1"/>
    <w:rsid w:val="00E81B19"/>
    <w:rsid w:val="00E81D86"/>
    <w:rsid w:val="00E8277B"/>
    <w:rsid w:val="00E82B69"/>
    <w:rsid w:val="00E83C03"/>
    <w:rsid w:val="00E84177"/>
    <w:rsid w:val="00E84312"/>
    <w:rsid w:val="00E84B88"/>
    <w:rsid w:val="00E84DEE"/>
    <w:rsid w:val="00E86A27"/>
    <w:rsid w:val="00E873F4"/>
    <w:rsid w:val="00E87947"/>
    <w:rsid w:val="00E87ACD"/>
    <w:rsid w:val="00E87C9F"/>
    <w:rsid w:val="00E87E75"/>
    <w:rsid w:val="00E90584"/>
    <w:rsid w:val="00E9066A"/>
    <w:rsid w:val="00E9085F"/>
    <w:rsid w:val="00E91826"/>
    <w:rsid w:val="00E918A2"/>
    <w:rsid w:val="00E92D56"/>
    <w:rsid w:val="00E92FAD"/>
    <w:rsid w:val="00E93C1E"/>
    <w:rsid w:val="00E93DAF"/>
    <w:rsid w:val="00E95D43"/>
    <w:rsid w:val="00E95DA0"/>
    <w:rsid w:val="00E96A9C"/>
    <w:rsid w:val="00E96CB3"/>
    <w:rsid w:val="00E972AF"/>
    <w:rsid w:val="00E97505"/>
    <w:rsid w:val="00EA000A"/>
    <w:rsid w:val="00EA06D6"/>
    <w:rsid w:val="00EA0DD3"/>
    <w:rsid w:val="00EA0FA3"/>
    <w:rsid w:val="00EA10C1"/>
    <w:rsid w:val="00EA1113"/>
    <w:rsid w:val="00EA1384"/>
    <w:rsid w:val="00EA1458"/>
    <w:rsid w:val="00EA1636"/>
    <w:rsid w:val="00EA1F74"/>
    <w:rsid w:val="00EA25C9"/>
    <w:rsid w:val="00EA3770"/>
    <w:rsid w:val="00EA4290"/>
    <w:rsid w:val="00EA543C"/>
    <w:rsid w:val="00EA5471"/>
    <w:rsid w:val="00EA55A1"/>
    <w:rsid w:val="00EA567A"/>
    <w:rsid w:val="00EA597A"/>
    <w:rsid w:val="00EA6A02"/>
    <w:rsid w:val="00EA6DA1"/>
    <w:rsid w:val="00EB0044"/>
    <w:rsid w:val="00EB0201"/>
    <w:rsid w:val="00EB029F"/>
    <w:rsid w:val="00EB05FB"/>
    <w:rsid w:val="00EB0E08"/>
    <w:rsid w:val="00EB0FB3"/>
    <w:rsid w:val="00EB133C"/>
    <w:rsid w:val="00EB1CC4"/>
    <w:rsid w:val="00EB1F80"/>
    <w:rsid w:val="00EB2159"/>
    <w:rsid w:val="00EB3F0F"/>
    <w:rsid w:val="00EB4186"/>
    <w:rsid w:val="00EB4A03"/>
    <w:rsid w:val="00EB50D8"/>
    <w:rsid w:val="00EB5146"/>
    <w:rsid w:val="00EB5388"/>
    <w:rsid w:val="00EB5C01"/>
    <w:rsid w:val="00EB5CA5"/>
    <w:rsid w:val="00EB6607"/>
    <w:rsid w:val="00EB6C27"/>
    <w:rsid w:val="00EB6C29"/>
    <w:rsid w:val="00EB7235"/>
    <w:rsid w:val="00EB74F8"/>
    <w:rsid w:val="00EC05C5"/>
    <w:rsid w:val="00EC0785"/>
    <w:rsid w:val="00EC0DFE"/>
    <w:rsid w:val="00EC1A4B"/>
    <w:rsid w:val="00EC1C87"/>
    <w:rsid w:val="00EC2637"/>
    <w:rsid w:val="00EC2BAC"/>
    <w:rsid w:val="00EC32DA"/>
    <w:rsid w:val="00EC3B94"/>
    <w:rsid w:val="00EC3B9F"/>
    <w:rsid w:val="00EC47D9"/>
    <w:rsid w:val="00EC48BA"/>
    <w:rsid w:val="00EC49A5"/>
    <w:rsid w:val="00EC49F7"/>
    <w:rsid w:val="00EC4CCE"/>
    <w:rsid w:val="00EC4F1C"/>
    <w:rsid w:val="00EC515A"/>
    <w:rsid w:val="00EC53D7"/>
    <w:rsid w:val="00EC5746"/>
    <w:rsid w:val="00EC5D03"/>
    <w:rsid w:val="00EC5D90"/>
    <w:rsid w:val="00EC60F6"/>
    <w:rsid w:val="00EC6464"/>
    <w:rsid w:val="00EC6704"/>
    <w:rsid w:val="00EC68E1"/>
    <w:rsid w:val="00EC6A5C"/>
    <w:rsid w:val="00EC6BE6"/>
    <w:rsid w:val="00EC7B49"/>
    <w:rsid w:val="00ED0130"/>
    <w:rsid w:val="00ED1431"/>
    <w:rsid w:val="00ED1642"/>
    <w:rsid w:val="00ED2B39"/>
    <w:rsid w:val="00ED2B85"/>
    <w:rsid w:val="00ED3400"/>
    <w:rsid w:val="00ED358A"/>
    <w:rsid w:val="00ED3954"/>
    <w:rsid w:val="00ED39C6"/>
    <w:rsid w:val="00ED3F61"/>
    <w:rsid w:val="00ED4471"/>
    <w:rsid w:val="00ED5547"/>
    <w:rsid w:val="00ED5D26"/>
    <w:rsid w:val="00ED63DE"/>
    <w:rsid w:val="00ED678B"/>
    <w:rsid w:val="00ED6B7C"/>
    <w:rsid w:val="00ED73EF"/>
    <w:rsid w:val="00ED73FB"/>
    <w:rsid w:val="00ED79BF"/>
    <w:rsid w:val="00EE002E"/>
    <w:rsid w:val="00EE0270"/>
    <w:rsid w:val="00EE0791"/>
    <w:rsid w:val="00EE0AB7"/>
    <w:rsid w:val="00EE0E44"/>
    <w:rsid w:val="00EE193B"/>
    <w:rsid w:val="00EE2397"/>
    <w:rsid w:val="00EE2670"/>
    <w:rsid w:val="00EE2989"/>
    <w:rsid w:val="00EE3109"/>
    <w:rsid w:val="00EE344E"/>
    <w:rsid w:val="00EE39FD"/>
    <w:rsid w:val="00EE44A6"/>
    <w:rsid w:val="00EE51E9"/>
    <w:rsid w:val="00EE57AB"/>
    <w:rsid w:val="00EE599D"/>
    <w:rsid w:val="00EE59A3"/>
    <w:rsid w:val="00EE627C"/>
    <w:rsid w:val="00EE62CE"/>
    <w:rsid w:val="00EE633C"/>
    <w:rsid w:val="00EE6775"/>
    <w:rsid w:val="00EE689C"/>
    <w:rsid w:val="00EE6B83"/>
    <w:rsid w:val="00EE7563"/>
    <w:rsid w:val="00EE75FC"/>
    <w:rsid w:val="00EE791A"/>
    <w:rsid w:val="00EE7ECB"/>
    <w:rsid w:val="00EF0256"/>
    <w:rsid w:val="00EF0921"/>
    <w:rsid w:val="00EF0A65"/>
    <w:rsid w:val="00EF0AA6"/>
    <w:rsid w:val="00EF10A9"/>
    <w:rsid w:val="00EF2F10"/>
    <w:rsid w:val="00EF3082"/>
    <w:rsid w:val="00EF384F"/>
    <w:rsid w:val="00EF3851"/>
    <w:rsid w:val="00EF3951"/>
    <w:rsid w:val="00EF3AD1"/>
    <w:rsid w:val="00EF3D2B"/>
    <w:rsid w:val="00EF44CC"/>
    <w:rsid w:val="00EF49AB"/>
    <w:rsid w:val="00EF52DE"/>
    <w:rsid w:val="00EF5CC9"/>
    <w:rsid w:val="00EF64E8"/>
    <w:rsid w:val="00EF6614"/>
    <w:rsid w:val="00EF66BF"/>
    <w:rsid w:val="00EF6A27"/>
    <w:rsid w:val="00EF7253"/>
    <w:rsid w:val="00F00C2F"/>
    <w:rsid w:val="00F00E83"/>
    <w:rsid w:val="00F016B6"/>
    <w:rsid w:val="00F02BBF"/>
    <w:rsid w:val="00F02BCF"/>
    <w:rsid w:val="00F0312C"/>
    <w:rsid w:val="00F03238"/>
    <w:rsid w:val="00F04683"/>
    <w:rsid w:val="00F04EBB"/>
    <w:rsid w:val="00F05364"/>
    <w:rsid w:val="00F05D8C"/>
    <w:rsid w:val="00F05F0C"/>
    <w:rsid w:val="00F0684B"/>
    <w:rsid w:val="00F06D20"/>
    <w:rsid w:val="00F06EA5"/>
    <w:rsid w:val="00F10341"/>
    <w:rsid w:val="00F1052B"/>
    <w:rsid w:val="00F107E4"/>
    <w:rsid w:val="00F11023"/>
    <w:rsid w:val="00F11297"/>
    <w:rsid w:val="00F114A0"/>
    <w:rsid w:val="00F126FF"/>
    <w:rsid w:val="00F13A61"/>
    <w:rsid w:val="00F13D8E"/>
    <w:rsid w:val="00F1410B"/>
    <w:rsid w:val="00F14207"/>
    <w:rsid w:val="00F14466"/>
    <w:rsid w:val="00F144FB"/>
    <w:rsid w:val="00F14882"/>
    <w:rsid w:val="00F14A04"/>
    <w:rsid w:val="00F14A25"/>
    <w:rsid w:val="00F14CFA"/>
    <w:rsid w:val="00F15B76"/>
    <w:rsid w:val="00F16390"/>
    <w:rsid w:val="00F168DE"/>
    <w:rsid w:val="00F16F35"/>
    <w:rsid w:val="00F1716E"/>
    <w:rsid w:val="00F17506"/>
    <w:rsid w:val="00F17602"/>
    <w:rsid w:val="00F20FB6"/>
    <w:rsid w:val="00F21070"/>
    <w:rsid w:val="00F210D4"/>
    <w:rsid w:val="00F213A5"/>
    <w:rsid w:val="00F21B78"/>
    <w:rsid w:val="00F22319"/>
    <w:rsid w:val="00F22A1B"/>
    <w:rsid w:val="00F22FF3"/>
    <w:rsid w:val="00F237ED"/>
    <w:rsid w:val="00F24109"/>
    <w:rsid w:val="00F241FF"/>
    <w:rsid w:val="00F2420C"/>
    <w:rsid w:val="00F24210"/>
    <w:rsid w:val="00F24ABD"/>
    <w:rsid w:val="00F24DE8"/>
    <w:rsid w:val="00F2520D"/>
    <w:rsid w:val="00F25709"/>
    <w:rsid w:val="00F2605A"/>
    <w:rsid w:val="00F26851"/>
    <w:rsid w:val="00F271FA"/>
    <w:rsid w:val="00F275C7"/>
    <w:rsid w:val="00F2778E"/>
    <w:rsid w:val="00F27DB7"/>
    <w:rsid w:val="00F30250"/>
    <w:rsid w:val="00F302A7"/>
    <w:rsid w:val="00F3046C"/>
    <w:rsid w:val="00F30762"/>
    <w:rsid w:val="00F310C6"/>
    <w:rsid w:val="00F31174"/>
    <w:rsid w:val="00F320B3"/>
    <w:rsid w:val="00F33051"/>
    <w:rsid w:val="00F3410E"/>
    <w:rsid w:val="00F34171"/>
    <w:rsid w:val="00F347C1"/>
    <w:rsid w:val="00F34F69"/>
    <w:rsid w:val="00F35087"/>
    <w:rsid w:val="00F360B3"/>
    <w:rsid w:val="00F36A0D"/>
    <w:rsid w:val="00F372F4"/>
    <w:rsid w:val="00F37863"/>
    <w:rsid w:val="00F37EE4"/>
    <w:rsid w:val="00F400C9"/>
    <w:rsid w:val="00F40684"/>
    <w:rsid w:val="00F40EB0"/>
    <w:rsid w:val="00F4153E"/>
    <w:rsid w:val="00F42409"/>
    <w:rsid w:val="00F42A26"/>
    <w:rsid w:val="00F42D01"/>
    <w:rsid w:val="00F42EE8"/>
    <w:rsid w:val="00F42F94"/>
    <w:rsid w:val="00F43351"/>
    <w:rsid w:val="00F43436"/>
    <w:rsid w:val="00F435E7"/>
    <w:rsid w:val="00F43699"/>
    <w:rsid w:val="00F43FAC"/>
    <w:rsid w:val="00F44731"/>
    <w:rsid w:val="00F4624E"/>
    <w:rsid w:val="00F462D6"/>
    <w:rsid w:val="00F46590"/>
    <w:rsid w:val="00F467DC"/>
    <w:rsid w:val="00F472CE"/>
    <w:rsid w:val="00F4751B"/>
    <w:rsid w:val="00F47996"/>
    <w:rsid w:val="00F47CA3"/>
    <w:rsid w:val="00F50845"/>
    <w:rsid w:val="00F5136C"/>
    <w:rsid w:val="00F51606"/>
    <w:rsid w:val="00F51CCB"/>
    <w:rsid w:val="00F52464"/>
    <w:rsid w:val="00F52B9D"/>
    <w:rsid w:val="00F52DCD"/>
    <w:rsid w:val="00F53441"/>
    <w:rsid w:val="00F53860"/>
    <w:rsid w:val="00F53C49"/>
    <w:rsid w:val="00F545CD"/>
    <w:rsid w:val="00F545CF"/>
    <w:rsid w:val="00F54A01"/>
    <w:rsid w:val="00F54AC9"/>
    <w:rsid w:val="00F54B4A"/>
    <w:rsid w:val="00F55368"/>
    <w:rsid w:val="00F553AD"/>
    <w:rsid w:val="00F560C5"/>
    <w:rsid w:val="00F566C8"/>
    <w:rsid w:val="00F568BD"/>
    <w:rsid w:val="00F57091"/>
    <w:rsid w:val="00F57599"/>
    <w:rsid w:val="00F57DA6"/>
    <w:rsid w:val="00F57E53"/>
    <w:rsid w:val="00F60672"/>
    <w:rsid w:val="00F60FD1"/>
    <w:rsid w:val="00F613CA"/>
    <w:rsid w:val="00F62251"/>
    <w:rsid w:val="00F62707"/>
    <w:rsid w:val="00F62B3A"/>
    <w:rsid w:val="00F6328B"/>
    <w:rsid w:val="00F636C0"/>
    <w:rsid w:val="00F64A65"/>
    <w:rsid w:val="00F64AC2"/>
    <w:rsid w:val="00F65728"/>
    <w:rsid w:val="00F65F63"/>
    <w:rsid w:val="00F660B6"/>
    <w:rsid w:val="00F6658C"/>
    <w:rsid w:val="00F66BD0"/>
    <w:rsid w:val="00F678A5"/>
    <w:rsid w:val="00F706E7"/>
    <w:rsid w:val="00F71822"/>
    <w:rsid w:val="00F719C3"/>
    <w:rsid w:val="00F723B0"/>
    <w:rsid w:val="00F725F9"/>
    <w:rsid w:val="00F72621"/>
    <w:rsid w:val="00F72BE9"/>
    <w:rsid w:val="00F72C25"/>
    <w:rsid w:val="00F73976"/>
    <w:rsid w:val="00F73E8C"/>
    <w:rsid w:val="00F743C9"/>
    <w:rsid w:val="00F74573"/>
    <w:rsid w:val="00F754E4"/>
    <w:rsid w:val="00F758E3"/>
    <w:rsid w:val="00F75B91"/>
    <w:rsid w:val="00F763CE"/>
    <w:rsid w:val="00F777EA"/>
    <w:rsid w:val="00F779A1"/>
    <w:rsid w:val="00F77DD9"/>
    <w:rsid w:val="00F81458"/>
    <w:rsid w:val="00F81746"/>
    <w:rsid w:val="00F82319"/>
    <w:rsid w:val="00F82A64"/>
    <w:rsid w:val="00F82E9B"/>
    <w:rsid w:val="00F831CE"/>
    <w:rsid w:val="00F833D7"/>
    <w:rsid w:val="00F83D1C"/>
    <w:rsid w:val="00F842FE"/>
    <w:rsid w:val="00F846F8"/>
    <w:rsid w:val="00F84BD9"/>
    <w:rsid w:val="00F853DC"/>
    <w:rsid w:val="00F8555B"/>
    <w:rsid w:val="00F859D7"/>
    <w:rsid w:val="00F85B79"/>
    <w:rsid w:val="00F86595"/>
    <w:rsid w:val="00F87102"/>
    <w:rsid w:val="00F872A9"/>
    <w:rsid w:val="00F8732D"/>
    <w:rsid w:val="00F87688"/>
    <w:rsid w:val="00F879E9"/>
    <w:rsid w:val="00F90F52"/>
    <w:rsid w:val="00F91160"/>
    <w:rsid w:val="00F91E06"/>
    <w:rsid w:val="00F93961"/>
    <w:rsid w:val="00F940B4"/>
    <w:rsid w:val="00F95781"/>
    <w:rsid w:val="00F95A64"/>
    <w:rsid w:val="00F96752"/>
    <w:rsid w:val="00F970C3"/>
    <w:rsid w:val="00F9794C"/>
    <w:rsid w:val="00FA01A1"/>
    <w:rsid w:val="00FA0FC4"/>
    <w:rsid w:val="00FA2141"/>
    <w:rsid w:val="00FA244D"/>
    <w:rsid w:val="00FA287D"/>
    <w:rsid w:val="00FA2966"/>
    <w:rsid w:val="00FA2F12"/>
    <w:rsid w:val="00FA3285"/>
    <w:rsid w:val="00FA37CF"/>
    <w:rsid w:val="00FA4BC6"/>
    <w:rsid w:val="00FA5202"/>
    <w:rsid w:val="00FA53E4"/>
    <w:rsid w:val="00FA5C1A"/>
    <w:rsid w:val="00FA766D"/>
    <w:rsid w:val="00FB00EE"/>
    <w:rsid w:val="00FB0A1B"/>
    <w:rsid w:val="00FB0A2A"/>
    <w:rsid w:val="00FB1114"/>
    <w:rsid w:val="00FB1AD0"/>
    <w:rsid w:val="00FB261C"/>
    <w:rsid w:val="00FB2AC2"/>
    <w:rsid w:val="00FB2BAE"/>
    <w:rsid w:val="00FB3D52"/>
    <w:rsid w:val="00FB3DC8"/>
    <w:rsid w:val="00FB403A"/>
    <w:rsid w:val="00FB47FD"/>
    <w:rsid w:val="00FB5CC7"/>
    <w:rsid w:val="00FB6023"/>
    <w:rsid w:val="00FB7323"/>
    <w:rsid w:val="00FB7416"/>
    <w:rsid w:val="00FB7931"/>
    <w:rsid w:val="00FB7DED"/>
    <w:rsid w:val="00FC07B4"/>
    <w:rsid w:val="00FC0E1C"/>
    <w:rsid w:val="00FC279B"/>
    <w:rsid w:val="00FC27D2"/>
    <w:rsid w:val="00FC2BED"/>
    <w:rsid w:val="00FC37B6"/>
    <w:rsid w:val="00FC4272"/>
    <w:rsid w:val="00FC4342"/>
    <w:rsid w:val="00FC47A7"/>
    <w:rsid w:val="00FC4FFA"/>
    <w:rsid w:val="00FC5039"/>
    <w:rsid w:val="00FC5620"/>
    <w:rsid w:val="00FC57E3"/>
    <w:rsid w:val="00FC5A40"/>
    <w:rsid w:val="00FC6CEC"/>
    <w:rsid w:val="00FC6F15"/>
    <w:rsid w:val="00FC737D"/>
    <w:rsid w:val="00FC7667"/>
    <w:rsid w:val="00FC7A6D"/>
    <w:rsid w:val="00FD1AA6"/>
    <w:rsid w:val="00FD1F41"/>
    <w:rsid w:val="00FD2396"/>
    <w:rsid w:val="00FD3EC8"/>
    <w:rsid w:val="00FD460F"/>
    <w:rsid w:val="00FD4993"/>
    <w:rsid w:val="00FD4C63"/>
    <w:rsid w:val="00FD5127"/>
    <w:rsid w:val="00FD52EE"/>
    <w:rsid w:val="00FD53B1"/>
    <w:rsid w:val="00FD5CFC"/>
    <w:rsid w:val="00FD60E4"/>
    <w:rsid w:val="00FD6434"/>
    <w:rsid w:val="00FD683D"/>
    <w:rsid w:val="00FD6A5C"/>
    <w:rsid w:val="00FD6BDD"/>
    <w:rsid w:val="00FD7A08"/>
    <w:rsid w:val="00FE03E4"/>
    <w:rsid w:val="00FE0462"/>
    <w:rsid w:val="00FE04B3"/>
    <w:rsid w:val="00FE0BCD"/>
    <w:rsid w:val="00FE0C3F"/>
    <w:rsid w:val="00FE1143"/>
    <w:rsid w:val="00FE15AA"/>
    <w:rsid w:val="00FE2077"/>
    <w:rsid w:val="00FE4795"/>
    <w:rsid w:val="00FE53F1"/>
    <w:rsid w:val="00FE54DF"/>
    <w:rsid w:val="00FE5E2E"/>
    <w:rsid w:val="00FE5E7A"/>
    <w:rsid w:val="00FE5F73"/>
    <w:rsid w:val="00FE70B1"/>
    <w:rsid w:val="00FE73FA"/>
    <w:rsid w:val="00FE7A25"/>
    <w:rsid w:val="00FE7C91"/>
    <w:rsid w:val="00FF1CA7"/>
    <w:rsid w:val="00FF2CFC"/>
    <w:rsid w:val="00FF3454"/>
    <w:rsid w:val="00FF4A0C"/>
    <w:rsid w:val="00FF51D2"/>
    <w:rsid w:val="00FF536B"/>
    <w:rsid w:val="00FF5487"/>
    <w:rsid w:val="00FF5808"/>
    <w:rsid w:val="00FF66E2"/>
    <w:rsid w:val="00FF6ED0"/>
    <w:rsid w:val="00FF7354"/>
    <w:rsid w:val="00FF7E13"/>
    <w:rsid w:val="00FF7F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DBA7"/>
  <w15:chartTrackingRefBased/>
  <w15:docId w15:val="{A9190D6B-984C-4D2A-9C08-037C7425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4C8"/>
    <w:pPr>
      <w:spacing w:after="3" w:line="219" w:lineRule="auto"/>
      <w:ind w:left="10" w:right="2" w:hanging="10"/>
      <w:jc w:val="both"/>
    </w:pPr>
    <w:rPr>
      <w:rFonts w:ascii="Avant Garde" w:eastAsia="Avant Garde" w:hAnsi="Avant Garde" w:cs="Avant Garde"/>
      <w:color w:val="000000"/>
      <w:lang w:eastAsia="es-MX"/>
    </w:rPr>
  </w:style>
  <w:style w:type="paragraph" w:styleId="Ttulo1">
    <w:name w:val="heading 1"/>
    <w:aliases w:val="h1,TOC,Heading,Numbered - 1,ARC 1,heading1,q,Heading 2-SOW,1,Gp Heading,Part,Chapter Heading,Section Heading,KJL:Main,H1,Document, Document,l,h,l1,11,12,13,14,15,111,121,131,141,16,112,122,132,142,17,113,123,133,143,18,114,124,134,144,19,115,a"/>
    <w:next w:val="Normal"/>
    <w:link w:val="Ttulo1Car"/>
    <w:uiPriority w:val="9"/>
    <w:unhideWhenUsed/>
    <w:qFormat/>
    <w:rsid w:val="00DA60CB"/>
    <w:pPr>
      <w:keepNext/>
      <w:keepLines/>
      <w:spacing w:after="0"/>
      <w:ind w:left="370" w:hanging="10"/>
      <w:outlineLvl w:val="0"/>
    </w:pPr>
    <w:rPr>
      <w:rFonts w:ascii="Avant Garde" w:eastAsia="Avant Garde" w:hAnsi="Avant Garde" w:cs="Avant Garde"/>
      <w:color w:val="000000"/>
      <w:sz w:val="24"/>
      <w:lang w:eastAsia="es-MX"/>
    </w:rPr>
  </w:style>
  <w:style w:type="paragraph" w:styleId="Ttulo2">
    <w:name w:val="heading 2"/>
    <w:aliases w:val="h2,Section,Numbered - 2,Major,título 2,ARC 2,Para2,heading2,2,headi,h21,h22,21,H2,w,heading 2,headline,side,l2,list + change bar,???,Titre 2,Chapter,1.Seite,Sub Heading,Reset numbering,KJL:1st Level,sl2,22,23,211,221,24,212,222,25,213,223,26"/>
    <w:basedOn w:val="Normal"/>
    <w:next w:val="Normal"/>
    <w:link w:val="Ttulo2Car"/>
    <w:uiPriority w:val="9"/>
    <w:unhideWhenUsed/>
    <w:qFormat/>
    <w:rsid w:val="00DA60CB"/>
    <w:pPr>
      <w:keepNext/>
      <w:keepLines/>
      <w:spacing w:before="360" w:after="240" w:line="320" w:lineRule="atLeast"/>
      <w:ind w:left="0" w:right="0" w:hanging="499"/>
      <w:outlineLvl w:val="1"/>
    </w:pPr>
    <w:rPr>
      <w:rFonts w:ascii="Times New Roman" w:eastAsia="Times New Roman" w:hAnsi="Times New Roman" w:cs="Times New Roman"/>
      <w:b/>
      <w:bCs/>
      <w:color w:val="auto"/>
      <w:sz w:val="24"/>
      <w:szCs w:val="26"/>
      <w:lang w:val="es-ES" w:eastAsia="en-US"/>
    </w:rPr>
  </w:style>
  <w:style w:type="paragraph" w:styleId="Ttulo3">
    <w:name w:val="heading 3"/>
    <w:aliases w:val="h3,3,l3,Guide 3,Head 3,List level 3,list 3,l3+toc 3,CT,X.X.X,two dig,C Sub-Sub/Italic,Head 31,Head 32,C Sub-Sub/Italic1,h3 sub heading,H3,3m,Normal + num,Heading three,Sub-section,heading 3,H31,Titre 3,_hh_Heading3,Sub-Section,ARC 3,heading3,e"/>
    <w:basedOn w:val="Normal"/>
    <w:next w:val="Normal"/>
    <w:link w:val="Ttulo3Car"/>
    <w:uiPriority w:val="9"/>
    <w:unhideWhenUsed/>
    <w:qFormat/>
    <w:rsid w:val="00DA60CB"/>
    <w:pPr>
      <w:keepNext/>
      <w:keepLines/>
      <w:spacing w:before="360" w:after="240" w:line="320" w:lineRule="atLeast"/>
      <w:ind w:left="0" w:right="0" w:hanging="499"/>
      <w:outlineLvl w:val="2"/>
    </w:pPr>
    <w:rPr>
      <w:rFonts w:ascii="Times New Roman" w:eastAsia="Times New Roman" w:hAnsi="Times New Roman" w:cs="Times New Roman"/>
      <w:b/>
      <w:bCs/>
      <w:color w:val="auto"/>
      <w:lang w:val="es-ES" w:eastAsia="en-US"/>
    </w:rPr>
  </w:style>
  <w:style w:type="paragraph" w:styleId="Ttulo4">
    <w:name w:val="heading 4"/>
    <w:aliases w:val="h4,Underunderafsnit"/>
    <w:basedOn w:val="Normal"/>
    <w:next w:val="Normal"/>
    <w:link w:val="Ttulo4Car"/>
    <w:uiPriority w:val="9"/>
    <w:unhideWhenUsed/>
    <w:qFormat/>
    <w:rsid w:val="00DA60CB"/>
    <w:pPr>
      <w:keepNext/>
      <w:keepLines/>
      <w:spacing w:before="360" w:after="240" w:line="320" w:lineRule="atLeast"/>
      <w:ind w:left="0" w:right="0" w:firstLine="0"/>
      <w:outlineLvl w:val="3"/>
    </w:pPr>
    <w:rPr>
      <w:rFonts w:ascii="Times New Roman" w:eastAsia="Times New Roman" w:hAnsi="Times New Roman" w:cs="Times New Roman"/>
      <w:bCs/>
      <w:i/>
      <w:iCs/>
      <w:color w:val="auto"/>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rueba1,Numeración 1,4 Viñ 1nivel,CNBV Parrafo1,Bullet List,Bulletr List Paragraph,Cuadrícula media 1 - Énfasis 21,Estilo0,FooterText,List Paragraph1,List Paragraph11,Listas,Paragraphe de liste1,Romano,Romanos,lp1,numbered,列出段落,列出段落1"/>
    <w:basedOn w:val="Normal"/>
    <w:link w:val="PrrafodelistaCar"/>
    <w:uiPriority w:val="34"/>
    <w:qFormat/>
    <w:rsid w:val="00BE6636"/>
    <w:pPr>
      <w:ind w:left="720"/>
      <w:contextualSpacing/>
    </w:pPr>
  </w:style>
  <w:style w:type="character" w:customStyle="1" w:styleId="PrrafodelistaCar">
    <w:name w:val="Párrafo de lista Car"/>
    <w:aliases w:val="prueba1 Car,Numeración 1 Car,4 Viñ 1nivel Car,CNBV Parrafo1 Car,Bullet List Car,Bulletr List Paragraph Car,Cuadrícula media 1 - Énfasis 21 Car,Estilo0 Car,FooterText Car,List Paragraph1 Car,List Paragraph11 Car,Listas Car,Romano Car"/>
    <w:basedOn w:val="Fuentedeprrafopredeter"/>
    <w:link w:val="Prrafodelista"/>
    <w:uiPriority w:val="34"/>
    <w:qFormat/>
    <w:rsid w:val="00BE6636"/>
    <w:rPr>
      <w:rFonts w:ascii="Avant Garde" w:eastAsia="Avant Garde" w:hAnsi="Avant Garde" w:cs="Avant Garde"/>
      <w:color w:val="000000"/>
      <w:lang w:eastAsia="es-MX"/>
    </w:rPr>
  </w:style>
  <w:style w:type="character" w:customStyle="1" w:styleId="Ttulo1Car">
    <w:name w:val="Título 1 Car"/>
    <w:aliases w:val="h1 Car,TOC Car,Heading Car,Numbered - 1 Car,ARC 1 Car,heading1 Car,q Car,Heading 2-SOW Car,1 Car,Gp Heading Car,Part Car,Chapter Heading Car,Section Heading Car,KJL:Main Car,H1 Car,Document Car, Document Car,l Car,h Car,l1 Car,11 Car,12 Car"/>
    <w:basedOn w:val="Fuentedeprrafopredeter"/>
    <w:link w:val="Ttulo1"/>
    <w:uiPriority w:val="9"/>
    <w:rsid w:val="00DA60CB"/>
    <w:rPr>
      <w:rFonts w:ascii="Avant Garde" w:eastAsia="Avant Garde" w:hAnsi="Avant Garde" w:cs="Avant Garde"/>
      <w:color w:val="000000"/>
      <w:sz w:val="24"/>
      <w:lang w:eastAsia="es-MX"/>
    </w:rPr>
  </w:style>
  <w:style w:type="character" w:customStyle="1" w:styleId="Ttulo2Car">
    <w:name w:val="Título 2 Car"/>
    <w:aliases w:val="h2 Car,Section Car,Numbered - 2 Car,Major Car,título 2 Car,ARC 2 Car,Para2 Car,heading2 Car,2 Car,headi Car,h21 Car,h22 Car,21 Car,H2 Car,w Car,heading 2 Car,headline Car,side Car,l2 Car,list + change bar Car,??? Car,Titre 2 Car,Chapter Car"/>
    <w:basedOn w:val="Fuentedeprrafopredeter"/>
    <w:link w:val="Ttulo2"/>
    <w:uiPriority w:val="9"/>
    <w:rsid w:val="00DA60CB"/>
    <w:rPr>
      <w:rFonts w:ascii="Times New Roman" w:eastAsia="Times New Roman" w:hAnsi="Times New Roman" w:cs="Times New Roman"/>
      <w:b/>
      <w:bCs/>
      <w:sz w:val="24"/>
      <w:szCs w:val="26"/>
      <w:lang w:val="es-ES"/>
    </w:rPr>
  </w:style>
  <w:style w:type="character" w:customStyle="1" w:styleId="Ttulo3Car">
    <w:name w:val="Título 3 Car"/>
    <w:aliases w:val="h3 Car,3 Car,l3 Car,Guide 3 Car,Head 3 Car,List level 3 Car,list 3 Car,l3+toc 3 Car,CT Car,X.X.X Car,two dig Car,C Sub-Sub/Italic Car,Head 31 Car,Head 32 Car,C Sub-Sub/Italic1 Car,h3 sub heading Car,H3 Car,3m Car,Normal + num Car,H31 Car"/>
    <w:basedOn w:val="Fuentedeprrafopredeter"/>
    <w:link w:val="Ttulo3"/>
    <w:uiPriority w:val="9"/>
    <w:rsid w:val="00DA60CB"/>
    <w:rPr>
      <w:rFonts w:ascii="Times New Roman" w:eastAsia="Times New Roman" w:hAnsi="Times New Roman" w:cs="Times New Roman"/>
      <w:b/>
      <w:bCs/>
      <w:lang w:val="es-ES"/>
    </w:rPr>
  </w:style>
  <w:style w:type="character" w:customStyle="1" w:styleId="Ttulo4Car">
    <w:name w:val="Título 4 Car"/>
    <w:aliases w:val="h4 Car,Underunderafsnit Car"/>
    <w:basedOn w:val="Fuentedeprrafopredeter"/>
    <w:link w:val="Ttulo4"/>
    <w:uiPriority w:val="9"/>
    <w:rsid w:val="00DA60CB"/>
    <w:rPr>
      <w:rFonts w:ascii="Times New Roman" w:eastAsia="Times New Roman" w:hAnsi="Times New Roman" w:cs="Times New Roman"/>
      <w:bCs/>
      <w:i/>
      <w:iCs/>
      <w:lang w:val="es-ES"/>
    </w:rPr>
  </w:style>
  <w:style w:type="paragraph" w:customStyle="1" w:styleId="Default">
    <w:name w:val="Default"/>
    <w:rsid w:val="00DA60CB"/>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nhideWhenUsed/>
    <w:rsid w:val="00DA60CB"/>
    <w:rPr>
      <w:sz w:val="16"/>
      <w:szCs w:val="16"/>
    </w:rPr>
  </w:style>
  <w:style w:type="paragraph" w:styleId="Textocomentario">
    <w:name w:val="annotation text"/>
    <w:basedOn w:val="Normal"/>
    <w:link w:val="TextocomentarioCar"/>
    <w:unhideWhenUsed/>
    <w:rsid w:val="00DA60CB"/>
    <w:pPr>
      <w:spacing w:after="20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comentarioCar">
    <w:name w:val="Texto comentario Car"/>
    <w:basedOn w:val="Fuentedeprrafopredeter"/>
    <w:link w:val="Textocomentario"/>
    <w:rsid w:val="00DA60CB"/>
    <w:rPr>
      <w:sz w:val="20"/>
      <w:szCs w:val="20"/>
    </w:rPr>
  </w:style>
  <w:style w:type="paragraph" w:styleId="Textodeglobo">
    <w:name w:val="Balloon Text"/>
    <w:basedOn w:val="Normal"/>
    <w:link w:val="TextodegloboCar"/>
    <w:uiPriority w:val="99"/>
    <w:unhideWhenUsed/>
    <w:rsid w:val="00DA60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DA60CB"/>
    <w:rPr>
      <w:rFonts w:ascii="Segoe UI" w:eastAsia="Avant Garde" w:hAnsi="Segoe UI" w:cs="Segoe UI"/>
      <w:color w:val="000000"/>
      <w:sz w:val="18"/>
      <w:szCs w:val="18"/>
      <w:lang w:eastAsia="es-MX"/>
    </w:rPr>
  </w:style>
  <w:style w:type="character" w:styleId="Hipervnculo">
    <w:name w:val="Hyperlink"/>
    <w:basedOn w:val="Fuentedeprrafopredeter"/>
    <w:uiPriority w:val="99"/>
    <w:unhideWhenUsed/>
    <w:rsid w:val="00DA60CB"/>
    <w:rPr>
      <w:color w:val="0563C1" w:themeColor="hyperlink"/>
      <w:u w:val="single"/>
    </w:rPr>
  </w:style>
  <w:style w:type="character" w:customStyle="1" w:styleId="apple-converted-space">
    <w:name w:val="apple-converted-space"/>
    <w:basedOn w:val="Fuentedeprrafopredeter"/>
    <w:rsid w:val="00DA60CB"/>
  </w:style>
  <w:style w:type="paragraph" w:styleId="Textoindependiente2">
    <w:name w:val="Body Text 2"/>
    <w:basedOn w:val="Normal"/>
    <w:link w:val="Textoindependiente2Car"/>
    <w:rsid w:val="00DA60CB"/>
    <w:pPr>
      <w:spacing w:after="0" w:line="240" w:lineRule="auto"/>
      <w:ind w:left="0" w:right="0" w:firstLine="0"/>
    </w:pPr>
    <w:rPr>
      <w:rFonts w:ascii="Arial" w:eastAsia="Times New Roman" w:hAnsi="Arial" w:cs="Arial"/>
      <w:snapToGrid w:val="0"/>
      <w:color w:val="auto"/>
      <w:szCs w:val="20"/>
      <w:lang w:eastAsia="en-US"/>
    </w:rPr>
  </w:style>
  <w:style w:type="character" w:customStyle="1" w:styleId="Textoindependiente2Car">
    <w:name w:val="Texto independiente 2 Car"/>
    <w:basedOn w:val="Fuentedeprrafopredeter"/>
    <w:link w:val="Textoindependiente2"/>
    <w:rsid w:val="00DA60CB"/>
    <w:rPr>
      <w:rFonts w:ascii="Arial" w:eastAsia="Times New Roman" w:hAnsi="Arial" w:cs="Arial"/>
      <w:snapToGrid w:val="0"/>
      <w:szCs w:val="20"/>
    </w:rPr>
  </w:style>
  <w:style w:type="paragraph" w:customStyle="1" w:styleId="Ejemplo">
    <w:name w:val="Ejemplo"/>
    <w:basedOn w:val="Normal"/>
    <w:link w:val="EjemploChar"/>
    <w:qFormat/>
    <w:rsid w:val="00DA60CB"/>
    <w:pPr>
      <w:spacing w:before="240" w:after="240" w:line="276" w:lineRule="auto"/>
      <w:ind w:left="0" w:right="0" w:firstLine="0"/>
      <w:jc w:val="center"/>
    </w:pPr>
    <w:rPr>
      <w:rFonts w:ascii="ITC Avant Garde" w:eastAsia="Times New Roman" w:hAnsi="ITC Avant Garde" w:cs="Arial"/>
      <w:color w:val="auto"/>
    </w:rPr>
  </w:style>
  <w:style w:type="character" w:customStyle="1" w:styleId="EjemploChar">
    <w:name w:val="Ejemplo Char"/>
    <w:basedOn w:val="Fuentedeprrafopredeter"/>
    <w:link w:val="Ejemplo"/>
    <w:rsid w:val="00DA60CB"/>
    <w:rPr>
      <w:rFonts w:ascii="ITC Avant Garde" w:eastAsia="Times New Roman" w:hAnsi="ITC Avant Garde" w:cs="Arial"/>
      <w:lang w:eastAsia="es-MX"/>
    </w:rPr>
  </w:style>
  <w:style w:type="paragraph" w:customStyle="1" w:styleId="Titulo2">
    <w:name w:val="Titulo 2"/>
    <w:basedOn w:val="Normal"/>
    <w:rsid w:val="00DA60CB"/>
    <w:pPr>
      <w:pBdr>
        <w:top w:val="double" w:sz="6" w:space="1" w:color="auto"/>
      </w:pBdr>
      <w:spacing w:after="101" w:line="240" w:lineRule="auto"/>
      <w:ind w:left="0" w:right="0" w:firstLine="0"/>
      <w:outlineLvl w:val="1"/>
    </w:pPr>
    <w:rPr>
      <w:rFonts w:ascii="Arial" w:eastAsia="Times New Roman" w:hAnsi="Arial" w:cs="Arial"/>
      <w:color w:val="auto"/>
      <w:sz w:val="18"/>
      <w:szCs w:val="20"/>
      <w:lang w:eastAsia="es-ES"/>
    </w:rPr>
  </w:style>
  <w:style w:type="paragraph" w:customStyle="1" w:styleId="Textoindependiente21">
    <w:name w:val="Texto independiente 21"/>
    <w:basedOn w:val="Normal"/>
    <w:rsid w:val="00DA60CB"/>
    <w:pPr>
      <w:suppressAutoHyphens/>
      <w:spacing w:after="0" w:line="100" w:lineRule="atLeast"/>
      <w:ind w:left="0" w:right="0" w:firstLine="0"/>
      <w:jc w:val="left"/>
    </w:pPr>
    <w:rPr>
      <w:rFonts w:ascii="Times New Roman" w:eastAsia="Times New Roman" w:hAnsi="Times New Roman" w:cs="Times New Roman"/>
      <w:color w:val="auto"/>
      <w:kern w:val="2"/>
      <w:sz w:val="20"/>
      <w:szCs w:val="20"/>
      <w:lang w:val="es-ES" w:eastAsia="ar-SA"/>
    </w:rPr>
  </w:style>
  <w:style w:type="character" w:styleId="Refdenotaalpie">
    <w:name w:val="footnote reference"/>
    <w:aliases w:val="(NECG) Footnote Reference,o,fr,Style 3,Appel note de bas de p,Style 12,Style 124,Ref,de nota al pie,Ref. de nota al pie 2,Style 6,Footnote Reference Superscript,Footnotes refss,Texto de nota al pie,Appel note de bas de page,BVI fnr,f"/>
    <w:uiPriority w:val="99"/>
    <w:qFormat/>
    <w:rsid w:val="00DA60CB"/>
    <w:rPr>
      <w:vertAlign w:val="superscript"/>
    </w:rPr>
  </w:style>
  <w:style w:type="paragraph" w:customStyle="1" w:styleId="Citas">
    <w:name w:val="Citas"/>
    <w:basedOn w:val="Normal"/>
    <w:link w:val="CitasChar"/>
    <w:qFormat/>
    <w:rsid w:val="00DA60CB"/>
    <w:pPr>
      <w:tabs>
        <w:tab w:val="left" w:pos="8280"/>
      </w:tabs>
      <w:spacing w:after="120" w:line="360" w:lineRule="auto"/>
      <w:ind w:left="567" w:right="900" w:firstLine="0"/>
    </w:pPr>
    <w:rPr>
      <w:rFonts w:ascii="Century Gothic" w:eastAsia="Times New Roman" w:hAnsi="Century Gothic" w:cs="Times New Roman"/>
      <w:i/>
      <w:color w:val="auto"/>
      <w:sz w:val="24"/>
      <w:szCs w:val="24"/>
      <w:lang w:eastAsia="es-ES"/>
    </w:rPr>
  </w:style>
  <w:style w:type="character" w:customStyle="1" w:styleId="CitasChar">
    <w:name w:val="Citas Char"/>
    <w:link w:val="Citas"/>
    <w:rsid w:val="00DA60CB"/>
    <w:rPr>
      <w:rFonts w:ascii="Century Gothic" w:eastAsia="Times New Roman" w:hAnsi="Century Gothic" w:cs="Times New Roman"/>
      <w:i/>
      <w:sz w:val="24"/>
      <w:szCs w:val="24"/>
      <w:lang w:eastAsia="es-ES"/>
    </w:rPr>
  </w:style>
  <w:style w:type="paragraph" w:styleId="Textonotapie">
    <w:name w:val="footnote text"/>
    <w:aliases w:val="Footnote Text Char Char Char,Footnote Text Char Char Char Char Char Char Char,Footnote Text Char Char Char Char Char Char Char Char Char,Footnote Text Char Char Char Char Char,Footnote Text2 Char Char,ALTS FOOTNOTE,Footnote Text Char3,5_G"/>
    <w:basedOn w:val="Normal"/>
    <w:link w:val="TextonotapieCar"/>
    <w:uiPriority w:val="99"/>
    <w:qFormat/>
    <w:rsid w:val="00DA60CB"/>
    <w:pPr>
      <w:spacing w:after="0" w:line="240" w:lineRule="auto"/>
      <w:ind w:left="0" w:right="0" w:firstLine="0"/>
      <w:jc w:val="left"/>
    </w:pPr>
    <w:rPr>
      <w:rFonts w:ascii="Arial" w:eastAsia="Times New Roman" w:hAnsi="Arial" w:cs="Times New Roman"/>
      <w:color w:val="auto"/>
      <w:sz w:val="20"/>
      <w:szCs w:val="20"/>
      <w:lang w:val="es-ES" w:eastAsia="es-ES"/>
    </w:rPr>
  </w:style>
  <w:style w:type="character" w:customStyle="1" w:styleId="TextonotapieCar">
    <w:name w:val="Texto nota pie Car"/>
    <w:aliases w:val="Footnote Text Char Char Char Car,Footnote Text Char Char Char Char Char Char Char Car,Footnote Text Char Char Char Char Char Char Char Char Char Car,Footnote Text Char Char Char Char Char Car,Footnote Text2 Char Char Car,5_G Car"/>
    <w:basedOn w:val="Fuentedeprrafopredeter"/>
    <w:link w:val="Textonotapie"/>
    <w:uiPriority w:val="99"/>
    <w:rsid w:val="00DA60CB"/>
    <w:rPr>
      <w:rFonts w:ascii="Arial" w:eastAsia="Times New Roman" w:hAnsi="Arial" w:cs="Times New Roman"/>
      <w:sz w:val="20"/>
      <w:szCs w:val="20"/>
      <w:lang w:val="es-ES" w:eastAsia="es-ES"/>
    </w:rPr>
  </w:style>
  <w:style w:type="paragraph" w:customStyle="1" w:styleId="s4">
    <w:name w:val="s4"/>
    <w:basedOn w:val="Normal"/>
    <w:rsid w:val="00DA60CB"/>
    <w:pPr>
      <w:spacing w:before="100" w:beforeAutospacing="1" w:after="100" w:afterAutospacing="1" w:line="360" w:lineRule="auto"/>
      <w:ind w:left="0" w:right="0" w:firstLine="0"/>
    </w:pPr>
    <w:rPr>
      <w:rFonts w:ascii="Times New Roman" w:eastAsia="Calibri" w:hAnsi="Times New Roman" w:cs="Times New Roman"/>
      <w:color w:val="auto"/>
      <w:sz w:val="24"/>
      <w:szCs w:val="24"/>
      <w:lang w:eastAsia="en-US"/>
    </w:rPr>
  </w:style>
  <w:style w:type="paragraph" w:customStyle="1" w:styleId="s11">
    <w:name w:val="s11"/>
    <w:basedOn w:val="Normal"/>
    <w:rsid w:val="00DA60CB"/>
    <w:pPr>
      <w:spacing w:before="100" w:beforeAutospacing="1" w:after="100" w:afterAutospacing="1" w:line="360" w:lineRule="auto"/>
      <w:ind w:left="0" w:right="0" w:firstLine="0"/>
    </w:pPr>
    <w:rPr>
      <w:rFonts w:ascii="Times New Roman" w:eastAsia="Calibri" w:hAnsi="Times New Roman" w:cs="Times New Roman"/>
      <w:color w:val="auto"/>
      <w:sz w:val="24"/>
      <w:szCs w:val="24"/>
      <w:lang w:eastAsia="en-US"/>
    </w:rPr>
  </w:style>
  <w:style w:type="character" w:customStyle="1" w:styleId="s6">
    <w:name w:val="s6"/>
    <w:rsid w:val="00DA60CB"/>
  </w:style>
  <w:style w:type="character" w:customStyle="1" w:styleId="s2">
    <w:name w:val="s2"/>
    <w:rsid w:val="00DA60CB"/>
  </w:style>
  <w:style w:type="paragraph" w:styleId="NormalWeb">
    <w:name w:val="Normal (Web)"/>
    <w:basedOn w:val="Normal"/>
    <w:uiPriority w:val="99"/>
    <w:semiHidden/>
    <w:unhideWhenUsed/>
    <w:rsid w:val="00DA60CB"/>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styleId="Descripcin">
    <w:name w:val="caption"/>
    <w:basedOn w:val="Normal"/>
    <w:next w:val="Normal"/>
    <w:uiPriority w:val="35"/>
    <w:unhideWhenUsed/>
    <w:qFormat/>
    <w:rsid w:val="00DA60CB"/>
    <w:pPr>
      <w:spacing w:after="200" w:line="240" w:lineRule="auto"/>
      <w:ind w:left="0" w:right="0" w:firstLine="0"/>
      <w:jc w:val="left"/>
    </w:pPr>
    <w:rPr>
      <w:rFonts w:asciiTheme="minorHAnsi" w:eastAsiaTheme="minorEastAsia" w:hAnsiTheme="minorHAnsi" w:cstheme="minorBidi"/>
      <w:i/>
      <w:iCs/>
      <w:color w:val="44546A" w:themeColor="text2"/>
      <w:sz w:val="18"/>
      <w:szCs w:val="18"/>
      <w:lang w:eastAsia="en-US"/>
    </w:rPr>
  </w:style>
  <w:style w:type="paragraph" w:customStyle="1" w:styleId="Normal2">
    <w:name w:val="Normal2"/>
    <w:rsid w:val="00DA60CB"/>
    <w:pPr>
      <w:spacing w:after="0" w:line="276" w:lineRule="auto"/>
    </w:pPr>
    <w:rPr>
      <w:rFonts w:ascii="Arial" w:eastAsia="Arial" w:hAnsi="Arial" w:cs="Arial"/>
      <w:color w:val="000000"/>
      <w:szCs w:val="20"/>
      <w:lang w:val="en-US"/>
    </w:rPr>
  </w:style>
  <w:style w:type="paragraph" w:customStyle="1" w:styleId="IFTnormal">
    <w:name w:val="IFT normal"/>
    <w:basedOn w:val="Normal"/>
    <w:link w:val="IFTnormalCar"/>
    <w:qFormat/>
    <w:rsid w:val="00DA60CB"/>
    <w:pPr>
      <w:spacing w:after="200" w:line="276" w:lineRule="auto"/>
      <w:ind w:left="426" w:right="0" w:firstLine="0"/>
    </w:pPr>
    <w:rPr>
      <w:rFonts w:ascii="ITC Avant Garde" w:eastAsia="Times New Roman" w:hAnsi="ITC Avant Garde" w:cs="Times New Roman"/>
      <w:iCs/>
      <w:color w:val="auto"/>
      <w:lang w:val="es-ES"/>
    </w:rPr>
  </w:style>
  <w:style w:type="paragraph" w:customStyle="1" w:styleId="TAL">
    <w:name w:val="TAL"/>
    <w:basedOn w:val="Normal"/>
    <w:link w:val="TALChar"/>
    <w:uiPriority w:val="99"/>
    <w:rsid w:val="00DA60CB"/>
    <w:pPr>
      <w:keepNext/>
      <w:keepLines/>
      <w:spacing w:after="0" w:line="240" w:lineRule="auto"/>
      <w:ind w:left="0" w:right="0" w:firstLine="0"/>
      <w:jc w:val="left"/>
    </w:pPr>
    <w:rPr>
      <w:rFonts w:ascii="Arial" w:eastAsia="Batang" w:hAnsi="Arial" w:cs="Times New Roman"/>
      <w:color w:val="auto"/>
      <w:sz w:val="18"/>
      <w:szCs w:val="20"/>
      <w:lang w:val="en-GB" w:eastAsia="es-ES"/>
    </w:rPr>
  </w:style>
  <w:style w:type="character" w:customStyle="1" w:styleId="TALChar">
    <w:name w:val="TAL Char"/>
    <w:link w:val="TAL"/>
    <w:uiPriority w:val="99"/>
    <w:locked/>
    <w:rsid w:val="00DA60CB"/>
    <w:rPr>
      <w:rFonts w:ascii="Arial" w:eastAsia="Batang" w:hAnsi="Arial" w:cs="Times New Roman"/>
      <w:sz w:val="18"/>
      <w:szCs w:val="20"/>
      <w:lang w:val="en-GB" w:eastAsia="es-ES"/>
    </w:rPr>
  </w:style>
  <w:style w:type="table" w:styleId="Tablaconcuadrcula">
    <w:name w:val="Table Grid"/>
    <w:basedOn w:val="Tablanormal"/>
    <w:uiPriority w:val="39"/>
    <w:rsid w:val="00DA6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A60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60CB"/>
    <w:rPr>
      <w:rFonts w:ascii="Avant Garde" w:eastAsia="Avant Garde" w:hAnsi="Avant Garde" w:cs="Avant Garde"/>
      <w:color w:val="000000"/>
      <w:lang w:eastAsia="es-MX"/>
    </w:rPr>
  </w:style>
  <w:style w:type="paragraph" w:styleId="Piedepgina">
    <w:name w:val="footer"/>
    <w:basedOn w:val="Normal"/>
    <w:link w:val="PiedepginaCar"/>
    <w:uiPriority w:val="99"/>
    <w:unhideWhenUsed/>
    <w:rsid w:val="00DA60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60CB"/>
    <w:rPr>
      <w:rFonts w:ascii="Avant Garde" w:eastAsia="Avant Garde" w:hAnsi="Avant Garde" w:cs="Avant Garde"/>
      <w:color w:val="000000"/>
      <w:lang w:eastAsia="es-MX"/>
    </w:rPr>
  </w:style>
  <w:style w:type="paragraph" w:styleId="Asuntodelcomentario">
    <w:name w:val="annotation subject"/>
    <w:basedOn w:val="Textocomentario"/>
    <w:next w:val="Textocomentario"/>
    <w:link w:val="AsuntodelcomentarioCar"/>
    <w:uiPriority w:val="99"/>
    <w:semiHidden/>
    <w:unhideWhenUsed/>
    <w:rsid w:val="00DA60CB"/>
    <w:pPr>
      <w:spacing w:after="3"/>
      <w:ind w:left="10" w:right="2" w:hanging="10"/>
      <w:jc w:val="both"/>
    </w:pPr>
    <w:rPr>
      <w:rFonts w:ascii="Avant Garde" w:eastAsia="Avant Garde" w:hAnsi="Avant Garde" w:cs="Avant Garde"/>
      <w:b/>
      <w:bCs/>
      <w:color w:val="000000"/>
      <w:lang w:eastAsia="es-MX"/>
    </w:rPr>
  </w:style>
  <w:style w:type="character" w:customStyle="1" w:styleId="AsuntodelcomentarioCar">
    <w:name w:val="Asunto del comentario Car"/>
    <w:basedOn w:val="TextocomentarioCar"/>
    <w:link w:val="Asuntodelcomentario"/>
    <w:uiPriority w:val="99"/>
    <w:semiHidden/>
    <w:rsid w:val="00DA60CB"/>
    <w:rPr>
      <w:rFonts w:ascii="Avant Garde" w:eastAsia="Avant Garde" w:hAnsi="Avant Garde" w:cs="Avant Garde"/>
      <w:b/>
      <w:bCs/>
      <w:color w:val="000000"/>
      <w:sz w:val="20"/>
      <w:szCs w:val="20"/>
      <w:lang w:eastAsia="es-MX"/>
    </w:rPr>
  </w:style>
  <w:style w:type="paragraph" w:styleId="Textosinformato">
    <w:name w:val="Plain Text"/>
    <w:basedOn w:val="Normal"/>
    <w:link w:val="TextosinformatoCar"/>
    <w:rsid w:val="00DA60CB"/>
    <w:pPr>
      <w:spacing w:after="0" w:line="240" w:lineRule="auto"/>
      <w:ind w:left="0" w:right="0" w:firstLine="0"/>
      <w:jc w:val="left"/>
    </w:pPr>
    <w:rPr>
      <w:rFonts w:ascii="Courier New" w:eastAsia="Times New Roman" w:hAnsi="Courier New" w:cs="Courier New"/>
      <w:color w:val="auto"/>
      <w:sz w:val="20"/>
      <w:szCs w:val="20"/>
      <w:lang w:eastAsia="es-ES"/>
    </w:rPr>
  </w:style>
  <w:style w:type="character" w:customStyle="1" w:styleId="TextosinformatoCar">
    <w:name w:val="Texto sin formato Car"/>
    <w:basedOn w:val="Fuentedeprrafopredeter"/>
    <w:link w:val="Textosinformato"/>
    <w:rsid w:val="00DA60CB"/>
    <w:rPr>
      <w:rFonts w:ascii="Courier New" w:eastAsia="Times New Roman" w:hAnsi="Courier New" w:cs="Courier New"/>
      <w:sz w:val="20"/>
      <w:szCs w:val="20"/>
      <w:lang w:eastAsia="es-ES"/>
    </w:rPr>
  </w:style>
  <w:style w:type="character" w:customStyle="1" w:styleId="IFTnormalCar">
    <w:name w:val="IFT normal Car"/>
    <w:basedOn w:val="Fuentedeprrafopredeter"/>
    <w:link w:val="IFTnormal"/>
    <w:qFormat/>
    <w:rsid w:val="00DA60CB"/>
    <w:rPr>
      <w:rFonts w:ascii="ITC Avant Garde" w:eastAsia="Times New Roman" w:hAnsi="ITC Avant Garde" w:cs="Times New Roman"/>
      <w:iCs/>
      <w:lang w:val="es-ES" w:eastAsia="es-MX"/>
    </w:rPr>
  </w:style>
  <w:style w:type="paragraph" w:customStyle="1" w:styleId="Prrafodelista1">
    <w:name w:val="Párrafo de lista1"/>
    <w:basedOn w:val="Normal"/>
    <w:uiPriority w:val="99"/>
    <w:qFormat/>
    <w:rsid w:val="00DA60CB"/>
    <w:pPr>
      <w:spacing w:after="0" w:line="240" w:lineRule="auto"/>
      <w:ind w:left="708" w:right="0" w:firstLine="0"/>
      <w:jc w:val="left"/>
    </w:pPr>
    <w:rPr>
      <w:rFonts w:ascii="Times New Roman" w:eastAsia="Times New Roman" w:hAnsi="Times New Roman" w:cs="Times New Roman"/>
      <w:color w:val="auto"/>
      <w:sz w:val="24"/>
      <w:szCs w:val="24"/>
      <w:lang w:val="es-ES" w:eastAsia="es-ES"/>
    </w:rPr>
  </w:style>
  <w:style w:type="paragraph" w:customStyle="1" w:styleId="IFT1">
    <w:name w:val="IFT 1"/>
    <w:basedOn w:val="Normal"/>
    <w:link w:val="IFT1Car"/>
    <w:qFormat/>
    <w:rsid w:val="00DA60CB"/>
    <w:pPr>
      <w:spacing w:after="200" w:line="276" w:lineRule="auto"/>
      <w:ind w:left="0" w:right="0" w:firstLine="0"/>
    </w:pPr>
    <w:rPr>
      <w:rFonts w:ascii="ITC Avant Garde" w:eastAsia="Times New Roman" w:hAnsi="ITC Avant Garde" w:cs="Times New Roman"/>
      <w:iCs/>
      <w:color w:val="auto"/>
      <w:lang w:eastAsia="en-US"/>
    </w:rPr>
  </w:style>
  <w:style w:type="character" w:customStyle="1" w:styleId="IFT1Car">
    <w:name w:val="IFT 1 Car"/>
    <w:link w:val="IFT1"/>
    <w:rsid w:val="00DA60CB"/>
    <w:rPr>
      <w:rFonts w:ascii="ITC Avant Garde" w:eastAsia="Times New Roman" w:hAnsi="ITC Avant Garde" w:cs="Times New Roman"/>
      <w:iCs/>
    </w:rPr>
  </w:style>
  <w:style w:type="paragraph" w:customStyle="1" w:styleId="Citaift">
    <w:name w:val="Cita ift"/>
    <w:basedOn w:val="Normal"/>
    <w:link w:val="CitaiftCar"/>
    <w:qFormat/>
    <w:rsid w:val="00DA60CB"/>
    <w:pPr>
      <w:adjustRightInd w:val="0"/>
      <w:spacing w:after="200" w:line="276" w:lineRule="auto"/>
      <w:ind w:left="851" w:right="760" w:firstLine="0"/>
    </w:pPr>
    <w:rPr>
      <w:rFonts w:ascii="ITC Avant Garde" w:eastAsia="Times New Roman" w:hAnsi="ITC Avant Garde" w:cs="Arial"/>
      <w:i/>
      <w:sz w:val="18"/>
      <w:szCs w:val="18"/>
      <w:lang w:eastAsia="es-ES"/>
    </w:rPr>
  </w:style>
  <w:style w:type="character" w:customStyle="1" w:styleId="CitaiftCar">
    <w:name w:val="Cita ift Car"/>
    <w:link w:val="Citaift"/>
    <w:rsid w:val="00DA60CB"/>
    <w:rPr>
      <w:rFonts w:ascii="ITC Avant Garde" w:eastAsia="Times New Roman" w:hAnsi="ITC Avant Garde" w:cs="Arial"/>
      <w:i/>
      <w:color w:val="000000"/>
      <w:sz w:val="18"/>
      <w:szCs w:val="18"/>
      <w:lang w:eastAsia="es-ES"/>
    </w:rPr>
  </w:style>
  <w:style w:type="paragraph" w:styleId="Revisin">
    <w:name w:val="Revision"/>
    <w:hidden/>
    <w:uiPriority w:val="99"/>
    <w:semiHidden/>
    <w:rsid w:val="00DA60CB"/>
    <w:pPr>
      <w:spacing w:after="0" w:line="240" w:lineRule="auto"/>
    </w:pPr>
    <w:rPr>
      <w:rFonts w:ascii="Avant Garde" w:eastAsia="Avant Garde" w:hAnsi="Avant Garde" w:cs="Avant Garde"/>
      <w:color w:val="000000"/>
      <w:lang w:eastAsia="es-MX"/>
    </w:rPr>
  </w:style>
  <w:style w:type="paragraph" w:customStyle="1" w:styleId="p1">
    <w:name w:val="p1"/>
    <w:basedOn w:val="Normal"/>
    <w:rsid w:val="00DA60CB"/>
    <w:pPr>
      <w:spacing w:after="0" w:line="240" w:lineRule="auto"/>
      <w:ind w:left="0" w:right="0" w:firstLine="0"/>
      <w:jc w:val="left"/>
    </w:pPr>
    <w:rPr>
      <w:rFonts w:ascii="Helvetica" w:eastAsiaTheme="minorHAnsi" w:hAnsi="Helvetica" w:cs="Times New Roman"/>
      <w:color w:val="auto"/>
      <w:sz w:val="18"/>
      <w:szCs w:val="18"/>
      <w:lang w:val="es-ES_tradnl" w:eastAsia="es-ES_tradnl"/>
    </w:rPr>
  </w:style>
  <w:style w:type="table" w:customStyle="1" w:styleId="Tablaconcuadrcula1">
    <w:name w:val="Tabla con cuadrícula1"/>
    <w:basedOn w:val="Tablanormal"/>
    <w:next w:val="Tablaconcuadrcula"/>
    <w:uiPriority w:val="39"/>
    <w:rsid w:val="00AE4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nhideWhenUsed/>
    <w:rsid w:val="005D2415"/>
    <w:pPr>
      <w:overflowPunct w:val="0"/>
      <w:autoSpaceDE w:val="0"/>
      <w:autoSpaceDN w:val="0"/>
      <w:spacing w:after="180" w:line="240" w:lineRule="auto"/>
      <w:ind w:left="720" w:right="0" w:hanging="360"/>
      <w:jc w:val="left"/>
    </w:pPr>
    <w:rPr>
      <w:rFonts w:ascii="Times New Roman" w:eastAsia="Times New Roman" w:hAnsi="Times New Roman" w:cs="Times New Roman"/>
      <w:color w:val="auto"/>
      <w:sz w:val="20"/>
      <w:szCs w:val="20"/>
    </w:rPr>
  </w:style>
  <w:style w:type="paragraph" w:styleId="Textonotaalfinal">
    <w:name w:val="endnote text"/>
    <w:basedOn w:val="Normal"/>
    <w:link w:val="TextonotaalfinalCar"/>
    <w:uiPriority w:val="99"/>
    <w:semiHidden/>
    <w:unhideWhenUsed/>
    <w:rsid w:val="005E543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E5437"/>
    <w:rPr>
      <w:rFonts w:ascii="Avant Garde" w:eastAsia="Avant Garde" w:hAnsi="Avant Garde" w:cs="Avant Garde"/>
      <w:color w:val="000000"/>
      <w:sz w:val="20"/>
      <w:szCs w:val="20"/>
      <w:lang w:eastAsia="es-MX"/>
    </w:rPr>
  </w:style>
  <w:style w:type="character" w:styleId="Refdenotaalfinal">
    <w:name w:val="endnote reference"/>
    <w:basedOn w:val="Fuentedeprrafopredeter"/>
    <w:uiPriority w:val="99"/>
    <w:semiHidden/>
    <w:unhideWhenUsed/>
    <w:rsid w:val="005E5437"/>
    <w:rPr>
      <w:vertAlign w:val="superscript"/>
    </w:rPr>
  </w:style>
  <w:style w:type="paragraph" w:styleId="Textoindependiente3">
    <w:name w:val="Body Text 3"/>
    <w:basedOn w:val="Normal"/>
    <w:link w:val="Textoindependiente3Car"/>
    <w:uiPriority w:val="99"/>
    <w:semiHidden/>
    <w:unhideWhenUsed/>
    <w:rsid w:val="007D522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D5224"/>
    <w:rPr>
      <w:rFonts w:ascii="Avant Garde" w:eastAsia="Avant Garde" w:hAnsi="Avant Garde" w:cs="Avant Garde"/>
      <w:color w:val="000000"/>
      <w:sz w:val="16"/>
      <w:szCs w:val="16"/>
      <w:lang w:eastAsia="es-MX"/>
    </w:rPr>
  </w:style>
  <w:style w:type="character" w:styleId="Textoennegrita">
    <w:name w:val="Strong"/>
    <w:aliases w:val="Normal negrita,ZZZ Normal negrita"/>
    <w:basedOn w:val="Fuentedeprrafopredeter"/>
    <w:uiPriority w:val="22"/>
    <w:qFormat/>
    <w:rsid w:val="007D5224"/>
    <w:rPr>
      <w:b/>
      <w:bCs/>
    </w:rPr>
  </w:style>
  <w:style w:type="paragraph" w:customStyle="1" w:styleId="paragraph">
    <w:name w:val="paragraph"/>
    <w:basedOn w:val="Normal"/>
    <w:rsid w:val="004E59E0"/>
    <w:pPr>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normaltextrun1">
    <w:name w:val="normaltextrun1"/>
    <w:basedOn w:val="Fuentedeprrafopredeter"/>
    <w:rsid w:val="004E5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52536">
      <w:bodyDiv w:val="1"/>
      <w:marLeft w:val="0"/>
      <w:marRight w:val="0"/>
      <w:marTop w:val="0"/>
      <w:marBottom w:val="0"/>
      <w:divBdr>
        <w:top w:val="none" w:sz="0" w:space="0" w:color="auto"/>
        <w:left w:val="none" w:sz="0" w:space="0" w:color="auto"/>
        <w:bottom w:val="none" w:sz="0" w:space="0" w:color="auto"/>
        <w:right w:val="none" w:sz="0" w:space="0" w:color="auto"/>
      </w:divBdr>
    </w:div>
    <w:div w:id="516576742">
      <w:bodyDiv w:val="1"/>
      <w:marLeft w:val="0"/>
      <w:marRight w:val="0"/>
      <w:marTop w:val="0"/>
      <w:marBottom w:val="0"/>
      <w:divBdr>
        <w:top w:val="none" w:sz="0" w:space="0" w:color="auto"/>
        <w:left w:val="none" w:sz="0" w:space="0" w:color="auto"/>
        <w:bottom w:val="none" w:sz="0" w:space="0" w:color="auto"/>
        <w:right w:val="none" w:sz="0" w:space="0" w:color="auto"/>
      </w:divBdr>
    </w:div>
    <w:div w:id="646250569">
      <w:bodyDiv w:val="1"/>
      <w:marLeft w:val="0"/>
      <w:marRight w:val="0"/>
      <w:marTop w:val="0"/>
      <w:marBottom w:val="0"/>
      <w:divBdr>
        <w:top w:val="none" w:sz="0" w:space="0" w:color="auto"/>
        <w:left w:val="none" w:sz="0" w:space="0" w:color="auto"/>
        <w:bottom w:val="none" w:sz="0" w:space="0" w:color="auto"/>
        <w:right w:val="none" w:sz="0" w:space="0" w:color="auto"/>
      </w:divBdr>
    </w:div>
    <w:div w:id="1030300207">
      <w:bodyDiv w:val="1"/>
      <w:marLeft w:val="0"/>
      <w:marRight w:val="0"/>
      <w:marTop w:val="0"/>
      <w:marBottom w:val="0"/>
      <w:divBdr>
        <w:top w:val="none" w:sz="0" w:space="0" w:color="auto"/>
        <w:left w:val="none" w:sz="0" w:space="0" w:color="auto"/>
        <w:bottom w:val="none" w:sz="0" w:space="0" w:color="auto"/>
        <w:right w:val="none" w:sz="0" w:space="0" w:color="auto"/>
      </w:divBdr>
    </w:div>
    <w:div w:id="1242063850">
      <w:bodyDiv w:val="1"/>
      <w:marLeft w:val="0"/>
      <w:marRight w:val="0"/>
      <w:marTop w:val="0"/>
      <w:marBottom w:val="0"/>
      <w:divBdr>
        <w:top w:val="none" w:sz="0" w:space="0" w:color="auto"/>
        <w:left w:val="none" w:sz="0" w:space="0" w:color="auto"/>
        <w:bottom w:val="none" w:sz="0" w:space="0" w:color="auto"/>
        <w:right w:val="none" w:sz="0" w:space="0" w:color="auto"/>
      </w:divBdr>
    </w:div>
    <w:div w:id="1303736388">
      <w:bodyDiv w:val="1"/>
      <w:marLeft w:val="0"/>
      <w:marRight w:val="0"/>
      <w:marTop w:val="0"/>
      <w:marBottom w:val="0"/>
      <w:divBdr>
        <w:top w:val="none" w:sz="0" w:space="0" w:color="auto"/>
        <w:left w:val="none" w:sz="0" w:space="0" w:color="auto"/>
        <w:bottom w:val="none" w:sz="0" w:space="0" w:color="auto"/>
        <w:right w:val="none" w:sz="0" w:space="0" w:color="auto"/>
      </w:divBdr>
    </w:div>
    <w:div w:id="1620602215">
      <w:bodyDiv w:val="1"/>
      <w:marLeft w:val="0"/>
      <w:marRight w:val="0"/>
      <w:marTop w:val="0"/>
      <w:marBottom w:val="0"/>
      <w:divBdr>
        <w:top w:val="none" w:sz="0" w:space="0" w:color="auto"/>
        <w:left w:val="none" w:sz="0" w:space="0" w:color="auto"/>
        <w:bottom w:val="none" w:sz="0" w:space="0" w:color="auto"/>
        <w:right w:val="none" w:sz="0" w:space="0" w:color="auto"/>
      </w:divBdr>
    </w:div>
    <w:div w:id="1921329989">
      <w:bodyDiv w:val="1"/>
      <w:marLeft w:val="0"/>
      <w:marRight w:val="0"/>
      <w:marTop w:val="0"/>
      <w:marBottom w:val="0"/>
      <w:divBdr>
        <w:top w:val="none" w:sz="0" w:space="0" w:color="auto"/>
        <w:left w:val="none" w:sz="0" w:space="0" w:color="auto"/>
        <w:bottom w:val="none" w:sz="0" w:space="0" w:color="auto"/>
        <w:right w:val="none" w:sz="0" w:space="0" w:color="auto"/>
      </w:divBdr>
    </w:div>
    <w:div w:id="1960720243">
      <w:bodyDiv w:val="1"/>
      <w:marLeft w:val="0"/>
      <w:marRight w:val="0"/>
      <w:marTop w:val="0"/>
      <w:marBottom w:val="0"/>
      <w:divBdr>
        <w:top w:val="none" w:sz="0" w:space="0" w:color="auto"/>
        <w:left w:val="none" w:sz="0" w:space="0" w:color="auto"/>
        <w:bottom w:val="none" w:sz="0" w:space="0" w:color="auto"/>
        <w:right w:val="none" w:sz="0" w:space="0" w:color="auto"/>
      </w:divBdr>
    </w:div>
    <w:div w:id="208078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ertas.referencia@ift.org.m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239E847F169D4992494C6946306634" ma:contentTypeVersion="0" ma:contentTypeDescription="Crear nuevo documento." ma:contentTypeScope="" ma:versionID="3bd7b992d69023004f9d10561e0e5344">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4B7B6-4903-4267-BF9D-70106D00C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1165C0-CEF7-40DD-9F69-8A4F56B8DEFF}">
  <ds:schemaRefs>
    <ds:schemaRef ds:uri="http://schemas.microsoft.com/sharepoint/v3/contenttype/forms"/>
  </ds:schemaRefs>
</ds:datastoreItem>
</file>

<file path=customXml/itemProps3.xml><?xml version="1.0" encoding="utf-8"?>
<ds:datastoreItem xmlns:ds="http://schemas.openxmlformats.org/officeDocument/2006/customXml" ds:itemID="{233CB623-AC96-430A-9885-810647398A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02F5D0-7A15-4712-9BAA-0CAFFF27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21561</Words>
  <Characters>118589</Characters>
  <Application>Microsoft Office Word</Application>
  <DocSecurity>0</DocSecurity>
  <Lines>988</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Trueba Ostoa</dc:creator>
  <cp:keywords/>
  <dc:description/>
  <cp:lastModifiedBy>Josue Teoyotl Calderon</cp:lastModifiedBy>
  <cp:revision>2</cp:revision>
  <cp:lastPrinted>2019-01-08T22:44:00Z</cp:lastPrinted>
  <dcterms:created xsi:type="dcterms:W3CDTF">2023-01-11T23:08:00Z</dcterms:created>
  <dcterms:modified xsi:type="dcterms:W3CDTF">2023-01-11T23:08:00Z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0x010100A7239E847F169D4992494C6946306634</vt:lpwstr>
  </property>
</Properties>
</file>