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F502A" w14:textId="2F6029D0" w:rsidR="00A13460" w:rsidRPr="00401408" w:rsidRDefault="00A13460" w:rsidP="00401408">
      <w:pPr>
        <w:spacing w:before="60" w:after="60" w:line="360" w:lineRule="auto"/>
        <w:contextualSpacing/>
        <w:jc w:val="right"/>
        <w:rPr>
          <w:rFonts w:ascii="Arial" w:hAnsi="Arial" w:cs="Arial"/>
          <w:b/>
        </w:rPr>
      </w:pPr>
      <w:bookmarkStart w:id="0" w:name="_GoBack"/>
      <w:bookmarkEnd w:id="0"/>
      <w:r w:rsidRPr="00401408">
        <w:rPr>
          <w:rFonts w:ascii="Arial" w:hAnsi="Arial" w:cs="Arial"/>
          <w:b/>
        </w:rPr>
        <w:t xml:space="preserve">Ciudad de México, a </w:t>
      </w:r>
      <w:r w:rsidR="004C65C1" w:rsidRPr="00401408">
        <w:rPr>
          <w:rFonts w:ascii="Arial" w:hAnsi="Arial" w:cs="Arial"/>
          <w:b/>
        </w:rPr>
        <w:t>11</w:t>
      </w:r>
      <w:r w:rsidRPr="00401408">
        <w:rPr>
          <w:rFonts w:ascii="Arial" w:hAnsi="Arial" w:cs="Arial"/>
          <w:b/>
        </w:rPr>
        <w:t xml:space="preserve"> de </w:t>
      </w:r>
      <w:r w:rsidR="004C65C1" w:rsidRPr="00401408">
        <w:rPr>
          <w:rFonts w:ascii="Arial" w:hAnsi="Arial" w:cs="Arial"/>
          <w:b/>
        </w:rPr>
        <w:t>octubre</w:t>
      </w:r>
      <w:r w:rsidRPr="00401408">
        <w:rPr>
          <w:rFonts w:ascii="Arial" w:hAnsi="Arial" w:cs="Arial"/>
          <w:b/>
        </w:rPr>
        <w:t xml:space="preserve"> de 2021</w:t>
      </w:r>
    </w:p>
    <w:p w14:paraId="4B41CFCF" w14:textId="77777777" w:rsidR="00707C5A" w:rsidRDefault="00707C5A" w:rsidP="00401408">
      <w:pPr>
        <w:spacing w:before="60" w:after="60" w:line="360" w:lineRule="auto"/>
        <w:contextualSpacing/>
        <w:jc w:val="both"/>
        <w:rPr>
          <w:rFonts w:ascii="Arial" w:hAnsi="Arial" w:cs="Arial"/>
          <w:lang w:val="es-ES_tradnl" w:eastAsia="es-MX"/>
        </w:rPr>
      </w:pPr>
    </w:p>
    <w:p w14:paraId="1F81456D" w14:textId="25B27BBD" w:rsidR="00EC27D9" w:rsidRDefault="00EC27D9" w:rsidP="00401408">
      <w:pPr>
        <w:spacing w:before="60" w:after="60" w:line="360" w:lineRule="auto"/>
        <w:contextualSpacing/>
        <w:jc w:val="both"/>
        <w:rPr>
          <w:rFonts w:ascii="Arial" w:hAnsi="Arial" w:cs="Arial"/>
          <w:lang w:val="es-ES_tradnl" w:eastAsia="es-MX"/>
        </w:rPr>
      </w:pPr>
      <w:r w:rsidRPr="00401408">
        <w:rPr>
          <w:rFonts w:ascii="Arial" w:hAnsi="Arial" w:cs="Arial"/>
          <w:lang w:val="es-ES_tradnl" w:eastAsia="es-MX"/>
        </w:rPr>
        <w:t xml:space="preserve">RESPUESTAS GENERALES QUE PROPORCIONA EL INSTITUTO FEDERAL DE TELECOMUNICACIONES A LAS MANIFESTACIONES, OPINIONES, COMENTARIOS Y PROPUESTAS PRESENTADAS DURANTE LA CONSULTA PÚBLICA DENOMINADA: </w:t>
      </w:r>
    </w:p>
    <w:p w14:paraId="7290524E" w14:textId="77777777" w:rsidR="00707C5A" w:rsidRPr="00401408" w:rsidRDefault="00707C5A" w:rsidP="00401408">
      <w:pPr>
        <w:spacing w:before="60" w:after="60" w:line="360" w:lineRule="auto"/>
        <w:contextualSpacing/>
        <w:jc w:val="both"/>
        <w:rPr>
          <w:rFonts w:ascii="Arial" w:hAnsi="Arial" w:cs="Arial"/>
          <w:lang w:val="es-ES_tradnl" w:eastAsia="es-MX"/>
        </w:rPr>
      </w:pPr>
    </w:p>
    <w:p w14:paraId="683E12B1" w14:textId="022C3557" w:rsidR="00A13460" w:rsidRPr="00401408" w:rsidRDefault="00EC27D9" w:rsidP="00401408">
      <w:pPr>
        <w:spacing w:before="60" w:after="60" w:line="360" w:lineRule="auto"/>
        <w:contextualSpacing/>
        <w:jc w:val="both"/>
        <w:rPr>
          <w:rFonts w:ascii="Arial" w:hAnsi="Arial" w:cs="Arial"/>
          <w:b/>
        </w:rPr>
      </w:pPr>
      <w:r w:rsidRPr="00401408">
        <w:rPr>
          <w:rFonts w:ascii="Arial" w:hAnsi="Arial" w:cs="Arial"/>
          <w:b/>
          <w:color w:val="000000"/>
        </w:rPr>
        <w:t>“</w:t>
      </w:r>
      <w:hyperlink r:id="rId7" w:tgtFrame="_blank" w:history="1">
        <w:r w:rsidRPr="00707C5A">
          <w:rPr>
            <w:rStyle w:val="Hipervnculo"/>
            <w:rFonts w:ascii="Arial" w:hAnsi="Arial" w:cs="Arial"/>
            <w:b/>
            <w:i/>
            <w:iCs/>
            <w:u w:val="none"/>
          </w:rPr>
          <w:t>CONSULTA PÚBLICA SOBRE EL ANTEPROYECTO DE ACUERDO MEDIANTE EL CUAL, EL IFT MODIFICA LOS PLANES TÉCNICOS FUNDAMENTALES DE NUMERACIÓN Y SEÑALIZACIÓN, ASÍ COMO LAS REGLAS DE PORTABILIDAD NUMÉRICA</w:t>
        </w:r>
      </w:hyperlink>
      <w:r w:rsidRPr="00401408">
        <w:rPr>
          <w:rFonts w:ascii="Arial" w:hAnsi="Arial" w:cs="Arial"/>
          <w:b/>
          <w:color w:val="000000"/>
        </w:rPr>
        <w:t>”</w:t>
      </w:r>
    </w:p>
    <w:p w14:paraId="4F882371" w14:textId="77777777" w:rsidR="00707C5A" w:rsidRDefault="00707C5A" w:rsidP="00401408">
      <w:pPr>
        <w:pStyle w:val="Default"/>
        <w:spacing w:before="60" w:after="60" w:line="360" w:lineRule="auto"/>
        <w:contextualSpacing/>
        <w:jc w:val="both"/>
        <w:rPr>
          <w:rFonts w:ascii="Arial" w:hAnsi="Arial" w:cs="Arial"/>
          <w:b/>
          <w:sz w:val="22"/>
          <w:szCs w:val="22"/>
        </w:rPr>
      </w:pPr>
    </w:p>
    <w:p w14:paraId="28B6EA30" w14:textId="4272F75B" w:rsidR="00112F6D" w:rsidRPr="00401408" w:rsidRDefault="00EC27D9" w:rsidP="00401408">
      <w:pPr>
        <w:pStyle w:val="Default"/>
        <w:spacing w:before="60" w:after="60" w:line="360" w:lineRule="auto"/>
        <w:contextualSpacing/>
        <w:jc w:val="both"/>
        <w:rPr>
          <w:rFonts w:ascii="Arial" w:hAnsi="Arial" w:cs="Arial"/>
          <w:b/>
          <w:sz w:val="22"/>
          <w:szCs w:val="22"/>
        </w:rPr>
      </w:pPr>
      <w:r w:rsidRPr="00401408">
        <w:rPr>
          <w:rFonts w:ascii="Arial" w:hAnsi="Arial" w:cs="Arial"/>
          <w:b/>
          <w:sz w:val="22"/>
          <w:szCs w:val="22"/>
        </w:rPr>
        <w:t>DESCRIPCIÓN DE LA CONSULTA PÚBLICA</w:t>
      </w:r>
    </w:p>
    <w:p w14:paraId="32637288" w14:textId="2C2D9357" w:rsidR="00A13460" w:rsidRPr="00401408" w:rsidRDefault="00A13460" w:rsidP="00401408">
      <w:pPr>
        <w:pStyle w:val="Default"/>
        <w:spacing w:before="60" w:after="60" w:line="360" w:lineRule="auto"/>
        <w:contextualSpacing/>
        <w:jc w:val="both"/>
        <w:rPr>
          <w:rFonts w:ascii="Arial" w:hAnsi="Arial" w:cs="Arial"/>
          <w:b/>
          <w:sz w:val="22"/>
          <w:szCs w:val="22"/>
        </w:rPr>
      </w:pPr>
    </w:p>
    <w:p w14:paraId="2B46EC48" w14:textId="5AB268DE" w:rsidR="00EC27D9" w:rsidRPr="00401408" w:rsidRDefault="00EC27D9" w:rsidP="00401408">
      <w:pPr>
        <w:pStyle w:val="Default"/>
        <w:spacing w:before="60" w:after="60" w:line="360" w:lineRule="auto"/>
        <w:contextualSpacing/>
        <w:jc w:val="both"/>
        <w:rPr>
          <w:rFonts w:ascii="Arial" w:hAnsi="Arial" w:cs="Arial"/>
          <w:b/>
          <w:sz w:val="22"/>
          <w:szCs w:val="22"/>
        </w:rPr>
      </w:pPr>
      <w:r w:rsidRPr="00401408">
        <w:rPr>
          <w:rFonts w:ascii="Arial" w:eastAsia="Times New Roman" w:hAnsi="Arial" w:cs="Arial"/>
          <w:sz w:val="22"/>
          <w:szCs w:val="22"/>
          <w:lang w:eastAsia="es-MX"/>
        </w:rPr>
        <w:t xml:space="preserve">La presente consulta pública tiene la finalidad de transparentar y dar a conocer la correspondiente propuesta de regulación, así como su análisis de impacto regulatorio a efecto de que las personas interesadas en la misma, puedan tener un mayor entendimiento sobre </w:t>
      </w:r>
      <w:r w:rsidR="00795A36">
        <w:rPr>
          <w:rFonts w:ascii="Arial" w:eastAsia="Times New Roman" w:hAnsi="Arial" w:cs="Arial"/>
          <w:sz w:val="22"/>
          <w:szCs w:val="22"/>
          <w:lang w:eastAsia="es-MX"/>
        </w:rPr>
        <w:t>las</w:t>
      </w:r>
      <w:r w:rsidRPr="00401408">
        <w:rPr>
          <w:rFonts w:ascii="Arial" w:eastAsia="Times New Roman" w:hAnsi="Arial" w:cs="Arial"/>
          <w:sz w:val="22"/>
          <w:szCs w:val="22"/>
          <w:lang w:eastAsia="es-MX"/>
        </w:rPr>
        <w:t xml:space="preserve"> medidas y términos propuestos por el Instituto</w:t>
      </w:r>
      <w:r w:rsidR="00795A36">
        <w:rPr>
          <w:rFonts w:ascii="Arial" w:eastAsia="Times New Roman" w:hAnsi="Arial" w:cs="Arial"/>
          <w:sz w:val="22"/>
          <w:szCs w:val="22"/>
          <w:lang w:eastAsia="es-MX"/>
        </w:rPr>
        <w:t xml:space="preserve"> Federal de Telecomunicaciones (“Instituto”)</w:t>
      </w:r>
      <w:r w:rsidRPr="00401408">
        <w:rPr>
          <w:rFonts w:ascii="Arial" w:eastAsia="Times New Roman" w:hAnsi="Arial" w:cs="Arial"/>
          <w:sz w:val="22"/>
          <w:szCs w:val="22"/>
          <w:lang w:eastAsia="es-MX"/>
        </w:rPr>
        <w:t xml:space="preserve"> y, a partir de ello, formular a </w:t>
      </w:r>
      <w:r w:rsidR="00795A36">
        <w:rPr>
          <w:rFonts w:ascii="Arial" w:eastAsia="Times New Roman" w:hAnsi="Arial" w:cs="Arial"/>
          <w:sz w:val="22"/>
          <w:szCs w:val="22"/>
          <w:lang w:eastAsia="es-MX"/>
        </w:rPr>
        <w:t>dicho</w:t>
      </w:r>
      <w:r w:rsidRPr="00401408">
        <w:rPr>
          <w:rFonts w:ascii="Arial" w:eastAsia="Times New Roman" w:hAnsi="Arial" w:cs="Arial"/>
          <w:sz w:val="22"/>
          <w:szCs w:val="22"/>
          <w:lang w:eastAsia="es-MX"/>
        </w:rPr>
        <w:t xml:space="preserve"> órgano regulador sus comentarios, opiniones o aportaciones que permitan fortalecer </w:t>
      </w:r>
      <w:r w:rsidR="00795A36">
        <w:rPr>
          <w:rFonts w:ascii="Arial" w:eastAsia="Times New Roman" w:hAnsi="Arial" w:cs="Arial"/>
          <w:sz w:val="22"/>
          <w:szCs w:val="22"/>
          <w:lang w:eastAsia="es-MX"/>
        </w:rPr>
        <w:t>tal</w:t>
      </w:r>
      <w:r w:rsidRPr="00401408">
        <w:rPr>
          <w:rFonts w:ascii="Arial" w:eastAsia="Times New Roman" w:hAnsi="Arial" w:cs="Arial"/>
          <w:sz w:val="22"/>
          <w:szCs w:val="22"/>
          <w:lang w:eastAsia="es-MX"/>
        </w:rPr>
        <w:t xml:space="preserve"> propuesta normativa, así como para afinar con mayor precisión los posibles impactos que se desprendan </w:t>
      </w:r>
      <w:r w:rsidR="00795A36">
        <w:rPr>
          <w:rFonts w:ascii="Arial" w:eastAsia="Times New Roman" w:hAnsi="Arial" w:cs="Arial"/>
          <w:sz w:val="22"/>
          <w:szCs w:val="22"/>
          <w:lang w:eastAsia="es-MX"/>
        </w:rPr>
        <w:t>en</w:t>
      </w:r>
      <w:r w:rsidRPr="00401408">
        <w:rPr>
          <w:rFonts w:ascii="Arial" w:eastAsia="Times New Roman" w:hAnsi="Arial" w:cs="Arial"/>
          <w:sz w:val="22"/>
          <w:szCs w:val="22"/>
          <w:lang w:eastAsia="es-MX"/>
        </w:rPr>
        <w:t xml:space="preserve"> razón de su posible entrada en vigor.</w:t>
      </w:r>
    </w:p>
    <w:p w14:paraId="61E00F9A" w14:textId="3B98878E" w:rsidR="00A13460" w:rsidRPr="00401408" w:rsidRDefault="00A13460" w:rsidP="00401408">
      <w:pPr>
        <w:pStyle w:val="Default"/>
        <w:spacing w:before="60" w:after="60" w:line="360" w:lineRule="auto"/>
        <w:contextualSpacing/>
        <w:jc w:val="both"/>
        <w:rPr>
          <w:rFonts w:ascii="Arial" w:hAnsi="Arial" w:cs="Arial"/>
          <w:b/>
          <w:sz w:val="22"/>
          <w:szCs w:val="22"/>
        </w:rPr>
      </w:pPr>
    </w:p>
    <w:p w14:paraId="6B7A3277" w14:textId="2AA14289" w:rsidR="00A13460" w:rsidRPr="00401408" w:rsidRDefault="00EC27D9" w:rsidP="00401408">
      <w:pPr>
        <w:pStyle w:val="Default"/>
        <w:spacing w:before="60" w:after="60" w:line="360" w:lineRule="auto"/>
        <w:contextualSpacing/>
        <w:jc w:val="both"/>
        <w:rPr>
          <w:rFonts w:ascii="Arial" w:hAnsi="Arial" w:cs="Arial"/>
          <w:b/>
          <w:sz w:val="22"/>
          <w:szCs w:val="22"/>
        </w:rPr>
      </w:pPr>
      <w:r w:rsidRPr="00401408">
        <w:rPr>
          <w:rFonts w:ascii="Arial" w:hAnsi="Arial" w:cs="Arial"/>
          <w:b/>
          <w:sz w:val="22"/>
          <w:szCs w:val="22"/>
        </w:rPr>
        <w:t>OBJETIVOS DE LA CONSULTA</w:t>
      </w:r>
    </w:p>
    <w:p w14:paraId="4133F2E4" w14:textId="00F9E7A1" w:rsidR="00A13460" w:rsidRPr="00401408" w:rsidRDefault="00A13460" w:rsidP="00401408">
      <w:pPr>
        <w:pStyle w:val="Default"/>
        <w:spacing w:before="60" w:after="60" w:line="360" w:lineRule="auto"/>
        <w:contextualSpacing/>
        <w:jc w:val="both"/>
        <w:rPr>
          <w:rFonts w:ascii="Arial" w:hAnsi="Arial" w:cs="Arial"/>
          <w:b/>
          <w:sz w:val="22"/>
          <w:szCs w:val="22"/>
        </w:rPr>
      </w:pPr>
    </w:p>
    <w:p w14:paraId="21D319DB" w14:textId="67CACE49" w:rsidR="00A13460" w:rsidRPr="00401408" w:rsidRDefault="00A13460" w:rsidP="00401408">
      <w:pPr>
        <w:spacing w:before="60" w:after="60" w:line="360" w:lineRule="auto"/>
        <w:contextualSpacing/>
        <w:jc w:val="both"/>
        <w:rPr>
          <w:rFonts w:ascii="Arial" w:eastAsia="Times New Roman" w:hAnsi="Arial" w:cs="Arial"/>
          <w:color w:val="000000"/>
          <w:lang w:eastAsia="es-MX"/>
        </w:rPr>
      </w:pPr>
      <w:r w:rsidRPr="00401408">
        <w:rPr>
          <w:rFonts w:ascii="Arial" w:eastAsia="Times New Roman" w:hAnsi="Arial" w:cs="Arial"/>
          <w:color w:val="000000"/>
          <w:lang w:eastAsia="es-MX"/>
        </w:rPr>
        <w:t xml:space="preserve">Los objetivos principales del </w:t>
      </w:r>
      <w:r w:rsidR="004E133A" w:rsidRPr="00401408">
        <w:rPr>
          <w:rFonts w:ascii="Arial" w:eastAsia="Times New Roman" w:hAnsi="Arial" w:cs="Arial"/>
          <w:color w:val="000000"/>
          <w:lang w:eastAsia="es-MX"/>
        </w:rPr>
        <w:t>“</w:t>
      </w:r>
      <w:r w:rsidRPr="00795A36">
        <w:rPr>
          <w:rFonts w:ascii="Arial" w:eastAsia="Times New Roman" w:hAnsi="Arial" w:cs="Arial"/>
          <w:i/>
          <w:iCs/>
          <w:color w:val="000000"/>
          <w:lang w:eastAsia="es-MX"/>
        </w:rPr>
        <w:t>Anteproyecto</w:t>
      </w:r>
      <w:r w:rsidR="004E133A" w:rsidRPr="00795A36">
        <w:rPr>
          <w:rFonts w:ascii="Arial" w:eastAsia="Times New Roman" w:hAnsi="Arial" w:cs="Arial"/>
          <w:i/>
          <w:iCs/>
          <w:color w:val="000000"/>
          <w:lang w:eastAsia="es-MX"/>
        </w:rPr>
        <w:t xml:space="preserve"> de Acuerdo mediante el cual el Pleno del Instituto Federal de Telecomunicaciones modifica los planes técnicos fundamentales de numeración y señalización y lo referente a las reglas de portabilidad numérica, publicados en el Diario Oficial de la Federación el 11 de mayo de 2018</w:t>
      </w:r>
      <w:r w:rsidR="004E133A" w:rsidRPr="00401408">
        <w:rPr>
          <w:rFonts w:ascii="Arial" w:eastAsia="Times New Roman" w:hAnsi="Arial" w:cs="Arial"/>
          <w:color w:val="000000"/>
          <w:lang w:eastAsia="es-MX"/>
        </w:rPr>
        <w:t>” (“Anteproyecto”)</w:t>
      </w:r>
      <w:r w:rsidRPr="00401408">
        <w:rPr>
          <w:rFonts w:ascii="Arial" w:eastAsia="Times New Roman" w:hAnsi="Arial" w:cs="Arial"/>
          <w:color w:val="000000"/>
          <w:lang w:eastAsia="es-MX"/>
        </w:rPr>
        <w:t xml:space="preserve"> consisten en: </w:t>
      </w:r>
      <w:r w:rsidRPr="00401408">
        <w:rPr>
          <w:rFonts w:ascii="Arial" w:eastAsia="Times New Roman" w:hAnsi="Arial" w:cs="Arial"/>
          <w:b/>
          <w:bCs/>
          <w:color w:val="000000"/>
          <w:lang w:eastAsia="es-MX"/>
        </w:rPr>
        <w:t>i)</w:t>
      </w:r>
      <w:r w:rsidRPr="00401408">
        <w:rPr>
          <w:rFonts w:ascii="Arial" w:eastAsia="Times New Roman" w:hAnsi="Arial" w:cs="Arial"/>
          <w:color w:val="000000"/>
          <w:lang w:eastAsia="es-MX"/>
        </w:rPr>
        <w:t> reconocer el derecho de los titulares de una concesión única, para uso público o social, a contar con un código de identificación administrativo y recursos de numeración propios o provistos por un concesionario de uso comercial o de una red pública de telecomunicaciones, e </w:t>
      </w:r>
      <w:proofErr w:type="spellStart"/>
      <w:r w:rsidRPr="00401408">
        <w:rPr>
          <w:rFonts w:ascii="Arial" w:eastAsia="Times New Roman" w:hAnsi="Arial" w:cs="Arial"/>
          <w:b/>
          <w:bCs/>
          <w:color w:val="000000"/>
          <w:lang w:eastAsia="es-MX"/>
        </w:rPr>
        <w:t>ii</w:t>
      </w:r>
      <w:proofErr w:type="spellEnd"/>
      <w:r w:rsidRPr="00401408">
        <w:rPr>
          <w:rFonts w:ascii="Arial" w:eastAsia="Times New Roman" w:hAnsi="Arial" w:cs="Arial"/>
          <w:b/>
          <w:bCs/>
          <w:color w:val="000000"/>
          <w:lang w:eastAsia="es-MX"/>
        </w:rPr>
        <w:t>)</w:t>
      </w:r>
      <w:r w:rsidRPr="00401408">
        <w:rPr>
          <w:rFonts w:ascii="Arial" w:eastAsia="Times New Roman" w:hAnsi="Arial" w:cs="Arial"/>
          <w:color w:val="000000"/>
          <w:lang w:eastAsia="es-MX"/>
        </w:rPr>
        <w:t xml:space="preserve"> incorporar el uso de la Ventanilla Electrónica como herramienta para la sustanciación de los trámites y servicios previstos en los Planes Técnicos Fundamentales de Numeración y Señalización, a fin de ser </w:t>
      </w:r>
      <w:r w:rsidRPr="00401408">
        <w:rPr>
          <w:rFonts w:ascii="Arial" w:eastAsia="Times New Roman" w:hAnsi="Arial" w:cs="Arial"/>
          <w:color w:val="000000"/>
          <w:lang w:eastAsia="es-MX"/>
        </w:rPr>
        <w:lastRenderedPageBreak/>
        <w:t>consistentes con las acciones emprendidas por este órgano constitucional autónomo en materia de Gobierno Electrónico.</w:t>
      </w:r>
    </w:p>
    <w:p w14:paraId="41C8A56D" w14:textId="77777777" w:rsidR="00EC27D9" w:rsidRPr="00401408" w:rsidRDefault="00EC27D9" w:rsidP="00401408">
      <w:pPr>
        <w:spacing w:before="60" w:after="60" w:line="360" w:lineRule="auto"/>
        <w:contextualSpacing/>
        <w:jc w:val="both"/>
        <w:rPr>
          <w:rFonts w:ascii="Arial" w:eastAsia="ITC Avant Garde" w:hAnsi="Arial" w:cs="Arial"/>
          <w:b/>
          <w:color w:val="000000" w:themeColor="text1"/>
          <w:lang w:val="es-ES" w:eastAsia="es-MX"/>
        </w:rPr>
      </w:pPr>
      <w:r w:rsidRPr="00401408">
        <w:rPr>
          <w:rFonts w:ascii="Arial" w:eastAsia="ITC Avant Garde" w:hAnsi="Arial" w:cs="Arial"/>
          <w:b/>
          <w:color w:val="000000" w:themeColor="text1"/>
          <w:lang w:val="es-ES" w:eastAsia="es-MX"/>
        </w:rPr>
        <w:t>UNIDAD RESPONSABLE DE LA CONSULTA PÚBLICA:</w:t>
      </w:r>
    </w:p>
    <w:p w14:paraId="497F2F0D" w14:textId="59561BDA" w:rsidR="00EC27D9" w:rsidRPr="00401408" w:rsidRDefault="003C5760" w:rsidP="00401408">
      <w:pPr>
        <w:spacing w:before="60" w:after="60" w:line="360" w:lineRule="auto"/>
        <w:contextualSpacing/>
        <w:jc w:val="both"/>
        <w:rPr>
          <w:rFonts w:ascii="Arial" w:eastAsia="ITC Avant Garde" w:hAnsi="Arial" w:cs="Arial"/>
          <w:color w:val="000000" w:themeColor="text1"/>
          <w:lang w:val="es-ES" w:eastAsia="es-MX"/>
        </w:rPr>
      </w:pPr>
      <w:r w:rsidRPr="00401408">
        <w:rPr>
          <w:rFonts w:ascii="Arial" w:eastAsia="ITC Avant Garde" w:hAnsi="Arial" w:cs="Arial"/>
          <w:color w:val="000000" w:themeColor="text1"/>
          <w:lang w:val="es-ES" w:eastAsia="es-MX"/>
        </w:rPr>
        <w:t>Unidad de Concesiones y Servicios</w:t>
      </w:r>
    </w:p>
    <w:p w14:paraId="2F3CD825" w14:textId="254575DB" w:rsidR="00EC27D9" w:rsidRPr="00401408" w:rsidRDefault="00EC27D9" w:rsidP="00401408">
      <w:pPr>
        <w:spacing w:before="60" w:after="60" w:line="360" w:lineRule="auto"/>
        <w:contextualSpacing/>
        <w:jc w:val="both"/>
        <w:rPr>
          <w:rFonts w:ascii="Arial" w:eastAsia="ITC Avant Garde" w:hAnsi="Arial" w:cs="Arial"/>
          <w:b/>
          <w:color w:val="000000" w:themeColor="text1"/>
          <w:lang w:val="es-ES" w:eastAsia="es-MX"/>
        </w:rPr>
      </w:pPr>
      <w:r w:rsidRPr="00401408">
        <w:rPr>
          <w:rFonts w:ascii="Arial" w:eastAsia="ITC Avant Garde" w:hAnsi="Arial" w:cs="Arial"/>
          <w:b/>
          <w:color w:val="000000" w:themeColor="text1"/>
          <w:lang w:val="es-ES" w:eastAsia="es-MX"/>
        </w:rPr>
        <w:t>DESCRIPCIÓN DE LOS</w:t>
      </w:r>
      <w:r w:rsidR="003C5760" w:rsidRPr="00401408">
        <w:rPr>
          <w:rFonts w:ascii="Arial" w:eastAsia="ITC Avant Garde" w:hAnsi="Arial" w:cs="Arial"/>
          <w:b/>
          <w:color w:val="000000" w:themeColor="text1"/>
          <w:lang w:val="es-ES" w:eastAsia="es-MX"/>
        </w:rPr>
        <w:t xml:space="preserve"> PARTICIPANTES</w:t>
      </w:r>
    </w:p>
    <w:p w14:paraId="50D3C0E9" w14:textId="1DDD6A59" w:rsidR="003C5760" w:rsidRPr="00401408" w:rsidRDefault="003C5760"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sz w:val="22"/>
          <w:szCs w:val="22"/>
        </w:rPr>
        <w:t>Durante el plazo de la consulta pública de mérito</w:t>
      </w:r>
      <w:r w:rsidRPr="00401408">
        <w:rPr>
          <w:rFonts w:ascii="Arial" w:hAnsi="Arial" w:cs="Arial"/>
          <w:color w:val="auto"/>
          <w:sz w:val="22"/>
          <w:szCs w:val="22"/>
        </w:rPr>
        <w:t xml:space="preserve">, se recibieron 8 participaciones, 1 formulada por una persona física y 7 formuladas por personas morales, las cuales se listan a continuación: </w:t>
      </w:r>
    </w:p>
    <w:p w14:paraId="669C8EAC" w14:textId="77777777" w:rsidR="003C5760" w:rsidRPr="00401408" w:rsidRDefault="003C5760"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 </w:t>
      </w:r>
    </w:p>
    <w:p w14:paraId="1F1A4922" w14:textId="77777777" w:rsidR="003C5760" w:rsidRPr="00401408"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AT&amp;T Comunicaciones Digitales, S. de R.L. de C.V., Grupo AT&amp;T </w:t>
      </w:r>
      <w:proofErr w:type="spellStart"/>
      <w:r w:rsidRPr="00401408">
        <w:rPr>
          <w:rFonts w:ascii="Arial" w:hAnsi="Arial" w:cs="Arial"/>
          <w:color w:val="auto"/>
          <w:sz w:val="22"/>
          <w:szCs w:val="22"/>
        </w:rPr>
        <w:t>Celullar</w:t>
      </w:r>
      <w:proofErr w:type="spellEnd"/>
      <w:r w:rsidRPr="00401408">
        <w:rPr>
          <w:rFonts w:ascii="Arial" w:hAnsi="Arial" w:cs="Arial"/>
          <w:color w:val="auto"/>
          <w:sz w:val="22"/>
          <w:szCs w:val="22"/>
        </w:rPr>
        <w:t>, S. de R.L. de C.V., AT&amp;T Norte, S. de R.L. de C.V., AT&amp;T Comercialización Móvil, S. de R.L. de C.V. y AT&amp;T Desarrollo en Comunicaciones de México, S. de R.L. de C.V. (“Grupo AT&amp;T”);</w:t>
      </w:r>
    </w:p>
    <w:p w14:paraId="4E745F5D" w14:textId="77777777" w:rsidR="003C5760" w:rsidRPr="00401408"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Mega Cable, S.A. de C.V.(“Megacable”);</w:t>
      </w:r>
    </w:p>
    <w:p w14:paraId="617B4D99" w14:textId="77777777" w:rsidR="003C5760" w:rsidRPr="00401408"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Cámara Nacional de la Industria Electrónica, de Telecomunicaciones y Tecnologías de la Información (“CANIETI”);</w:t>
      </w:r>
    </w:p>
    <w:p w14:paraId="525CC61D" w14:textId="77777777" w:rsidR="003C5760" w:rsidRPr="00401408"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Megacable Comunicaciones de México, S.A. de C.V. (“MCM”);</w:t>
      </w:r>
    </w:p>
    <w:p w14:paraId="4C293714" w14:textId="77777777" w:rsidR="003C5760" w:rsidRPr="00401408"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Telecomunicaciones Indígenas Comunitarias, A.C. (“TIC”); </w:t>
      </w:r>
    </w:p>
    <w:p w14:paraId="6432CD5C" w14:textId="77777777" w:rsidR="003C5760" w:rsidRPr="00401408"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Altán Redes, S.A.P.I. de C.V. (“Altán”);</w:t>
      </w:r>
    </w:p>
    <w:p w14:paraId="0BFD2D20" w14:textId="77777777" w:rsidR="003C5760" w:rsidRPr="00401408"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Cablevisión Red, S.A. de C.V. y </w:t>
      </w:r>
      <w:proofErr w:type="spellStart"/>
      <w:r w:rsidRPr="00401408">
        <w:rPr>
          <w:rFonts w:ascii="Arial" w:hAnsi="Arial" w:cs="Arial"/>
          <w:color w:val="auto"/>
          <w:sz w:val="22"/>
          <w:szCs w:val="22"/>
        </w:rPr>
        <w:t>Operbes</w:t>
      </w:r>
      <w:proofErr w:type="spellEnd"/>
      <w:r w:rsidRPr="00401408">
        <w:rPr>
          <w:rFonts w:ascii="Arial" w:hAnsi="Arial" w:cs="Arial"/>
          <w:color w:val="auto"/>
          <w:sz w:val="22"/>
          <w:szCs w:val="22"/>
        </w:rPr>
        <w:t>, S.A. de C.V. (“Cablevisión Red” y “</w:t>
      </w:r>
      <w:proofErr w:type="spellStart"/>
      <w:r w:rsidRPr="00401408">
        <w:rPr>
          <w:rFonts w:ascii="Arial" w:hAnsi="Arial" w:cs="Arial"/>
          <w:color w:val="auto"/>
          <w:sz w:val="22"/>
          <w:szCs w:val="22"/>
        </w:rPr>
        <w:t>Operbes</w:t>
      </w:r>
      <w:proofErr w:type="spellEnd"/>
      <w:r w:rsidRPr="00401408">
        <w:rPr>
          <w:rFonts w:ascii="Arial" w:hAnsi="Arial" w:cs="Arial"/>
          <w:color w:val="auto"/>
          <w:sz w:val="22"/>
          <w:szCs w:val="22"/>
        </w:rPr>
        <w:t>”); y</w:t>
      </w:r>
    </w:p>
    <w:p w14:paraId="0AB8CAEB" w14:textId="6E4D45E0" w:rsidR="003C5760" w:rsidRPr="00401408"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Jesús Emmanuel Gómez Arriaga</w:t>
      </w:r>
    </w:p>
    <w:p w14:paraId="31DE00DA" w14:textId="5A693D95" w:rsidR="003C5760" w:rsidRPr="00401408" w:rsidRDefault="003C5760" w:rsidP="00401408">
      <w:pPr>
        <w:pStyle w:val="Default"/>
        <w:spacing w:before="60" w:after="60" w:line="360" w:lineRule="auto"/>
        <w:contextualSpacing/>
        <w:jc w:val="both"/>
        <w:rPr>
          <w:rFonts w:ascii="Arial" w:hAnsi="Arial" w:cs="Arial"/>
          <w:color w:val="auto"/>
          <w:sz w:val="22"/>
          <w:szCs w:val="22"/>
        </w:rPr>
      </w:pPr>
    </w:p>
    <w:p w14:paraId="3BAA0A37" w14:textId="53DBFD7B" w:rsidR="004E133A" w:rsidRPr="00401408" w:rsidRDefault="00E34DB3"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sz w:val="22"/>
          <w:szCs w:val="22"/>
        </w:rPr>
        <w:t xml:space="preserve">Cabe señalar que </w:t>
      </w:r>
      <w:r w:rsidR="004E133A" w:rsidRPr="00401408">
        <w:rPr>
          <w:rFonts w:ascii="Arial" w:hAnsi="Arial" w:cs="Arial"/>
          <w:sz w:val="22"/>
          <w:szCs w:val="22"/>
        </w:rPr>
        <w:t>todos y cada uno de los comentarios, opiniones y propuestas co</w:t>
      </w:r>
      <w:r w:rsidRPr="00401408">
        <w:rPr>
          <w:rFonts w:ascii="Arial" w:hAnsi="Arial" w:cs="Arial"/>
          <w:sz w:val="22"/>
          <w:szCs w:val="22"/>
        </w:rPr>
        <w:t xml:space="preserve">ncretas recibidas respecto del </w:t>
      </w:r>
      <w:r w:rsidR="004E133A" w:rsidRPr="00401408">
        <w:rPr>
          <w:rFonts w:ascii="Arial" w:hAnsi="Arial" w:cs="Arial"/>
          <w:sz w:val="22"/>
          <w:szCs w:val="22"/>
        </w:rPr>
        <w:t>Anteproyecto</w:t>
      </w:r>
      <w:r w:rsidRPr="00401408">
        <w:rPr>
          <w:rFonts w:ascii="Arial" w:hAnsi="Arial" w:cs="Arial"/>
          <w:sz w:val="22"/>
          <w:szCs w:val="22"/>
        </w:rPr>
        <w:t>,</w:t>
      </w:r>
      <w:r w:rsidR="004E133A" w:rsidRPr="00401408">
        <w:rPr>
          <w:rFonts w:ascii="Arial" w:hAnsi="Arial" w:cs="Arial"/>
          <w:sz w:val="22"/>
          <w:szCs w:val="22"/>
        </w:rPr>
        <w:t xml:space="preserve"> </w:t>
      </w:r>
      <w:r w:rsidRPr="00401408">
        <w:rPr>
          <w:rFonts w:ascii="Arial" w:hAnsi="Arial" w:cs="Arial"/>
          <w:sz w:val="22"/>
          <w:szCs w:val="22"/>
        </w:rPr>
        <w:t xml:space="preserve">se publicaron en el portal de Internet del Instituto para su consulta. </w:t>
      </w:r>
    </w:p>
    <w:p w14:paraId="6BDA9599" w14:textId="0F0162D5" w:rsidR="004E133A" w:rsidRPr="00401408" w:rsidRDefault="004E133A" w:rsidP="00401408">
      <w:pPr>
        <w:pStyle w:val="Default"/>
        <w:spacing w:before="60" w:after="60" w:line="360" w:lineRule="auto"/>
        <w:contextualSpacing/>
        <w:jc w:val="both"/>
        <w:rPr>
          <w:rFonts w:ascii="Arial" w:hAnsi="Arial" w:cs="Arial"/>
          <w:color w:val="auto"/>
          <w:sz w:val="22"/>
          <w:szCs w:val="22"/>
        </w:rPr>
      </w:pPr>
    </w:p>
    <w:p w14:paraId="0975414B" w14:textId="77777777" w:rsidR="00EC27D9" w:rsidRPr="00401408" w:rsidRDefault="00EC27D9" w:rsidP="00401408">
      <w:pPr>
        <w:spacing w:before="60" w:after="60" w:line="360" w:lineRule="auto"/>
        <w:contextualSpacing/>
        <w:jc w:val="both"/>
        <w:rPr>
          <w:rFonts w:ascii="Arial" w:eastAsia="ITC Avant Garde" w:hAnsi="Arial" w:cs="Arial"/>
          <w:b/>
          <w:color w:val="000000"/>
          <w:lang w:val="es-ES_tradnl" w:eastAsia="es-MX"/>
        </w:rPr>
      </w:pPr>
      <w:r w:rsidRPr="00401408">
        <w:rPr>
          <w:rFonts w:ascii="Arial" w:eastAsia="ITC Avant Garde" w:hAnsi="Arial" w:cs="Arial"/>
          <w:b/>
          <w:color w:val="000000"/>
          <w:lang w:val="es-ES_tradnl" w:eastAsia="es-MX"/>
        </w:rPr>
        <w:t>RESPUESTAS O POSICIONAMIENTOS DEL INSTITUTO</w:t>
      </w:r>
    </w:p>
    <w:p w14:paraId="554A253E" w14:textId="096DE96A" w:rsidR="003C5760" w:rsidRPr="00401408" w:rsidRDefault="003C5760" w:rsidP="00401408">
      <w:pPr>
        <w:pStyle w:val="Default"/>
        <w:spacing w:before="60" w:after="60" w:line="360" w:lineRule="auto"/>
        <w:contextualSpacing/>
        <w:jc w:val="both"/>
        <w:rPr>
          <w:rFonts w:ascii="Arial" w:hAnsi="Arial" w:cs="Arial"/>
          <w:sz w:val="22"/>
          <w:szCs w:val="22"/>
        </w:rPr>
      </w:pPr>
      <w:r w:rsidRPr="00401408">
        <w:rPr>
          <w:rFonts w:ascii="Arial" w:hAnsi="Arial" w:cs="Arial"/>
          <w:sz w:val="22"/>
          <w:szCs w:val="22"/>
        </w:rPr>
        <w:t xml:space="preserve">Con relación a las manifestaciones, opiniones, comentarios y propuestas concretas recibidas durante el periodo </w:t>
      </w:r>
      <w:r w:rsidR="004E133A" w:rsidRPr="00401408">
        <w:rPr>
          <w:rFonts w:ascii="Arial" w:hAnsi="Arial" w:cs="Arial"/>
          <w:sz w:val="22"/>
          <w:szCs w:val="22"/>
        </w:rPr>
        <w:t xml:space="preserve">consultivo </w:t>
      </w:r>
      <w:r w:rsidRPr="00401408">
        <w:rPr>
          <w:rFonts w:ascii="Arial" w:hAnsi="Arial" w:cs="Arial"/>
          <w:sz w:val="22"/>
          <w:szCs w:val="22"/>
        </w:rPr>
        <w:t xml:space="preserve">comprendido entre el </w:t>
      </w:r>
      <w:r w:rsidRPr="00401408">
        <w:rPr>
          <w:rFonts w:ascii="Arial" w:hAnsi="Arial" w:cs="Arial"/>
          <w:sz w:val="22"/>
          <w:szCs w:val="22"/>
          <w:shd w:val="clear" w:color="auto" w:fill="FFFFFF"/>
        </w:rPr>
        <w:t>16 de marzo de 2021 y el 19 de abril de 2021</w:t>
      </w:r>
      <w:r w:rsidRPr="00401408">
        <w:rPr>
          <w:rFonts w:ascii="Arial" w:hAnsi="Arial" w:cs="Arial"/>
          <w:color w:val="FF0000"/>
          <w:sz w:val="22"/>
          <w:szCs w:val="22"/>
        </w:rPr>
        <w:t xml:space="preserve">, </w:t>
      </w:r>
      <w:r w:rsidR="004E133A" w:rsidRPr="00401408">
        <w:rPr>
          <w:rFonts w:ascii="Arial" w:hAnsi="Arial" w:cs="Arial"/>
          <w:sz w:val="22"/>
          <w:szCs w:val="22"/>
        </w:rPr>
        <w:t>con relación a</w:t>
      </w:r>
      <w:r w:rsidRPr="00401408">
        <w:rPr>
          <w:rFonts w:ascii="Arial" w:hAnsi="Arial" w:cs="Arial"/>
          <w:sz w:val="22"/>
          <w:szCs w:val="22"/>
        </w:rPr>
        <w:t xml:space="preserve">l Anteproyecto, se informa que el Instituto identificó </w:t>
      </w:r>
      <w:r w:rsidR="004E133A" w:rsidRPr="00401408">
        <w:rPr>
          <w:rFonts w:ascii="Arial" w:hAnsi="Arial" w:cs="Arial"/>
          <w:sz w:val="22"/>
          <w:szCs w:val="22"/>
        </w:rPr>
        <w:t>reiteradas coincidencias</w:t>
      </w:r>
      <w:r w:rsidRPr="00401408">
        <w:rPr>
          <w:rFonts w:ascii="Arial" w:hAnsi="Arial" w:cs="Arial"/>
          <w:sz w:val="22"/>
          <w:szCs w:val="22"/>
        </w:rPr>
        <w:t xml:space="preserve"> </w:t>
      </w:r>
      <w:r w:rsidR="004E133A" w:rsidRPr="00401408">
        <w:rPr>
          <w:rFonts w:ascii="Arial" w:hAnsi="Arial" w:cs="Arial"/>
          <w:sz w:val="22"/>
          <w:szCs w:val="22"/>
        </w:rPr>
        <w:t>en el</w:t>
      </w:r>
      <w:r w:rsidRPr="00401408">
        <w:rPr>
          <w:rFonts w:ascii="Arial" w:hAnsi="Arial" w:cs="Arial"/>
          <w:sz w:val="22"/>
          <w:szCs w:val="22"/>
        </w:rPr>
        <w:t xml:space="preserve"> contenido</w:t>
      </w:r>
      <w:r w:rsidR="004E133A" w:rsidRPr="00401408">
        <w:rPr>
          <w:rFonts w:ascii="Arial" w:hAnsi="Arial" w:cs="Arial"/>
          <w:sz w:val="22"/>
          <w:szCs w:val="22"/>
        </w:rPr>
        <w:t xml:space="preserve"> de dichas manifestaciones, opiniones, comentarios y propuestas</w:t>
      </w:r>
      <w:r w:rsidRPr="00401408">
        <w:rPr>
          <w:rFonts w:ascii="Arial" w:hAnsi="Arial" w:cs="Arial"/>
          <w:sz w:val="22"/>
          <w:szCs w:val="22"/>
        </w:rPr>
        <w:t xml:space="preserve">, por lo </w:t>
      </w:r>
      <w:proofErr w:type="gramStart"/>
      <w:r w:rsidRPr="00401408">
        <w:rPr>
          <w:rFonts w:ascii="Arial" w:hAnsi="Arial" w:cs="Arial"/>
          <w:sz w:val="22"/>
          <w:szCs w:val="22"/>
        </w:rPr>
        <w:t>que</w:t>
      </w:r>
      <w:proofErr w:type="gramEnd"/>
      <w:r w:rsidRPr="00401408">
        <w:rPr>
          <w:rFonts w:ascii="Arial" w:hAnsi="Arial" w:cs="Arial"/>
          <w:sz w:val="22"/>
          <w:szCs w:val="22"/>
        </w:rPr>
        <w:t xml:space="preserve"> para efectos de su atención, éstos han sido agrupados conforme a diversos temas genéricos para su mejor identificación. </w:t>
      </w:r>
    </w:p>
    <w:p w14:paraId="68777C4E" w14:textId="77777777" w:rsidR="00E34DB3" w:rsidRPr="00401408" w:rsidRDefault="00E34DB3" w:rsidP="00401408">
      <w:pPr>
        <w:pStyle w:val="Default"/>
        <w:spacing w:before="60" w:after="60" w:line="360" w:lineRule="auto"/>
        <w:contextualSpacing/>
        <w:jc w:val="both"/>
        <w:rPr>
          <w:rFonts w:ascii="Arial" w:hAnsi="Arial" w:cs="Arial"/>
          <w:b/>
          <w:sz w:val="22"/>
          <w:szCs w:val="22"/>
        </w:rPr>
      </w:pPr>
    </w:p>
    <w:p w14:paraId="24DBE461" w14:textId="2378D9E1" w:rsidR="00112F6D" w:rsidRPr="00401408" w:rsidRDefault="00E34DB3"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sz w:val="22"/>
          <w:szCs w:val="22"/>
        </w:rPr>
        <w:lastRenderedPageBreak/>
        <w:t>En relación con lo anterior</w:t>
      </w:r>
      <w:r w:rsidR="00A27A8A" w:rsidRPr="00401408">
        <w:rPr>
          <w:rFonts w:ascii="Arial" w:hAnsi="Arial" w:cs="Arial"/>
          <w:sz w:val="22"/>
          <w:szCs w:val="22"/>
        </w:rPr>
        <w:t xml:space="preserve">, el </w:t>
      </w:r>
      <w:r w:rsidR="00112F6D" w:rsidRPr="00401408">
        <w:rPr>
          <w:rFonts w:ascii="Arial" w:hAnsi="Arial" w:cs="Arial"/>
          <w:sz w:val="22"/>
          <w:szCs w:val="22"/>
        </w:rPr>
        <w:t xml:space="preserve">Instituto emite las siguientes respuestas y consideraciones para cada uno de los temas identificados: </w:t>
      </w:r>
    </w:p>
    <w:p w14:paraId="71CC0EF9" w14:textId="6E4B647A" w:rsidR="004E133A" w:rsidRPr="00401408" w:rsidRDefault="004E133A" w:rsidP="00401408">
      <w:pPr>
        <w:pStyle w:val="Default"/>
        <w:spacing w:before="60" w:after="60" w:line="360" w:lineRule="auto"/>
        <w:contextualSpacing/>
        <w:jc w:val="both"/>
        <w:rPr>
          <w:rFonts w:ascii="Arial" w:hAnsi="Arial" w:cs="Arial"/>
          <w:sz w:val="22"/>
          <w:szCs w:val="22"/>
        </w:rPr>
      </w:pPr>
    </w:p>
    <w:p w14:paraId="22D5361B" w14:textId="7363B100" w:rsidR="00676ADC" w:rsidRPr="00401408" w:rsidRDefault="009821B8" w:rsidP="00401408">
      <w:pPr>
        <w:pStyle w:val="Default"/>
        <w:spacing w:before="60" w:after="60" w:line="360" w:lineRule="auto"/>
        <w:contextualSpacing/>
        <w:rPr>
          <w:rFonts w:ascii="Arial" w:hAnsi="Arial" w:cs="Arial"/>
          <w:b/>
          <w:color w:val="auto"/>
          <w:sz w:val="22"/>
          <w:szCs w:val="22"/>
        </w:rPr>
      </w:pPr>
      <w:r w:rsidRPr="00401408">
        <w:rPr>
          <w:rFonts w:ascii="Arial" w:hAnsi="Arial" w:cs="Arial"/>
          <w:b/>
          <w:color w:val="auto"/>
          <w:sz w:val="22"/>
          <w:szCs w:val="22"/>
        </w:rPr>
        <w:t>1. ELIMINACIÓ</w:t>
      </w:r>
      <w:r w:rsidR="00E626B6" w:rsidRPr="00401408">
        <w:rPr>
          <w:rFonts w:ascii="Arial" w:hAnsi="Arial" w:cs="Arial"/>
          <w:b/>
          <w:color w:val="auto"/>
          <w:sz w:val="22"/>
          <w:szCs w:val="22"/>
        </w:rPr>
        <w:t>N DE ZONAS PARA LA ASIGNACIÓN Y ADMINISTRACIÓN DE LA NUMERACIÓN NACIONAL.</w:t>
      </w:r>
    </w:p>
    <w:p w14:paraId="68896D9E" w14:textId="69404712" w:rsidR="00667B23" w:rsidRPr="00401408" w:rsidRDefault="00667B23" w:rsidP="00401408">
      <w:pPr>
        <w:pStyle w:val="Default"/>
        <w:spacing w:before="60" w:after="60" w:line="360" w:lineRule="auto"/>
        <w:contextualSpacing/>
        <w:rPr>
          <w:rFonts w:ascii="Arial" w:hAnsi="Arial" w:cs="Arial"/>
          <w:color w:val="auto"/>
          <w:sz w:val="22"/>
          <w:szCs w:val="22"/>
        </w:rPr>
      </w:pPr>
    </w:p>
    <w:p w14:paraId="22BD8941" w14:textId="74279C25" w:rsidR="00E626B6" w:rsidRPr="00401408" w:rsidRDefault="00E626B6"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Grupo AT&amp;T solicita la eliminación del concepto de </w:t>
      </w:r>
      <w:r w:rsidR="008C2974" w:rsidRPr="00401408">
        <w:rPr>
          <w:rFonts w:ascii="Arial" w:hAnsi="Arial" w:cs="Arial"/>
          <w:color w:val="auto"/>
          <w:sz w:val="22"/>
          <w:szCs w:val="22"/>
        </w:rPr>
        <w:t>“Z</w:t>
      </w:r>
      <w:r w:rsidRPr="00401408">
        <w:rPr>
          <w:rFonts w:ascii="Arial" w:hAnsi="Arial" w:cs="Arial"/>
          <w:color w:val="auto"/>
          <w:sz w:val="22"/>
          <w:szCs w:val="22"/>
        </w:rPr>
        <w:t>onas</w:t>
      </w:r>
      <w:r w:rsidR="008C2974" w:rsidRPr="00401408">
        <w:rPr>
          <w:rFonts w:ascii="Arial" w:hAnsi="Arial" w:cs="Arial"/>
          <w:color w:val="auto"/>
          <w:sz w:val="22"/>
          <w:szCs w:val="22"/>
        </w:rPr>
        <w:t>”</w:t>
      </w:r>
      <w:r w:rsidRPr="00401408">
        <w:rPr>
          <w:rFonts w:ascii="Arial" w:hAnsi="Arial" w:cs="Arial"/>
          <w:color w:val="auto"/>
          <w:sz w:val="22"/>
          <w:szCs w:val="22"/>
        </w:rPr>
        <w:t xml:space="preserve"> para la administración y asignación de la numeración nacional</w:t>
      </w:r>
      <w:r w:rsidR="00B41EAB" w:rsidRPr="00401408">
        <w:rPr>
          <w:rFonts w:ascii="Arial" w:hAnsi="Arial" w:cs="Arial"/>
          <w:color w:val="auto"/>
          <w:sz w:val="22"/>
          <w:szCs w:val="22"/>
        </w:rPr>
        <w:t>,</w:t>
      </w:r>
      <w:r w:rsidRPr="00401408">
        <w:rPr>
          <w:rFonts w:ascii="Arial" w:hAnsi="Arial" w:cs="Arial"/>
          <w:color w:val="auto"/>
          <w:sz w:val="22"/>
          <w:szCs w:val="22"/>
        </w:rPr>
        <w:t xml:space="preserve"> por considerar que su implementación complicará la operación de los </w:t>
      </w:r>
      <w:r w:rsidR="00B41EAB" w:rsidRPr="00401408">
        <w:rPr>
          <w:rFonts w:ascii="Arial" w:hAnsi="Arial" w:cs="Arial"/>
          <w:color w:val="auto"/>
          <w:sz w:val="22"/>
          <w:szCs w:val="22"/>
        </w:rPr>
        <w:t>Proveedores de Servicios de Telecomunicaciones</w:t>
      </w:r>
      <w:r w:rsidRPr="00401408">
        <w:rPr>
          <w:rFonts w:ascii="Arial" w:hAnsi="Arial" w:cs="Arial"/>
          <w:color w:val="auto"/>
          <w:sz w:val="22"/>
          <w:szCs w:val="22"/>
        </w:rPr>
        <w:t>.</w:t>
      </w:r>
    </w:p>
    <w:p w14:paraId="3434D38B" w14:textId="69A453AF" w:rsidR="00E626B6" w:rsidRPr="00401408" w:rsidRDefault="00E626B6" w:rsidP="00401408">
      <w:pPr>
        <w:pStyle w:val="Default"/>
        <w:spacing w:before="60" w:after="60" w:line="360" w:lineRule="auto"/>
        <w:contextualSpacing/>
        <w:rPr>
          <w:rFonts w:ascii="Arial" w:hAnsi="Arial" w:cs="Arial"/>
          <w:color w:val="auto"/>
          <w:sz w:val="22"/>
          <w:szCs w:val="22"/>
        </w:rPr>
      </w:pPr>
    </w:p>
    <w:p w14:paraId="602B58C2" w14:textId="60D954C4" w:rsidR="00E626B6" w:rsidRPr="00401408" w:rsidRDefault="008C2974"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00E626B6" w:rsidRPr="00401408">
        <w:rPr>
          <w:rFonts w:ascii="Arial" w:hAnsi="Arial" w:cs="Arial"/>
          <w:color w:val="auto"/>
          <w:sz w:val="22"/>
          <w:szCs w:val="22"/>
        </w:rPr>
        <w:t xml:space="preserve">La propuesta </w:t>
      </w:r>
      <w:r w:rsidR="00B41EAB" w:rsidRPr="00401408">
        <w:rPr>
          <w:rFonts w:ascii="Arial" w:hAnsi="Arial" w:cs="Arial"/>
          <w:color w:val="auto"/>
          <w:sz w:val="22"/>
          <w:szCs w:val="22"/>
        </w:rPr>
        <w:t xml:space="preserve">no resulta atendible debido a que, de conformidad con las disposiciones aplicables al proceso consultivo correspondiente, </w:t>
      </w:r>
      <w:r w:rsidR="00E626B6" w:rsidRPr="00401408">
        <w:rPr>
          <w:rFonts w:ascii="Arial" w:hAnsi="Arial" w:cs="Arial"/>
          <w:color w:val="auto"/>
          <w:sz w:val="22"/>
          <w:szCs w:val="22"/>
        </w:rPr>
        <w:t xml:space="preserve">se encuentra fuera del alcance del </w:t>
      </w:r>
      <w:r w:rsidRPr="00401408">
        <w:rPr>
          <w:rFonts w:ascii="Arial" w:hAnsi="Arial" w:cs="Arial"/>
          <w:color w:val="auto"/>
          <w:sz w:val="22"/>
          <w:szCs w:val="22"/>
        </w:rPr>
        <w:t>Ante</w:t>
      </w:r>
      <w:r w:rsidR="00E626B6" w:rsidRPr="00401408">
        <w:rPr>
          <w:rFonts w:ascii="Arial" w:hAnsi="Arial" w:cs="Arial"/>
          <w:color w:val="auto"/>
          <w:sz w:val="22"/>
          <w:szCs w:val="22"/>
        </w:rPr>
        <w:t>proyecto</w:t>
      </w:r>
      <w:r w:rsidR="00E34DB3" w:rsidRPr="00401408">
        <w:rPr>
          <w:rFonts w:ascii="Arial" w:hAnsi="Arial" w:cs="Arial"/>
          <w:color w:val="auto"/>
          <w:sz w:val="22"/>
          <w:szCs w:val="22"/>
        </w:rPr>
        <w:t xml:space="preserve"> </w:t>
      </w:r>
      <w:r w:rsidR="000E0644" w:rsidRPr="00401408">
        <w:rPr>
          <w:rFonts w:ascii="Arial" w:hAnsi="Arial" w:cs="Arial"/>
          <w:color w:val="auto"/>
          <w:sz w:val="22"/>
          <w:szCs w:val="22"/>
        </w:rPr>
        <w:t xml:space="preserve">al </w:t>
      </w:r>
      <w:r w:rsidR="00E34DB3" w:rsidRPr="00401408">
        <w:rPr>
          <w:rFonts w:ascii="Arial" w:hAnsi="Arial" w:cs="Arial"/>
          <w:color w:val="auto"/>
          <w:sz w:val="22"/>
          <w:szCs w:val="22"/>
        </w:rPr>
        <w:t xml:space="preserve">no </w:t>
      </w:r>
      <w:r w:rsidR="000E0644" w:rsidRPr="00401408">
        <w:rPr>
          <w:rFonts w:ascii="Arial" w:hAnsi="Arial" w:cs="Arial"/>
          <w:color w:val="auto"/>
          <w:sz w:val="22"/>
          <w:szCs w:val="22"/>
        </w:rPr>
        <w:t>estar</w:t>
      </w:r>
      <w:r w:rsidR="00E34DB3" w:rsidRPr="00401408">
        <w:rPr>
          <w:rFonts w:ascii="Arial" w:hAnsi="Arial" w:cs="Arial"/>
          <w:color w:val="auto"/>
          <w:sz w:val="22"/>
          <w:szCs w:val="22"/>
        </w:rPr>
        <w:t xml:space="preserve"> relacionada con el objeto de dicho proceso consultivo</w:t>
      </w:r>
      <w:r w:rsidR="00B41EAB" w:rsidRPr="00401408">
        <w:rPr>
          <w:rFonts w:ascii="Arial" w:hAnsi="Arial" w:cs="Arial"/>
          <w:color w:val="auto"/>
          <w:sz w:val="22"/>
          <w:szCs w:val="22"/>
        </w:rPr>
        <w:t>.</w:t>
      </w:r>
    </w:p>
    <w:p w14:paraId="4D200851" w14:textId="319EB122" w:rsidR="00E626B6" w:rsidRPr="00401408" w:rsidRDefault="00E626B6" w:rsidP="00401408">
      <w:pPr>
        <w:pStyle w:val="Default"/>
        <w:spacing w:before="60" w:after="60" w:line="360" w:lineRule="auto"/>
        <w:contextualSpacing/>
        <w:rPr>
          <w:rFonts w:ascii="Arial" w:hAnsi="Arial" w:cs="Arial"/>
          <w:color w:val="auto"/>
          <w:sz w:val="22"/>
          <w:szCs w:val="22"/>
        </w:rPr>
      </w:pPr>
      <w:r w:rsidRPr="00401408">
        <w:rPr>
          <w:rFonts w:ascii="Arial" w:hAnsi="Arial" w:cs="Arial"/>
          <w:color w:val="auto"/>
          <w:sz w:val="22"/>
          <w:szCs w:val="22"/>
        </w:rPr>
        <w:t xml:space="preserve"> </w:t>
      </w:r>
    </w:p>
    <w:p w14:paraId="2FFE4470" w14:textId="422C5D17" w:rsidR="008C2974" w:rsidRPr="00401408" w:rsidRDefault="008C2974"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2. </w:t>
      </w:r>
      <w:r w:rsidR="00B41EAB" w:rsidRPr="00401408">
        <w:rPr>
          <w:rFonts w:ascii="Arial" w:hAnsi="Arial" w:cs="Arial"/>
          <w:b/>
          <w:color w:val="auto"/>
          <w:sz w:val="22"/>
          <w:szCs w:val="22"/>
        </w:rPr>
        <w:t xml:space="preserve">ASOCIACIÓN DE UN CÓDIGO IDO A TODA LA NUMERACIÓN </w:t>
      </w:r>
      <w:r w:rsidR="00E34DB3" w:rsidRPr="00401408">
        <w:rPr>
          <w:rFonts w:ascii="Arial" w:hAnsi="Arial" w:cs="Arial"/>
          <w:b/>
          <w:color w:val="auto"/>
          <w:sz w:val="22"/>
          <w:szCs w:val="22"/>
        </w:rPr>
        <w:t xml:space="preserve">ASIGNADA DE CONFORMIDAD CON </w:t>
      </w:r>
      <w:r w:rsidR="00B41EAB" w:rsidRPr="00401408">
        <w:rPr>
          <w:rFonts w:ascii="Arial" w:hAnsi="Arial" w:cs="Arial"/>
          <w:b/>
          <w:color w:val="auto"/>
          <w:sz w:val="22"/>
          <w:szCs w:val="22"/>
        </w:rPr>
        <w:t xml:space="preserve">EL PLAN </w:t>
      </w:r>
      <w:r w:rsidRPr="00401408">
        <w:rPr>
          <w:rFonts w:ascii="Arial" w:hAnsi="Arial" w:cs="Arial"/>
          <w:b/>
          <w:color w:val="auto"/>
          <w:sz w:val="22"/>
          <w:szCs w:val="22"/>
        </w:rPr>
        <w:t>TÉC</w:t>
      </w:r>
      <w:r w:rsidR="00E34DB3" w:rsidRPr="00401408">
        <w:rPr>
          <w:rFonts w:ascii="Arial" w:hAnsi="Arial" w:cs="Arial"/>
          <w:b/>
          <w:color w:val="auto"/>
          <w:sz w:val="22"/>
          <w:szCs w:val="22"/>
        </w:rPr>
        <w:t>NICO FUNDAMENTAL DE NUMERACIÓN</w:t>
      </w:r>
      <w:r w:rsidRPr="00401408">
        <w:rPr>
          <w:rFonts w:ascii="Arial" w:hAnsi="Arial" w:cs="Arial"/>
          <w:b/>
          <w:color w:val="auto"/>
          <w:sz w:val="22"/>
          <w:szCs w:val="22"/>
        </w:rPr>
        <w:t>, PUBLICADO EN EL DIARIO OFICIAL DE LA FEDERACIÓN EL 11 DE MAYO DE 2018</w:t>
      </w:r>
      <w:r w:rsidR="00B41EAB" w:rsidRPr="00401408">
        <w:rPr>
          <w:rFonts w:ascii="Arial" w:hAnsi="Arial" w:cs="Arial"/>
          <w:b/>
          <w:color w:val="auto"/>
          <w:sz w:val="22"/>
          <w:szCs w:val="22"/>
        </w:rPr>
        <w:t xml:space="preserve"> (“Nuevo PTFN”)</w:t>
      </w:r>
      <w:r w:rsidRPr="00401408">
        <w:rPr>
          <w:rFonts w:ascii="Arial" w:hAnsi="Arial" w:cs="Arial"/>
          <w:b/>
          <w:color w:val="auto"/>
          <w:sz w:val="22"/>
          <w:szCs w:val="22"/>
        </w:rPr>
        <w:t>.</w:t>
      </w:r>
    </w:p>
    <w:p w14:paraId="53DB7DFB" w14:textId="1C8287F4" w:rsidR="00E626B6" w:rsidRPr="00401408" w:rsidRDefault="00E626B6" w:rsidP="00401408">
      <w:pPr>
        <w:pStyle w:val="Default"/>
        <w:spacing w:before="60" w:after="60" w:line="360" w:lineRule="auto"/>
        <w:contextualSpacing/>
        <w:rPr>
          <w:rFonts w:ascii="Arial" w:hAnsi="Arial" w:cs="Arial"/>
          <w:color w:val="auto"/>
          <w:sz w:val="22"/>
          <w:szCs w:val="22"/>
        </w:rPr>
      </w:pPr>
    </w:p>
    <w:p w14:paraId="56A660A6" w14:textId="4E38D0B9" w:rsidR="00E434BB" w:rsidRPr="00401408" w:rsidRDefault="00E434B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Grupo AT&amp;T considera que existe una falta de claridad con respecto a la necesidad de que toda numeración del </w:t>
      </w:r>
      <w:r w:rsidR="00B41EAB" w:rsidRPr="00401408">
        <w:rPr>
          <w:rFonts w:ascii="Arial" w:hAnsi="Arial" w:cs="Arial"/>
          <w:color w:val="auto"/>
          <w:sz w:val="22"/>
          <w:szCs w:val="22"/>
        </w:rPr>
        <w:t>Nuevo PTFN</w:t>
      </w:r>
      <w:r w:rsidRPr="00401408">
        <w:rPr>
          <w:rFonts w:ascii="Arial" w:hAnsi="Arial" w:cs="Arial"/>
          <w:color w:val="auto"/>
          <w:sz w:val="22"/>
          <w:szCs w:val="22"/>
        </w:rPr>
        <w:t xml:space="preserve"> tenga asignado un código IDO, lo que generará problemas de conectividad, por </w:t>
      </w:r>
      <w:r w:rsidR="00B41EAB" w:rsidRPr="00401408">
        <w:rPr>
          <w:rFonts w:ascii="Arial" w:hAnsi="Arial" w:cs="Arial"/>
          <w:color w:val="auto"/>
          <w:sz w:val="22"/>
          <w:szCs w:val="22"/>
        </w:rPr>
        <w:t>l</w:t>
      </w:r>
      <w:r w:rsidRPr="00401408">
        <w:rPr>
          <w:rFonts w:ascii="Arial" w:hAnsi="Arial" w:cs="Arial"/>
          <w:color w:val="auto"/>
          <w:sz w:val="22"/>
          <w:szCs w:val="22"/>
        </w:rPr>
        <w:t>o que sugiere la incorporación del siguiente texto en el numeral 7.3</w:t>
      </w:r>
      <w:r w:rsidR="000E0644" w:rsidRPr="00401408">
        <w:rPr>
          <w:rFonts w:ascii="Arial" w:hAnsi="Arial" w:cs="Arial"/>
          <w:color w:val="auto"/>
          <w:sz w:val="22"/>
          <w:szCs w:val="22"/>
        </w:rPr>
        <w:t>.</w:t>
      </w:r>
      <w:r w:rsidRPr="00401408">
        <w:rPr>
          <w:rFonts w:ascii="Arial" w:hAnsi="Arial" w:cs="Arial"/>
          <w:color w:val="auto"/>
          <w:sz w:val="22"/>
          <w:szCs w:val="22"/>
        </w:rPr>
        <w:t xml:space="preserve"> de dicho plan</w:t>
      </w:r>
      <w:r w:rsidR="00890563" w:rsidRPr="00401408">
        <w:rPr>
          <w:rFonts w:ascii="Arial" w:hAnsi="Arial" w:cs="Arial"/>
          <w:color w:val="auto"/>
          <w:sz w:val="22"/>
          <w:szCs w:val="22"/>
        </w:rPr>
        <w:t>:</w:t>
      </w:r>
      <w:r w:rsidRPr="00401408">
        <w:rPr>
          <w:rFonts w:ascii="Arial" w:hAnsi="Arial" w:cs="Arial"/>
          <w:color w:val="auto"/>
          <w:sz w:val="22"/>
          <w:szCs w:val="22"/>
        </w:rPr>
        <w:t xml:space="preserve"> “Todo número nacional (NN) siempre debe contar con un IDO asociado”.</w:t>
      </w:r>
    </w:p>
    <w:p w14:paraId="10909BD9" w14:textId="16B786A3" w:rsidR="00E434BB" w:rsidRPr="00401408" w:rsidRDefault="00E434BB" w:rsidP="00401408">
      <w:pPr>
        <w:pStyle w:val="Default"/>
        <w:spacing w:before="60" w:after="60" w:line="360" w:lineRule="auto"/>
        <w:contextualSpacing/>
        <w:jc w:val="both"/>
        <w:rPr>
          <w:rFonts w:ascii="Arial" w:hAnsi="Arial" w:cs="Arial"/>
          <w:color w:val="auto"/>
          <w:sz w:val="22"/>
          <w:szCs w:val="22"/>
        </w:rPr>
      </w:pPr>
    </w:p>
    <w:p w14:paraId="6DDBFC0E" w14:textId="0CB55549" w:rsidR="0079290F" w:rsidRPr="00401408" w:rsidRDefault="00E434BB"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RESPUESTA: </w:t>
      </w:r>
      <w:r w:rsidR="00A02E81" w:rsidRPr="00401408">
        <w:rPr>
          <w:rFonts w:ascii="Arial" w:hAnsi="Arial" w:cs="Arial"/>
          <w:color w:val="auto"/>
          <w:sz w:val="22"/>
          <w:szCs w:val="22"/>
        </w:rPr>
        <w:t>C</w:t>
      </w:r>
      <w:r w:rsidR="0079290F" w:rsidRPr="00401408">
        <w:rPr>
          <w:rFonts w:ascii="Arial" w:hAnsi="Arial" w:cs="Arial"/>
          <w:color w:val="auto"/>
          <w:sz w:val="22"/>
          <w:szCs w:val="22"/>
        </w:rPr>
        <w:t>onsiderando que uno de los objetivos de</w:t>
      </w:r>
      <w:r w:rsidR="00890563" w:rsidRPr="00401408">
        <w:rPr>
          <w:rFonts w:ascii="Arial" w:hAnsi="Arial" w:cs="Arial"/>
          <w:color w:val="auto"/>
          <w:sz w:val="22"/>
          <w:szCs w:val="22"/>
        </w:rPr>
        <w:t>l</w:t>
      </w:r>
      <w:r w:rsidR="0079290F" w:rsidRPr="00401408">
        <w:rPr>
          <w:rFonts w:ascii="Arial" w:hAnsi="Arial" w:cs="Arial"/>
          <w:color w:val="auto"/>
          <w:sz w:val="22"/>
          <w:szCs w:val="22"/>
        </w:rPr>
        <w:t xml:space="preserve"> </w:t>
      </w:r>
      <w:r w:rsidR="00B41EAB" w:rsidRPr="00401408">
        <w:rPr>
          <w:rFonts w:ascii="Arial" w:hAnsi="Arial" w:cs="Arial"/>
          <w:color w:val="auto"/>
          <w:sz w:val="22"/>
          <w:szCs w:val="22"/>
        </w:rPr>
        <w:t>Anteproyecto</w:t>
      </w:r>
      <w:r w:rsidR="0079290F" w:rsidRPr="00401408">
        <w:rPr>
          <w:rFonts w:ascii="Arial" w:hAnsi="Arial" w:cs="Arial"/>
          <w:color w:val="auto"/>
          <w:sz w:val="22"/>
          <w:szCs w:val="22"/>
        </w:rPr>
        <w:t xml:space="preserve"> es dar certeza a los </w:t>
      </w:r>
      <w:r w:rsidR="00890563" w:rsidRPr="00401408">
        <w:rPr>
          <w:rFonts w:ascii="Arial" w:hAnsi="Arial" w:cs="Arial"/>
          <w:color w:val="auto"/>
          <w:sz w:val="22"/>
          <w:szCs w:val="22"/>
        </w:rPr>
        <w:t>PST</w:t>
      </w:r>
      <w:r w:rsidR="0079290F" w:rsidRPr="00401408">
        <w:rPr>
          <w:rFonts w:ascii="Arial" w:hAnsi="Arial" w:cs="Arial"/>
          <w:color w:val="auto"/>
          <w:sz w:val="22"/>
          <w:szCs w:val="22"/>
        </w:rPr>
        <w:t xml:space="preserve"> sobre los códigos asignables para su debida identificación, se atiende el comentari</w:t>
      </w:r>
      <w:r w:rsidR="00B41EAB" w:rsidRPr="00401408">
        <w:rPr>
          <w:rFonts w:ascii="Arial" w:hAnsi="Arial" w:cs="Arial"/>
          <w:color w:val="auto"/>
          <w:sz w:val="22"/>
          <w:szCs w:val="22"/>
        </w:rPr>
        <w:t>o y se m</w:t>
      </w:r>
      <w:r w:rsidR="00213322" w:rsidRPr="00401408">
        <w:rPr>
          <w:rFonts w:ascii="Arial" w:hAnsi="Arial" w:cs="Arial"/>
          <w:color w:val="auto"/>
          <w:sz w:val="22"/>
          <w:szCs w:val="22"/>
        </w:rPr>
        <w:t>odifica el Anteproyecto.</w:t>
      </w:r>
      <w:r w:rsidR="00B41EAB" w:rsidRPr="00401408">
        <w:rPr>
          <w:rFonts w:ascii="Arial" w:hAnsi="Arial" w:cs="Arial"/>
          <w:b/>
          <w:color w:val="auto"/>
          <w:sz w:val="22"/>
          <w:szCs w:val="22"/>
        </w:rPr>
        <w:t xml:space="preserve"> </w:t>
      </w:r>
    </w:p>
    <w:p w14:paraId="45E6C651" w14:textId="4152FCE0" w:rsidR="00E434BB" w:rsidRPr="00401408" w:rsidRDefault="00E434BB" w:rsidP="00401408">
      <w:pPr>
        <w:pStyle w:val="Default"/>
        <w:spacing w:before="60" w:after="60" w:line="360" w:lineRule="auto"/>
        <w:contextualSpacing/>
        <w:rPr>
          <w:rFonts w:ascii="Arial" w:hAnsi="Arial" w:cs="Arial"/>
          <w:color w:val="auto"/>
          <w:sz w:val="22"/>
          <w:szCs w:val="22"/>
        </w:rPr>
      </w:pPr>
    </w:p>
    <w:p w14:paraId="27BBE2FC" w14:textId="46C73BEA" w:rsidR="00E434BB" w:rsidRPr="00401408" w:rsidRDefault="00C92A08"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3. </w:t>
      </w:r>
      <w:r w:rsidR="00466B90" w:rsidRPr="00401408">
        <w:rPr>
          <w:rFonts w:ascii="Arial" w:hAnsi="Arial" w:cs="Arial"/>
          <w:b/>
          <w:color w:val="auto"/>
          <w:sz w:val="22"/>
          <w:szCs w:val="22"/>
        </w:rPr>
        <w:t>INCREMENT</w:t>
      </w:r>
      <w:r w:rsidR="009821B8" w:rsidRPr="00401408">
        <w:rPr>
          <w:rFonts w:ascii="Arial" w:hAnsi="Arial" w:cs="Arial"/>
          <w:b/>
          <w:color w:val="auto"/>
          <w:sz w:val="22"/>
          <w:szCs w:val="22"/>
        </w:rPr>
        <w:t xml:space="preserve">O EN LA </w:t>
      </w:r>
      <w:r w:rsidRPr="00401408">
        <w:rPr>
          <w:rFonts w:ascii="Arial" w:hAnsi="Arial" w:cs="Arial"/>
          <w:b/>
          <w:color w:val="auto"/>
          <w:sz w:val="22"/>
          <w:szCs w:val="22"/>
        </w:rPr>
        <w:t>CANTIDAD DE RESERVA DE NUMERACIÓN NO GEOGRÁFICA QUE PUEDE MANTENER UN CONCESIONARIO DE USO COMERCIAL O DE RED PÚBLICA DE TELECOMUNICACIONES (“RPT”).</w:t>
      </w:r>
    </w:p>
    <w:p w14:paraId="04B29395" w14:textId="1A1FE524" w:rsidR="00E434BB" w:rsidRPr="00401408" w:rsidRDefault="00E434BB" w:rsidP="00401408">
      <w:pPr>
        <w:pStyle w:val="Default"/>
        <w:spacing w:before="60" w:after="60" w:line="360" w:lineRule="auto"/>
        <w:contextualSpacing/>
        <w:rPr>
          <w:rFonts w:ascii="Arial" w:hAnsi="Arial" w:cs="Arial"/>
          <w:color w:val="auto"/>
          <w:sz w:val="22"/>
          <w:szCs w:val="22"/>
        </w:rPr>
      </w:pPr>
    </w:p>
    <w:p w14:paraId="54A667D3" w14:textId="4E0A6011" w:rsidR="002A16D2" w:rsidRPr="00401408" w:rsidRDefault="002A16D2"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lastRenderedPageBreak/>
        <w:t>La empresa Megacable y la CANIETI solicitan que la reserva total y particular</w:t>
      </w:r>
      <w:r w:rsidR="009821B8" w:rsidRPr="00401408">
        <w:rPr>
          <w:rFonts w:ascii="Arial" w:hAnsi="Arial" w:cs="Arial"/>
          <w:color w:val="auto"/>
          <w:sz w:val="22"/>
          <w:szCs w:val="22"/>
        </w:rPr>
        <w:t xml:space="preserve"> por clave de servicios no geográficos que mantenga un operador se incremente a 400 y 2000, respectivamente.</w:t>
      </w:r>
      <w:r w:rsidRPr="00401408">
        <w:rPr>
          <w:rFonts w:ascii="Arial" w:hAnsi="Arial" w:cs="Arial"/>
          <w:color w:val="auto"/>
          <w:sz w:val="22"/>
          <w:szCs w:val="22"/>
        </w:rPr>
        <w:t xml:space="preserve">  </w:t>
      </w:r>
    </w:p>
    <w:p w14:paraId="3EC33F32" w14:textId="48AF0F0A" w:rsidR="002A16D2" w:rsidRPr="00401408" w:rsidRDefault="002A16D2" w:rsidP="00401408">
      <w:pPr>
        <w:pStyle w:val="Default"/>
        <w:spacing w:before="60" w:after="60" w:line="360" w:lineRule="auto"/>
        <w:contextualSpacing/>
        <w:rPr>
          <w:rFonts w:ascii="Arial" w:hAnsi="Arial" w:cs="Arial"/>
          <w:color w:val="auto"/>
          <w:sz w:val="22"/>
          <w:szCs w:val="22"/>
        </w:rPr>
      </w:pPr>
    </w:p>
    <w:p w14:paraId="0ADF155D" w14:textId="2B84310A" w:rsidR="000E0644" w:rsidRPr="00401408" w:rsidRDefault="009821B8"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La propuesta no resulta atendible debido a que, de conformidad con las disposiciones aplicables al proceso consultivo correspondiente, se encuentra fuera del alcance del Anteproyecto</w:t>
      </w:r>
      <w:r w:rsidR="000E0644" w:rsidRPr="00401408">
        <w:rPr>
          <w:rFonts w:ascii="Arial" w:hAnsi="Arial" w:cs="Arial"/>
          <w:color w:val="auto"/>
          <w:sz w:val="22"/>
          <w:szCs w:val="22"/>
        </w:rPr>
        <w:t xml:space="preserve"> al no estar relacionada con el objeto de dicho proceso consultivo.</w:t>
      </w:r>
    </w:p>
    <w:p w14:paraId="62425EB3" w14:textId="0C95DF10" w:rsidR="002A16D2" w:rsidRPr="00401408" w:rsidRDefault="002A16D2" w:rsidP="00401408">
      <w:pPr>
        <w:pStyle w:val="Default"/>
        <w:spacing w:before="60" w:after="60" w:line="360" w:lineRule="auto"/>
        <w:contextualSpacing/>
        <w:rPr>
          <w:rFonts w:ascii="Arial" w:hAnsi="Arial" w:cs="Arial"/>
          <w:color w:val="auto"/>
          <w:sz w:val="22"/>
          <w:szCs w:val="22"/>
        </w:rPr>
      </w:pPr>
    </w:p>
    <w:p w14:paraId="2B87B787" w14:textId="59D0BC2E" w:rsidR="009821B8" w:rsidRPr="00401408" w:rsidRDefault="009821B8"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4. ELIMINACIÓN DE LA OPCIÓN DE ADJUNTAR ELECTRÓNICAMENTE DOCUMENTACIÓN EN DIVERSOS TRÁMITES.  </w:t>
      </w:r>
    </w:p>
    <w:p w14:paraId="42A49E86" w14:textId="37D009A7" w:rsidR="009821B8" w:rsidRPr="00401408" w:rsidRDefault="009821B8" w:rsidP="00401408">
      <w:pPr>
        <w:pStyle w:val="Default"/>
        <w:spacing w:before="60" w:after="60" w:line="360" w:lineRule="auto"/>
        <w:contextualSpacing/>
        <w:rPr>
          <w:rFonts w:ascii="Arial" w:hAnsi="Arial" w:cs="Arial"/>
          <w:color w:val="auto"/>
          <w:sz w:val="22"/>
          <w:szCs w:val="22"/>
        </w:rPr>
      </w:pPr>
    </w:p>
    <w:p w14:paraId="430F1672" w14:textId="75D8C7E0" w:rsidR="009821B8" w:rsidRPr="00401408" w:rsidRDefault="000064B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La empresa Megacable propone la eliminación del texto “y, en su caso, adjuntando electrónicamente la documentación que corresponda” contenido en los numerales 7.3.1. y 7.5.1. del Nuevo PTFN. La CANIETI por su parte, hace la misma propuesta</w:t>
      </w:r>
      <w:r w:rsidR="00FE7808" w:rsidRPr="00401408">
        <w:rPr>
          <w:rFonts w:ascii="Arial" w:hAnsi="Arial" w:cs="Arial"/>
          <w:color w:val="auto"/>
          <w:sz w:val="22"/>
          <w:szCs w:val="22"/>
        </w:rPr>
        <w:t>,</w:t>
      </w:r>
      <w:r w:rsidRPr="00401408">
        <w:rPr>
          <w:rFonts w:ascii="Arial" w:hAnsi="Arial" w:cs="Arial"/>
          <w:color w:val="auto"/>
          <w:sz w:val="22"/>
          <w:szCs w:val="22"/>
        </w:rPr>
        <w:t xml:space="preserve"> </w:t>
      </w:r>
      <w:r w:rsidR="00FE7808" w:rsidRPr="00401408">
        <w:rPr>
          <w:rFonts w:ascii="Arial" w:hAnsi="Arial" w:cs="Arial"/>
          <w:color w:val="auto"/>
          <w:sz w:val="22"/>
          <w:szCs w:val="22"/>
        </w:rPr>
        <w:t>en relación</w:t>
      </w:r>
      <w:r w:rsidRPr="00401408">
        <w:rPr>
          <w:rFonts w:ascii="Arial" w:hAnsi="Arial" w:cs="Arial"/>
          <w:color w:val="auto"/>
          <w:sz w:val="22"/>
          <w:szCs w:val="22"/>
        </w:rPr>
        <w:t xml:space="preserve"> al numeral 7.3.1. del Nuevo PTFN.</w:t>
      </w:r>
    </w:p>
    <w:p w14:paraId="151DDD57" w14:textId="35C107BB" w:rsidR="009821B8" w:rsidRPr="00401408" w:rsidRDefault="009821B8" w:rsidP="00401408">
      <w:pPr>
        <w:pStyle w:val="Default"/>
        <w:spacing w:before="60" w:after="60" w:line="360" w:lineRule="auto"/>
        <w:contextualSpacing/>
        <w:rPr>
          <w:rFonts w:ascii="Arial" w:hAnsi="Arial" w:cs="Arial"/>
          <w:color w:val="auto"/>
          <w:sz w:val="22"/>
          <w:szCs w:val="22"/>
        </w:rPr>
      </w:pPr>
    </w:p>
    <w:p w14:paraId="29A87C6D" w14:textId="170BE3E0" w:rsidR="00482223" w:rsidRPr="00401408" w:rsidRDefault="000064B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00482223" w:rsidRPr="00401408">
        <w:rPr>
          <w:rFonts w:ascii="Arial" w:hAnsi="Arial" w:cs="Arial"/>
          <w:color w:val="auto"/>
          <w:sz w:val="22"/>
          <w:szCs w:val="22"/>
        </w:rPr>
        <w:t>Para el caso de la</w:t>
      </w:r>
      <w:r w:rsidR="000E0644" w:rsidRPr="00401408">
        <w:rPr>
          <w:rFonts w:ascii="Arial" w:hAnsi="Arial" w:cs="Arial"/>
          <w:color w:val="auto"/>
          <w:sz w:val="22"/>
          <w:szCs w:val="22"/>
        </w:rPr>
        <w:t>s</w:t>
      </w:r>
      <w:r w:rsidR="00482223" w:rsidRPr="00401408">
        <w:rPr>
          <w:rFonts w:ascii="Arial" w:hAnsi="Arial" w:cs="Arial"/>
          <w:color w:val="auto"/>
          <w:sz w:val="22"/>
          <w:szCs w:val="22"/>
        </w:rPr>
        <w:t xml:space="preserve"> propuesta</w:t>
      </w:r>
      <w:r w:rsidR="000E0644" w:rsidRPr="00401408">
        <w:rPr>
          <w:rFonts w:ascii="Arial" w:hAnsi="Arial" w:cs="Arial"/>
          <w:color w:val="auto"/>
          <w:sz w:val="22"/>
          <w:szCs w:val="22"/>
        </w:rPr>
        <w:t>s</w:t>
      </w:r>
      <w:r w:rsidR="00482223" w:rsidRPr="00401408">
        <w:rPr>
          <w:rFonts w:ascii="Arial" w:hAnsi="Arial" w:cs="Arial"/>
          <w:color w:val="auto"/>
          <w:sz w:val="22"/>
          <w:szCs w:val="22"/>
        </w:rPr>
        <w:t xml:space="preserve"> de modificación al numeral 7.3.1. del Nuevo PTFN, e</w:t>
      </w:r>
      <w:r w:rsidRPr="00401408">
        <w:rPr>
          <w:rFonts w:ascii="Arial" w:hAnsi="Arial" w:cs="Arial"/>
          <w:color w:val="auto"/>
          <w:sz w:val="22"/>
          <w:szCs w:val="22"/>
        </w:rPr>
        <w:t>l instructivo de</w:t>
      </w:r>
      <w:r w:rsidR="00704520" w:rsidRPr="00401408">
        <w:rPr>
          <w:rFonts w:ascii="Arial" w:hAnsi="Arial" w:cs="Arial"/>
          <w:color w:val="auto"/>
          <w:sz w:val="22"/>
          <w:szCs w:val="22"/>
        </w:rPr>
        <w:t xml:space="preserve"> llenado del </w:t>
      </w:r>
      <w:r w:rsidRPr="00401408">
        <w:rPr>
          <w:rFonts w:ascii="Arial" w:hAnsi="Arial" w:cs="Arial"/>
          <w:color w:val="auto"/>
          <w:sz w:val="22"/>
          <w:szCs w:val="22"/>
        </w:rPr>
        <w:t>formato</w:t>
      </w:r>
      <w:r w:rsidR="00704520" w:rsidRPr="00401408">
        <w:rPr>
          <w:rFonts w:ascii="Arial" w:hAnsi="Arial" w:cs="Arial"/>
          <w:color w:val="auto"/>
          <w:sz w:val="22"/>
          <w:szCs w:val="22"/>
        </w:rPr>
        <w:t xml:space="preserve"> electrónico</w:t>
      </w:r>
      <w:r w:rsidRPr="00401408">
        <w:rPr>
          <w:rFonts w:ascii="Arial" w:hAnsi="Arial" w:cs="Arial"/>
          <w:color w:val="auto"/>
          <w:sz w:val="22"/>
          <w:szCs w:val="22"/>
        </w:rPr>
        <w:t xml:space="preserve"> aplicable a las solicitudes de asignación de números nacionales</w:t>
      </w:r>
      <w:r w:rsidR="00FE7808" w:rsidRPr="00401408">
        <w:rPr>
          <w:rFonts w:ascii="Arial" w:hAnsi="Arial" w:cs="Arial"/>
          <w:color w:val="auto"/>
          <w:sz w:val="22"/>
          <w:szCs w:val="22"/>
        </w:rPr>
        <w:t>,</w:t>
      </w:r>
      <w:r w:rsidRPr="00401408">
        <w:rPr>
          <w:rFonts w:ascii="Arial" w:hAnsi="Arial" w:cs="Arial"/>
          <w:color w:val="auto"/>
          <w:sz w:val="22"/>
          <w:szCs w:val="22"/>
        </w:rPr>
        <w:t xml:space="preserve"> señala que los campos correspondientes a la zona, modalidad de uso y total de numeración solicitada</w:t>
      </w:r>
      <w:r w:rsidR="00FE7808" w:rsidRPr="00401408">
        <w:rPr>
          <w:rFonts w:ascii="Arial" w:hAnsi="Arial" w:cs="Arial"/>
          <w:color w:val="auto"/>
          <w:sz w:val="22"/>
          <w:szCs w:val="22"/>
        </w:rPr>
        <w:t>,</w:t>
      </w:r>
      <w:r w:rsidRPr="00401408">
        <w:rPr>
          <w:rFonts w:ascii="Arial" w:hAnsi="Arial" w:cs="Arial"/>
          <w:color w:val="auto"/>
          <w:sz w:val="22"/>
          <w:szCs w:val="22"/>
        </w:rPr>
        <w:t xml:space="preserve"> podrán capturarse manualmente o ingresarse de forma opcional </w:t>
      </w:r>
      <w:r w:rsidR="00FE7808" w:rsidRPr="00401408">
        <w:rPr>
          <w:rFonts w:ascii="Arial" w:hAnsi="Arial" w:cs="Arial"/>
          <w:color w:val="auto"/>
          <w:sz w:val="22"/>
          <w:szCs w:val="22"/>
        </w:rPr>
        <w:t>mediante</w:t>
      </w:r>
      <w:r w:rsidRPr="00401408">
        <w:rPr>
          <w:rFonts w:ascii="Arial" w:hAnsi="Arial" w:cs="Arial"/>
          <w:color w:val="auto"/>
          <w:sz w:val="22"/>
          <w:szCs w:val="22"/>
        </w:rPr>
        <w:t xml:space="preserve"> un archivo de carga que cuente con las características descritas en el mismo instructivo de llenado.</w:t>
      </w:r>
    </w:p>
    <w:p w14:paraId="61908285" w14:textId="77777777" w:rsidR="00482223" w:rsidRPr="00401408" w:rsidRDefault="00482223" w:rsidP="00401408">
      <w:pPr>
        <w:pStyle w:val="Default"/>
        <w:spacing w:before="60" w:after="60" w:line="360" w:lineRule="auto"/>
        <w:contextualSpacing/>
        <w:jc w:val="both"/>
        <w:rPr>
          <w:rFonts w:ascii="Arial" w:hAnsi="Arial" w:cs="Arial"/>
          <w:color w:val="auto"/>
          <w:sz w:val="22"/>
          <w:szCs w:val="22"/>
        </w:rPr>
      </w:pPr>
    </w:p>
    <w:p w14:paraId="003FB664" w14:textId="15C3E313" w:rsidR="00FE7808" w:rsidRPr="00401408" w:rsidRDefault="00482223"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Para el caso </w:t>
      </w:r>
      <w:r w:rsidR="0019511B" w:rsidRPr="00401408">
        <w:rPr>
          <w:rFonts w:ascii="Arial" w:hAnsi="Arial" w:cs="Arial"/>
          <w:color w:val="auto"/>
          <w:sz w:val="22"/>
          <w:szCs w:val="22"/>
        </w:rPr>
        <w:t xml:space="preserve">de la propuesta de modificación al numeral 7.5.1. del Nuevo PTFN, </w:t>
      </w:r>
      <w:r w:rsidR="00704520" w:rsidRPr="00401408">
        <w:rPr>
          <w:rFonts w:ascii="Arial" w:hAnsi="Arial" w:cs="Arial"/>
          <w:color w:val="auto"/>
          <w:sz w:val="22"/>
          <w:szCs w:val="22"/>
        </w:rPr>
        <w:t xml:space="preserve">el instructivo de llenado del </w:t>
      </w:r>
      <w:r w:rsidRPr="00401408">
        <w:rPr>
          <w:rFonts w:ascii="Arial" w:hAnsi="Arial" w:cs="Arial"/>
          <w:color w:val="auto"/>
          <w:sz w:val="22"/>
          <w:szCs w:val="22"/>
        </w:rPr>
        <w:t>formato</w:t>
      </w:r>
      <w:r w:rsidR="00704520" w:rsidRPr="00401408">
        <w:rPr>
          <w:rFonts w:ascii="Arial" w:hAnsi="Arial" w:cs="Arial"/>
          <w:color w:val="auto"/>
          <w:sz w:val="22"/>
          <w:szCs w:val="22"/>
        </w:rPr>
        <w:t xml:space="preserve"> electrónico</w:t>
      </w:r>
      <w:r w:rsidRPr="00401408">
        <w:rPr>
          <w:rFonts w:ascii="Arial" w:hAnsi="Arial" w:cs="Arial"/>
          <w:color w:val="auto"/>
          <w:sz w:val="22"/>
          <w:szCs w:val="22"/>
        </w:rPr>
        <w:t xml:space="preserve"> aplicable a las solicitudes de cambio de modalidad de uso</w:t>
      </w:r>
      <w:r w:rsidR="0019511B" w:rsidRPr="00401408">
        <w:rPr>
          <w:rFonts w:ascii="Arial" w:hAnsi="Arial" w:cs="Arial"/>
          <w:color w:val="auto"/>
          <w:sz w:val="22"/>
          <w:szCs w:val="22"/>
        </w:rPr>
        <w:t>,</w:t>
      </w:r>
      <w:r w:rsidRPr="00401408">
        <w:rPr>
          <w:rFonts w:ascii="Arial" w:hAnsi="Arial" w:cs="Arial"/>
          <w:color w:val="auto"/>
          <w:sz w:val="22"/>
          <w:szCs w:val="22"/>
        </w:rPr>
        <w:t xml:space="preserve"> señala que los campos correspondientes a la zona, Número Inicial, Número Final, Modalidad de Uso Asignada </w:t>
      </w:r>
      <w:r w:rsidR="000E0644" w:rsidRPr="00401408">
        <w:rPr>
          <w:rFonts w:ascii="Arial" w:hAnsi="Arial" w:cs="Arial"/>
          <w:color w:val="auto"/>
          <w:sz w:val="22"/>
          <w:szCs w:val="22"/>
        </w:rPr>
        <w:t xml:space="preserve">y Modalidad de Uso solicitada, </w:t>
      </w:r>
      <w:r w:rsidRPr="00401408">
        <w:rPr>
          <w:rFonts w:ascii="Arial" w:hAnsi="Arial" w:cs="Arial"/>
          <w:color w:val="auto"/>
          <w:sz w:val="22"/>
          <w:szCs w:val="22"/>
        </w:rPr>
        <w:t>podrán capturarse manualmente o ingresarse de forma opcional a través de un archivo de carga que cuente con las características descritas en el mismo instructivo de llenado.</w:t>
      </w:r>
      <w:r w:rsidR="000064BF" w:rsidRPr="00401408">
        <w:rPr>
          <w:rFonts w:ascii="Arial" w:hAnsi="Arial" w:cs="Arial"/>
          <w:color w:val="auto"/>
          <w:sz w:val="22"/>
          <w:szCs w:val="22"/>
        </w:rPr>
        <w:t xml:space="preserve"> </w:t>
      </w:r>
    </w:p>
    <w:p w14:paraId="139E4046" w14:textId="77777777" w:rsidR="00FE7808" w:rsidRPr="00401408" w:rsidRDefault="00FE7808" w:rsidP="00401408">
      <w:pPr>
        <w:pStyle w:val="Default"/>
        <w:spacing w:before="60" w:after="60" w:line="360" w:lineRule="auto"/>
        <w:contextualSpacing/>
        <w:jc w:val="both"/>
        <w:rPr>
          <w:rFonts w:ascii="Arial" w:hAnsi="Arial" w:cs="Arial"/>
          <w:color w:val="auto"/>
          <w:sz w:val="22"/>
          <w:szCs w:val="22"/>
        </w:rPr>
      </w:pPr>
    </w:p>
    <w:p w14:paraId="7158A3CC" w14:textId="54DB84A5" w:rsidR="000064BF" w:rsidRPr="00401408" w:rsidRDefault="0019511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No obstante</w:t>
      </w:r>
      <w:r w:rsidR="000064BF" w:rsidRPr="00401408">
        <w:rPr>
          <w:rFonts w:ascii="Arial" w:hAnsi="Arial" w:cs="Arial"/>
          <w:color w:val="auto"/>
          <w:sz w:val="22"/>
          <w:szCs w:val="22"/>
        </w:rPr>
        <w:t xml:space="preserve"> </w:t>
      </w:r>
      <w:r w:rsidRPr="00401408">
        <w:rPr>
          <w:rFonts w:ascii="Arial" w:hAnsi="Arial" w:cs="Arial"/>
          <w:color w:val="auto"/>
          <w:sz w:val="22"/>
          <w:szCs w:val="22"/>
        </w:rPr>
        <w:t>que no resulta procedente atender la</w:t>
      </w:r>
      <w:r w:rsidR="000E0644" w:rsidRPr="00401408">
        <w:rPr>
          <w:rFonts w:ascii="Arial" w:hAnsi="Arial" w:cs="Arial"/>
          <w:color w:val="auto"/>
          <w:sz w:val="22"/>
          <w:szCs w:val="22"/>
        </w:rPr>
        <w:t>s</w:t>
      </w:r>
      <w:r w:rsidRPr="00401408">
        <w:rPr>
          <w:rFonts w:ascii="Arial" w:hAnsi="Arial" w:cs="Arial"/>
          <w:color w:val="auto"/>
          <w:sz w:val="22"/>
          <w:szCs w:val="22"/>
        </w:rPr>
        <w:t xml:space="preserve"> propuesta</w:t>
      </w:r>
      <w:r w:rsidR="000E0644" w:rsidRPr="00401408">
        <w:rPr>
          <w:rFonts w:ascii="Arial" w:hAnsi="Arial" w:cs="Arial"/>
          <w:color w:val="auto"/>
          <w:sz w:val="22"/>
          <w:szCs w:val="22"/>
        </w:rPr>
        <w:t>s</w:t>
      </w:r>
      <w:r w:rsidRPr="00401408">
        <w:rPr>
          <w:rFonts w:ascii="Arial" w:hAnsi="Arial" w:cs="Arial"/>
          <w:color w:val="auto"/>
          <w:sz w:val="22"/>
          <w:szCs w:val="22"/>
        </w:rPr>
        <w:t xml:space="preserve"> en los términos solicitados, </w:t>
      </w:r>
      <w:r w:rsidR="000064BF" w:rsidRPr="00401408">
        <w:rPr>
          <w:rFonts w:ascii="Arial" w:hAnsi="Arial" w:cs="Arial"/>
          <w:color w:val="auto"/>
          <w:sz w:val="22"/>
          <w:szCs w:val="22"/>
        </w:rPr>
        <w:t>se modifica la redacción de los i</w:t>
      </w:r>
      <w:r w:rsidR="00704520" w:rsidRPr="00401408">
        <w:rPr>
          <w:rFonts w:ascii="Arial" w:hAnsi="Arial" w:cs="Arial"/>
          <w:color w:val="auto"/>
          <w:sz w:val="22"/>
          <w:szCs w:val="22"/>
        </w:rPr>
        <w:t xml:space="preserve">nstructivos de llenado de los </w:t>
      </w:r>
      <w:r w:rsidR="000064BF" w:rsidRPr="00401408">
        <w:rPr>
          <w:rFonts w:ascii="Arial" w:hAnsi="Arial" w:cs="Arial"/>
          <w:color w:val="auto"/>
          <w:sz w:val="22"/>
          <w:szCs w:val="22"/>
        </w:rPr>
        <w:t>formatos</w:t>
      </w:r>
      <w:r w:rsidR="00704520" w:rsidRPr="00401408">
        <w:rPr>
          <w:rFonts w:ascii="Arial" w:hAnsi="Arial" w:cs="Arial"/>
          <w:color w:val="auto"/>
          <w:sz w:val="22"/>
          <w:szCs w:val="22"/>
        </w:rPr>
        <w:t xml:space="preserve"> electrónicos</w:t>
      </w:r>
      <w:r w:rsidRPr="00401408">
        <w:rPr>
          <w:rFonts w:ascii="Arial" w:hAnsi="Arial" w:cs="Arial"/>
          <w:color w:val="auto"/>
          <w:sz w:val="22"/>
          <w:szCs w:val="22"/>
        </w:rPr>
        <w:t>,</w:t>
      </w:r>
      <w:r w:rsidR="000064BF" w:rsidRPr="00401408">
        <w:rPr>
          <w:rFonts w:ascii="Arial" w:hAnsi="Arial" w:cs="Arial"/>
          <w:color w:val="auto"/>
          <w:sz w:val="22"/>
          <w:szCs w:val="22"/>
        </w:rPr>
        <w:t xml:space="preserve"> con la finalidad </w:t>
      </w:r>
      <w:r w:rsidR="000064BF" w:rsidRPr="00401408">
        <w:rPr>
          <w:rFonts w:ascii="Arial" w:hAnsi="Arial" w:cs="Arial"/>
          <w:color w:val="auto"/>
          <w:sz w:val="22"/>
          <w:szCs w:val="22"/>
        </w:rPr>
        <w:lastRenderedPageBreak/>
        <w:t>de dar mayor claridad</w:t>
      </w:r>
      <w:r w:rsidRPr="00401408">
        <w:rPr>
          <w:rFonts w:ascii="Arial" w:hAnsi="Arial" w:cs="Arial"/>
          <w:color w:val="auto"/>
          <w:sz w:val="22"/>
          <w:szCs w:val="22"/>
        </w:rPr>
        <w:t xml:space="preserve"> a los PST</w:t>
      </w:r>
      <w:r w:rsidR="000064BF" w:rsidRPr="00401408">
        <w:rPr>
          <w:rFonts w:ascii="Arial" w:hAnsi="Arial" w:cs="Arial"/>
          <w:color w:val="auto"/>
          <w:sz w:val="22"/>
          <w:szCs w:val="22"/>
        </w:rPr>
        <w:t xml:space="preserve"> sobre la opción de utilizar un archivo de carga para completar de mane</w:t>
      </w:r>
      <w:r w:rsidR="00704520" w:rsidRPr="00401408">
        <w:rPr>
          <w:rFonts w:ascii="Arial" w:hAnsi="Arial" w:cs="Arial"/>
          <w:color w:val="auto"/>
          <w:sz w:val="22"/>
          <w:szCs w:val="22"/>
        </w:rPr>
        <w:t xml:space="preserve">ra más ágil el llenado de los </w:t>
      </w:r>
      <w:r w:rsidR="000064BF" w:rsidRPr="00401408">
        <w:rPr>
          <w:rFonts w:ascii="Arial" w:hAnsi="Arial" w:cs="Arial"/>
          <w:color w:val="auto"/>
          <w:sz w:val="22"/>
          <w:szCs w:val="22"/>
        </w:rPr>
        <w:t>formatos</w:t>
      </w:r>
      <w:r w:rsidR="00704520" w:rsidRPr="00401408">
        <w:rPr>
          <w:rFonts w:ascii="Arial" w:hAnsi="Arial" w:cs="Arial"/>
          <w:color w:val="auto"/>
          <w:sz w:val="22"/>
          <w:szCs w:val="22"/>
        </w:rPr>
        <w:t xml:space="preserve"> electrónicos</w:t>
      </w:r>
      <w:r w:rsidR="000064BF" w:rsidRPr="00401408">
        <w:rPr>
          <w:rFonts w:ascii="Arial" w:hAnsi="Arial" w:cs="Arial"/>
          <w:color w:val="auto"/>
          <w:sz w:val="22"/>
          <w:szCs w:val="22"/>
        </w:rPr>
        <w:t>.</w:t>
      </w:r>
    </w:p>
    <w:p w14:paraId="14B6656B" w14:textId="345D73DE"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0032D5C2" w14:textId="22E0EEA6" w:rsidR="00763E7D" w:rsidRPr="00401408" w:rsidRDefault="00763E7D"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5. </w:t>
      </w:r>
      <w:r w:rsidR="00466B90" w:rsidRPr="00401408">
        <w:rPr>
          <w:rFonts w:ascii="Arial" w:hAnsi="Arial" w:cs="Arial"/>
          <w:b/>
          <w:color w:val="auto"/>
          <w:sz w:val="22"/>
          <w:szCs w:val="22"/>
        </w:rPr>
        <w:t>DESCRIPCIÓN DE</w:t>
      </w:r>
      <w:r w:rsidRPr="00401408">
        <w:rPr>
          <w:rFonts w:ascii="Arial" w:hAnsi="Arial" w:cs="Arial"/>
          <w:b/>
          <w:color w:val="auto"/>
          <w:sz w:val="22"/>
          <w:szCs w:val="22"/>
        </w:rPr>
        <w:t xml:space="preserve"> LAS CAUSAS DE IMPROCEDENCIA DE ASIGNACIÓN DE NÚMEROS NACIONALES.</w:t>
      </w:r>
    </w:p>
    <w:p w14:paraId="6B796441" w14:textId="2B07F0B3"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6AA9C9D5" w14:textId="7A117EBF" w:rsidR="00763E7D" w:rsidRPr="00401408" w:rsidRDefault="00763E7D"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color w:val="auto"/>
          <w:sz w:val="22"/>
          <w:szCs w:val="22"/>
        </w:rPr>
        <w:t>La empresa Megacable solicita que se especifiquen las causas de improcedencia aplicables en el procedimiento de asignación de números nacionales.</w:t>
      </w:r>
    </w:p>
    <w:p w14:paraId="44B827FB" w14:textId="67E2A2D8"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1EB0A2D6" w14:textId="77777777" w:rsidR="00594A73" w:rsidRPr="00401408" w:rsidRDefault="00763E7D" w:rsidP="00401408">
      <w:pPr>
        <w:spacing w:before="60" w:after="60" w:line="360" w:lineRule="auto"/>
        <w:contextualSpacing/>
        <w:jc w:val="both"/>
        <w:rPr>
          <w:rFonts w:ascii="Arial" w:hAnsi="Arial" w:cs="Arial"/>
        </w:rPr>
      </w:pPr>
      <w:r w:rsidRPr="00401408">
        <w:rPr>
          <w:rFonts w:ascii="Arial" w:hAnsi="Arial" w:cs="Arial"/>
          <w:b/>
        </w:rPr>
        <w:t xml:space="preserve">RESPUESTA: </w:t>
      </w:r>
      <w:r w:rsidRPr="00401408">
        <w:rPr>
          <w:rFonts w:ascii="Arial" w:hAnsi="Arial" w:cs="Arial"/>
        </w:rPr>
        <w:t xml:space="preserve">El numeral 7.3.10. del Nuevo PTFN, establece la procedencia de una solicitud conforme al análisis de la información indicada en el numeral 7.3.6. </w:t>
      </w:r>
    </w:p>
    <w:p w14:paraId="3F81C0A3" w14:textId="3AE85414" w:rsidR="00763E7D" w:rsidRPr="00401408" w:rsidRDefault="00763E7D" w:rsidP="00401408">
      <w:pPr>
        <w:spacing w:before="60" w:after="60" w:line="360" w:lineRule="auto"/>
        <w:contextualSpacing/>
        <w:jc w:val="both"/>
        <w:rPr>
          <w:rFonts w:ascii="Arial" w:hAnsi="Arial" w:cs="Arial"/>
        </w:rPr>
      </w:pPr>
      <w:r w:rsidRPr="00401408">
        <w:rPr>
          <w:rFonts w:ascii="Arial" w:hAnsi="Arial" w:cs="Arial"/>
        </w:rPr>
        <w:t xml:space="preserve">Por otra parte, </w:t>
      </w:r>
      <w:r w:rsidR="00704520" w:rsidRPr="00401408">
        <w:rPr>
          <w:rFonts w:ascii="Arial" w:hAnsi="Arial" w:cs="Arial"/>
        </w:rPr>
        <w:t xml:space="preserve">el instructivo de llenado del </w:t>
      </w:r>
      <w:r w:rsidRPr="00401408">
        <w:rPr>
          <w:rFonts w:ascii="Arial" w:hAnsi="Arial" w:cs="Arial"/>
        </w:rPr>
        <w:t>formato</w:t>
      </w:r>
      <w:r w:rsidR="00704520" w:rsidRPr="00401408">
        <w:rPr>
          <w:rFonts w:ascii="Arial" w:hAnsi="Arial" w:cs="Arial"/>
        </w:rPr>
        <w:t xml:space="preserve"> electrónico</w:t>
      </w:r>
      <w:r w:rsidRPr="00401408">
        <w:rPr>
          <w:rFonts w:ascii="Arial" w:hAnsi="Arial" w:cs="Arial"/>
        </w:rPr>
        <w:t xml:space="preserve"> aplicable al trámite de solicitud de numeración nacional</w:t>
      </w:r>
      <w:r w:rsidR="000E0644" w:rsidRPr="00401408">
        <w:rPr>
          <w:rFonts w:ascii="Arial" w:hAnsi="Arial" w:cs="Arial"/>
        </w:rPr>
        <w:t>, describe la</w:t>
      </w:r>
      <w:r w:rsidR="00594A73" w:rsidRPr="00401408">
        <w:rPr>
          <w:rFonts w:ascii="Arial" w:hAnsi="Arial" w:cs="Arial"/>
        </w:rPr>
        <w:t>s consideraciones que deberán observar los PST para co</w:t>
      </w:r>
      <w:r w:rsidR="00704520" w:rsidRPr="00401408">
        <w:rPr>
          <w:rFonts w:ascii="Arial" w:hAnsi="Arial" w:cs="Arial"/>
        </w:rPr>
        <w:t xml:space="preserve">mpletar satisfactoriamente el </w:t>
      </w:r>
      <w:r w:rsidR="00594A73" w:rsidRPr="00401408">
        <w:rPr>
          <w:rFonts w:ascii="Arial" w:hAnsi="Arial" w:cs="Arial"/>
        </w:rPr>
        <w:t>formato</w:t>
      </w:r>
      <w:r w:rsidR="00704520" w:rsidRPr="00401408">
        <w:rPr>
          <w:rFonts w:ascii="Arial" w:hAnsi="Arial" w:cs="Arial"/>
        </w:rPr>
        <w:t xml:space="preserve"> electrónico</w:t>
      </w:r>
      <w:r w:rsidR="00594A73" w:rsidRPr="00401408">
        <w:rPr>
          <w:rFonts w:ascii="Arial" w:hAnsi="Arial" w:cs="Arial"/>
        </w:rPr>
        <w:t xml:space="preserve"> que estará disponible en la Ventanilla Electrónica.</w:t>
      </w:r>
      <w:r w:rsidR="000E0644" w:rsidRPr="00401408">
        <w:rPr>
          <w:rFonts w:ascii="Arial" w:hAnsi="Arial" w:cs="Arial"/>
        </w:rPr>
        <w:t xml:space="preserve"> En </w:t>
      </w:r>
      <w:r w:rsidR="00795A36">
        <w:rPr>
          <w:rFonts w:ascii="Arial" w:hAnsi="Arial" w:cs="Arial"/>
        </w:rPr>
        <w:t xml:space="preserve">este </w:t>
      </w:r>
      <w:r w:rsidR="000E0644" w:rsidRPr="00401408">
        <w:rPr>
          <w:rFonts w:ascii="Arial" w:hAnsi="Arial" w:cs="Arial"/>
        </w:rPr>
        <w:t>sentido se debe entender que, al no cumplir con lo establecido en dicho numeral, así como en lo señalado en el formato electrónico respectivo, no será procedente el procedimiento de asignación de Números Nacionales.</w:t>
      </w:r>
      <w:r w:rsidR="00594A73" w:rsidRPr="00401408">
        <w:rPr>
          <w:rFonts w:ascii="Arial" w:hAnsi="Arial" w:cs="Arial"/>
        </w:rPr>
        <w:t xml:space="preserve"> </w:t>
      </w:r>
    </w:p>
    <w:p w14:paraId="7C8E306D" w14:textId="3A409AEE" w:rsidR="00763E7D" w:rsidRPr="00401408" w:rsidRDefault="00466B90"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6. REDUCCIÓN DEL PLAZO PARA INICIAR LA UTILIZACIÓN DE LA NUMERACIÓN NACIONAL </w:t>
      </w:r>
      <w:r w:rsidR="007176B9" w:rsidRPr="00401408">
        <w:rPr>
          <w:rFonts w:ascii="Arial" w:hAnsi="Arial" w:cs="Arial"/>
          <w:b/>
          <w:color w:val="auto"/>
          <w:sz w:val="22"/>
          <w:szCs w:val="22"/>
        </w:rPr>
        <w:t xml:space="preserve">Y NO GEOGRÁFICA </w:t>
      </w:r>
      <w:r w:rsidRPr="00401408">
        <w:rPr>
          <w:rFonts w:ascii="Arial" w:hAnsi="Arial" w:cs="Arial"/>
          <w:b/>
          <w:color w:val="auto"/>
          <w:sz w:val="22"/>
          <w:szCs w:val="22"/>
        </w:rPr>
        <w:t>ASIGNADA.</w:t>
      </w:r>
    </w:p>
    <w:p w14:paraId="636887F2" w14:textId="732CDA7B"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1AC69D84" w14:textId="306F2379" w:rsidR="00466B90" w:rsidRPr="00401408" w:rsidRDefault="00466B90"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La empresa Megacable</w:t>
      </w:r>
      <w:r w:rsidR="004D26A4" w:rsidRPr="00401408">
        <w:rPr>
          <w:rFonts w:ascii="Arial" w:hAnsi="Arial" w:cs="Arial"/>
          <w:color w:val="auto"/>
          <w:sz w:val="22"/>
          <w:szCs w:val="22"/>
        </w:rPr>
        <w:t xml:space="preserve"> propone que el plazo</w:t>
      </w:r>
      <w:r w:rsidR="006072C1" w:rsidRPr="00401408">
        <w:rPr>
          <w:rFonts w:ascii="Arial" w:hAnsi="Arial" w:cs="Arial"/>
          <w:color w:val="auto"/>
          <w:sz w:val="22"/>
          <w:szCs w:val="22"/>
        </w:rPr>
        <w:t xml:space="preserve"> indicado en el Nuevo PTFN</w:t>
      </w:r>
      <w:r w:rsidR="004D26A4" w:rsidRPr="00401408">
        <w:rPr>
          <w:rFonts w:ascii="Arial" w:hAnsi="Arial" w:cs="Arial"/>
          <w:color w:val="auto"/>
          <w:sz w:val="22"/>
          <w:szCs w:val="22"/>
        </w:rPr>
        <w:t xml:space="preserve"> para iniciar la utilización de la numeración nacional asignada se reduzca de 15 a 8 días naturales.</w:t>
      </w:r>
    </w:p>
    <w:p w14:paraId="3BA41C67" w14:textId="4D6E47C8" w:rsidR="00763E7D" w:rsidRPr="00401408" w:rsidRDefault="00763E7D" w:rsidP="00401408">
      <w:pPr>
        <w:pStyle w:val="Default"/>
        <w:spacing w:before="60" w:after="60" w:line="360" w:lineRule="auto"/>
        <w:contextualSpacing/>
        <w:jc w:val="both"/>
        <w:rPr>
          <w:rFonts w:ascii="Arial" w:hAnsi="Arial" w:cs="Arial"/>
          <w:color w:val="auto"/>
          <w:sz w:val="22"/>
          <w:szCs w:val="22"/>
        </w:rPr>
      </w:pPr>
    </w:p>
    <w:p w14:paraId="1F6F0E32" w14:textId="4F1F076A" w:rsidR="000E0644" w:rsidRPr="00401408" w:rsidRDefault="004D26A4"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La propuesta no resulta atendible debido a que, de conformidad con las disposiciones aplicables al proceso consultivo correspondiente, se encuentra fuera del alcance del Anteproyecto</w:t>
      </w:r>
      <w:r w:rsidR="000E0644" w:rsidRPr="00401408">
        <w:rPr>
          <w:rFonts w:ascii="Arial" w:hAnsi="Arial" w:cs="Arial"/>
          <w:color w:val="auto"/>
          <w:sz w:val="22"/>
          <w:szCs w:val="22"/>
        </w:rPr>
        <w:t xml:space="preserve"> al no estar relacionada con el objeto de dicho proceso consultivo.</w:t>
      </w:r>
    </w:p>
    <w:p w14:paraId="01EF4E57" w14:textId="113F813D" w:rsidR="007176B9" w:rsidRPr="00401408" w:rsidRDefault="007176B9" w:rsidP="00401408">
      <w:pPr>
        <w:pStyle w:val="Default"/>
        <w:spacing w:before="60" w:after="60" w:line="360" w:lineRule="auto"/>
        <w:contextualSpacing/>
        <w:jc w:val="both"/>
        <w:rPr>
          <w:rFonts w:ascii="Arial" w:hAnsi="Arial" w:cs="Arial"/>
          <w:b/>
          <w:color w:val="auto"/>
          <w:sz w:val="22"/>
          <w:szCs w:val="22"/>
        </w:rPr>
      </w:pPr>
    </w:p>
    <w:p w14:paraId="29F492AA" w14:textId="4C4DB04A" w:rsidR="007176B9" w:rsidRPr="00401408" w:rsidRDefault="007176B9"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7. REDUCCIÓN EN LOS PLAZOS PARA RESOLVER, PREVENIR Y DESAHOGAR TRÁMITES DE SOLICITUD DE ASIGNACIÓN DE NUMERACIÓN NACIONAL</w:t>
      </w:r>
      <w:r w:rsidR="000E0644" w:rsidRPr="00401408">
        <w:rPr>
          <w:rFonts w:ascii="Arial" w:hAnsi="Arial" w:cs="Arial"/>
          <w:b/>
          <w:color w:val="auto"/>
          <w:sz w:val="22"/>
          <w:szCs w:val="22"/>
        </w:rPr>
        <w:t>.</w:t>
      </w:r>
    </w:p>
    <w:p w14:paraId="3E8CE735" w14:textId="3E8EBFD6" w:rsidR="004D26A4" w:rsidRPr="00401408" w:rsidRDefault="004D26A4" w:rsidP="00401408">
      <w:pPr>
        <w:pStyle w:val="Default"/>
        <w:spacing w:before="60" w:after="60" w:line="360" w:lineRule="auto"/>
        <w:contextualSpacing/>
        <w:jc w:val="both"/>
        <w:rPr>
          <w:rFonts w:ascii="Arial" w:hAnsi="Arial" w:cs="Arial"/>
          <w:b/>
          <w:color w:val="auto"/>
          <w:sz w:val="22"/>
          <w:szCs w:val="22"/>
        </w:rPr>
      </w:pPr>
    </w:p>
    <w:p w14:paraId="05623795" w14:textId="5B70EA63" w:rsidR="004D26A4" w:rsidRPr="00401408" w:rsidRDefault="006072C1"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lastRenderedPageBreak/>
        <w:t>La empresa Megacable y la CANIETI proponen que los plazos para la resolución, desahogo y prevención aplicables al trámite de asignación de numeración nacional, contenido en el Nuevo PTFN, se reduzcan de la siguiente forma:</w:t>
      </w:r>
    </w:p>
    <w:p w14:paraId="15DCBA33" w14:textId="77777777" w:rsidR="000E0644" w:rsidRPr="00401408" w:rsidRDefault="000E0644" w:rsidP="00401408">
      <w:pPr>
        <w:pStyle w:val="Default"/>
        <w:spacing w:before="60" w:after="60" w:line="360" w:lineRule="auto"/>
        <w:contextualSpacing/>
        <w:jc w:val="both"/>
        <w:rPr>
          <w:rFonts w:ascii="Arial" w:hAnsi="Arial" w:cs="Arial"/>
          <w:color w:val="auto"/>
          <w:sz w:val="22"/>
          <w:szCs w:val="22"/>
        </w:rPr>
      </w:pPr>
    </w:p>
    <w:p w14:paraId="05782098" w14:textId="165C0A82" w:rsidR="006072C1" w:rsidRPr="00401408" w:rsidRDefault="006072C1" w:rsidP="00401408">
      <w:pPr>
        <w:pStyle w:val="Default"/>
        <w:numPr>
          <w:ilvl w:val="0"/>
          <w:numId w:val="16"/>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Resolución de 15 a 8 días hábiles</w:t>
      </w:r>
    </w:p>
    <w:p w14:paraId="640BCB9B" w14:textId="6016EE7C" w:rsidR="006072C1" w:rsidRPr="00401408" w:rsidRDefault="006072C1" w:rsidP="00401408">
      <w:pPr>
        <w:pStyle w:val="Default"/>
        <w:numPr>
          <w:ilvl w:val="0"/>
          <w:numId w:val="16"/>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Prevención de 5 a 2 días hábiles</w:t>
      </w:r>
    </w:p>
    <w:p w14:paraId="6AC7F25F" w14:textId="7A1A7C89" w:rsidR="006072C1" w:rsidRPr="00401408" w:rsidRDefault="006072C1" w:rsidP="00401408">
      <w:pPr>
        <w:pStyle w:val="Default"/>
        <w:numPr>
          <w:ilvl w:val="0"/>
          <w:numId w:val="16"/>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Desahogo de 5 a 3 días hábiles</w:t>
      </w:r>
    </w:p>
    <w:p w14:paraId="734C85F1" w14:textId="77777777" w:rsidR="006072C1" w:rsidRPr="00401408" w:rsidRDefault="006072C1" w:rsidP="00401408">
      <w:pPr>
        <w:pStyle w:val="Default"/>
        <w:spacing w:before="60" w:after="60" w:line="360" w:lineRule="auto"/>
        <w:contextualSpacing/>
        <w:jc w:val="both"/>
        <w:rPr>
          <w:rFonts w:ascii="Arial" w:hAnsi="Arial" w:cs="Arial"/>
          <w:color w:val="auto"/>
          <w:sz w:val="22"/>
          <w:szCs w:val="22"/>
        </w:rPr>
      </w:pPr>
    </w:p>
    <w:p w14:paraId="5CE1915E" w14:textId="7FF1D6A9" w:rsidR="000E0644" w:rsidRPr="00401408" w:rsidRDefault="006072C1"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La propuesta no resulta atendible debido a que, de conformidad con las disposiciones aplicables al proceso consultivo correspondiente, se encuentra fuera del alcance del Anteproyecto</w:t>
      </w:r>
      <w:r w:rsidR="000E0644" w:rsidRPr="00401408">
        <w:rPr>
          <w:rFonts w:ascii="Arial" w:hAnsi="Arial" w:cs="Arial"/>
          <w:color w:val="auto"/>
          <w:sz w:val="22"/>
          <w:szCs w:val="22"/>
        </w:rPr>
        <w:t xml:space="preserve"> al no estar relacionada con el objeto de dicho proceso consultivo.</w:t>
      </w:r>
    </w:p>
    <w:p w14:paraId="1AC4AC42" w14:textId="746C43BF" w:rsidR="004D26A4" w:rsidRPr="00401408" w:rsidRDefault="004D26A4" w:rsidP="00401408">
      <w:pPr>
        <w:pStyle w:val="Default"/>
        <w:spacing w:before="60" w:after="60" w:line="360" w:lineRule="auto"/>
        <w:contextualSpacing/>
        <w:jc w:val="both"/>
        <w:rPr>
          <w:rFonts w:ascii="Arial" w:hAnsi="Arial" w:cs="Arial"/>
          <w:color w:val="auto"/>
          <w:sz w:val="22"/>
          <w:szCs w:val="22"/>
        </w:rPr>
      </w:pPr>
    </w:p>
    <w:p w14:paraId="5C70610E" w14:textId="6C8BB15A" w:rsidR="00E441F4" w:rsidRPr="00401408" w:rsidRDefault="00E441F4"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8. </w:t>
      </w:r>
      <w:r w:rsidR="000E4749" w:rsidRPr="00401408">
        <w:rPr>
          <w:rFonts w:ascii="Arial" w:hAnsi="Arial" w:cs="Arial"/>
          <w:b/>
          <w:color w:val="auto"/>
          <w:sz w:val="22"/>
          <w:szCs w:val="22"/>
        </w:rPr>
        <w:t>ATEN</w:t>
      </w:r>
      <w:r w:rsidRPr="00401408">
        <w:rPr>
          <w:rFonts w:ascii="Arial" w:hAnsi="Arial" w:cs="Arial"/>
          <w:b/>
          <w:color w:val="auto"/>
          <w:sz w:val="22"/>
          <w:szCs w:val="22"/>
        </w:rPr>
        <w:t>CIÓN DE DIVERSAS RECOMENDACIONES, EMITIDAS POR EL CONSEJO CONSULTIVO DEL INSTITUTO.</w:t>
      </w:r>
    </w:p>
    <w:p w14:paraId="5E4834DE" w14:textId="2C95068C" w:rsidR="00E441F4" w:rsidRPr="00401408" w:rsidRDefault="00E441F4" w:rsidP="00401408">
      <w:pPr>
        <w:pStyle w:val="Default"/>
        <w:spacing w:before="60" w:after="60" w:line="360" w:lineRule="auto"/>
        <w:contextualSpacing/>
        <w:jc w:val="both"/>
        <w:rPr>
          <w:rFonts w:ascii="Arial" w:hAnsi="Arial" w:cs="Arial"/>
          <w:b/>
          <w:color w:val="auto"/>
          <w:sz w:val="22"/>
          <w:szCs w:val="22"/>
        </w:rPr>
      </w:pPr>
    </w:p>
    <w:p w14:paraId="6C28E5D9" w14:textId="00B555E8" w:rsidR="000E4749" w:rsidRPr="00401408" w:rsidRDefault="000E4749"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La empresa MCM solicita que</w:t>
      </w:r>
      <w:r w:rsidR="00194B76" w:rsidRPr="00401408">
        <w:rPr>
          <w:rFonts w:ascii="Arial" w:hAnsi="Arial" w:cs="Arial"/>
          <w:color w:val="auto"/>
          <w:sz w:val="22"/>
          <w:szCs w:val="22"/>
        </w:rPr>
        <w:t xml:space="preserve"> en las modificaciones que, en su caso, se realicen al Anteproyecto,</w:t>
      </w:r>
      <w:r w:rsidRPr="00401408">
        <w:rPr>
          <w:rFonts w:ascii="Arial" w:hAnsi="Arial" w:cs="Arial"/>
          <w:color w:val="auto"/>
          <w:sz w:val="22"/>
          <w:szCs w:val="22"/>
        </w:rPr>
        <w:t xml:space="preserve"> se tomen en consideración</w:t>
      </w:r>
      <w:r w:rsidR="008C33E9" w:rsidRPr="00401408">
        <w:rPr>
          <w:rFonts w:ascii="Arial" w:hAnsi="Arial" w:cs="Arial"/>
          <w:color w:val="auto"/>
          <w:sz w:val="22"/>
          <w:szCs w:val="22"/>
        </w:rPr>
        <w:t xml:space="preserve"> diversos temas y recomendaciones emitidas por el Consejo Consultivo del Instituto.</w:t>
      </w:r>
      <w:r w:rsidRPr="00401408">
        <w:rPr>
          <w:rFonts w:ascii="Arial" w:hAnsi="Arial" w:cs="Arial"/>
          <w:color w:val="auto"/>
          <w:sz w:val="22"/>
          <w:szCs w:val="22"/>
        </w:rPr>
        <w:t xml:space="preserve"> </w:t>
      </w:r>
    </w:p>
    <w:p w14:paraId="1B950DBE" w14:textId="45FEAB9B"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172AFA12" w14:textId="2865F5BA" w:rsidR="000E4749" w:rsidRPr="00401408" w:rsidRDefault="000E4749"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La propuesta no resulta atendible debido a que, de conformidad con las disposiciones aplicables al proceso consultivo correspondiente, se encuentra fuera del alcance del Anteproyecto</w:t>
      </w:r>
      <w:r w:rsidR="00194B76" w:rsidRPr="00401408">
        <w:rPr>
          <w:rFonts w:ascii="Arial" w:hAnsi="Arial" w:cs="Arial"/>
          <w:color w:val="auto"/>
          <w:sz w:val="22"/>
          <w:szCs w:val="22"/>
        </w:rPr>
        <w:t xml:space="preserve"> al no estar relacionada con el objeto de dicho proceso consultivo.</w:t>
      </w:r>
    </w:p>
    <w:p w14:paraId="66C84892" w14:textId="77777777" w:rsidR="000E4749" w:rsidRPr="00401408" w:rsidRDefault="000E4749" w:rsidP="00401408">
      <w:pPr>
        <w:pStyle w:val="Default"/>
        <w:spacing w:before="60" w:after="60" w:line="360" w:lineRule="auto"/>
        <w:contextualSpacing/>
        <w:jc w:val="both"/>
        <w:rPr>
          <w:rFonts w:ascii="Arial" w:hAnsi="Arial" w:cs="Arial"/>
          <w:color w:val="auto"/>
          <w:sz w:val="22"/>
          <w:szCs w:val="22"/>
        </w:rPr>
      </w:pPr>
    </w:p>
    <w:p w14:paraId="0A4A9D8B" w14:textId="5B7CB7B2" w:rsidR="000E4749" w:rsidRPr="00401408" w:rsidRDefault="005253AA"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9. ASIGNACIÓN DE CÓDIGOS</w:t>
      </w:r>
      <w:r w:rsidR="00194B76" w:rsidRPr="00401408">
        <w:rPr>
          <w:rFonts w:ascii="Arial" w:hAnsi="Arial" w:cs="Arial"/>
          <w:b/>
          <w:color w:val="auto"/>
          <w:sz w:val="22"/>
          <w:szCs w:val="22"/>
        </w:rPr>
        <w:t xml:space="preserve"> IDO/IDD A TITULARES DE CONCESIO</w:t>
      </w:r>
      <w:r w:rsidRPr="00401408">
        <w:rPr>
          <w:rFonts w:ascii="Arial" w:hAnsi="Arial" w:cs="Arial"/>
          <w:b/>
          <w:color w:val="auto"/>
          <w:sz w:val="22"/>
          <w:szCs w:val="22"/>
        </w:rPr>
        <w:t>NES ÚNICAS PARA USO PÚBLICO Y SOCIAL.</w:t>
      </w:r>
    </w:p>
    <w:p w14:paraId="293D9AB6" w14:textId="3B6512EE" w:rsidR="003A5821" w:rsidRPr="00401408" w:rsidRDefault="003A5821" w:rsidP="00401408">
      <w:pPr>
        <w:pStyle w:val="Default"/>
        <w:spacing w:before="60" w:after="60" w:line="360" w:lineRule="auto"/>
        <w:contextualSpacing/>
        <w:jc w:val="both"/>
        <w:rPr>
          <w:rFonts w:ascii="Arial" w:hAnsi="Arial" w:cs="Arial"/>
          <w:b/>
          <w:color w:val="auto"/>
          <w:sz w:val="22"/>
          <w:szCs w:val="22"/>
        </w:rPr>
      </w:pPr>
    </w:p>
    <w:p w14:paraId="54C52836" w14:textId="77777777" w:rsidR="003A5821" w:rsidRPr="00401408" w:rsidRDefault="003A5821"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La asociación civil TIC solicita que los concesionarios sociales comunitarios e indígenas, si cuentan con las condiciones técnicas para la interconexión, puedan acceder a los códigos IDO/IDD. </w:t>
      </w:r>
    </w:p>
    <w:p w14:paraId="021C5775" w14:textId="77777777" w:rsidR="003A5821" w:rsidRPr="00401408" w:rsidRDefault="003A5821" w:rsidP="00401408">
      <w:pPr>
        <w:pStyle w:val="Default"/>
        <w:spacing w:before="60" w:after="60" w:line="360" w:lineRule="auto"/>
        <w:contextualSpacing/>
        <w:jc w:val="both"/>
        <w:rPr>
          <w:rFonts w:ascii="Arial" w:hAnsi="Arial" w:cs="Arial"/>
          <w:color w:val="auto"/>
          <w:sz w:val="22"/>
          <w:szCs w:val="22"/>
        </w:rPr>
      </w:pPr>
    </w:p>
    <w:p w14:paraId="6B9C4FA6" w14:textId="77777777" w:rsidR="00B36A97" w:rsidRPr="00401408" w:rsidRDefault="003A5821"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lastRenderedPageBreak/>
        <w:t>Por otra parte, la persona física Jesús Emmanuel Gómez Arriaga solicita que</w:t>
      </w:r>
      <w:r w:rsidR="00B36A97" w:rsidRPr="00401408">
        <w:rPr>
          <w:rFonts w:ascii="Arial" w:hAnsi="Arial" w:cs="Arial"/>
          <w:color w:val="auto"/>
          <w:sz w:val="22"/>
          <w:szCs w:val="22"/>
        </w:rPr>
        <w:t xml:space="preserve"> los titulares de concesiones únicas para uso comercial o público, les resulte aplicable la asignación de códigos IDO/IDD.</w:t>
      </w:r>
    </w:p>
    <w:p w14:paraId="688C5DDF" w14:textId="77777777" w:rsidR="00B36A97" w:rsidRPr="00401408" w:rsidRDefault="00B36A97" w:rsidP="00401408">
      <w:pPr>
        <w:pStyle w:val="Default"/>
        <w:spacing w:before="60" w:after="60" w:line="360" w:lineRule="auto"/>
        <w:contextualSpacing/>
        <w:jc w:val="both"/>
        <w:rPr>
          <w:rFonts w:ascii="Arial" w:hAnsi="Arial" w:cs="Arial"/>
          <w:color w:val="auto"/>
          <w:sz w:val="22"/>
          <w:szCs w:val="22"/>
        </w:rPr>
      </w:pPr>
    </w:p>
    <w:p w14:paraId="2F9413FF" w14:textId="0FFDD74C" w:rsidR="003A5821" w:rsidRPr="00401408" w:rsidRDefault="00B36A97"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 xml:space="preserve">Debido a que, por su naturaleza jurídica,  las concesiones únicas de uso público y social no implican la prestación de servicios de telecomunicaciones a través de una red pública de telecomunicaciones, al estar expresamente prohibida la obtención de un lucro o utilidad en provecho propio como resultado de la explotación comercial de los servicios de telecomunicaciones que presten a los usuarios, no resulta jurídicamente aplicable </w:t>
      </w:r>
      <w:r w:rsidR="00E22A19" w:rsidRPr="00401408">
        <w:rPr>
          <w:rFonts w:ascii="Arial" w:hAnsi="Arial" w:cs="Arial"/>
          <w:color w:val="auto"/>
          <w:sz w:val="22"/>
          <w:szCs w:val="22"/>
        </w:rPr>
        <w:t>que los</w:t>
      </w:r>
      <w:r w:rsidRPr="00401408">
        <w:rPr>
          <w:rFonts w:ascii="Arial" w:hAnsi="Arial" w:cs="Arial"/>
          <w:color w:val="auto"/>
          <w:sz w:val="22"/>
          <w:szCs w:val="22"/>
        </w:rPr>
        <w:t xml:space="preserve"> concesionarios</w:t>
      </w:r>
      <w:r w:rsidR="00E22A19" w:rsidRPr="00401408">
        <w:rPr>
          <w:rFonts w:ascii="Arial" w:hAnsi="Arial" w:cs="Arial"/>
          <w:color w:val="auto"/>
          <w:sz w:val="22"/>
          <w:szCs w:val="22"/>
        </w:rPr>
        <w:t xml:space="preserve"> de uso público y social</w:t>
      </w:r>
      <w:r w:rsidRPr="00401408">
        <w:rPr>
          <w:rFonts w:ascii="Arial" w:hAnsi="Arial" w:cs="Arial"/>
          <w:color w:val="auto"/>
          <w:sz w:val="22"/>
          <w:szCs w:val="22"/>
        </w:rPr>
        <w:t xml:space="preserve"> </w:t>
      </w:r>
      <w:r w:rsidR="00E22A19" w:rsidRPr="00401408">
        <w:rPr>
          <w:rFonts w:ascii="Arial" w:hAnsi="Arial" w:cs="Arial"/>
          <w:color w:val="auto"/>
          <w:sz w:val="22"/>
          <w:szCs w:val="22"/>
        </w:rPr>
        <w:t>sean sujetos de asignación de</w:t>
      </w:r>
      <w:r w:rsidRPr="00401408">
        <w:rPr>
          <w:rFonts w:ascii="Arial" w:hAnsi="Arial" w:cs="Arial"/>
          <w:color w:val="auto"/>
          <w:sz w:val="22"/>
          <w:szCs w:val="22"/>
        </w:rPr>
        <w:t xml:space="preserve"> un código de identificación de red de origen y destino (IDO/IDD).</w:t>
      </w:r>
      <w:r w:rsidR="003A5821" w:rsidRPr="00401408">
        <w:rPr>
          <w:rFonts w:ascii="Arial" w:hAnsi="Arial" w:cs="Arial"/>
          <w:b/>
          <w:color w:val="auto"/>
          <w:sz w:val="22"/>
          <w:szCs w:val="22"/>
        </w:rPr>
        <w:t xml:space="preserve"> </w:t>
      </w:r>
    </w:p>
    <w:p w14:paraId="34F7E004" w14:textId="2459BE50" w:rsidR="005253AA" w:rsidRPr="00401408" w:rsidRDefault="005253AA" w:rsidP="00401408">
      <w:pPr>
        <w:pStyle w:val="Default"/>
        <w:spacing w:before="60" w:after="60" w:line="360" w:lineRule="auto"/>
        <w:contextualSpacing/>
        <w:jc w:val="both"/>
        <w:rPr>
          <w:rFonts w:ascii="Arial" w:hAnsi="Arial" w:cs="Arial"/>
          <w:b/>
          <w:color w:val="auto"/>
          <w:sz w:val="22"/>
          <w:szCs w:val="22"/>
        </w:rPr>
      </w:pPr>
    </w:p>
    <w:p w14:paraId="21E6DA22" w14:textId="4AD9074C" w:rsidR="005253AA" w:rsidRPr="00401408" w:rsidRDefault="0081639E"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10. OBLIGACIONES APLICABLES A LOS CONCESIONARIOS DE USO SOCIAL.</w:t>
      </w:r>
    </w:p>
    <w:p w14:paraId="08DB6544" w14:textId="63C89361" w:rsidR="0081639E" w:rsidRPr="00401408" w:rsidRDefault="0081639E" w:rsidP="00401408">
      <w:pPr>
        <w:pStyle w:val="Default"/>
        <w:spacing w:before="60" w:after="60" w:line="360" w:lineRule="auto"/>
        <w:contextualSpacing/>
        <w:jc w:val="both"/>
        <w:rPr>
          <w:rFonts w:ascii="Arial" w:hAnsi="Arial" w:cs="Arial"/>
          <w:b/>
          <w:color w:val="auto"/>
          <w:sz w:val="22"/>
          <w:szCs w:val="22"/>
        </w:rPr>
      </w:pPr>
    </w:p>
    <w:p w14:paraId="20CADA7D" w14:textId="5CBCE49E" w:rsidR="0081639E" w:rsidRPr="00401408" w:rsidRDefault="0081639E"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La asociación civil TIC menciona que existe poca claridad y certeza sobre las obligaciones, en materia de recursos de numeración, a las que serán sujetos los concesionarios de uso social. </w:t>
      </w:r>
    </w:p>
    <w:p w14:paraId="3FB17D91" w14:textId="77777777" w:rsidR="000E4749" w:rsidRPr="00401408" w:rsidRDefault="000E4749" w:rsidP="00401408">
      <w:pPr>
        <w:pStyle w:val="Default"/>
        <w:spacing w:before="60" w:after="60" w:line="360" w:lineRule="auto"/>
        <w:contextualSpacing/>
        <w:jc w:val="both"/>
        <w:rPr>
          <w:rFonts w:ascii="Arial" w:hAnsi="Arial" w:cs="Arial"/>
          <w:b/>
          <w:color w:val="auto"/>
          <w:sz w:val="22"/>
          <w:szCs w:val="22"/>
        </w:rPr>
      </w:pPr>
    </w:p>
    <w:p w14:paraId="7FE33BA1" w14:textId="2043023E" w:rsidR="00763E7D" w:rsidRPr="00401408" w:rsidRDefault="0081639E"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00455BA7" w:rsidRPr="00401408">
        <w:rPr>
          <w:rFonts w:ascii="Arial" w:hAnsi="Arial" w:cs="Arial"/>
          <w:color w:val="auto"/>
          <w:sz w:val="22"/>
          <w:szCs w:val="22"/>
        </w:rPr>
        <w:t>L</w:t>
      </w:r>
      <w:r w:rsidRPr="00401408">
        <w:rPr>
          <w:rFonts w:ascii="Arial" w:hAnsi="Arial" w:cs="Arial"/>
          <w:color w:val="auto"/>
          <w:sz w:val="22"/>
          <w:szCs w:val="22"/>
        </w:rPr>
        <w:t>os procedimientos contenidos en el anteproyecto de modificación al nuevo PTFN</w:t>
      </w:r>
      <w:r w:rsidR="00F533B3" w:rsidRPr="00401408">
        <w:rPr>
          <w:rFonts w:ascii="Arial" w:hAnsi="Arial" w:cs="Arial"/>
          <w:color w:val="auto"/>
          <w:sz w:val="22"/>
          <w:szCs w:val="22"/>
        </w:rPr>
        <w:t>,</w:t>
      </w:r>
      <w:r w:rsidRPr="00401408">
        <w:rPr>
          <w:rFonts w:ascii="Arial" w:hAnsi="Arial" w:cs="Arial"/>
          <w:color w:val="auto"/>
          <w:sz w:val="22"/>
          <w:szCs w:val="22"/>
        </w:rPr>
        <w:t xml:space="preserve"> especifican claramente las obligaciones aplicables a los </w:t>
      </w:r>
      <w:r w:rsidR="00455BA7" w:rsidRPr="00401408">
        <w:rPr>
          <w:rFonts w:ascii="Arial" w:hAnsi="Arial" w:cs="Arial"/>
          <w:color w:val="auto"/>
          <w:sz w:val="22"/>
          <w:szCs w:val="22"/>
        </w:rPr>
        <w:t>distintos tipos de PST</w:t>
      </w:r>
      <w:r w:rsidRPr="00401408">
        <w:rPr>
          <w:rFonts w:ascii="Arial" w:hAnsi="Arial" w:cs="Arial"/>
          <w:color w:val="auto"/>
          <w:sz w:val="22"/>
          <w:szCs w:val="22"/>
        </w:rPr>
        <w:t xml:space="preserve"> que cuenten con asignaciones de recursos numéricos. Lo anterior</w:t>
      </w:r>
      <w:r w:rsidR="00455BA7" w:rsidRPr="00401408">
        <w:rPr>
          <w:rFonts w:ascii="Arial" w:hAnsi="Arial" w:cs="Arial"/>
          <w:color w:val="auto"/>
          <w:sz w:val="22"/>
          <w:szCs w:val="22"/>
        </w:rPr>
        <w:t>,</w:t>
      </w:r>
      <w:r w:rsidRPr="00401408">
        <w:rPr>
          <w:rFonts w:ascii="Arial" w:hAnsi="Arial" w:cs="Arial"/>
          <w:color w:val="auto"/>
          <w:sz w:val="22"/>
          <w:szCs w:val="22"/>
        </w:rPr>
        <w:t xml:space="preserve"> sin menoscabo de la debida observancia que los </w:t>
      </w:r>
      <w:r w:rsidR="00455BA7" w:rsidRPr="00401408">
        <w:rPr>
          <w:rFonts w:ascii="Arial" w:hAnsi="Arial" w:cs="Arial"/>
          <w:color w:val="auto"/>
          <w:sz w:val="22"/>
          <w:szCs w:val="22"/>
        </w:rPr>
        <w:t>PST</w:t>
      </w:r>
      <w:r w:rsidRPr="00401408">
        <w:rPr>
          <w:rFonts w:ascii="Arial" w:hAnsi="Arial" w:cs="Arial"/>
          <w:color w:val="auto"/>
          <w:sz w:val="22"/>
          <w:szCs w:val="22"/>
        </w:rPr>
        <w:t xml:space="preserve"> deban dar a las obligaciones contenidas en otras disposiciones normativas de carácter general.</w:t>
      </w:r>
    </w:p>
    <w:p w14:paraId="28936B1F" w14:textId="3A8156D5"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0EED09AA" w14:textId="2D6447AF" w:rsidR="00763E7D" w:rsidRPr="00401408" w:rsidRDefault="00455BA7"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11. </w:t>
      </w:r>
      <w:r w:rsidR="00A12F40" w:rsidRPr="00401408">
        <w:rPr>
          <w:rFonts w:ascii="Arial" w:hAnsi="Arial" w:cs="Arial"/>
          <w:b/>
          <w:color w:val="auto"/>
          <w:sz w:val="22"/>
          <w:szCs w:val="22"/>
        </w:rPr>
        <w:t xml:space="preserve">MENCIÓN EXPRESA </w:t>
      </w:r>
      <w:r w:rsidR="00D62D4D" w:rsidRPr="00401408">
        <w:rPr>
          <w:rFonts w:ascii="Arial" w:hAnsi="Arial" w:cs="Arial"/>
          <w:b/>
          <w:color w:val="auto"/>
          <w:sz w:val="22"/>
          <w:szCs w:val="22"/>
        </w:rPr>
        <w:t>DE LA</w:t>
      </w:r>
      <w:r w:rsidR="00A12F40" w:rsidRPr="00401408">
        <w:rPr>
          <w:rFonts w:ascii="Arial" w:hAnsi="Arial" w:cs="Arial"/>
          <w:b/>
          <w:color w:val="auto"/>
          <w:sz w:val="22"/>
          <w:szCs w:val="22"/>
        </w:rPr>
        <w:t>S DISTINTAS CATEGORÍAS DE CONCESIONARIOS QUE SON SUJETOS DE ASIGNACIÓN DE RECURSOS DE NUMERACIÓN</w:t>
      </w:r>
      <w:r w:rsidRPr="00401408">
        <w:rPr>
          <w:rFonts w:ascii="Arial" w:hAnsi="Arial" w:cs="Arial"/>
          <w:b/>
          <w:color w:val="auto"/>
          <w:sz w:val="22"/>
          <w:szCs w:val="22"/>
        </w:rPr>
        <w:t>.</w:t>
      </w:r>
    </w:p>
    <w:p w14:paraId="0B70926C" w14:textId="78ADFBB1" w:rsidR="00455BA7" w:rsidRPr="00401408" w:rsidRDefault="00455BA7" w:rsidP="00401408">
      <w:pPr>
        <w:pStyle w:val="Default"/>
        <w:spacing w:before="60" w:after="60" w:line="360" w:lineRule="auto"/>
        <w:contextualSpacing/>
        <w:jc w:val="both"/>
        <w:rPr>
          <w:rFonts w:ascii="Arial" w:hAnsi="Arial" w:cs="Arial"/>
          <w:b/>
          <w:color w:val="auto"/>
          <w:sz w:val="22"/>
          <w:szCs w:val="22"/>
        </w:rPr>
      </w:pPr>
    </w:p>
    <w:p w14:paraId="459DB9ED" w14:textId="013C4C10" w:rsidR="00455BA7" w:rsidRPr="00401408" w:rsidRDefault="00455BA7"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La asociación civil TIC solicita que</w:t>
      </w:r>
      <w:r w:rsidR="00A12F40" w:rsidRPr="00401408">
        <w:rPr>
          <w:rFonts w:ascii="Arial" w:hAnsi="Arial" w:cs="Arial"/>
          <w:color w:val="auto"/>
          <w:sz w:val="22"/>
          <w:szCs w:val="22"/>
        </w:rPr>
        <w:t>,</w:t>
      </w:r>
      <w:r w:rsidRPr="00401408">
        <w:rPr>
          <w:rFonts w:ascii="Arial" w:hAnsi="Arial" w:cs="Arial"/>
          <w:color w:val="auto"/>
          <w:sz w:val="22"/>
          <w:szCs w:val="22"/>
        </w:rPr>
        <w:t xml:space="preserve"> para efectos de </w:t>
      </w:r>
      <w:r w:rsidR="00F533B3" w:rsidRPr="00401408">
        <w:rPr>
          <w:rFonts w:ascii="Arial" w:hAnsi="Arial" w:cs="Arial"/>
          <w:color w:val="auto"/>
          <w:sz w:val="22"/>
          <w:szCs w:val="22"/>
        </w:rPr>
        <w:t xml:space="preserve">dar </w:t>
      </w:r>
      <w:r w:rsidRPr="00401408">
        <w:rPr>
          <w:rFonts w:ascii="Arial" w:hAnsi="Arial" w:cs="Arial"/>
          <w:color w:val="auto"/>
          <w:sz w:val="22"/>
          <w:szCs w:val="22"/>
        </w:rPr>
        <w:t>seguridad jurídica</w:t>
      </w:r>
      <w:r w:rsidR="00F533B3" w:rsidRPr="00401408">
        <w:rPr>
          <w:rFonts w:ascii="Arial" w:hAnsi="Arial" w:cs="Arial"/>
          <w:color w:val="auto"/>
          <w:sz w:val="22"/>
          <w:szCs w:val="22"/>
        </w:rPr>
        <w:t xml:space="preserve"> a los sujetos regulados</w:t>
      </w:r>
      <w:r w:rsidRPr="00401408">
        <w:rPr>
          <w:rFonts w:ascii="Arial" w:hAnsi="Arial" w:cs="Arial"/>
          <w:color w:val="auto"/>
          <w:sz w:val="22"/>
          <w:szCs w:val="22"/>
        </w:rPr>
        <w:t>,</w:t>
      </w:r>
      <w:r w:rsidR="00F533B3" w:rsidRPr="00401408">
        <w:rPr>
          <w:rFonts w:ascii="Arial" w:hAnsi="Arial" w:cs="Arial"/>
          <w:color w:val="auto"/>
          <w:sz w:val="22"/>
          <w:szCs w:val="22"/>
        </w:rPr>
        <w:t xml:space="preserve"> </w:t>
      </w:r>
      <w:r w:rsidRPr="00401408">
        <w:rPr>
          <w:rFonts w:ascii="Arial" w:hAnsi="Arial" w:cs="Arial"/>
          <w:color w:val="auto"/>
          <w:sz w:val="22"/>
          <w:szCs w:val="22"/>
        </w:rPr>
        <w:t>la</w:t>
      </w:r>
      <w:r w:rsidR="00FE3C12" w:rsidRPr="00401408">
        <w:rPr>
          <w:rFonts w:ascii="Arial" w:hAnsi="Arial" w:cs="Arial"/>
          <w:color w:val="auto"/>
          <w:sz w:val="22"/>
          <w:szCs w:val="22"/>
        </w:rPr>
        <w:t>s definicio</w:t>
      </w:r>
      <w:r w:rsidRPr="00401408">
        <w:rPr>
          <w:rFonts w:ascii="Arial" w:hAnsi="Arial" w:cs="Arial"/>
          <w:color w:val="auto"/>
          <w:sz w:val="22"/>
          <w:szCs w:val="22"/>
        </w:rPr>
        <w:t>n</w:t>
      </w:r>
      <w:r w:rsidR="00FE3C12" w:rsidRPr="00401408">
        <w:rPr>
          <w:rFonts w:ascii="Arial" w:hAnsi="Arial" w:cs="Arial"/>
          <w:color w:val="auto"/>
          <w:sz w:val="22"/>
          <w:szCs w:val="22"/>
        </w:rPr>
        <w:t>es</w:t>
      </w:r>
      <w:r w:rsidRPr="00401408">
        <w:rPr>
          <w:rFonts w:ascii="Arial" w:hAnsi="Arial" w:cs="Arial"/>
          <w:color w:val="auto"/>
          <w:sz w:val="22"/>
          <w:szCs w:val="22"/>
        </w:rPr>
        <w:t xml:space="preserve"> de</w:t>
      </w:r>
      <w:r w:rsidR="00FE3C12" w:rsidRPr="00401408">
        <w:rPr>
          <w:rFonts w:ascii="Arial" w:hAnsi="Arial" w:cs="Arial"/>
          <w:color w:val="auto"/>
          <w:sz w:val="22"/>
          <w:szCs w:val="22"/>
        </w:rPr>
        <w:t xml:space="preserve"> los términos</w:t>
      </w:r>
      <w:r w:rsidRPr="00401408">
        <w:rPr>
          <w:rFonts w:ascii="Arial" w:hAnsi="Arial" w:cs="Arial"/>
          <w:color w:val="auto"/>
          <w:sz w:val="22"/>
          <w:szCs w:val="22"/>
        </w:rPr>
        <w:t xml:space="preserve"> </w:t>
      </w:r>
      <w:r w:rsidR="00FE3C12" w:rsidRPr="00401408">
        <w:rPr>
          <w:rFonts w:ascii="Arial" w:hAnsi="Arial" w:cs="Arial"/>
          <w:color w:val="auto"/>
          <w:sz w:val="22"/>
          <w:szCs w:val="22"/>
        </w:rPr>
        <w:t>“</w:t>
      </w:r>
      <w:r w:rsidRPr="00401408">
        <w:rPr>
          <w:rFonts w:ascii="Arial" w:hAnsi="Arial" w:cs="Arial"/>
          <w:color w:val="auto"/>
          <w:sz w:val="22"/>
          <w:szCs w:val="22"/>
        </w:rPr>
        <w:t>Proveedor de Servicios de Telecomunicaciones</w:t>
      </w:r>
      <w:r w:rsidR="00FE3C12" w:rsidRPr="00401408">
        <w:rPr>
          <w:rFonts w:ascii="Arial" w:hAnsi="Arial" w:cs="Arial"/>
          <w:color w:val="auto"/>
          <w:sz w:val="22"/>
          <w:szCs w:val="22"/>
        </w:rPr>
        <w:t>” y de “Concesionario de uso social”</w:t>
      </w:r>
      <w:r w:rsidR="00A70AA6" w:rsidRPr="00401408">
        <w:rPr>
          <w:rFonts w:ascii="Arial" w:hAnsi="Arial" w:cs="Arial"/>
          <w:color w:val="auto"/>
          <w:sz w:val="22"/>
          <w:szCs w:val="22"/>
        </w:rPr>
        <w:t xml:space="preserve"> contemple</w:t>
      </w:r>
      <w:r w:rsidR="00FE3C12" w:rsidRPr="00401408">
        <w:rPr>
          <w:rFonts w:ascii="Arial" w:hAnsi="Arial" w:cs="Arial"/>
          <w:color w:val="auto"/>
          <w:sz w:val="22"/>
          <w:szCs w:val="22"/>
        </w:rPr>
        <w:t>n</w:t>
      </w:r>
      <w:r w:rsidR="00A70AA6" w:rsidRPr="00401408">
        <w:rPr>
          <w:rFonts w:ascii="Arial" w:hAnsi="Arial" w:cs="Arial"/>
          <w:color w:val="auto"/>
          <w:sz w:val="22"/>
          <w:szCs w:val="22"/>
        </w:rPr>
        <w:t xml:space="preserve"> expresamente a las concesiones </w:t>
      </w:r>
      <w:r w:rsidR="00FE3C12" w:rsidRPr="00401408">
        <w:rPr>
          <w:rFonts w:ascii="Arial" w:hAnsi="Arial" w:cs="Arial"/>
          <w:color w:val="auto"/>
          <w:sz w:val="22"/>
          <w:szCs w:val="22"/>
        </w:rPr>
        <w:t>para uso social</w:t>
      </w:r>
      <w:r w:rsidR="00A70AA6" w:rsidRPr="00401408">
        <w:rPr>
          <w:rFonts w:ascii="Arial" w:hAnsi="Arial" w:cs="Arial"/>
          <w:color w:val="auto"/>
          <w:sz w:val="22"/>
          <w:szCs w:val="22"/>
        </w:rPr>
        <w:t xml:space="preserve"> “comunitarias e indígenas”.</w:t>
      </w:r>
    </w:p>
    <w:p w14:paraId="7F38DA06" w14:textId="431111F0" w:rsidR="00A12F40" w:rsidRPr="00401408" w:rsidRDefault="00A12F40" w:rsidP="00401408">
      <w:pPr>
        <w:pStyle w:val="Default"/>
        <w:spacing w:before="60" w:after="60" w:line="360" w:lineRule="auto"/>
        <w:contextualSpacing/>
        <w:jc w:val="both"/>
        <w:rPr>
          <w:rFonts w:ascii="Arial" w:hAnsi="Arial" w:cs="Arial"/>
          <w:color w:val="auto"/>
          <w:sz w:val="22"/>
          <w:szCs w:val="22"/>
        </w:rPr>
      </w:pPr>
    </w:p>
    <w:p w14:paraId="416F52E1" w14:textId="7DEE6079" w:rsidR="00D62550" w:rsidRPr="00401408" w:rsidRDefault="00A12F40"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lastRenderedPageBreak/>
        <w:t xml:space="preserve">Por otra parte, la empresa Altán, </w:t>
      </w:r>
      <w:r w:rsidR="00D62550" w:rsidRPr="00401408">
        <w:rPr>
          <w:rFonts w:ascii="Arial" w:hAnsi="Arial" w:cs="Arial"/>
          <w:color w:val="auto"/>
          <w:sz w:val="22"/>
          <w:szCs w:val="22"/>
        </w:rPr>
        <w:t>propone incluir</w:t>
      </w:r>
      <w:r w:rsidR="00F533B3" w:rsidRPr="00401408">
        <w:rPr>
          <w:rFonts w:ascii="Arial" w:hAnsi="Arial" w:cs="Arial"/>
          <w:color w:val="auto"/>
          <w:sz w:val="22"/>
          <w:szCs w:val="22"/>
        </w:rPr>
        <w:t>,</w:t>
      </w:r>
      <w:r w:rsidR="00D62550" w:rsidRPr="00401408">
        <w:rPr>
          <w:rFonts w:ascii="Arial" w:hAnsi="Arial" w:cs="Arial"/>
          <w:color w:val="auto"/>
          <w:sz w:val="22"/>
          <w:szCs w:val="22"/>
        </w:rPr>
        <w:t xml:space="preserve"> en el Acuerdo que </w:t>
      </w:r>
      <w:r w:rsidR="00F533B3" w:rsidRPr="00401408">
        <w:rPr>
          <w:rFonts w:ascii="Arial" w:hAnsi="Arial" w:cs="Arial"/>
          <w:color w:val="auto"/>
          <w:sz w:val="22"/>
          <w:szCs w:val="22"/>
        </w:rPr>
        <w:t xml:space="preserve">el Instituto </w:t>
      </w:r>
      <w:r w:rsidR="00D62550" w:rsidRPr="00401408">
        <w:rPr>
          <w:rFonts w:ascii="Arial" w:hAnsi="Arial" w:cs="Arial"/>
          <w:color w:val="auto"/>
          <w:sz w:val="22"/>
          <w:szCs w:val="22"/>
        </w:rPr>
        <w:t>en su oportunidad emita las referencias que considere pertinentes a efecto de incorporar a las concesiones de uso comercial con carácter de red compartida mayorista en los trámites correspondientes a los recursos de numeración y señalización, así como al proceso de portabilidad que resulten aplicables y de tal forma</w:t>
      </w:r>
      <w:r w:rsidR="00D62D4D" w:rsidRPr="00401408">
        <w:rPr>
          <w:rFonts w:ascii="Arial" w:hAnsi="Arial" w:cs="Arial"/>
          <w:color w:val="auto"/>
          <w:sz w:val="22"/>
          <w:szCs w:val="22"/>
        </w:rPr>
        <w:t>,</w:t>
      </w:r>
      <w:r w:rsidR="00D62550" w:rsidRPr="00401408">
        <w:rPr>
          <w:rFonts w:ascii="Arial" w:hAnsi="Arial" w:cs="Arial"/>
          <w:color w:val="auto"/>
          <w:sz w:val="22"/>
          <w:szCs w:val="22"/>
        </w:rPr>
        <w:t xml:space="preserve"> se permita identificar a dichos Concesionarios de forma individual.</w:t>
      </w:r>
    </w:p>
    <w:p w14:paraId="220F33BE" w14:textId="3C40C28F" w:rsidR="00D62550" w:rsidRPr="00401408" w:rsidRDefault="00D62550" w:rsidP="00401408">
      <w:pPr>
        <w:pStyle w:val="Default"/>
        <w:spacing w:before="60" w:after="60" w:line="360" w:lineRule="auto"/>
        <w:contextualSpacing/>
        <w:jc w:val="both"/>
        <w:rPr>
          <w:rFonts w:ascii="Arial" w:hAnsi="Arial" w:cs="Arial"/>
          <w:color w:val="auto"/>
          <w:sz w:val="22"/>
          <w:szCs w:val="22"/>
        </w:rPr>
      </w:pPr>
    </w:p>
    <w:p w14:paraId="2D89D6BD" w14:textId="353A4877" w:rsidR="00D62D4D" w:rsidRPr="00401408" w:rsidRDefault="00A70AA6"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Considerando que uno de los objetivos principales d</w:t>
      </w:r>
      <w:r w:rsidR="00D62D4D" w:rsidRPr="00401408">
        <w:rPr>
          <w:rFonts w:ascii="Arial" w:hAnsi="Arial" w:cs="Arial"/>
          <w:color w:val="auto"/>
          <w:sz w:val="22"/>
          <w:szCs w:val="22"/>
        </w:rPr>
        <w:t xml:space="preserve">el Anteproyecto es brindar certeza sobre las diversas categorías de PST que cuentan con derecho a obtener códigos de identificación de proveedor, así como recursos de numeración propios o provistos por concesionarios de uso comercial o de una red pública de telecomunicaciones, se atienden los comentarios </w:t>
      </w:r>
      <w:r w:rsidR="001C1DF1" w:rsidRPr="00401408">
        <w:rPr>
          <w:rFonts w:ascii="Arial" w:hAnsi="Arial" w:cs="Arial"/>
          <w:color w:val="auto"/>
          <w:sz w:val="22"/>
          <w:szCs w:val="22"/>
        </w:rPr>
        <w:t>y se modifica el Anteproyecto.</w:t>
      </w:r>
      <w:r w:rsidR="00D62D4D" w:rsidRPr="00401408">
        <w:rPr>
          <w:rFonts w:ascii="Arial" w:hAnsi="Arial" w:cs="Arial"/>
          <w:color w:val="auto"/>
          <w:sz w:val="22"/>
          <w:szCs w:val="22"/>
        </w:rPr>
        <w:t xml:space="preserve"> </w:t>
      </w:r>
    </w:p>
    <w:p w14:paraId="13BBFE71" w14:textId="17FAC2D7"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2927D127" w14:textId="709B1C8E" w:rsidR="00763E7D" w:rsidRPr="00401408" w:rsidRDefault="009B670B"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12. ELIMINACIÓN DE TÉRMINOS</w:t>
      </w:r>
      <w:r w:rsidR="001C1DF1" w:rsidRPr="00401408">
        <w:rPr>
          <w:rFonts w:ascii="Arial" w:hAnsi="Arial" w:cs="Arial"/>
          <w:b/>
          <w:color w:val="auto"/>
          <w:sz w:val="22"/>
          <w:szCs w:val="22"/>
        </w:rPr>
        <w:t xml:space="preserve"> </w:t>
      </w:r>
      <w:r w:rsidR="00C9208B" w:rsidRPr="00401408">
        <w:rPr>
          <w:rFonts w:ascii="Arial" w:hAnsi="Arial" w:cs="Arial"/>
          <w:b/>
          <w:color w:val="auto"/>
          <w:sz w:val="22"/>
          <w:szCs w:val="22"/>
        </w:rPr>
        <w:t xml:space="preserve">CONTENIDOS EN EL PTFN </w:t>
      </w:r>
      <w:r w:rsidR="001C1DF1" w:rsidRPr="00401408">
        <w:rPr>
          <w:rFonts w:ascii="Arial" w:hAnsi="Arial" w:cs="Arial"/>
          <w:b/>
          <w:color w:val="auto"/>
          <w:sz w:val="22"/>
          <w:szCs w:val="22"/>
        </w:rPr>
        <w:t>QUE EL PARTICIPANTE CONSIDERA COMO</w:t>
      </w:r>
      <w:r w:rsidRPr="00401408">
        <w:rPr>
          <w:rFonts w:ascii="Arial" w:hAnsi="Arial" w:cs="Arial"/>
          <w:b/>
          <w:color w:val="auto"/>
          <w:sz w:val="22"/>
          <w:szCs w:val="22"/>
        </w:rPr>
        <w:t xml:space="preserve"> AMBIGUOS.</w:t>
      </w:r>
    </w:p>
    <w:p w14:paraId="372ED10B" w14:textId="1A1653A9" w:rsidR="009B670B" w:rsidRPr="00401408" w:rsidRDefault="009B670B" w:rsidP="00401408">
      <w:pPr>
        <w:pStyle w:val="Default"/>
        <w:spacing w:before="60" w:after="60" w:line="360" w:lineRule="auto"/>
        <w:contextualSpacing/>
        <w:jc w:val="both"/>
        <w:rPr>
          <w:rFonts w:ascii="Arial" w:hAnsi="Arial" w:cs="Arial"/>
          <w:b/>
          <w:color w:val="auto"/>
          <w:sz w:val="22"/>
          <w:szCs w:val="22"/>
        </w:rPr>
      </w:pPr>
    </w:p>
    <w:p w14:paraId="65944ADE" w14:textId="26FB5737" w:rsidR="009B670B" w:rsidRPr="00401408" w:rsidRDefault="009B670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La asociación civil TIC</w:t>
      </w:r>
      <w:r w:rsidR="00492D52" w:rsidRPr="00401408">
        <w:rPr>
          <w:rFonts w:ascii="Arial" w:hAnsi="Arial" w:cs="Arial"/>
          <w:color w:val="auto"/>
          <w:sz w:val="22"/>
          <w:szCs w:val="22"/>
        </w:rPr>
        <w:t xml:space="preserve"> menciona que el uso de términos como “considerar el buen uso” y “en la medida de lo posible” violan el principio de seguridad jurídica contenido en el artículo 14 constitucional, en perjuicio de los concesionarios sociales.</w:t>
      </w:r>
    </w:p>
    <w:p w14:paraId="134DA064" w14:textId="240ED3C7" w:rsidR="00492D52" w:rsidRPr="00401408" w:rsidRDefault="00492D52" w:rsidP="00401408">
      <w:pPr>
        <w:pStyle w:val="Default"/>
        <w:spacing w:before="60" w:after="60" w:line="360" w:lineRule="auto"/>
        <w:contextualSpacing/>
        <w:jc w:val="both"/>
        <w:rPr>
          <w:rFonts w:ascii="Arial" w:hAnsi="Arial" w:cs="Arial"/>
          <w:b/>
          <w:color w:val="auto"/>
          <w:sz w:val="22"/>
          <w:szCs w:val="22"/>
        </w:rPr>
      </w:pPr>
    </w:p>
    <w:p w14:paraId="2B0190AA" w14:textId="3B807C3D" w:rsidR="00E85670" w:rsidRPr="00401408" w:rsidRDefault="00E85670"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La propuesta no resulta atendible debido a que, de conformidad con las disposiciones aplicables al proceso consultivo correspondiente, se encuentra fuera del alcance del Anteproyecto</w:t>
      </w:r>
      <w:r w:rsidR="00F533B3" w:rsidRPr="00401408">
        <w:rPr>
          <w:rFonts w:ascii="Arial" w:hAnsi="Arial" w:cs="Arial"/>
          <w:color w:val="auto"/>
          <w:sz w:val="22"/>
          <w:szCs w:val="22"/>
        </w:rPr>
        <w:t xml:space="preserve"> al no estar relacionada con el objeto de dicho proceso consultivo.</w:t>
      </w:r>
    </w:p>
    <w:p w14:paraId="58A665FF" w14:textId="77777777"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7790A678" w14:textId="5935A3B3" w:rsidR="009821B8" w:rsidRPr="00401408" w:rsidRDefault="006236D9"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13. ACCESO EFECTIVO Y NO DISCRIMINATORIO A RECUSOS DE NUMERACIÓN.</w:t>
      </w:r>
    </w:p>
    <w:p w14:paraId="28ABBCA0" w14:textId="5F700BBB" w:rsidR="006236D9" w:rsidRPr="00401408" w:rsidRDefault="006236D9" w:rsidP="00401408">
      <w:pPr>
        <w:pStyle w:val="Default"/>
        <w:spacing w:before="60" w:after="60" w:line="360" w:lineRule="auto"/>
        <w:contextualSpacing/>
        <w:jc w:val="both"/>
        <w:rPr>
          <w:rFonts w:ascii="Arial" w:hAnsi="Arial" w:cs="Arial"/>
          <w:color w:val="auto"/>
          <w:sz w:val="22"/>
          <w:szCs w:val="22"/>
        </w:rPr>
      </w:pPr>
    </w:p>
    <w:p w14:paraId="687EFB51" w14:textId="25D671D8" w:rsidR="006236D9" w:rsidRPr="00401408" w:rsidRDefault="006236D9"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La asociación civil TIC solicita que el Anteproyecto asegure las condiciones necesarias para que los concesionarios sociales indígenas puedan acceder a los recursos necesarios de numeración de manera efectiva y no discriminatoria, atendiendo a las necesidades específicas y evolución de sus servicios de comunicación.</w:t>
      </w:r>
    </w:p>
    <w:p w14:paraId="363F0EF7" w14:textId="2C2DED6D" w:rsidR="006236D9" w:rsidRPr="00401408" w:rsidRDefault="006236D9" w:rsidP="00401408">
      <w:pPr>
        <w:pStyle w:val="Default"/>
        <w:spacing w:before="60" w:after="60" w:line="360" w:lineRule="auto"/>
        <w:contextualSpacing/>
        <w:jc w:val="both"/>
        <w:rPr>
          <w:rFonts w:ascii="Arial" w:hAnsi="Arial" w:cs="Arial"/>
          <w:color w:val="auto"/>
          <w:sz w:val="22"/>
          <w:szCs w:val="22"/>
        </w:rPr>
      </w:pPr>
    </w:p>
    <w:p w14:paraId="78FA4450" w14:textId="4698F9BC" w:rsidR="006236D9" w:rsidRPr="00401408" w:rsidRDefault="006236D9"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lastRenderedPageBreak/>
        <w:t>R</w:t>
      </w:r>
      <w:r w:rsidR="00802426" w:rsidRPr="00401408">
        <w:rPr>
          <w:rFonts w:ascii="Arial" w:hAnsi="Arial" w:cs="Arial"/>
          <w:b/>
          <w:color w:val="auto"/>
          <w:sz w:val="22"/>
          <w:szCs w:val="22"/>
        </w:rPr>
        <w:t>ESPUESTA</w:t>
      </w:r>
      <w:r w:rsidRPr="00401408">
        <w:rPr>
          <w:rFonts w:ascii="Arial" w:hAnsi="Arial" w:cs="Arial"/>
          <w:b/>
          <w:color w:val="auto"/>
          <w:sz w:val="22"/>
          <w:szCs w:val="22"/>
        </w:rPr>
        <w:t xml:space="preserve">: </w:t>
      </w:r>
      <w:r w:rsidRPr="00401408">
        <w:rPr>
          <w:rFonts w:ascii="Arial" w:hAnsi="Arial" w:cs="Arial"/>
          <w:color w:val="auto"/>
          <w:sz w:val="22"/>
          <w:szCs w:val="22"/>
        </w:rPr>
        <w:t xml:space="preserve">Las modificaciones contenidas en el Anteproyecto aseguran que los titulares de una concesión única para uso social tendrán acceso </w:t>
      </w:r>
      <w:r w:rsidR="00A12F40" w:rsidRPr="00401408">
        <w:rPr>
          <w:rFonts w:ascii="Arial" w:hAnsi="Arial" w:cs="Arial"/>
          <w:color w:val="auto"/>
          <w:sz w:val="22"/>
          <w:szCs w:val="22"/>
        </w:rPr>
        <w:t>a los recursos de numeración y a los</w:t>
      </w:r>
      <w:r w:rsidRPr="00401408">
        <w:rPr>
          <w:rFonts w:ascii="Arial" w:hAnsi="Arial" w:cs="Arial"/>
          <w:color w:val="auto"/>
          <w:sz w:val="22"/>
          <w:szCs w:val="22"/>
        </w:rPr>
        <w:t xml:space="preserve"> códigos de identificación de proveedor aplicables</w:t>
      </w:r>
      <w:r w:rsidR="00A12F40" w:rsidRPr="00401408">
        <w:rPr>
          <w:rFonts w:ascii="Arial" w:hAnsi="Arial" w:cs="Arial"/>
          <w:color w:val="auto"/>
          <w:sz w:val="22"/>
          <w:szCs w:val="22"/>
        </w:rPr>
        <w:t>,</w:t>
      </w:r>
      <w:r w:rsidRPr="00401408">
        <w:rPr>
          <w:rFonts w:ascii="Arial" w:hAnsi="Arial" w:cs="Arial"/>
          <w:color w:val="auto"/>
          <w:sz w:val="22"/>
          <w:szCs w:val="22"/>
        </w:rPr>
        <w:t xml:space="preserve"> de forma efectiva y no discriminatoria.</w:t>
      </w:r>
    </w:p>
    <w:p w14:paraId="24415CE7" w14:textId="7A95CA81" w:rsidR="006236D9" w:rsidRPr="00401408" w:rsidRDefault="006236D9" w:rsidP="00401408">
      <w:pPr>
        <w:pStyle w:val="Default"/>
        <w:spacing w:before="60" w:after="60" w:line="360" w:lineRule="auto"/>
        <w:contextualSpacing/>
        <w:jc w:val="both"/>
        <w:rPr>
          <w:rFonts w:ascii="Arial" w:hAnsi="Arial" w:cs="Arial"/>
          <w:color w:val="auto"/>
          <w:sz w:val="22"/>
          <w:szCs w:val="22"/>
        </w:rPr>
      </w:pPr>
    </w:p>
    <w:p w14:paraId="42F3FA8E" w14:textId="7E72E386" w:rsidR="00EF3E0B" w:rsidRPr="00401408" w:rsidRDefault="002E4C34"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14. </w:t>
      </w:r>
      <w:r w:rsidR="00831C73" w:rsidRPr="00401408">
        <w:rPr>
          <w:rFonts w:ascii="Arial" w:hAnsi="Arial" w:cs="Arial"/>
          <w:b/>
          <w:color w:val="auto"/>
          <w:sz w:val="22"/>
          <w:szCs w:val="22"/>
        </w:rPr>
        <w:t xml:space="preserve">MANTENER </w:t>
      </w:r>
      <w:r w:rsidR="00EF3E0B" w:rsidRPr="00401408">
        <w:rPr>
          <w:rFonts w:ascii="Arial" w:hAnsi="Arial" w:cs="Arial"/>
          <w:b/>
          <w:color w:val="auto"/>
          <w:sz w:val="22"/>
          <w:szCs w:val="22"/>
        </w:rPr>
        <w:t xml:space="preserve">E INCORPORAR </w:t>
      </w:r>
      <w:r w:rsidR="00831C73" w:rsidRPr="00401408">
        <w:rPr>
          <w:rFonts w:ascii="Arial" w:hAnsi="Arial" w:cs="Arial"/>
          <w:b/>
          <w:color w:val="auto"/>
          <w:sz w:val="22"/>
          <w:szCs w:val="22"/>
        </w:rPr>
        <w:t>REFERENCIAS A OPERADORES MÓVILES VIRTUALES EN</w:t>
      </w:r>
      <w:r w:rsidR="00EF3E0B" w:rsidRPr="00401408">
        <w:rPr>
          <w:rFonts w:ascii="Arial" w:hAnsi="Arial" w:cs="Arial"/>
          <w:b/>
          <w:color w:val="auto"/>
          <w:sz w:val="22"/>
          <w:szCs w:val="22"/>
        </w:rPr>
        <w:t xml:space="preserve"> </w:t>
      </w:r>
      <w:r w:rsidR="006F0775" w:rsidRPr="00401408">
        <w:rPr>
          <w:rFonts w:ascii="Arial" w:hAnsi="Arial" w:cs="Arial"/>
          <w:b/>
          <w:color w:val="auto"/>
          <w:sz w:val="22"/>
          <w:szCs w:val="22"/>
        </w:rPr>
        <w:t xml:space="preserve">DIVERSOS FORMATOS </w:t>
      </w:r>
      <w:r w:rsidR="00CA62F2" w:rsidRPr="00401408">
        <w:rPr>
          <w:rFonts w:ascii="Arial" w:hAnsi="Arial" w:cs="Arial"/>
          <w:b/>
          <w:color w:val="auto"/>
          <w:sz w:val="22"/>
          <w:szCs w:val="22"/>
        </w:rPr>
        <w:t>ELECTRÓNICOS,</w:t>
      </w:r>
      <w:r w:rsidR="006F0775" w:rsidRPr="00401408">
        <w:rPr>
          <w:rFonts w:ascii="Arial" w:hAnsi="Arial" w:cs="Arial"/>
          <w:b/>
          <w:color w:val="auto"/>
          <w:sz w:val="22"/>
          <w:szCs w:val="22"/>
        </w:rPr>
        <w:t xml:space="preserve"> ASÍ COMO</w:t>
      </w:r>
      <w:r w:rsidR="00EF3E0B" w:rsidRPr="00401408">
        <w:rPr>
          <w:rFonts w:ascii="Arial" w:hAnsi="Arial" w:cs="Arial"/>
          <w:b/>
          <w:color w:val="auto"/>
          <w:sz w:val="22"/>
          <w:szCs w:val="22"/>
        </w:rPr>
        <w:t xml:space="preserve"> </w:t>
      </w:r>
      <w:r w:rsidR="006F0775" w:rsidRPr="00401408">
        <w:rPr>
          <w:rFonts w:ascii="Arial" w:hAnsi="Arial" w:cs="Arial"/>
          <w:b/>
          <w:color w:val="auto"/>
          <w:sz w:val="22"/>
          <w:szCs w:val="22"/>
        </w:rPr>
        <w:t xml:space="preserve">EN </w:t>
      </w:r>
      <w:r w:rsidR="00EF3E0B" w:rsidRPr="00401408">
        <w:rPr>
          <w:rFonts w:ascii="Arial" w:hAnsi="Arial" w:cs="Arial"/>
          <w:b/>
          <w:color w:val="auto"/>
          <w:sz w:val="22"/>
          <w:szCs w:val="22"/>
        </w:rPr>
        <w:t>OFICIOS DE RESPUESTA A LOS PROVEEDORES SOLICITANTES.</w:t>
      </w:r>
    </w:p>
    <w:p w14:paraId="5F86A6BB" w14:textId="3808C17F" w:rsidR="006236D9" w:rsidRPr="00401408" w:rsidRDefault="00831C73"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 </w:t>
      </w:r>
    </w:p>
    <w:p w14:paraId="4F8F1A77" w14:textId="62617CC7" w:rsidR="0057547B" w:rsidRPr="00401408" w:rsidRDefault="00CA62F2"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Las empresas Cablevisión Red y </w:t>
      </w:r>
      <w:proofErr w:type="spellStart"/>
      <w:r w:rsidRPr="00401408">
        <w:rPr>
          <w:rFonts w:ascii="Arial" w:hAnsi="Arial" w:cs="Arial"/>
          <w:color w:val="auto"/>
          <w:sz w:val="22"/>
          <w:szCs w:val="22"/>
        </w:rPr>
        <w:t>Operbes</w:t>
      </w:r>
      <w:proofErr w:type="spellEnd"/>
      <w:r w:rsidRPr="00401408">
        <w:rPr>
          <w:rFonts w:ascii="Arial" w:hAnsi="Arial" w:cs="Arial"/>
          <w:color w:val="auto"/>
          <w:sz w:val="22"/>
          <w:szCs w:val="22"/>
        </w:rPr>
        <w:t xml:space="preserve"> </w:t>
      </w:r>
      <w:r w:rsidR="00F83DE4" w:rsidRPr="00401408">
        <w:rPr>
          <w:rFonts w:ascii="Arial" w:hAnsi="Arial" w:cs="Arial"/>
          <w:color w:val="auto"/>
          <w:sz w:val="22"/>
          <w:szCs w:val="22"/>
        </w:rPr>
        <w:t xml:space="preserve">solicitan lo siguiente: </w:t>
      </w:r>
    </w:p>
    <w:p w14:paraId="50FCBBCE" w14:textId="77777777" w:rsidR="0057547B" w:rsidRPr="00401408" w:rsidRDefault="0057547B" w:rsidP="00401408">
      <w:pPr>
        <w:pStyle w:val="Default"/>
        <w:spacing w:before="60" w:after="60" w:line="360" w:lineRule="auto"/>
        <w:contextualSpacing/>
        <w:jc w:val="both"/>
        <w:rPr>
          <w:rFonts w:ascii="Arial" w:hAnsi="Arial" w:cs="Arial"/>
          <w:color w:val="auto"/>
          <w:sz w:val="22"/>
          <w:szCs w:val="22"/>
        </w:rPr>
      </w:pPr>
    </w:p>
    <w:p w14:paraId="7DD11AF8" w14:textId="3A61F515" w:rsidR="0057547B" w:rsidRPr="00401408" w:rsidRDefault="0057547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   </w:t>
      </w:r>
      <w:r w:rsidR="00F83DE4" w:rsidRPr="00401408">
        <w:rPr>
          <w:rFonts w:ascii="Arial" w:hAnsi="Arial" w:cs="Arial"/>
          <w:color w:val="auto"/>
          <w:sz w:val="22"/>
          <w:szCs w:val="22"/>
        </w:rPr>
        <w:t xml:space="preserve">i) </w:t>
      </w:r>
      <w:r w:rsidRPr="00401408">
        <w:rPr>
          <w:rFonts w:ascii="Arial" w:hAnsi="Arial" w:cs="Arial"/>
          <w:color w:val="auto"/>
          <w:sz w:val="22"/>
          <w:szCs w:val="22"/>
        </w:rPr>
        <w:t>Q</w:t>
      </w:r>
      <w:r w:rsidR="00F83DE4" w:rsidRPr="00401408">
        <w:rPr>
          <w:rFonts w:ascii="Arial" w:hAnsi="Arial" w:cs="Arial"/>
          <w:color w:val="auto"/>
          <w:sz w:val="22"/>
          <w:szCs w:val="22"/>
        </w:rPr>
        <w:t>ue</w:t>
      </w:r>
      <w:r w:rsidRPr="00401408">
        <w:rPr>
          <w:rFonts w:ascii="Arial" w:hAnsi="Arial" w:cs="Arial"/>
          <w:color w:val="auto"/>
          <w:sz w:val="22"/>
          <w:szCs w:val="22"/>
        </w:rPr>
        <w:t>,</w:t>
      </w:r>
      <w:r w:rsidR="00F83DE4" w:rsidRPr="00401408">
        <w:rPr>
          <w:rFonts w:ascii="Arial" w:hAnsi="Arial" w:cs="Arial"/>
          <w:color w:val="auto"/>
          <w:sz w:val="22"/>
          <w:szCs w:val="22"/>
        </w:rPr>
        <w:t xml:space="preserve"> en los formatos electrónicos correspondientes a los procedimientos de asignación de numeració</w:t>
      </w:r>
      <w:r w:rsidR="00283F03" w:rsidRPr="00401408">
        <w:rPr>
          <w:rFonts w:ascii="Arial" w:hAnsi="Arial" w:cs="Arial"/>
          <w:color w:val="auto"/>
          <w:sz w:val="22"/>
          <w:szCs w:val="22"/>
        </w:rPr>
        <w:t xml:space="preserve">n nacional y cesión </w:t>
      </w:r>
      <w:r w:rsidR="00F83DE4" w:rsidRPr="00401408">
        <w:rPr>
          <w:rFonts w:ascii="Arial" w:hAnsi="Arial" w:cs="Arial"/>
          <w:color w:val="auto"/>
          <w:sz w:val="22"/>
          <w:szCs w:val="22"/>
        </w:rPr>
        <w:t>de numeración nacional, no se de</w:t>
      </w:r>
      <w:r w:rsidR="00084B72" w:rsidRPr="00401408">
        <w:rPr>
          <w:rFonts w:ascii="Arial" w:hAnsi="Arial" w:cs="Arial"/>
          <w:color w:val="auto"/>
          <w:sz w:val="22"/>
          <w:szCs w:val="22"/>
        </w:rPr>
        <w:t>rogue el numeral relativo</w:t>
      </w:r>
      <w:r w:rsidR="00F83DE4" w:rsidRPr="00401408">
        <w:rPr>
          <w:rFonts w:ascii="Arial" w:hAnsi="Arial" w:cs="Arial"/>
          <w:color w:val="auto"/>
          <w:sz w:val="22"/>
          <w:szCs w:val="22"/>
        </w:rPr>
        <w:t xml:space="preserve"> a los códigos de identificación de proveedor del Operador Móvil Virtual y del Concesionario de red asociado; </w:t>
      </w:r>
    </w:p>
    <w:p w14:paraId="5B040A6F" w14:textId="77777777" w:rsidR="00483E1A" w:rsidRPr="00401408" w:rsidRDefault="00483E1A" w:rsidP="00401408">
      <w:pPr>
        <w:pStyle w:val="Default"/>
        <w:spacing w:before="60" w:after="60" w:line="360" w:lineRule="auto"/>
        <w:contextualSpacing/>
        <w:jc w:val="both"/>
        <w:rPr>
          <w:rFonts w:ascii="Arial" w:hAnsi="Arial" w:cs="Arial"/>
          <w:color w:val="auto"/>
          <w:sz w:val="22"/>
          <w:szCs w:val="22"/>
        </w:rPr>
      </w:pPr>
    </w:p>
    <w:p w14:paraId="30679869" w14:textId="73D8B170" w:rsidR="0057547B" w:rsidRPr="00401408" w:rsidRDefault="0057547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   </w:t>
      </w:r>
      <w:proofErr w:type="spellStart"/>
      <w:r w:rsidRPr="00401408">
        <w:rPr>
          <w:rFonts w:ascii="Arial" w:hAnsi="Arial" w:cs="Arial"/>
          <w:color w:val="auto"/>
          <w:sz w:val="22"/>
          <w:szCs w:val="22"/>
        </w:rPr>
        <w:t>ii</w:t>
      </w:r>
      <w:proofErr w:type="spellEnd"/>
      <w:r w:rsidRPr="00401408">
        <w:rPr>
          <w:rFonts w:ascii="Arial" w:hAnsi="Arial" w:cs="Arial"/>
          <w:color w:val="auto"/>
          <w:sz w:val="22"/>
          <w:szCs w:val="22"/>
        </w:rPr>
        <w:t>) Q</w:t>
      </w:r>
      <w:r w:rsidR="00F83DE4" w:rsidRPr="00401408">
        <w:rPr>
          <w:rFonts w:ascii="Arial" w:hAnsi="Arial" w:cs="Arial"/>
          <w:color w:val="auto"/>
          <w:sz w:val="22"/>
          <w:szCs w:val="22"/>
        </w:rPr>
        <w:t>ue</w:t>
      </w:r>
      <w:r w:rsidRPr="00401408">
        <w:rPr>
          <w:rFonts w:ascii="Arial" w:hAnsi="Arial" w:cs="Arial"/>
          <w:color w:val="auto"/>
          <w:sz w:val="22"/>
          <w:szCs w:val="22"/>
        </w:rPr>
        <w:t>,</w:t>
      </w:r>
      <w:r w:rsidR="00F83DE4" w:rsidRPr="00401408">
        <w:rPr>
          <w:rFonts w:ascii="Arial" w:hAnsi="Arial" w:cs="Arial"/>
          <w:color w:val="auto"/>
          <w:sz w:val="22"/>
          <w:szCs w:val="22"/>
        </w:rPr>
        <w:t xml:space="preserve"> en los oficios que emita el Instituto en sentido favorable respecto a solicitudes de asignación de numeración nacional y de cambio de modalidad de uso de la numeración nacional asignada, no se derogue el numeral correspondiente a los códigos de identificación de proveedor del Operador Móvil Virtual y del Concesionario de red asociado;</w:t>
      </w:r>
      <w:r w:rsidRPr="00401408">
        <w:rPr>
          <w:rFonts w:ascii="Arial" w:hAnsi="Arial" w:cs="Arial"/>
          <w:color w:val="auto"/>
          <w:sz w:val="22"/>
          <w:szCs w:val="22"/>
        </w:rPr>
        <w:t xml:space="preserve"> </w:t>
      </w:r>
    </w:p>
    <w:p w14:paraId="3C6E868D" w14:textId="77777777" w:rsidR="00483E1A" w:rsidRPr="00401408" w:rsidRDefault="00483E1A" w:rsidP="00401408">
      <w:pPr>
        <w:pStyle w:val="Default"/>
        <w:spacing w:before="60" w:after="60" w:line="360" w:lineRule="auto"/>
        <w:contextualSpacing/>
        <w:jc w:val="both"/>
        <w:rPr>
          <w:rFonts w:ascii="Arial" w:hAnsi="Arial" w:cs="Arial"/>
          <w:color w:val="auto"/>
          <w:sz w:val="22"/>
          <w:szCs w:val="22"/>
        </w:rPr>
      </w:pPr>
    </w:p>
    <w:p w14:paraId="5B3CA12E" w14:textId="45111C11" w:rsidR="00F83DE4" w:rsidRPr="00401408" w:rsidRDefault="0057547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   </w:t>
      </w:r>
      <w:proofErr w:type="spellStart"/>
      <w:r w:rsidRPr="00401408">
        <w:rPr>
          <w:rFonts w:ascii="Arial" w:hAnsi="Arial" w:cs="Arial"/>
          <w:color w:val="auto"/>
          <w:sz w:val="22"/>
          <w:szCs w:val="22"/>
        </w:rPr>
        <w:t>iii</w:t>
      </w:r>
      <w:proofErr w:type="spellEnd"/>
      <w:r w:rsidRPr="00401408">
        <w:rPr>
          <w:rFonts w:ascii="Arial" w:hAnsi="Arial" w:cs="Arial"/>
          <w:color w:val="auto"/>
          <w:sz w:val="22"/>
          <w:szCs w:val="22"/>
        </w:rPr>
        <w:t xml:space="preserve">) Que, en los formatos electrónicos aplicables a los procedimientos de asignación de numeración no geográfica por bloque, asignación de numeración no geográfica </w:t>
      </w:r>
      <w:r w:rsidR="00283F03" w:rsidRPr="00401408">
        <w:rPr>
          <w:rFonts w:ascii="Arial" w:hAnsi="Arial" w:cs="Arial"/>
          <w:color w:val="auto"/>
          <w:sz w:val="22"/>
          <w:szCs w:val="22"/>
        </w:rPr>
        <w:t xml:space="preserve">específica y cesión </w:t>
      </w:r>
      <w:r w:rsidRPr="00401408">
        <w:rPr>
          <w:rFonts w:ascii="Arial" w:hAnsi="Arial" w:cs="Arial"/>
          <w:color w:val="auto"/>
          <w:sz w:val="22"/>
          <w:szCs w:val="22"/>
        </w:rPr>
        <w:t>de numeración no geográfica</w:t>
      </w:r>
      <w:r w:rsidR="002F377E" w:rsidRPr="00401408">
        <w:rPr>
          <w:rFonts w:ascii="Arial" w:hAnsi="Arial" w:cs="Arial"/>
          <w:color w:val="auto"/>
          <w:sz w:val="22"/>
          <w:szCs w:val="22"/>
        </w:rPr>
        <w:t>,</w:t>
      </w:r>
      <w:r w:rsidRPr="00401408">
        <w:rPr>
          <w:rFonts w:ascii="Arial" w:hAnsi="Arial" w:cs="Arial"/>
          <w:color w:val="auto"/>
          <w:sz w:val="22"/>
          <w:szCs w:val="22"/>
        </w:rPr>
        <w:t xml:space="preserve"> se adicione un numeral en el que se informe el código de identificación de proveedor del Operador Móvil Virtual y del Concesionario de red asociado; y</w:t>
      </w:r>
    </w:p>
    <w:p w14:paraId="0758DCBF" w14:textId="77777777" w:rsidR="00483E1A" w:rsidRPr="00401408" w:rsidRDefault="00483E1A" w:rsidP="00401408">
      <w:pPr>
        <w:pStyle w:val="Default"/>
        <w:spacing w:before="60" w:after="60" w:line="360" w:lineRule="auto"/>
        <w:contextualSpacing/>
        <w:jc w:val="both"/>
        <w:rPr>
          <w:rFonts w:ascii="Arial" w:hAnsi="Arial" w:cs="Arial"/>
          <w:color w:val="auto"/>
          <w:sz w:val="22"/>
          <w:szCs w:val="22"/>
        </w:rPr>
      </w:pPr>
    </w:p>
    <w:p w14:paraId="1A9D96DC" w14:textId="772CA8E9" w:rsidR="0057547B" w:rsidRPr="00401408" w:rsidRDefault="0057547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  </w:t>
      </w:r>
      <w:proofErr w:type="spellStart"/>
      <w:r w:rsidRPr="00401408">
        <w:rPr>
          <w:rFonts w:ascii="Arial" w:hAnsi="Arial" w:cs="Arial"/>
          <w:color w:val="auto"/>
          <w:sz w:val="22"/>
          <w:szCs w:val="22"/>
        </w:rPr>
        <w:t>iv</w:t>
      </w:r>
      <w:proofErr w:type="spellEnd"/>
      <w:r w:rsidRPr="00401408">
        <w:rPr>
          <w:rFonts w:ascii="Arial" w:hAnsi="Arial" w:cs="Arial"/>
          <w:color w:val="auto"/>
          <w:sz w:val="22"/>
          <w:szCs w:val="22"/>
        </w:rPr>
        <w:t xml:space="preserve">)  Que, en los oficios que emita el Instituto en sentido favorable respecto a solicitudes de asignación de numeración no geográfica por bloque, asignación de numeración no geográfica </w:t>
      </w:r>
      <w:r w:rsidR="00283F03" w:rsidRPr="00401408">
        <w:rPr>
          <w:rFonts w:ascii="Arial" w:hAnsi="Arial" w:cs="Arial"/>
          <w:color w:val="auto"/>
          <w:sz w:val="22"/>
          <w:szCs w:val="22"/>
        </w:rPr>
        <w:t xml:space="preserve">específica y cesión </w:t>
      </w:r>
      <w:r w:rsidRPr="00401408">
        <w:rPr>
          <w:rFonts w:ascii="Arial" w:hAnsi="Arial" w:cs="Arial"/>
          <w:color w:val="auto"/>
          <w:sz w:val="22"/>
          <w:szCs w:val="22"/>
        </w:rPr>
        <w:t>de numeración no geográfica</w:t>
      </w:r>
      <w:r w:rsidR="002F377E" w:rsidRPr="00401408">
        <w:rPr>
          <w:rFonts w:ascii="Arial" w:hAnsi="Arial" w:cs="Arial"/>
          <w:color w:val="auto"/>
          <w:sz w:val="22"/>
          <w:szCs w:val="22"/>
        </w:rPr>
        <w:t>,</w:t>
      </w:r>
      <w:r w:rsidRPr="00401408">
        <w:rPr>
          <w:rFonts w:ascii="Arial" w:hAnsi="Arial" w:cs="Arial"/>
          <w:color w:val="auto"/>
          <w:sz w:val="22"/>
          <w:szCs w:val="22"/>
        </w:rPr>
        <w:t xml:space="preserve"> se adicione un numeral en el que se informe el código de identificación de proveedor del Operador Móvil Virtual y del </w:t>
      </w:r>
      <w:r w:rsidR="002F377E" w:rsidRPr="00401408">
        <w:rPr>
          <w:rFonts w:ascii="Arial" w:hAnsi="Arial" w:cs="Arial"/>
          <w:color w:val="auto"/>
          <w:sz w:val="22"/>
          <w:szCs w:val="22"/>
        </w:rPr>
        <w:t>Concesionario de red asociado.</w:t>
      </w:r>
      <w:r w:rsidR="00283F03" w:rsidRPr="00401408">
        <w:rPr>
          <w:rFonts w:ascii="Arial" w:hAnsi="Arial" w:cs="Arial"/>
          <w:color w:val="auto"/>
          <w:sz w:val="22"/>
          <w:szCs w:val="22"/>
        </w:rPr>
        <w:t xml:space="preserve"> </w:t>
      </w:r>
    </w:p>
    <w:p w14:paraId="31EC8457" w14:textId="43C95971" w:rsidR="006236D9" w:rsidRPr="00401408" w:rsidRDefault="006236D9" w:rsidP="00401408">
      <w:pPr>
        <w:pStyle w:val="Default"/>
        <w:spacing w:before="60" w:after="60" w:line="360" w:lineRule="auto"/>
        <w:contextualSpacing/>
        <w:jc w:val="both"/>
        <w:rPr>
          <w:rFonts w:ascii="Arial" w:hAnsi="Arial" w:cs="Arial"/>
          <w:color w:val="auto"/>
          <w:sz w:val="22"/>
          <w:szCs w:val="22"/>
        </w:rPr>
      </w:pPr>
    </w:p>
    <w:p w14:paraId="12BA171B" w14:textId="4B2AF7DE" w:rsidR="00696753" w:rsidRPr="00401408" w:rsidRDefault="0057547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lastRenderedPageBreak/>
        <w:t>RESPUESTA:</w:t>
      </w:r>
      <w:r w:rsidRPr="00401408">
        <w:rPr>
          <w:rFonts w:ascii="Arial" w:hAnsi="Arial" w:cs="Arial"/>
          <w:color w:val="auto"/>
          <w:sz w:val="22"/>
          <w:szCs w:val="22"/>
        </w:rPr>
        <w:t xml:space="preserve"> Al respecto, se informa que e</w:t>
      </w:r>
      <w:r w:rsidR="00F83DE4" w:rsidRPr="00401408">
        <w:rPr>
          <w:rFonts w:ascii="Arial" w:hAnsi="Arial" w:cs="Arial"/>
          <w:color w:val="auto"/>
          <w:sz w:val="22"/>
          <w:szCs w:val="22"/>
        </w:rPr>
        <w:t>l motivo por el que se propone</w:t>
      </w:r>
      <w:r w:rsidRPr="00401408">
        <w:rPr>
          <w:rFonts w:ascii="Arial" w:hAnsi="Arial" w:cs="Arial"/>
          <w:color w:val="auto"/>
          <w:sz w:val="22"/>
          <w:szCs w:val="22"/>
        </w:rPr>
        <w:t>n</w:t>
      </w:r>
      <w:r w:rsidR="00F83DE4" w:rsidRPr="00401408">
        <w:rPr>
          <w:rFonts w:ascii="Arial" w:hAnsi="Arial" w:cs="Arial"/>
          <w:color w:val="auto"/>
          <w:sz w:val="22"/>
          <w:szCs w:val="22"/>
        </w:rPr>
        <w:t xml:space="preserve"> derogar </w:t>
      </w:r>
      <w:r w:rsidRPr="00401408">
        <w:rPr>
          <w:rFonts w:ascii="Arial" w:hAnsi="Arial" w:cs="Arial"/>
          <w:color w:val="auto"/>
          <w:sz w:val="22"/>
          <w:szCs w:val="22"/>
        </w:rPr>
        <w:t xml:space="preserve">las referencias a los códigos de identificación de proveedor del Operador Móvil Virtual y del Concesionario de red </w:t>
      </w:r>
      <w:r w:rsidR="00084B72" w:rsidRPr="00401408">
        <w:rPr>
          <w:rFonts w:ascii="Arial" w:hAnsi="Arial" w:cs="Arial"/>
          <w:color w:val="auto"/>
          <w:sz w:val="22"/>
          <w:szCs w:val="22"/>
        </w:rPr>
        <w:t xml:space="preserve">asociado, </w:t>
      </w:r>
      <w:r w:rsidR="00696753" w:rsidRPr="00401408">
        <w:rPr>
          <w:rFonts w:ascii="Arial" w:hAnsi="Arial" w:cs="Arial"/>
          <w:color w:val="auto"/>
          <w:sz w:val="22"/>
          <w:szCs w:val="22"/>
        </w:rPr>
        <w:t>en los formatos electrónicos y oficios de respuesta favorable relativos a la asignación, cesión y cambio de modalidad de uso de la numeración nacional</w:t>
      </w:r>
      <w:r w:rsidR="00F533B3" w:rsidRPr="00401408">
        <w:rPr>
          <w:rFonts w:ascii="Arial" w:hAnsi="Arial" w:cs="Arial"/>
          <w:color w:val="auto"/>
          <w:sz w:val="22"/>
          <w:szCs w:val="22"/>
        </w:rPr>
        <w:t>,</w:t>
      </w:r>
      <w:r w:rsidR="00696753" w:rsidRPr="00401408">
        <w:rPr>
          <w:rFonts w:ascii="Arial" w:hAnsi="Arial" w:cs="Arial"/>
          <w:color w:val="auto"/>
          <w:sz w:val="22"/>
          <w:szCs w:val="22"/>
        </w:rPr>
        <w:t xml:space="preserve"> responde a la necesidad de simplificar y dar mayor claridad a los formatos electrónicos correspondientes. Lo anterior, considerando que </w:t>
      </w:r>
      <w:r w:rsidR="000C7238" w:rsidRPr="00401408">
        <w:rPr>
          <w:rFonts w:ascii="Arial" w:hAnsi="Arial" w:cs="Arial"/>
          <w:color w:val="auto"/>
          <w:sz w:val="22"/>
          <w:szCs w:val="22"/>
        </w:rPr>
        <w:t xml:space="preserve">debido a que </w:t>
      </w:r>
      <w:r w:rsidR="00696753" w:rsidRPr="00401408">
        <w:rPr>
          <w:rFonts w:ascii="Arial" w:hAnsi="Arial" w:cs="Arial"/>
          <w:color w:val="auto"/>
          <w:sz w:val="22"/>
          <w:szCs w:val="22"/>
        </w:rPr>
        <w:t>por definición, tanto un concesionario como una comercializadora pueden operar bajo la fi</w:t>
      </w:r>
      <w:r w:rsidR="000C7238" w:rsidRPr="00401408">
        <w:rPr>
          <w:rFonts w:ascii="Arial" w:hAnsi="Arial" w:cs="Arial"/>
          <w:color w:val="auto"/>
          <w:sz w:val="22"/>
          <w:szCs w:val="22"/>
        </w:rPr>
        <w:t xml:space="preserve">gura de Operador Móvil Virtual, pueden presentarse casos en que una comercializadora no tenga suficiente claridad </w:t>
      </w:r>
      <w:r w:rsidR="002156DA" w:rsidRPr="00401408">
        <w:rPr>
          <w:rFonts w:ascii="Arial" w:hAnsi="Arial" w:cs="Arial"/>
          <w:color w:val="auto"/>
          <w:sz w:val="22"/>
          <w:szCs w:val="22"/>
        </w:rPr>
        <w:t>sobre la</w:t>
      </w:r>
      <w:r w:rsidR="000C7238" w:rsidRPr="00401408">
        <w:rPr>
          <w:rFonts w:ascii="Arial" w:hAnsi="Arial" w:cs="Arial"/>
          <w:color w:val="auto"/>
          <w:sz w:val="22"/>
          <w:szCs w:val="22"/>
        </w:rPr>
        <w:t xml:space="preserve"> casilla</w:t>
      </w:r>
      <w:r w:rsidR="002156DA" w:rsidRPr="00401408">
        <w:rPr>
          <w:rFonts w:ascii="Arial" w:hAnsi="Arial" w:cs="Arial"/>
          <w:color w:val="auto"/>
          <w:sz w:val="22"/>
          <w:szCs w:val="22"/>
        </w:rPr>
        <w:t xml:space="preserve"> que </w:t>
      </w:r>
      <w:r w:rsidR="00084B72" w:rsidRPr="00401408">
        <w:rPr>
          <w:rFonts w:ascii="Arial" w:hAnsi="Arial" w:cs="Arial"/>
          <w:color w:val="auto"/>
          <w:sz w:val="22"/>
          <w:szCs w:val="22"/>
        </w:rPr>
        <w:t xml:space="preserve">le corresponde </w:t>
      </w:r>
      <w:r w:rsidR="002156DA" w:rsidRPr="00401408">
        <w:rPr>
          <w:rFonts w:ascii="Arial" w:hAnsi="Arial" w:cs="Arial"/>
          <w:color w:val="auto"/>
          <w:sz w:val="22"/>
          <w:szCs w:val="22"/>
        </w:rPr>
        <w:t>marcar pa</w:t>
      </w:r>
      <w:r w:rsidR="00084B72" w:rsidRPr="00401408">
        <w:rPr>
          <w:rFonts w:ascii="Arial" w:hAnsi="Arial" w:cs="Arial"/>
          <w:color w:val="auto"/>
          <w:sz w:val="22"/>
          <w:szCs w:val="22"/>
        </w:rPr>
        <w:t>ra indicar el tipo de proveedor en el formato electrónico (Operador Móvil Virtual</w:t>
      </w:r>
      <w:r w:rsidR="000C7238" w:rsidRPr="00401408">
        <w:rPr>
          <w:rFonts w:ascii="Arial" w:hAnsi="Arial" w:cs="Arial"/>
          <w:color w:val="auto"/>
          <w:sz w:val="22"/>
          <w:szCs w:val="22"/>
        </w:rPr>
        <w:t xml:space="preserve"> o Comercializadora)</w:t>
      </w:r>
      <w:r w:rsidR="00084B72" w:rsidRPr="00401408">
        <w:rPr>
          <w:rFonts w:ascii="Arial" w:hAnsi="Arial" w:cs="Arial"/>
          <w:color w:val="auto"/>
          <w:sz w:val="22"/>
          <w:szCs w:val="22"/>
        </w:rPr>
        <w:t>,</w:t>
      </w:r>
      <w:r w:rsidR="000C7238" w:rsidRPr="00401408">
        <w:rPr>
          <w:rFonts w:ascii="Arial" w:hAnsi="Arial" w:cs="Arial"/>
          <w:color w:val="auto"/>
          <w:sz w:val="22"/>
          <w:szCs w:val="22"/>
        </w:rPr>
        <w:t xml:space="preserve"> por consiguiente, </w:t>
      </w:r>
      <w:r w:rsidR="00696753" w:rsidRPr="00401408">
        <w:rPr>
          <w:rFonts w:ascii="Arial" w:hAnsi="Arial" w:cs="Arial"/>
          <w:color w:val="auto"/>
          <w:sz w:val="22"/>
          <w:szCs w:val="22"/>
        </w:rPr>
        <w:t xml:space="preserve">para efectos de </w:t>
      </w:r>
      <w:r w:rsidR="000C7238" w:rsidRPr="00401408">
        <w:rPr>
          <w:rFonts w:ascii="Arial" w:hAnsi="Arial" w:cs="Arial"/>
          <w:color w:val="auto"/>
          <w:sz w:val="22"/>
          <w:szCs w:val="22"/>
        </w:rPr>
        <w:t xml:space="preserve">ingresar y recibir una </w:t>
      </w:r>
      <w:r w:rsidR="00696753" w:rsidRPr="00401408">
        <w:rPr>
          <w:rFonts w:ascii="Arial" w:hAnsi="Arial" w:cs="Arial"/>
          <w:color w:val="auto"/>
          <w:sz w:val="22"/>
          <w:szCs w:val="22"/>
        </w:rPr>
        <w:t>respuesta a alguno de estos trámites a través de esta figura, basta con que en el formato electrónico correspondiente</w:t>
      </w:r>
      <w:r w:rsidR="00992C31" w:rsidRPr="00401408">
        <w:rPr>
          <w:rFonts w:ascii="Arial" w:hAnsi="Arial" w:cs="Arial"/>
          <w:color w:val="auto"/>
          <w:sz w:val="22"/>
          <w:szCs w:val="22"/>
        </w:rPr>
        <w:t>,</w:t>
      </w:r>
      <w:r w:rsidR="00696753" w:rsidRPr="00401408">
        <w:rPr>
          <w:rFonts w:ascii="Arial" w:hAnsi="Arial" w:cs="Arial"/>
          <w:color w:val="auto"/>
          <w:sz w:val="22"/>
          <w:szCs w:val="22"/>
        </w:rPr>
        <w:t xml:space="preserve"> el Proveedor solicitante</w:t>
      </w:r>
      <w:r w:rsidR="00992C31" w:rsidRPr="00401408">
        <w:rPr>
          <w:rFonts w:ascii="Arial" w:hAnsi="Arial" w:cs="Arial"/>
          <w:color w:val="auto"/>
          <w:sz w:val="22"/>
          <w:szCs w:val="22"/>
        </w:rPr>
        <w:t xml:space="preserve"> seleccione el tipo de título habilitante con que cuenta</w:t>
      </w:r>
      <w:r w:rsidR="00696753" w:rsidRPr="00401408">
        <w:rPr>
          <w:rFonts w:ascii="Arial" w:hAnsi="Arial" w:cs="Arial"/>
          <w:color w:val="auto"/>
          <w:sz w:val="22"/>
          <w:szCs w:val="22"/>
        </w:rPr>
        <w:t xml:space="preserve"> </w:t>
      </w:r>
      <w:r w:rsidR="00992C31" w:rsidRPr="00401408">
        <w:rPr>
          <w:rFonts w:ascii="Arial" w:hAnsi="Arial" w:cs="Arial"/>
          <w:color w:val="auto"/>
          <w:sz w:val="22"/>
          <w:szCs w:val="22"/>
        </w:rPr>
        <w:t xml:space="preserve">e </w:t>
      </w:r>
      <w:r w:rsidR="00696753" w:rsidRPr="00401408">
        <w:rPr>
          <w:rFonts w:ascii="Arial" w:hAnsi="Arial" w:cs="Arial"/>
          <w:color w:val="auto"/>
          <w:sz w:val="22"/>
          <w:szCs w:val="22"/>
        </w:rPr>
        <w:t>informe el código de identificación de proveedor asignado a su fav</w:t>
      </w:r>
      <w:r w:rsidR="00084B72" w:rsidRPr="00401408">
        <w:rPr>
          <w:rFonts w:ascii="Arial" w:hAnsi="Arial" w:cs="Arial"/>
          <w:color w:val="auto"/>
          <w:sz w:val="22"/>
          <w:szCs w:val="22"/>
        </w:rPr>
        <w:t>or, así como el código IDO del C</w:t>
      </w:r>
      <w:r w:rsidR="00696753" w:rsidRPr="00401408">
        <w:rPr>
          <w:rFonts w:ascii="Arial" w:hAnsi="Arial" w:cs="Arial"/>
          <w:color w:val="auto"/>
          <w:sz w:val="22"/>
          <w:szCs w:val="22"/>
        </w:rPr>
        <w:t xml:space="preserve">oncesionario de red </w:t>
      </w:r>
      <w:r w:rsidR="00992C31" w:rsidRPr="00401408">
        <w:rPr>
          <w:rFonts w:ascii="Arial" w:hAnsi="Arial" w:cs="Arial"/>
          <w:color w:val="auto"/>
          <w:sz w:val="22"/>
          <w:szCs w:val="22"/>
        </w:rPr>
        <w:t xml:space="preserve">asociado </w:t>
      </w:r>
      <w:r w:rsidR="00696753" w:rsidRPr="00401408">
        <w:rPr>
          <w:rFonts w:ascii="Arial" w:hAnsi="Arial" w:cs="Arial"/>
          <w:color w:val="auto"/>
          <w:sz w:val="22"/>
          <w:szCs w:val="22"/>
        </w:rPr>
        <w:t xml:space="preserve">para efectos de enrutamiento y facturación de tráfico. </w:t>
      </w:r>
    </w:p>
    <w:p w14:paraId="42C39376" w14:textId="63FCE477" w:rsidR="00B21639" w:rsidRPr="00401408" w:rsidRDefault="00B21639" w:rsidP="00401408">
      <w:pPr>
        <w:pStyle w:val="Default"/>
        <w:spacing w:before="60" w:after="60" w:line="360" w:lineRule="auto"/>
        <w:contextualSpacing/>
        <w:jc w:val="both"/>
        <w:rPr>
          <w:rFonts w:ascii="Arial" w:hAnsi="Arial" w:cs="Arial"/>
          <w:color w:val="auto"/>
          <w:sz w:val="22"/>
          <w:szCs w:val="22"/>
        </w:rPr>
      </w:pPr>
    </w:p>
    <w:p w14:paraId="77D597D2" w14:textId="1AB14700" w:rsidR="00B21639" w:rsidRPr="00401408" w:rsidRDefault="00B21639"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Por otra parte, en lo que respecta a trámites relacionados con numeración no geográfica, debido a que, por sus características, este tipo de recurso numérico no se encuentra vinculado a una modalidad de uso, no resulta aplicable referir la figura de Operador Móvil Virtual en los trámites </w:t>
      </w:r>
      <w:r w:rsidR="002F377E" w:rsidRPr="00401408">
        <w:rPr>
          <w:rFonts w:ascii="Arial" w:hAnsi="Arial" w:cs="Arial"/>
          <w:color w:val="auto"/>
          <w:sz w:val="22"/>
          <w:szCs w:val="22"/>
        </w:rPr>
        <w:t xml:space="preserve">y en los oficios de respuesta </w:t>
      </w:r>
      <w:r w:rsidRPr="00401408">
        <w:rPr>
          <w:rFonts w:ascii="Arial" w:hAnsi="Arial" w:cs="Arial"/>
          <w:color w:val="auto"/>
          <w:sz w:val="22"/>
          <w:szCs w:val="22"/>
        </w:rPr>
        <w:t>correspondientes.</w:t>
      </w:r>
    </w:p>
    <w:p w14:paraId="08152CB8" w14:textId="77777777" w:rsidR="00696753" w:rsidRPr="00401408" w:rsidRDefault="00696753" w:rsidP="00401408">
      <w:pPr>
        <w:pStyle w:val="Default"/>
        <w:spacing w:before="60" w:after="60" w:line="360" w:lineRule="auto"/>
        <w:contextualSpacing/>
        <w:jc w:val="both"/>
        <w:rPr>
          <w:rFonts w:ascii="Arial" w:hAnsi="Arial" w:cs="Arial"/>
          <w:color w:val="auto"/>
          <w:sz w:val="22"/>
          <w:szCs w:val="22"/>
        </w:rPr>
      </w:pPr>
    </w:p>
    <w:p w14:paraId="2908E954" w14:textId="7F1B15A8" w:rsidR="0057547B" w:rsidRPr="00401408" w:rsidRDefault="003C1183"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15. </w:t>
      </w:r>
      <w:r w:rsidR="00AA755F" w:rsidRPr="00401408">
        <w:rPr>
          <w:rFonts w:ascii="Arial" w:hAnsi="Arial" w:cs="Arial"/>
          <w:b/>
          <w:color w:val="auto"/>
          <w:sz w:val="22"/>
          <w:szCs w:val="22"/>
        </w:rPr>
        <w:t xml:space="preserve">PERMITIR </w:t>
      </w:r>
      <w:r w:rsidR="00186197" w:rsidRPr="00401408">
        <w:rPr>
          <w:rFonts w:ascii="Arial" w:hAnsi="Arial" w:cs="Arial"/>
          <w:b/>
          <w:color w:val="auto"/>
          <w:sz w:val="22"/>
          <w:szCs w:val="22"/>
        </w:rPr>
        <w:t xml:space="preserve">CAMBIOS DE MODALIDAD DE USO </w:t>
      </w:r>
      <w:r w:rsidR="00F533B3" w:rsidRPr="00401408">
        <w:rPr>
          <w:rFonts w:ascii="Arial" w:hAnsi="Arial" w:cs="Arial"/>
          <w:b/>
          <w:color w:val="auto"/>
          <w:sz w:val="22"/>
          <w:szCs w:val="22"/>
        </w:rPr>
        <w:t xml:space="preserve">A </w:t>
      </w:r>
      <w:r w:rsidR="00186197" w:rsidRPr="00401408">
        <w:rPr>
          <w:rFonts w:ascii="Arial" w:hAnsi="Arial" w:cs="Arial"/>
          <w:b/>
          <w:color w:val="auto"/>
          <w:sz w:val="22"/>
          <w:szCs w:val="22"/>
        </w:rPr>
        <w:t>UN</w:t>
      </w:r>
      <w:r w:rsidR="00AA755F" w:rsidRPr="00401408">
        <w:rPr>
          <w:rFonts w:ascii="Arial" w:hAnsi="Arial" w:cs="Arial"/>
          <w:b/>
          <w:color w:val="auto"/>
          <w:sz w:val="22"/>
          <w:szCs w:val="22"/>
        </w:rPr>
        <w:t xml:space="preserve"> NÚMERO NACIONAL</w:t>
      </w:r>
      <w:r w:rsidR="00186197" w:rsidRPr="00401408">
        <w:rPr>
          <w:rFonts w:ascii="Arial" w:hAnsi="Arial" w:cs="Arial"/>
          <w:b/>
          <w:color w:val="auto"/>
          <w:sz w:val="22"/>
          <w:szCs w:val="22"/>
        </w:rPr>
        <w:t xml:space="preserve"> ASIGNADO O PORTADO A FAVOR</w:t>
      </w:r>
      <w:r w:rsidR="00F533B3" w:rsidRPr="00401408">
        <w:rPr>
          <w:rFonts w:ascii="Arial" w:hAnsi="Arial" w:cs="Arial"/>
          <w:b/>
          <w:color w:val="auto"/>
          <w:sz w:val="22"/>
          <w:szCs w:val="22"/>
        </w:rPr>
        <w:t xml:space="preserve"> DE UN PROVEEDOR DE SERVICIOS DE TELECOMUNICACIONES</w:t>
      </w:r>
      <w:r w:rsidR="00AF7ABB" w:rsidRPr="00401408">
        <w:rPr>
          <w:rFonts w:ascii="Arial" w:hAnsi="Arial" w:cs="Arial"/>
          <w:b/>
          <w:color w:val="auto"/>
          <w:sz w:val="22"/>
          <w:szCs w:val="22"/>
        </w:rPr>
        <w:t>.</w:t>
      </w:r>
    </w:p>
    <w:p w14:paraId="6284C7D2" w14:textId="1AF2A66C" w:rsidR="00AF7ABB" w:rsidRPr="00401408" w:rsidRDefault="00AF7ABB" w:rsidP="00401408">
      <w:pPr>
        <w:pStyle w:val="Default"/>
        <w:spacing w:before="60" w:after="60" w:line="360" w:lineRule="auto"/>
        <w:contextualSpacing/>
        <w:jc w:val="both"/>
        <w:rPr>
          <w:rFonts w:ascii="Arial" w:hAnsi="Arial" w:cs="Arial"/>
          <w:b/>
          <w:color w:val="auto"/>
          <w:sz w:val="22"/>
          <w:szCs w:val="22"/>
        </w:rPr>
      </w:pPr>
    </w:p>
    <w:p w14:paraId="69E73C9F" w14:textId="568B07B1" w:rsidR="00AF7ABB" w:rsidRPr="00401408" w:rsidRDefault="00AF7AB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Las empresas Cablevisión Red y </w:t>
      </w:r>
      <w:proofErr w:type="spellStart"/>
      <w:r w:rsidRPr="00401408">
        <w:rPr>
          <w:rFonts w:ascii="Arial" w:hAnsi="Arial" w:cs="Arial"/>
          <w:color w:val="auto"/>
          <w:sz w:val="22"/>
          <w:szCs w:val="22"/>
        </w:rPr>
        <w:t>Operbes</w:t>
      </w:r>
      <w:proofErr w:type="spellEnd"/>
      <w:r w:rsidRPr="00401408">
        <w:rPr>
          <w:rFonts w:ascii="Arial" w:hAnsi="Arial" w:cs="Arial"/>
          <w:color w:val="auto"/>
          <w:sz w:val="22"/>
          <w:szCs w:val="22"/>
        </w:rPr>
        <w:t xml:space="preserve"> solicitan que </w:t>
      </w:r>
      <w:r w:rsidR="00186197" w:rsidRPr="00401408">
        <w:rPr>
          <w:rFonts w:ascii="Arial" w:hAnsi="Arial" w:cs="Arial"/>
          <w:color w:val="auto"/>
          <w:sz w:val="22"/>
          <w:szCs w:val="22"/>
        </w:rPr>
        <w:t xml:space="preserve">los Proveedores de Servicios de Telecomunicaciones puedan solicitar un cambio de modalidad de uso cuando tengan la asignación de numeración nacional o cuando un número nacional sea portado a su favor. </w:t>
      </w:r>
    </w:p>
    <w:p w14:paraId="5C2D1F0A" w14:textId="77777777" w:rsidR="0057547B" w:rsidRPr="00401408" w:rsidRDefault="0057547B" w:rsidP="00401408">
      <w:pPr>
        <w:pStyle w:val="Default"/>
        <w:spacing w:before="60" w:after="60" w:line="360" w:lineRule="auto"/>
        <w:contextualSpacing/>
        <w:jc w:val="both"/>
        <w:rPr>
          <w:rFonts w:ascii="Arial" w:hAnsi="Arial" w:cs="Arial"/>
          <w:color w:val="auto"/>
          <w:sz w:val="22"/>
          <w:szCs w:val="22"/>
        </w:rPr>
      </w:pPr>
    </w:p>
    <w:p w14:paraId="0AB1BCFE" w14:textId="7EC07727" w:rsidR="0057547B" w:rsidRPr="00401408" w:rsidRDefault="00186197"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La propuesta no resulta atendible debido a que, de conformidad con las disposiciones aplicables al proceso consultivo correspondiente, se encuentra fuera del alcance del Anteproyecto</w:t>
      </w:r>
      <w:r w:rsidR="00BF1541" w:rsidRPr="00401408">
        <w:rPr>
          <w:rFonts w:ascii="Arial" w:hAnsi="Arial" w:cs="Arial"/>
          <w:color w:val="auto"/>
          <w:sz w:val="22"/>
          <w:szCs w:val="22"/>
        </w:rPr>
        <w:t xml:space="preserve"> al no estar relacionada con el objeto de dicho proceso consultivo.</w:t>
      </w:r>
    </w:p>
    <w:p w14:paraId="6C173B1C" w14:textId="52439622" w:rsidR="006236D9" w:rsidRPr="00401408" w:rsidRDefault="006236D9" w:rsidP="00401408">
      <w:pPr>
        <w:pStyle w:val="Default"/>
        <w:spacing w:before="60" w:after="60" w:line="360" w:lineRule="auto"/>
        <w:contextualSpacing/>
        <w:jc w:val="both"/>
        <w:rPr>
          <w:rFonts w:ascii="Arial" w:hAnsi="Arial" w:cs="Arial"/>
          <w:color w:val="auto"/>
          <w:sz w:val="22"/>
          <w:szCs w:val="22"/>
        </w:rPr>
      </w:pPr>
    </w:p>
    <w:p w14:paraId="400C6241" w14:textId="5131D0D4" w:rsidR="003A4BF6" w:rsidRPr="00401408" w:rsidRDefault="003A4BF6"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lastRenderedPageBreak/>
        <w:t xml:space="preserve">16. PRESENTACIÓN DE REPORTES DE UTILIZACIÓN DE NUMERACIÓN NACIONAL Y NO GEOGRÁFICA POR PARTE DE CONCESIONARIOS DE USO PÚBLICO Y SOCIAL. </w:t>
      </w:r>
    </w:p>
    <w:p w14:paraId="5903BE7C" w14:textId="77777777" w:rsidR="003A4BF6" w:rsidRPr="00401408" w:rsidRDefault="003A4BF6" w:rsidP="00401408">
      <w:pPr>
        <w:pStyle w:val="Default"/>
        <w:spacing w:before="60" w:after="60" w:line="360" w:lineRule="auto"/>
        <w:contextualSpacing/>
        <w:jc w:val="both"/>
        <w:rPr>
          <w:rFonts w:ascii="Arial" w:hAnsi="Arial" w:cs="Arial"/>
          <w:color w:val="auto"/>
          <w:sz w:val="22"/>
          <w:szCs w:val="22"/>
        </w:rPr>
      </w:pPr>
    </w:p>
    <w:p w14:paraId="05E38506" w14:textId="362232CD" w:rsidR="006236D9" w:rsidRPr="00401408" w:rsidRDefault="003A4BF6"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La persona física Jesús Emmanuel Gómez Arriaga solicita que los titulares de concesiones únicas para uso público y social sean sujetos a los criterios de presentación de reportes de utilización de Numeración Nacional y No Geográfica señalados en el Capítulo X del Nuevo PTFN y que dichos reportes sean publicados en el portal de Internet del Instituto.</w:t>
      </w:r>
    </w:p>
    <w:p w14:paraId="22FC7CDF" w14:textId="4B4F45E9" w:rsidR="003A4BF6" w:rsidRPr="00401408" w:rsidRDefault="003A4BF6" w:rsidP="00401408">
      <w:pPr>
        <w:pStyle w:val="Default"/>
        <w:spacing w:before="60" w:after="60" w:line="360" w:lineRule="auto"/>
        <w:contextualSpacing/>
        <w:jc w:val="both"/>
        <w:rPr>
          <w:rFonts w:ascii="Arial" w:hAnsi="Arial" w:cs="Arial"/>
          <w:color w:val="auto"/>
          <w:sz w:val="22"/>
          <w:szCs w:val="22"/>
        </w:rPr>
      </w:pPr>
    </w:p>
    <w:p w14:paraId="71BA3949" w14:textId="7843212B" w:rsidR="003A4BF6" w:rsidRPr="00401408" w:rsidRDefault="003A4BF6" w:rsidP="00795A36">
      <w:pPr>
        <w:spacing w:before="60" w:after="60" w:line="360" w:lineRule="auto"/>
        <w:contextualSpacing/>
        <w:jc w:val="both"/>
        <w:rPr>
          <w:rFonts w:ascii="Arial" w:eastAsia="Times New Roman" w:hAnsi="Arial" w:cs="Arial"/>
          <w:color w:val="000000"/>
          <w:lang w:eastAsia="es-MX"/>
        </w:rPr>
      </w:pPr>
      <w:r w:rsidRPr="00401408">
        <w:rPr>
          <w:rFonts w:ascii="Arial" w:hAnsi="Arial" w:cs="Arial"/>
          <w:b/>
        </w:rPr>
        <w:t>RESPUESTA:</w:t>
      </w:r>
      <w:r w:rsidRPr="00401408">
        <w:rPr>
          <w:rFonts w:ascii="Arial" w:hAnsi="Arial" w:cs="Arial"/>
        </w:rPr>
        <w:t xml:space="preserve"> El Anteproyecto de modificación al nuevo Plan Técnico Fundamental de Numeración establece que todos los Proveedores asignatarios de recursos de numeración asignados por el Instituto, incluidos los titulares de una concesión única para uso público y social, deberán presentar reportes de utiliz</w:t>
      </w:r>
      <w:r w:rsidR="00F77EEA" w:rsidRPr="00401408">
        <w:rPr>
          <w:rFonts w:ascii="Arial" w:hAnsi="Arial" w:cs="Arial"/>
        </w:rPr>
        <w:t xml:space="preserve">ación de la numeración nacional y no geográfica asignada </w:t>
      </w:r>
      <w:r w:rsidRPr="00401408">
        <w:rPr>
          <w:rFonts w:ascii="Arial" w:hAnsi="Arial" w:cs="Arial"/>
        </w:rPr>
        <w:t>a su</w:t>
      </w:r>
      <w:r w:rsidR="00795A36">
        <w:rPr>
          <w:rFonts w:ascii="Arial" w:hAnsi="Arial" w:cs="Arial"/>
        </w:rPr>
        <w:t xml:space="preserve"> </w:t>
      </w:r>
      <w:r w:rsidRPr="00401408">
        <w:rPr>
          <w:rFonts w:ascii="Arial" w:hAnsi="Arial" w:cs="Arial"/>
        </w:rPr>
        <w:t>favor.</w:t>
      </w:r>
      <w:r w:rsidRPr="00401408">
        <w:rPr>
          <w:rFonts w:ascii="Arial" w:hAnsi="Arial" w:cs="Arial"/>
        </w:rPr>
        <w:br/>
      </w:r>
    </w:p>
    <w:p w14:paraId="5A4B2FFE" w14:textId="6442C25F" w:rsidR="00C9208B" w:rsidRPr="00401408" w:rsidRDefault="00F77EEA"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17. </w:t>
      </w:r>
      <w:r w:rsidR="00CE6BCC" w:rsidRPr="00401408">
        <w:rPr>
          <w:rFonts w:ascii="Arial" w:hAnsi="Arial" w:cs="Arial"/>
          <w:b/>
          <w:color w:val="auto"/>
          <w:sz w:val="22"/>
          <w:szCs w:val="22"/>
        </w:rPr>
        <w:t>MODIFICACIÓN A DEFINICIONES Y A TÉRMINOS CONTENIDO</w:t>
      </w:r>
      <w:r w:rsidR="00C9208B" w:rsidRPr="00401408">
        <w:rPr>
          <w:rFonts w:ascii="Arial" w:hAnsi="Arial" w:cs="Arial"/>
          <w:b/>
          <w:color w:val="auto"/>
          <w:sz w:val="22"/>
          <w:szCs w:val="22"/>
        </w:rPr>
        <w:t>S EN EL ANTEPROYECTO.</w:t>
      </w:r>
    </w:p>
    <w:p w14:paraId="55158CC4" w14:textId="52EC1145" w:rsidR="00F77EEA" w:rsidRPr="00401408" w:rsidRDefault="00F77EEA" w:rsidP="00401408">
      <w:pPr>
        <w:pStyle w:val="Default"/>
        <w:spacing w:before="60" w:after="60" w:line="360" w:lineRule="auto"/>
        <w:contextualSpacing/>
        <w:jc w:val="both"/>
        <w:rPr>
          <w:rFonts w:ascii="Arial" w:hAnsi="Arial" w:cs="Arial"/>
          <w:b/>
          <w:color w:val="auto"/>
          <w:sz w:val="22"/>
          <w:szCs w:val="22"/>
        </w:rPr>
      </w:pPr>
    </w:p>
    <w:p w14:paraId="46367F19" w14:textId="51B194E7" w:rsidR="00F77EEA" w:rsidRPr="00401408" w:rsidRDefault="00C9208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17.1.</w:t>
      </w:r>
      <w:r w:rsidRPr="00401408">
        <w:rPr>
          <w:rFonts w:ascii="Arial" w:hAnsi="Arial" w:cs="Arial"/>
          <w:color w:val="auto"/>
          <w:sz w:val="22"/>
          <w:szCs w:val="22"/>
        </w:rPr>
        <w:t xml:space="preserve"> </w:t>
      </w:r>
      <w:r w:rsidR="00F77EEA" w:rsidRPr="00401408">
        <w:rPr>
          <w:rFonts w:ascii="Arial" w:hAnsi="Arial" w:cs="Arial"/>
          <w:color w:val="auto"/>
          <w:sz w:val="22"/>
          <w:szCs w:val="22"/>
        </w:rPr>
        <w:t>La persona física Jesús Emmanuel Gómez Arriaga solicita que el término “Operador” sea reemplazado por el término “Concesionario”, definido en la fracción XIV del Art. 3 de la Ley Federal de Telecomunicaciones y Radiodifusión.</w:t>
      </w:r>
    </w:p>
    <w:p w14:paraId="0334AB58" w14:textId="77777777" w:rsidR="00F77EEA" w:rsidRPr="00401408" w:rsidRDefault="00F77EEA" w:rsidP="00401408">
      <w:pPr>
        <w:pStyle w:val="Default"/>
        <w:spacing w:before="60" w:after="60" w:line="360" w:lineRule="auto"/>
        <w:contextualSpacing/>
        <w:jc w:val="both"/>
        <w:rPr>
          <w:rFonts w:ascii="Arial" w:hAnsi="Arial" w:cs="Arial"/>
          <w:color w:val="auto"/>
          <w:sz w:val="22"/>
          <w:szCs w:val="22"/>
        </w:rPr>
      </w:pPr>
    </w:p>
    <w:p w14:paraId="6175CDAB" w14:textId="586ED607" w:rsidR="00FD1A74" w:rsidRPr="00401408" w:rsidRDefault="00F77EEA"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RESPUESTA:</w:t>
      </w:r>
      <w:r w:rsidRPr="00401408">
        <w:rPr>
          <w:rFonts w:ascii="Arial" w:hAnsi="Arial" w:cs="Arial"/>
          <w:color w:val="auto"/>
          <w:sz w:val="22"/>
          <w:szCs w:val="22"/>
        </w:rPr>
        <w:t xml:space="preserve"> La</w:t>
      </w:r>
      <w:r w:rsidR="00FD1A74" w:rsidRPr="00401408">
        <w:rPr>
          <w:rFonts w:ascii="Arial" w:hAnsi="Arial" w:cs="Arial"/>
          <w:color w:val="auto"/>
          <w:sz w:val="22"/>
          <w:szCs w:val="22"/>
        </w:rPr>
        <w:t>s definiciones</w:t>
      </w:r>
      <w:r w:rsidR="00CB70BF" w:rsidRPr="00401408">
        <w:rPr>
          <w:rFonts w:ascii="Arial" w:hAnsi="Arial" w:cs="Arial"/>
          <w:color w:val="auto"/>
          <w:sz w:val="22"/>
          <w:szCs w:val="22"/>
        </w:rPr>
        <w:t xml:space="preserve"> del término "O</w:t>
      </w:r>
      <w:r w:rsidRPr="00401408">
        <w:rPr>
          <w:rFonts w:ascii="Arial" w:hAnsi="Arial" w:cs="Arial"/>
          <w:color w:val="auto"/>
          <w:sz w:val="22"/>
          <w:szCs w:val="22"/>
        </w:rPr>
        <w:t xml:space="preserve">perador", contenida en el </w:t>
      </w:r>
      <w:r w:rsidR="00FD1A74" w:rsidRPr="00401408">
        <w:rPr>
          <w:rFonts w:ascii="Arial" w:hAnsi="Arial" w:cs="Arial"/>
          <w:color w:val="auto"/>
          <w:sz w:val="22"/>
          <w:szCs w:val="22"/>
        </w:rPr>
        <w:t>PTFN y en el PTFS son las siguientes:</w:t>
      </w:r>
    </w:p>
    <w:p w14:paraId="2370A592" w14:textId="77777777" w:rsidR="00FD1A74" w:rsidRPr="00401408" w:rsidRDefault="00FD1A74" w:rsidP="00401408">
      <w:pPr>
        <w:pStyle w:val="Default"/>
        <w:spacing w:before="60" w:after="60" w:line="360" w:lineRule="auto"/>
        <w:contextualSpacing/>
        <w:jc w:val="both"/>
        <w:rPr>
          <w:rFonts w:ascii="Arial" w:hAnsi="Arial" w:cs="Arial"/>
          <w:color w:val="auto"/>
          <w:sz w:val="22"/>
          <w:szCs w:val="22"/>
        </w:rPr>
      </w:pPr>
    </w:p>
    <w:p w14:paraId="3243DB1B" w14:textId="3C84B40D" w:rsidR="00FD1A74" w:rsidRPr="00401408" w:rsidRDefault="00FD1A74"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PTFN</w:t>
      </w:r>
    </w:p>
    <w:p w14:paraId="49FC2912" w14:textId="2ADDFE2C" w:rsidR="00FD1A74" w:rsidRPr="00401408" w:rsidRDefault="00FD1A74"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w:t>
      </w:r>
      <w:r w:rsidRPr="00401408">
        <w:rPr>
          <w:rFonts w:ascii="Arial" w:hAnsi="Arial" w:cs="Arial"/>
          <w:b/>
          <w:color w:val="auto"/>
          <w:sz w:val="22"/>
          <w:szCs w:val="22"/>
        </w:rPr>
        <w:t>3.16. Operador</w:t>
      </w:r>
      <w:r w:rsidRPr="00401408">
        <w:rPr>
          <w:rFonts w:ascii="Arial" w:hAnsi="Arial" w:cs="Arial"/>
          <w:color w:val="auto"/>
          <w:sz w:val="22"/>
          <w:szCs w:val="22"/>
        </w:rPr>
        <w:t>: persona física o moral que cuenta con un título de concesión, permiso o autorización para prestar servicios de telecomunicaciones;”</w:t>
      </w:r>
    </w:p>
    <w:p w14:paraId="1B6BAB73" w14:textId="0C9D214A" w:rsidR="00FD1A74" w:rsidRPr="00401408" w:rsidRDefault="00FD1A74" w:rsidP="00401408">
      <w:pPr>
        <w:pStyle w:val="Default"/>
        <w:spacing w:before="60" w:after="60" w:line="360" w:lineRule="auto"/>
        <w:contextualSpacing/>
        <w:jc w:val="both"/>
        <w:rPr>
          <w:rFonts w:ascii="Arial" w:hAnsi="Arial" w:cs="Arial"/>
          <w:color w:val="auto"/>
          <w:sz w:val="22"/>
          <w:szCs w:val="22"/>
        </w:rPr>
      </w:pPr>
    </w:p>
    <w:p w14:paraId="0312C471" w14:textId="6A767DBC" w:rsidR="00FD1A74" w:rsidRPr="00401408" w:rsidRDefault="00FD1A74"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PTFS</w:t>
      </w:r>
    </w:p>
    <w:p w14:paraId="6A9DE8E0" w14:textId="5421B03B" w:rsidR="00FD1A74" w:rsidRPr="00401408" w:rsidRDefault="00FD1A74" w:rsidP="00401408">
      <w:pPr>
        <w:pStyle w:val="NormalWeb"/>
        <w:spacing w:before="60" w:beforeAutospacing="0" w:after="60" w:afterAutospacing="0" w:line="360" w:lineRule="auto"/>
        <w:ind w:right="60"/>
        <w:contextualSpacing/>
        <w:jc w:val="both"/>
        <w:rPr>
          <w:rFonts w:ascii="Arial" w:eastAsiaTheme="minorHAnsi" w:hAnsi="Arial" w:cs="Arial"/>
          <w:color w:val="auto"/>
          <w:sz w:val="22"/>
          <w:szCs w:val="22"/>
          <w:lang w:val="es-MX" w:eastAsia="en-US"/>
        </w:rPr>
      </w:pPr>
      <w:r w:rsidRPr="00401408">
        <w:rPr>
          <w:rFonts w:ascii="Arial" w:eastAsiaTheme="minorHAnsi" w:hAnsi="Arial" w:cs="Arial"/>
          <w:color w:val="auto"/>
          <w:sz w:val="22"/>
          <w:szCs w:val="22"/>
          <w:lang w:val="es-MX" w:eastAsia="en-US"/>
        </w:rPr>
        <w:t>“</w:t>
      </w:r>
      <w:r w:rsidRPr="00401408">
        <w:rPr>
          <w:rFonts w:ascii="Arial" w:eastAsiaTheme="minorHAnsi" w:hAnsi="Arial" w:cs="Arial"/>
          <w:b/>
          <w:color w:val="auto"/>
          <w:sz w:val="22"/>
          <w:szCs w:val="22"/>
          <w:lang w:val="es-MX" w:eastAsia="en-US"/>
        </w:rPr>
        <w:t>3.18. Operador:</w:t>
      </w:r>
      <w:r w:rsidRPr="00401408">
        <w:rPr>
          <w:rFonts w:ascii="Arial" w:eastAsiaTheme="minorHAnsi" w:hAnsi="Arial" w:cs="Arial"/>
          <w:color w:val="auto"/>
          <w:sz w:val="22"/>
          <w:szCs w:val="22"/>
          <w:lang w:val="es-MX" w:eastAsia="en-US"/>
        </w:rPr>
        <w:t xml:space="preserve"> Persona física o moral que cuenta con un título de concesión o permiso que le autoriza a prestar servicios de telecomunicaciones;”</w:t>
      </w:r>
    </w:p>
    <w:p w14:paraId="2B72A266" w14:textId="4929EC7F" w:rsidR="00FD1A74" w:rsidRPr="00401408" w:rsidRDefault="00FD1A74" w:rsidP="00401408">
      <w:pPr>
        <w:pStyle w:val="NormalWeb"/>
        <w:spacing w:before="60" w:beforeAutospacing="0" w:after="60" w:afterAutospacing="0" w:line="360" w:lineRule="auto"/>
        <w:ind w:right="62"/>
        <w:contextualSpacing/>
        <w:jc w:val="both"/>
        <w:rPr>
          <w:rFonts w:ascii="Arial" w:eastAsiaTheme="minorHAnsi" w:hAnsi="Arial" w:cs="Arial"/>
          <w:color w:val="auto"/>
          <w:sz w:val="22"/>
          <w:szCs w:val="22"/>
          <w:lang w:val="es-MX" w:eastAsia="en-US"/>
        </w:rPr>
      </w:pPr>
      <w:r w:rsidRPr="00401408">
        <w:rPr>
          <w:rFonts w:ascii="Arial" w:eastAsiaTheme="minorHAnsi" w:hAnsi="Arial" w:cs="Arial"/>
          <w:color w:val="auto"/>
          <w:sz w:val="22"/>
          <w:szCs w:val="22"/>
          <w:lang w:val="es-MX" w:eastAsia="en-US"/>
        </w:rPr>
        <w:lastRenderedPageBreak/>
        <w:t>Como se puede observar de las definiciones transcritas, mismas que quedaron derogadas con l</w:t>
      </w:r>
      <w:r w:rsidR="00CB70BF" w:rsidRPr="00401408">
        <w:rPr>
          <w:rFonts w:ascii="Arial" w:eastAsiaTheme="minorHAnsi" w:hAnsi="Arial" w:cs="Arial"/>
          <w:color w:val="auto"/>
          <w:sz w:val="22"/>
          <w:szCs w:val="22"/>
          <w:lang w:val="es-MX" w:eastAsia="en-US"/>
        </w:rPr>
        <w:t>a entrada en vigor del numeral 2</w:t>
      </w:r>
      <w:r w:rsidRPr="00401408">
        <w:rPr>
          <w:rFonts w:ascii="Arial" w:eastAsiaTheme="minorHAnsi" w:hAnsi="Arial" w:cs="Arial"/>
          <w:color w:val="auto"/>
          <w:sz w:val="22"/>
          <w:szCs w:val="22"/>
          <w:lang w:val="es-MX" w:eastAsia="en-US"/>
        </w:rPr>
        <w:t xml:space="preserve"> contenido en los Nuevos PTFN y PT</w:t>
      </w:r>
      <w:r w:rsidR="00CB70BF" w:rsidRPr="00401408">
        <w:rPr>
          <w:rFonts w:ascii="Arial" w:eastAsiaTheme="minorHAnsi" w:hAnsi="Arial" w:cs="Arial"/>
          <w:color w:val="auto"/>
          <w:sz w:val="22"/>
          <w:szCs w:val="22"/>
          <w:lang w:val="es-MX" w:eastAsia="en-US"/>
        </w:rPr>
        <w:t>F</w:t>
      </w:r>
      <w:r w:rsidRPr="00401408">
        <w:rPr>
          <w:rFonts w:ascii="Arial" w:eastAsiaTheme="minorHAnsi" w:hAnsi="Arial" w:cs="Arial"/>
          <w:color w:val="auto"/>
          <w:sz w:val="22"/>
          <w:szCs w:val="22"/>
          <w:lang w:val="es-MX" w:eastAsia="en-US"/>
        </w:rPr>
        <w:t>S</w:t>
      </w:r>
      <w:r w:rsidR="00EC39A8" w:rsidRPr="00401408">
        <w:rPr>
          <w:rFonts w:ascii="Arial" w:eastAsiaTheme="minorHAnsi" w:hAnsi="Arial" w:cs="Arial"/>
          <w:color w:val="auto"/>
          <w:sz w:val="22"/>
          <w:szCs w:val="22"/>
          <w:lang w:val="es-MX" w:eastAsia="en-US"/>
        </w:rPr>
        <w:t>, el término “</w:t>
      </w:r>
      <w:r w:rsidR="00CB70BF" w:rsidRPr="00401408">
        <w:rPr>
          <w:rFonts w:ascii="Arial" w:eastAsiaTheme="minorHAnsi" w:hAnsi="Arial" w:cs="Arial"/>
          <w:color w:val="auto"/>
          <w:sz w:val="22"/>
          <w:szCs w:val="22"/>
          <w:lang w:val="es-MX" w:eastAsia="en-US"/>
        </w:rPr>
        <w:t>O</w:t>
      </w:r>
      <w:r w:rsidR="00EC39A8" w:rsidRPr="00401408">
        <w:rPr>
          <w:rFonts w:ascii="Arial" w:eastAsiaTheme="minorHAnsi" w:hAnsi="Arial" w:cs="Arial"/>
          <w:color w:val="auto"/>
          <w:sz w:val="22"/>
          <w:szCs w:val="22"/>
          <w:lang w:val="es-MX" w:eastAsia="en-US"/>
        </w:rPr>
        <w:t>perador” se utilizaba para referir tanto a un concesionario como a una comercializadora. En este sentido, y debido a que el término “Operador” está contenido en diversos numerales del PTFN que a la fecha se encuentran vigentes, en el Nuevo PTFN se determinó equipar</w:t>
      </w:r>
      <w:r w:rsidR="000925C2" w:rsidRPr="00401408">
        <w:rPr>
          <w:rFonts w:ascii="Arial" w:eastAsiaTheme="minorHAnsi" w:hAnsi="Arial" w:cs="Arial"/>
          <w:color w:val="auto"/>
          <w:sz w:val="22"/>
          <w:szCs w:val="22"/>
          <w:lang w:val="es-MX" w:eastAsia="en-US"/>
        </w:rPr>
        <w:t>ar</w:t>
      </w:r>
      <w:r w:rsidR="00EC39A8" w:rsidRPr="00401408">
        <w:rPr>
          <w:rFonts w:ascii="Arial" w:eastAsiaTheme="minorHAnsi" w:hAnsi="Arial" w:cs="Arial"/>
          <w:color w:val="auto"/>
          <w:sz w:val="22"/>
          <w:szCs w:val="22"/>
          <w:lang w:val="es-MX" w:eastAsia="en-US"/>
        </w:rPr>
        <w:t xml:space="preserve"> dicho término con el correspondiente a “Proveedor de Servicios de Telecomunicaciones”. </w:t>
      </w:r>
      <w:r w:rsidR="00CB70BF" w:rsidRPr="00401408">
        <w:rPr>
          <w:rFonts w:ascii="Arial" w:eastAsiaTheme="minorHAnsi" w:hAnsi="Arial" w:cs="Arial"/>
          <w:color w:val="auto"/>
          <w:sz w:val="22"/>
          <w:szCs w:val="22"/>
          <w:lang w:val="es-MX" w:eastAsia="en-US"/>
        </w:rPr>
        <w:t>Por lo antes expuesto, no resulta procedente atender la propuesta.</w:t>
      </w:r>
    </w:p>
    <w:p w14:paraId="3D67F65D" w14:textId="58633004" w:rsidR="00FD1A74" w:rsidRPr="00401408" w:rsidRDefault="00FD1A74" w:rsidP="00401408">
      <w:pPr>
        <w:pStyle w:val="NormalWeb"/>
        <w:spacing w:before="60" w:beforeAutospacing="0" w:after="60" w:afterAutospacing="0" w:line="360" w:lineRule="auto"/>
        <w:ind w:right="62"/>
        <w:contextualSpacing/>
        <w:rPr>
          <w:rFonts w:ascii="Arial" w:hAnsi="Arial" w:cs="Arial"/>
          <w:sz w:val="22"/>
          <w:szCs w:val="22"/>
        </w:rPr>
      </w:pPr>
    </w:p>
    <w:p w14:paraId="13178E43" w14:textId="3B77F3CE" w:rsidR="00984611" w:rsidRPr="00401408" w:rsidRDefault="00C9208B" w:rsidP="00401408">
      <w:pPr>
        <w:pStyle w:val="NormalWeb"/>
        <w:spacing w:before="60" w:beforeAutospacing="0" w:after="60" w:afterAutospacing="0" w:line="360" w:lineRule="auto"/>
        <w:ind w:right="62"/>
        <w:contextualSpacing/>
        <w:jc w:val="both"/>
        <w:rPr>
          <w:rFonts w:ascii="Arial" w:eastAsiaTheme="minorHAnsi" w:hAnsi="Arial" w:cs="Arial"/>
          <w:color w:val="auto"/>
          <w:sz w:val="22"/>
          <w:szCs w:val="22"/>
          <w:lang w:val="es-MX" w:eastAsia="en-US"/>
        </w:rPr>
      </w:pPr>
      <w:r w:rsidRPr="00401408">
        <w:rPr>
          <w:rFonts w:ascii="Arial" w:eastAsiaTheme="minorHAnsi" w:hAnsi="Arial" w:cs="Arial"/>
          <w:b/>
          <w:color w:val="auto"/>
          <w:sz w:val="22"/>
          <w:szCs w:val="22"/>
          <w:lang w:val="es-MX" w:eastAsia="en-US"/>
        </w:rPr>
        <w:t xml:space="preserve">17.2. </w:t>
      </w:r>
      <w:r w:rsidR="007B66DF" w:rsidRPr="00401408">
        <w:rPr>
          <w:rFonts w:ascii="Arial" w:eastAsiaTheme="minorHAnsi" w:hAnsi="Arial" w:cs="Arial"/>
          <w:color w:val="auto"/>
          <w:sz w:val="22"/>
          <w:szCs w:val="22"/>
          <w:lang w:val="es-MX" w:eastAsia="en-US"/>
        </w:rPr>
        <w:t>La persona física Jesús Emmanuel Gómez Arriaga propone que la referencia a trámites y servicios, contenida en la definición del término “Actuaciones Electrónicas”, sea sustituida por el término “Actos administrativos electrónicos”.</w:t>
      </w:r>
    </w:p>
    <w:p w14:paraId="5EC272E1" w14:textId="0866E7A0" w:rsidR="00FD1A74" w:rsidRPr="00401408" w:rsidRDefault="00FD1A74" w:rsidP="00401408">
      <w:pPr>
        <w:pStyle w:val="Default"/>
        <w:spacing w:before="60" w:after="60" w:line="360" w:lineRule="auto"/>
        <w:contextualSpacing/>
        <w:jc w:val="both"/>
        <w:rPr>
          <w:rFonts w:ascii="Arial" w:eastAsia="Times New Roman" w:hAnsi="Arial" w:cs="Arial"/>
          <w:color w:val="auto"/>
          <w:sz w:val="22"/>
          <w:szCs w:val="22"/>
          <w:lang w:val="es-ES" w:eastAsia="es-ES"/>
        </w:rPr>
      </w:pPr>
    </w:p>
    <w:p w14:paraId="605CBCFF" w14:textId="10DFD175" w:rsidR="007B66DF" w:rsidRPr="00401408" w:rsidRDefault="007B66D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RESPUESTA:</w:t>
      </w:r>
      <w:r w:rsidRPr="00401408">
        <w:rPr>
          <w:rFonts w:ascii="Arial" w:hAnsi="Arial" w:cs="Arial"/>
          <w:color w:val="auto"/>
          <w:sz w:val="22"/>
          <w:szCs w:val="22"/>
        </w:rPr>
        <w:t xml:space="preserve"> La propuesta de sustituir en la definición del término "Actos administrativos electrónicos", la referencia a "trámites y servicios" por el término "Actuaciones Electrónicas", no resulta procedente en virtud de lo siguiente: </w:t>
      </w:r>
    </w:p>
    <w:p w14:paraId="60CB657E" w14:textId="77777777" w:rsidR="007B66DF" w:rsidRPr="00401408" w:rsidRDefault="007B66DF" w:rsidP="00401408">
      <w:pPr>
        <w:pStyle w:val="Default"/>
        <w:spacing w:before="60" w:after="60" w:line="360" w:lineRule="auto"/>
        <w:contextualSpacing/>
        <w:jc w:val="both"/>
        <w:rPr>
          <w:rFonts w:ascii="Arial" w:hAnsi="Arial" w:cs="Arial"/>
          <w:color w:val="auto"/>
          <w:sz w:val="22"/>
          <w:szCs w:val="22"/>
        </w:rPr>
      </w:pPr>
    </w:p>
    <w:p w14:paraId="76018A6E" w14:textId="5BD29C6E" w:rsidR="007B66DF" w:rsidRPr="00401408" w:rsidRDefault="007B66D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De conformidad con los Lineamientos para la sustanciación de los trámites y servicios que se realicen ante el Instituto Federal de Telecomunicaciones, a través de la Ventanilla Electrónica, publicada en el D</w:t>
      </w:r>
      <w:r w:rsidR="00BF1541" w:rsidRPr="00401408">
        <w:rPr>
          <w:rFonts w:ascii="Arial" w:hAnsi="Arial" w:cs="Arial"/>
          <w:color w:val="auto"/>
          <w:sz w:val="22"/>
          <w:szCs w:val="22"/>
        </w:rPr>
        <w:t xml:space="preserve">iario </w:t>
      </w:r>
      <w:r w:rsidRPr="00401408">
        <w:rPr>
          <w:rFonts w:ascii="Arial" w:hAnsi="Arial" w:cs="Arial"/>
          <w:color w:val="auto"/>
          <w:sz w:val="22"/>
          <w:szCs w:val="22"/>
        </w:rPr>
        <w:t>O</w:t>
      </w:r>
      <w:r w:rsidR="00BF1541" w:rsidRPr="00401408">
        <w:rPr>
          <w:rFonts w:ascii="Arial" w:hAnsi="Arial" w:cs="Arial"/>
          <w:color w:val="auto"/>
          <w:sz w:val="22"/>
          <w:szCs w:val="22"/>
        </w:rPr>
        <w:t xml:space="preserve">ficial de la </w:t>
      </w:r>
      <w:r w:rsidRPr="00401408">
        <w:rPr>
          <w:rFonts w:ascii="Arial" w:hAnsi="Arial" w:cs="Arial"/>
          <w:color w:val="auto"/>
          <w:sz w:val="22"/>
          <w:szCs w:val="22"/>
        </w:rPr>
        <w:t>F</w:t>
      </w:r>
      <w:r w:rsidR="00BF1541" w:rsidRPr="00401408">
        <w:rPr>
          <w:rFonts w:ascii="Arial" w:hAnsi="Arial" w:cs="Arial"/>
          <w:color w:val="auto"/>
          <w:sz w:val="22"/>
          <w:szCs w:val="22"/>
        </w:rPr>
        <w:t>ederación (“DOF”)</w:t>
      </w:r>
      <w:r w:rsidRPr="00401408">
        <w:rPr>
          <w:rFonts w:ascii="Arial" w:hAnsi="Arial" w:cs="Arial"/>
          <w:color w:val="auto"/>
          <w:sz w:val="22"/>
          <w:szCs w:val="22"/>
        </w:rPr>
        <w:t xml:space="preserve"> el 5 de noviembre de 2019, los términos "trámite" y "servicio" se encuentran definidos de la siguiente manera:</w:t>
      </w:r>
    </w:p>
    <w:p w14:paraId="3428A13D" w14:textId="77777777" w:rsidR="007B66DF" w:rsidRPr="00401408" w:rsidRDefault="007B66DF" w:rsidP="00401408">
      <w:pPr>
        <w:pStyle w:val="Default"/>
        <w:spacing w:before="60" w:after="60" w:line="360" w:lineRule="auto"/>
        <w:contextualSpacing/>
        <w:jc w:val="both"/>
        <w:rPr>
          <w:rFonts w:ascii="Arial" w:hAnsi="Arial" w:cs="Arial"/>
          <w:color w:val="auto"/>
          <w:sz w:val="22"/>
          <w:szCs w:val="22"/>
        </w:rPr>
      </w:pPr>
    </w:p>
    <w:p w14:paraId="15BE5DA1" w14:textId="7120438A" w:rsidR="007B66DF" w:rsidRPr="00401408" w:rsidRDefault="007B66D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"XXVIII. Trámite: cualquier solicitud o entrega de información que las personas físicas o morales realicen ante el Instituto, ya sea para cumplir una obligación o, en general, a fin de que se emita una resolución;” </w:t>
      </w:r>
    </w:p>
    <w:p w14:paraId="7DCC022F" w14:textId="77777777" w:rsidR="007B66DF" w:rsidRPr="00401408" w:rsidRDefault="007B66DF" w:rsidP="00401408">
      <w:pPr>
        <w:pStyle w:val="Default"/>
        <w:spacing w:before="60" w:after="60" w:line="360" w:lineRule="auto"/>
        <w:contextualSpacing/>
        <w:jc w:val="both"/>
        <w:rPr>
          <w:rFonts w:ascii="Arial" w:hAnsi="Arial" w:cs="Arial"/>
          <w:color w:val="auto"/>
          <w:sz w:val="22"/>
          <w:szCs w:val="22"/>
        </w:rPr>
      </w:pPr>
    </w:p>
    <w:p w14:paraId="431AB35E" w14:textId="77777777" w:rsidR="007B66DF" w:rsidRPr="00401408" w:rsidRDefault="007B66D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"XXVI. Servicio: cualquier beneficio o actividad que el Instituto, en el ámbito de su competencia, brinde a los Promoventes, previa solicitud y cumplimiento de los requisitos aplicables;”. </w:t>
      </w:r>
    </w:p>
    <w:p w14:paraId="4D5EE72F" w14:textId="77777777" w:rsidR="00C9208B" w:rsidRPr="00401408" w:rsidRDefault="00C9208B" w:rsidP="00401408">
      <w:pPr>
        <w:pStyle w:val="Default"/>
        <w:spacing w:before="60" w:after="60" w:line="360" w:lineRule="auto"/>
        <w:contextualSpacing/>
        <w:jc w:val="both"/>
        <w:rPr>
          <w:rFonts w:ascii="Arial" w:hAnsi="Arial" w:cs="Arial"/>
          <w:color w:val="auto"/>
          <w:sz w:val="22"/>
          <w:szCs w:val="22"/>
        </w:rPr>
      </w:pPr>
    </w:p>
    <w:p w14:paraId="725FFABB" w14:textId="789D80B0" w:rsidR="007B66DF" w:rsidRPr="00401408" w:rsidRDefault="007B66D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Cabe señalar que las definiciones antes transcritas fueron diseñadas a partir de lo establecido en la Ley General de Mejora Regulatoria. </w:t>
      </w:r>
    </w:p>
    <w:p w14:paraId="6722D31D" w14:textId="77777777" w:rsidR="007B66DF" w:rsidRPr="00401408" w:rsidRDefault="007B66DF" w:rsidP="00401408">
      <w:pPr>
        <w:pStyle w:val="Default"/>
        <w:spacing w:before="60" w:after="60" w:line="360" w:lineRule="auto"/>
        <w:contextualSpacing/>
        <w:jc w:val="both"/>
        <w:rPr>
          <w:rFonts w:ascii="Arial" w:hAnsi="Arial" w:cs="Arial"/>
          <w:color w:val="auto"/>
          <w:sz w:val="22"/>
          <w:szCs w:val="22"/>
        </w:rPr>
      </w:pPr>
    </w:p>
    <w:p w14:paraId="3E09F10D" w14:textId="4A4731E7" w:rsidR="007B66DF" w:rsidRPr="00401408" w:rsidRDefault="007B66D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lastRenderedPageBreak/>
        <w:t xml:space="preserve">En este sentido, tomando como referencia las anteriores definiciones, se concluye que no es procedente equiparar el término "Actuaciones Electrónicas" con </w:t>
      </w:r>
      <w:r w:rsidR="00374187" w:rsidRPr="00401408">
        <w:rPr>
          <w:rFonts w:ascii="Arial" w:hAnsi="Arial" w:cs="Arial"/>
          <w:color w:val="auto"/>
          <w:sz w:val="22"/>
          <w:szCs w:val="22"/>
        </w:rPr>
        <w:t>la referencia a</w:t>
      </w:r>
      <w:r w:rsidRPr="00401408">
        <w:rPr>
          <w:rFonts w:ascii="Arial" w:hAnsi="Arial" w:cs="Arial"/>
          <w:color w:val="auto"/>
          <w:sz w:val="22"/>
          <w:szCs w:val="22"/>
        </w:rPr>
        <w:t xml:space="preserve"> "trámites y servicios", ya que éste solamente refiere a las promociones, solicitudes o cualquier documentación o información relacionada con un trámite o servicio, por parte del Promovente a t</w:t>
      </w:r>
      <w:r w:rsidR="002C4624" w:rsidRPr="00401408">
        <w:rPr>
          <w:rFonts w:ascii="Arial" w:hAnsi="Arial" w:cs="Arial"/>
          <w:color w:val="auto"/>
          <w:sz w:val="22"/>
          <w:szCs w:val="22"/>
        </w:rPr>
        <w:t xml:space="preserve">ravés de medios electrónicos. </w:t>
      </w:r>
      <w:r w:rsidR="00374187" w:rsidRPr="00401408">
        <w:rPr>
          <w:rFonts w:ascii="Arial" w:hAnsi="Arial" w:cs="Arial"/>
          <w:color w:val="auto"/>
          <w:sz w:val="22"/>
          <w:szCs w:val="22"/>
        </w:rPr>
        <w:t>Por lo antes señalado,</w:t>
      </w:r>
      <w:r w:rsidRPr="00401408">
        <w:rPr>
          <w:rFonts w:ascii="Arial" w:hAnsi="Arial" w:cs="Arial"/>
          <w:color w:val="auto"/>
          <w:sz w:val="22"/>
          <w:szCs w:val="22"/>
        </w:rPr>
        <w:t xml:space="preserve"> las Actuaciones Electrónicas constituyen un elemento o una versión particular del trámite, es decir, el trámite es lo general y la actuación electrónica es lo particular.</w:t>
      </w:r>
    </w:p>
    <w:p w14:paraId="51A320EE" w14:textId="7A333C6C" w:rsidR="002C4624" w:rsidRPr="00401408" w:rsidRDefault="002C4624" w:rsidP="00401408">
      <w:pPr>
        <w:pStyle w:val="Default"/>
        <w:spacing w:before="60" w:after="60" w:line="360" w:lineRule="auto"/>
        <w:contextualSpacing/>
        <w:jc w:val="both"/>
        <w:rPr>
          <w:rFonts w:ascii="Arial" w:hAnsi="Arial" w:cs="Arial"/>
          <w:color w:val="auto"/>
          <w:sz w:val="22"/>
          <w:szCs w:val="22"/>
        </w:rPr>
      </w:pPr>
    </w:p>
    <w:p w14:paraId="1AA20601" w14:textId="3A0B50C5" w:rsidR="002C4624" w:rsidRPr="00401408" w:rsidRDefault="00C9208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17.3</w:t>
      </w:r>
      <w:r w:rsidR="002C4624" w:rsidRPr="00401408">
        <w:rPr>
          <w:rFonts w:ascii="Arial" w:hAnsi="Arial" w:cs="Arial"/>
          <w:b/>
          <w:color w:val="auto"/>
          <w:sz w:val="22"/>
          <w:szCs w:val="22"/>
        </w:rPr>
        <w:t xml:space="preserve"> </w:t>
      </w:r>
      <w:r w:rsidRPr="00401408">
        <w:rPr>
          <w:rFonts w:ascii="Arial" w:hAnsi="Arial" w:cs="Arial"/>
          <w:color w:val="auto"/>
          <w:sz w:val="22"/>
          <w:szCs w:val="22"/>
        </w:rPr>
        <w:t>La persona física Jesús Emmanuel Gómez Arriaga propone eliminar de la definición del término “Concesionario de red”, las palabras “o de red pública de telecomunicaciones”</w:t>
      </w:r>
      <w:r w:rsidR="00614537" w:rsidRPr="00401408">
        <w:rPr>
          <w:rFonts w:ascii="Arial" w:hAnsi="Arial" w:cs="Arial"/>
          <w:color w:val="auto"/>
          <w:sz w:val="22"/>
          <w:szCs w:val="22"/>
        </w:rPr>
        <w:t>, así como eliminar el término “Concesionario de RPT”</w:t>
      </w:r>
      <w:r w:rsidRPr="00401408">
        <w:rPr>
          <w:rFonts w:ascii="Arial" w:hAnsi="Arial" w:cs="Arial"/>
          <w:color w:val="auto"/>
          <w:sz w:val="22"/>
          <w:szCs w:val="22"/>
        </w:rPr>
        <w:t>.</w:t>
      </w:r>
    </w:p>
    <w:p w14:paraId="03E02FC2" w14:textId="4A94E730" w:rsidR="00C9208B" w:rsidRPr="00401408" w:rsidRDefault="00C9208B" w:rsidP="00401408">
      <w:pPr>
        <w:pStyle w:val="Default"/>
        <w:spacing w:before="60" w:after="60" w:line="360" w:lineRule="auto"/>
        <w:contextualSpacing/>
        <w:jc w:val="both"/>
        <w:rPr>
          <w:rFonts w:ascii="Arial" w:hAnsi="Arial" w:cs="Arial"/>
          <w:color w:val="auto"/>
          <w:sz w:val="22"/>
          <w:szCs w:val="22"/>
        </w:rPr>
      </w:pPr>
    </w:p>
    <w:p w14:paraId="2B203A1E" w14:textId="0DCEECFE" w:rsidR="00BF1541" w:rsidRPr="00401408" w:rsidRDefault="00C9208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RESPUESTA:</w:t>
      </w:r>
      <w:r w:rsidRPr="00401408">
        <w:rPr>
          <w:rFonts w:ascii="Arial" w:hAnsi="Arial" w:cs="Arial"/>
          <w:color w:val="auto"/>
          <w:sz w:val="22"/>
          <w:szCs w:val="22"/>
        </w:rPr>
        <w:t xml:space="preserve"> </w:t>
      </w:r>
      <w:r w:rsidR="00D01161" w:rsidRPr="00401408">
        <w:rPr>
          <w:rFonts w:ascii="Arial" w:hAnsi="Arial" w:cs="Arial"/>
          <w:color w:val="auto"/>
          <w:sz w:val="22"/>
          <w:szCs w:val="22"/>
        </w:rPr>
        <w:t xml:space="preserve">Es importante hacer de su conocimiento que a la fecha existen concesiones para instalar, operar y explotar redes públicas de telecomunicaciones vigentes, otorgadas al amparo de la Ley Federal de Telecomunicaciones, publicada en el </w:t>
      </w:r>
      <w:r w:rsidR="00BF1541" w:rsidRPr="00401408">
        <w:rPr>
          <w:rFonts w:ascii="Arial" w:hAnsi="Arial" w:cs="Arial"/>
          <w:color w:val="auto"/>
          <w:sz w:val="22"/>
          <w:szCs w:val="22"/>
        </w:rPr>
        <w:t>DOF</w:t>
      </w:r>
      <w:r w:rsidR="00D01161" w:rsidRPr="00401408">
        <w:rPr>
          <w:rFonts w:ascii="Arial" w:hAnsi="Arial" w:cs="Arial"/>
          <w:color w:val="auto"/>
          <w:sz w:val="22"/>
          <w:szCs w:val="22"/>
        </w:rPr>
        <w:t xml:space="preserve"> el 7 de junio de 1995 y abrogada el 13 de agosto de 2014 con la entrada en vigor de la Ley Federal de Telecomunicaciones y Radiodifusión, publicada en el </w:t>
      </w:r>
      <w:r w:rsidR="00BF1541" w:rsidRPr="00401408">
        <w:rPr>
          <w:rFonts w:ascii="Arial" w:hAnsi="Arial" w:cs="Arial"/>
          <w:color w:val="auto"/>
          <w:sz w:val="22"/>
          <w:szCs w:val="22"/>
        </w:rPr>
        <w:t>DOF</w:t>
      </w:r>
      <w:r w:rsidR="00D01161" w:rsidRPr="00401408">
        <w:rPr>
          <w:rFonts w:ascii="Arial" w:hAnsi="Arial" w:cs="Arial"/>
          <w:color w:val="auto"/>
          <w:sz w:val="22"/>
          <w:szCs w:val="22"/>
        </w:rPr>
        <w:t xml:space="preserve"> el 14 de julio de 2014. En este sentido, y a efecto de dar certeza jurídica a los titulares de dichas concesiones, es necesario reconocer esta figura </w:t>
      </w:r>
      <w:r w:rsidR="00374187" w:rsidRPr="00401408">
        <w:rPr>
          <w:rFonts w:ascii="Arial" w:hAnsi="Arial" w:cs="Arial"/>
          <w:color w:val="auto"/>
          <w:sz w:val="22"/>
          <w:szCs w:val="22"/>
        </w:rPr>
        <w:t xml:space="preserve">en </w:t>
      </w:r>
      <w:r w:rsidR="00D01161" w:rsidRPr="00401408">
        <w:rPr>
          <w:rFonts w:ascii="Arial" w:hAnsi="Arial" w:cs="Arial"/>
          <w:color w:val="auto"/>
          <w:sz w:val="22"/>
          <w:szCs w:val="22"/>
        </w:rPr>
        <w:t>los nuevos PTFN y PTFS.</w:t>
      </w:r>
    </w:p>
    <w:p w14:paraId="4D7601BD" w14:textId="103DBA49" w:rsidR="00C9208B" w:rsidRPr="00401408" w:rsidRDefault="00D01161"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 </w:t>
      </w:r>
    </w:p>
    <w:p w14:paraId="0C10B7BE" w14:textId="30617B0A" w:rsidR="00D01161" w:rsidRPr="00401408" w:rsidRDefault="00D01161"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No obstante, se modifica en el Anteproyecto la definición del término “Concesionario de red” con la finalidad </w:t>
      </w:r>
      <w:r w:rsidR="00374187" w:rsidRPr="00401408">
        <w:rPr>
          <w:rFonts w:ascii="Arial" w:hAnsi="Arial" w:cs="Arial"/>
          <w:color w:val="auto"/>
          <w:sz w:val="22"/>
          <w:szCs w:val="22"/>
        </w:rPr>
        <w:t xml:space="preserve">de </w:t>
      </w:r>
      <w:r w:rsidRPr="00401408">
        <w:rPr>
          <w:rFonts w:ascii="Arial" w:hAnsi="Arial" w:cs="Arial"/>
          <w:color w:val="auto"/>
          <w:sz w:val="22"/>
          <w:szCs w:val="22"/>
        </w:rPr>
        <w:t xml:space="preserve">brindar mayor claridad al respecto. </w:t>
      </w:r>
    </w:p>
    <w:p w14:paraId="53F24CC6" w14:textId="11782D29" w:rsidR="00D01161" w:rsidRPr="00401408" w:rsidRDefault="00D01161" w:rsidP="00401408">
      <w:pPr>
        <w:pStyle w:val="Default"/>
        <w:spacing w:before="60" w:after="60" w:line="360" w:lineRule="auto"/>
        <w:contextualSpacing/>
        <w:jc w:val="both"/>
        <w:rPr>
          <w:rFonts w:ascii="Arial" w:hAnsi="Arial" w:cs="Arial"/>
          <w:color w:val="auto"/>
          <w:sz w:val="22"/>
          <w:szCs w:val="22"/>
        </w:rPr>
      </w:pPr>
    </w:p>
    <w:p w14:paraId="7817CAE6" w14:textId="77777777" w:rsidR="00352016" w:rsidRPr="00401408" w:rsidRDefault="00352016"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17.4.</w:t>
      </w:r>
      <w:r w:rsidRPr="00401408">
        <w:rPr>
          <w:rFonts w:ascii="Arial" w:hAnsi="Arial" w:cs="Arial"/>
          <w:color w:val="auto"/>
          <w:sz w:val="22"/>
          <w:szCs w:val="22"/>
        </w:rPr>
        <w:t xml:space="preserve"> La persona física Jesús Emmanuel Gómez Arriaga propone que, para efectos de la presentación de los reportes de utilización de Numeración Nacional provista, no se limite a que la Numeración Nacional sea provista solamente por Concesionarios de uso comercial o de RPT.</w:t>
      </w:r>
    </w:p>
    <w:p w14:paraId="1618ADB7" w14:textId="77777777" w:rsidR="00352016" w:rsidRPr="00401408" w:rsidRDefault="00352016" w:rsidP="00401408">
      <w:pPr>
        <w:pStyle w:val="Default"/>
        <w:spacing w:before="60" w:after="60" w:line="360" w:lineRule="auto"/>
        <w:contextualSpacing/>
        <w:jc w:val="both"/>
        <w:rPr>
          <w:rFonts w:ascii="Arial" w:hAnsi="Arial" w:cs="Arial"/>
          <w:color w:val="auto"/>
          <w:sz w:val="22"/>
          <w:szCs w:val="22"/>
        </w:rPr>
      </w:pPr>
    </w:p>
    <w:p w14:paraId="24FFFE2C" w14:textId="5A47C1F7" w:rsidR="004D2842" w:rsidRPr="00401408" w:rsidRDefault="00352016"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003C5479" w:rsidRPr="00401408">
        <w:rPr>
          <w:rFonts w:ascii="Arial" w:hAnsi="Arial" w:cs="Arial"/>
          <w:color w:val="auto"/>
          <w:sz w:val="22"/>
          <w:szCs w:val="22"/>
        </w:rPr>
        <w:t>No resulta procedente atender la propuesta</w:t>
      </w:r>
      <w:r w:rsidR="002D7DA2" w:rsidRPr="00401408">
        <w:rPr>
          <w:rFonts w:ascii="Arial" w:hAnsi="Arial" w:cs="Arial"/>
          <w:color w:val="auto"/>
          <w:sz w:val="22"/>
          <w:szCs w:val="22"/>
        </w:rPr>
        <w:t>,</w:t>
      </w:r>
      <w:r w:rsidR="003C5479" w:rsidRPr="00401408">
        <w:rPr>
          <w:rFonts w:ascii="Arial" w:hAnsi="Arial" w:cs="Arial"/>
          <w:color w:val="auto"/>
          <w:sz w:val="22"/>
          <w:szCs w:val="22"/>
        </w:rPr>
        <w:t xml:space="preserve"> debido a que la N</w:t>
      </w:r>
      <w:r w:rsidRPr="00401408">
        <w:rPr>
          <w:rFonts w:ascii="Arial" w:hAnsi="Arial" w:cs="Arial"/>
          <w:color w:val="auto"/>
          <w:sz w:val="22"/>
          <w:szCs w:val="22"/>
        </w:rPr>
        <w:t>umeración</w:t>
      </w:r>
      <w:r w:rsidR="003C5479" w:rsidRPr="00401408">
        <w:rPr>
          <w:rFonts w:ascii="Arial" w:hAnsi="Arial" w:cs="Arial"/>
          <w:color w:val="auto"/>
          <w:sz w:val="22"/>
          <w:szCs w:val="22"/>
        </w:rPr>
        <w:t xml:space="preserve"> Nacional </w:t>
      </w:r>
      <w:r w:rsidR="004D2842" w:rsidRPr="00401408">
        <w:rPr>
          <w:rFonts w:ascii="Arial" w:hAnsi="Arial" w:cs="Arial"/>
          <w:color w:val="auto"/>
          <w:sz w:val="22"/>
          <w:szCs w:val="22"/>
        </w:rPr>
        <w:t>provista por un concesionario debe</w:t>
      </w:r>
      <w:r w:rsidRPr="00401408">
        <w:rPr>
          <w:rFonts w:ascii="Arial" w:hAnsi="Arial" w:cs="Arial"/>
          <w:color w:val="auto"/>
          <w:sz w:val="22"/>
          <w:szCs w:val="22"/>
        </w:rPr>
        <w:t xml:space="preserve"> </w:t>
      </w:r>
      <w:r w:rsidR="004D2842" w:rsidRPr="00401408">
        <w:rPr>
          <w:rFonts w:ascii="Arial" w:hAnsi="Arial" w:cs="Arial"/>
          <w:color w:val="auto"/>
          <w:sz w:val="22"/>
          <w:szCs w:val="22"/>
        </w:rPr>
        <w:t>estar</w:t>
      </w:r>
      <w:r w:rsidRPr="00401408">
        <w:rPr>
          <w:rFonts w:ascii="Arial" w:hAnsi="Arial" w:cs="Arial"/>
          <w:color w:val="auto"/>
          <w:sz w:val="22"/>
          <w:szCs w:val="22"/>
        </w:rPr>
        <w:t xml:space="preserve"> asociada al cód</w:t>
      </w:r>
      <w:r w:rsidR="00644E4D" w:rsidRPr="00401408">
        <w:rPr>
          <w:rFonts w:ascii="Arial" w:hAnsi="Arial" w:cs="Arial"/>
          <w:color w:val="auto"/>
          <w:sz w:val="22"/>
          <w:szCs w:val="22"/>
        </w:rPr>
        <w:t xml:space="preserve">igo IDO/IDD asignado a su favor. </w:t>
      </w:r>
    </w:p>
    <w:p w14:paraId="5F8A2237" w14:textId="77777777" w:rsidR="004D2842" w:rsidRPr="00401408" w:rsidRDefault="004D2842" w:rsidP="00401408">
      <w:pPr>
        <w:pStyle w:val="Default"/>
        <w:spacing w:before="60" w:after="60" w:line="360" w:lineRule="auto"/>
        <w:contextualSpacing/>
        <w:jc w:val="both"/>
        <w:rPr>
          <w:rFonts w:ascii="Arial" w:hAnsi="Arial" w:cs="Arial"/>
          <w:color w:val="auto"/>
          <w:sz w:val="22"/>
          <w:szCs w:val="22"/>
        </w:rPr>
      </w:pPr>
    </w:p>
    <w:p w14:paraId="3743354A" w14:textId="3CF800A9" w:rsidR="002C4624" w:rsidRPr="00401408" w:rsidRDefault="00644E4D"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color w:val="auto"/>
          <w:sz w:val="22"/>
          <w:szCs w:val="22"/>
        </w:rPr>
        <w:t xml:space="preserve">Al respecto, es importante señalar que </w:t>
      </w:r>
      <w:r w:rsidR="00352016" w:rsidRPr="00401408">
        <w:rPr>
          <w:rFonts w:ascii="Arial" w:hAnsi="Arial" w:cs="Arial"/>
          <w:color w:val="auto"/>
          <w:sz w:val="22"/>
          <w:szCs w:val="22"/>
        </w:rPr>
        <w:t>la naturaleza jurídica de las concesiones de uso público y social</w:t>
      </w:r>
      <w:r w:rsidR="002D7DA2" w:rsidRPr="00401408">
        <w:rPr>
          <w:rFonts w:ascii="Arial" w:hAnsi="Arial" w:cs="Arial"/>
          <w:color w:val="auto"/>
          <w:sz w:val="22"/>
          <w:szCs w:val="22"/>
        </w:rPr>
        <w:t>, así como la de las</w:t>
      </w:r>
      <w:r w:rsidRPr="00401408">
        <w:rPr>
          <w:rFonts w:ascii="Arial" w:hAnsi="Arial" w:cs="Arial"/>
          <w:color w:val="auto"/>
          <w:sz w:val="22"/>
          <w:szCs w:val="22"/>
        </w:rPr>
        <w:t xml:space="preserve"> comercializadoras,</w:t>
      </w:r>
      <w:r w:rsidR="00352016" w:rsidRPr="00401408">
        <w:rPr>
          <w:rFonts w:ascii="Arial" w:hAnsi="Arial" w:cs="Arial"/>
          <w:color w:val="auto"/>
          <w:sz w:val="22"/>
          <w:szCs w:val="22"/>
        </w:rPr>
        <w:t xml:space="preserve"> no los faculta para contar con un</w:t>
      </w:r>
      <w:r w:rsidRPr="00401408">
        <w:rPr>
          <w:rFonts w:ascii="Arial" w:hAnsi="Arial" w:cs="Arial"/>
          <w:color w:val="auto"/>
          <w:sz w:val="22"/>
          <w:szCs w:val="22"/>
        </w:rPr>
        <w:t xml:space="preserve">a asignación de un </w:t>
      </w:r>
      <w:r w:rsidRPr="00401408">
        <w:rPr>
          <w:rFonts w:ascii="Arial" w:hAnsi="Arial" w:cs="Arial"/>
          <w:color w:val="auto"/>
          <w:sz w:val="22"/>
          <w:szCs w:val="22"/>
        </w:rPr>
        <w:lastRenderedPageBreak/>
        <w:t xml:space="preserve">código IDO/IDD, </w:t>
      </w:r>
      <w:r w:rsidR="002D7DA2" w:rsidRPr="00401408">
        <w:rPr>
          <w:rFonts w:ascii="Arial" w:hAnsi="Arial" w:cs="Arial"/>
          <w:color w:val="auto"/>
          <w:sz w:val="22"/>
          <w:szCs w:val="22"/>
        </w:rPr>
        <w:t xml:space="preserve">por lo que </w:t>
      </w:r>
      <w:r w:rsidR="00352016" w:rsidRPr="00401408">
        <w:rPr>
          <w:rFonts w:ascii="Arial" w:hAnsi="Arial" w:cs="Arial"/>
          <w:color w:val="auto"/>
          <w:sz w:val="22"/>
          <w:szCs w:val="22"/>
        </w:rPr>
        <w:t xml:space="preserve">resulta </w:t>
      </w:r>
      <w:r w:rsidRPr="00401408">
        <w:rPr>
          <w:rFonts w:ascii="Arial" w:hAnsi="Arial" w:cs="Arial"/>
          <w:color w:val="auto"/>
          <w:sz w:val="22"/>
          <w:szCs w:val="22"/>
        </w:rPr>
        <w:t xml:space="preserve">necesario que la provisión de recursos de Numeración Nacional a </w:t>
      </w:r>
      <w:r w:rsidR="00352016" w:rsidRPr="00401408">
        <w:rPr>
          <w:rFonts w:ascii="Arial" w:hAnsi="Arial" w:cs="Arial"/>
          <w:color w:val="auto"/>
          <w:sz w:val="22"/>
          <w:szCs w:val="22"/>
        </w:rPr>
        <w:t>otros Proveedores para la prestación de servicios de telecomunicaciones</w:t>
      </w:r>
      <w:r w:rsidRPr="00401408">
        <w:rPr>
          <w:rFonts w:ascii="Arial" w:hAnsi="Arial" w:cs="Arial"/>
          <w:color w:val="auto"/>
          <w:sz w:val="22"/>
          <w:szCs w:val="22"/>
        </w:rPr>
        <w:t xml:space="preserve"> sea acotada a los Concesionarios de uso comercial y de RPT</w:t>
      </w:r>
      <w:r w:rsidR="00352016" w:rsidRPr="00401408">
        <w:rPr>
          <w:rFonts w:ascii="Arial" w:hAnsi="Arial" w:cs="Arial"/>
          <w:color w:val="auto"/>
          <w:sz w:val="22"/>
          <w:szCs w:val="22"/>
        </w:rPr>
        <w:t xml:space="preserve">. </w:t>
      </w:r>
    </w:p>
    <w:p w14:paraId="5F484240" w14:textId="5281A333" w:rsidR="00BF1541" w:rsidRPr="00401408" w:rsidRDefault="00BF1541" w:rsidP="00401408">
      <w:pPr>
        <w:pStyle w:val="Default"/>
        <w:spacing w:before="60" w:after="60" w:line="360" w:lineRule="auto"/>
        <w:contextualSpacing/>
        <w:jc w:val="both"/>
        <w:rPr>
          <w:rFonts w:ascii="Arial" w:hAnsi="Arial" w:cs="Arial"/>
          <w:color w:val="auto"/>
          <w:sz w:val="22"/>
          <w:szCs w:val="22"/>
        </w:rPr>
      </w:pPr>
    </w:p>
    <w:p w14:paraId="7E96CEB2" w14:textId="793EC87F" w:rsidR="007B66DF" w:rsidRPr="00401408" w:rsidRDefault="00E140D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17</w:t>
      </w:r>
      <w:r w:rsidR="004D38C6" w:rsidRPr="00401408">
        <w:rPr>
          <w:rFonts w:ascii="Arial" w:hAnsi="Arial" w:cs="Arial"/>
          <w:b/>
          <w:color w:val="auto"/>
          <w:sz w:val="22"/>
          <w:szCs w:val="22"/>
        </w:rPr>
        <w:t>.</w:t>
      </w:r>
      <w:r w:rsidRPr="00401408">
        <w:rPr>
          <w:rFonts w:ascii="Arial" w:hAnsi="Arial" w:cs="Arial"/>
          <w:b/>
          <w:color w:val="auto"/>
          <w:sz w:val="22"/>
          <w:szCs w:val="22"/>
        </w:rPr>
        <w:t>5</w:t>
      </w:r>
      <w:r w:rsidR="004D38C6" w:rsidRPr="00401408">
        <w:rPr>
          <w:rFonts w:ascii="Arial" w:hAnsi="Arial" w:cs="Arial"/>
          <w:color w:val="auto"/>
          <w:sz w:val="22"/>
          <w:szCs w:val="22"/>
        </w:rPr>
        <w:t xml:space="preserve"> </w:t>
      </w:r>
      <w:r w:rsidRPr="00401408">
        <w:rPr>
          <w:rFonts w:ascii="Arial" w:hAnsi="Arial" w:cs="Arial"/>
          <w:color w:val="auto"/>
          <w:sz w:val="22"/>
          <w:szCs w:val="22"/>
        </w:rPr>
        <w:t>La persona física Jesús Emmanuel Gómez Arriaga propone que el término “Concesionario” sea definido en el Nuevo PTFS como la “persona física o moral, titular de una concesión de las previstas en la Ley o para instalar, operar y explotar redes públicas de telecomunicaciones”.</w:t>
      </w:r>
    </w:p>
    <w:p w14:paraId="789EAEEA" w14:textId="77777777" w:rsidR="00E140DF" w:rsidRPr="00401408" w:rsidRDefault="00E140DF" w:rsidP="00401408">
      <w:pPr>
        <w:pStyle w:val="Default"/>
        <w:spacing w:before="60" w:after="60" w:line="360" w:lineRule="auto"/>
        <w:contextualSpacing/>
        <w:jc w:val="both"/>
        <w:rPr>
          <w:rFonts w:ascii="Arial" w:hAnsi="Arial" w:cs="Arial"/>
          <w:color w:val="auto"/>
          <w:sz w:val="22"/>
          <w:szCs w:val="22"/>
        </w:rPr>
      </w:pPr>
    </w:p>
    <w:p w14:paraId="2C8A2427" w14:textId="736F25E0" w:rsidR="008E6478" w:rsidRPr="00401408" w:rsidRDefault="00E140DF"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RESPUESTA: </w:t>
      </w:r>
      <w:r w:rsidR="008E6478" w:rsidRPr="00401408">
        <w:rPr>
          <w:rFonts w:ascii="Arial" w:hAnsi="Arial" w:cs="Arial"/>
          <w:color w:val="auto"/>
          <w:sz w:val="22"/>
          <w:szCs w:val="22"/>
        </w:rPr>
        <w:t>La propuesta no resulta procedente</w:t>
      </w:r>
      <w:r w:rsidR="008E6478" w:rsidRPr="00401408">
        <w:rPr>
          <w:rFonts w:ascii="Arial" w:hAnsi="Arial" w:cs="Arial"/>
          <w:b/>
          <w:color w:val="auto"/>
          <w:sz w:val="22"/>
          <w:szCs w:val="22"/>
        </w:rPr>
        <w:t xml:space="preserve"> </w:t>
      </w:r>
      <w:r w:rsidR="008E6478" w:rsidRPr="00401408">
        <w:rPr>
          <w:rFonts w:ascii="Arial" w:hAnsi="Arial" w:cs="Arial"/>
          <w:color w:val="auto"/>
          <w:sz w:val="22"/>
          <w:szCs w:val="22"/>
        </w:rPr>
        <w:t>debido a que, por su naturaleza jurídica,  las concesiones únicas de uso público y social no implican la prestación de servicios de telecomunicaciones a través de una red pública de telecomunicaciones, al estar expresamente prohibida la obtención de un lucro o utilidad en provecho propio como resultado de la explotación comercial de los servicios de telecomunicaciones que presten a los usuarios, no resulta jurídicamente aplicable que los concesionarios de uso público y social sean sujetos de asignación de un código de identificación de red de origen y destino (IDO/IDD).</w:t>
      </w:r>
      <w:r w:rsidR="008E6478" w:rsidRPr="00401408">
        <w:rPr>
          <w:rFonts w:ascii="Arial" w:hAnsi="Arial" w:cs="Arial"/>
          <w:b/>
          <w:color w:val="auto"/>
          <w:sz w:val="22"/>
          <w:szCs w:val="22"/>
        </w:rPr>
        <w:t xml:space="preserve"> </w:t>
      </w:r>
    </w:p>
    <w:p w14:paraId="7A847A8C" w14:textId="4A99ADE1" w:rsidR="007B66DF" w:rsidRPr="00401408" w:rsidRDefault="007B66DF" w:rsidP="00401408">
      <w:pPr>
        <w:pStyle w:val="Default"/>
        <w:spacing w:before="60" w:after="60" w:line="360" w:lineRule="auto"/>
        <w:contextualSpacing/>
        <w:jc w:val="both"/>
        <w:rPr>
          <w:rFonts w:ascii="Arial" w:hAnsi="Arial" w:cs="Arial"/>
          <w:b/>
          <w:color w:val="auto"/>
          <w:sz w:val="22"/>
          <w:szCs w:val="22"/>
        </w:rPr>
      </w:pPr>
    </w:p>
    <w:p w14:paraId="704A1C78" w14:textId="0A0E8B76" w:rsidR="007B271D" w:rsidRPr="00401408" w:rsidRDefault="008E6478" w:rsidP="00401408">
      <w:pPr>
        <w:pStyle w:val="Default"/>
        <w:spacing w:before="60" w:after="60" w:line="360" w:lineRule="auto"/>
        <w:contextualSpacing/>
        <w:jc w:val="both"/>
        <w:rPr>
          <w:rFonts w:ascii="Arial" w:hAnsi="Arial" w:cs="Arial"/>
          <w:b/>
          <w:color w:val="auto"/>
          <w:sz w:val="22"/>
          <w:szCs w:val="22"/>
        </w:rPr>
      </w:pPr>
      <w:r w:rsidRPr="00401408">
        <w:rPr>
          <w:rFonts w:ascii="Arial" w:hAnsi="Arial" w:cs="Arial"/>
          <w:b/>
          <w:color w:val="auto"/>
          <w:sz w:val="22"/>
          <w:szCs w:val="22"/>
        </w:rPr>
        <w:t xml:space="preserve">18. </w:t>
      </w:r>
      <w:r w:rsidR="007B271D" w:rsidRPr="00401408">
        <w:rPr>
          <w:rFonts w:ascii="Arial" w:hAnsi="Arial" w:cs="Arial"/>
          <w:b/>
          <w:color w:val="auto"/>
          <w:sz w:val="22"/>
          <w:szCs w:val="22"/>
        </w:rPr>
        <w:t xml:space="preserve">ELIMINACIÓN DE TRÁMITES RELATIVOS A CÓDIGOS DE PUNTO DE SEÑALIZACIÓN PARA </w:t>
      </w:r>
      <w:r w:rsidR="00BF1541" w:rsidRPr="00401408">
        <w:rPr>
          <w:rFonts w:ascii="Arial" w:hAnsi="Arial" w:cs="Arial"/>
          <w:b/>
          <w:color w:val="auto"/>
          <w:sz w:val="22"/>
          <w:szCs w:val="22"/>
        </w:rPr>
        <w:t xml:space="preserve">LA </w:t>
      </w:r>
      <w:r w:rsidR="007B271D" w:rsidRPr="00401408">
        <w:rPr>
          <w:rFonts w:ascii="Arial" w:hAnsi="Arial" w:cs="Arial"/>
          <w:b/>
          <w:color w:val="auto"/>
          <w:sz w:val="22"/>
          <w:szCs w:val="22"/>
        </w:rPr>
        <w:t>INTERCONEXIÓN TDM EN EL NUEVO PTFS.</w:t>
      </w:r>
    </w:p>
    <w:p w14:paraId="51ECA17A" w14:textId="77777777" w:rsidR="007B271D" w:rsidRPr="00401408" w:rsidRDefault="007B271D" w:rsidP="00401408">
      <w:pPr>
        <w:pStyle w:val="Default"/>
        <w:spacing w:before="60" w:after="60" w:line="360" w:lineRule="auto"/>
        <w:contextualSpacing/>
        <w:jc w:val="both"/>
        <w:rPr>
          <w:rFonts w:ascii="Arial" w:hAnsi="Arial" w:cs="Arial"/>
          <w:b/>
          <w:color w:val="auto"/>
          <w:sz w:val="22"/>
          <w:szCs w:val="22"/>
        </w:rPr>
      </w:pPr>
    </w:p>
    <w:p w14:paraId="04B0760C" w14:textId="66331D01" w:rsidR="008E6478" w:rsidRPr="00401408" w:rsidRDefault="008E6478"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La persona física Jesús Emmanuel Gómez Arriaga propone</w:t>
      </w:r>
      <w:r w:rsidR="009F320F" w:rsidRPr="00401408">
        <w:rPr>
          <w:rFonts w:ascii="Arial" w:hAnsi="Arial" w:cs="Arial"/>
          <w:color w:val="auto"/>
          <w:sz w:val="22"/>
          <w:szCs w:val="22"/>
        </w:rPr>
        <w:t xml:space="preserve"> que todo lo que se contempla en el Nuevo PTFS referente a señalización con tecnología TDM, es decir, asignación y obligación de reportes de utilización de códigos de punto de señalización para interconexión TDM sea eliminado ya que desde el 1 de enero de 2018 todas las interconexiones deben establecerse con el protocolo IP, y las establecidas previamente deberán migrarse a tecnología IP a más tardar el 31 de enero de 2022.</w:t>
      </w:r>
    </w:p>
    <w:p w14:paraId="4AAFB5B0" w14:textId="24101BFF" w:rsidR="009F320F" w:rsidRPr="00401408" w:rsidRDefault="009F320F" w:rsidP="00401408">
      <w:pPr>
        <w:pStyle w:val="Default"/>
        <w:spacing w:before="60" w:after="60" w:line="360" w:lineRule="auto"/>
        <w:contextualSpacing/>
        <w:jc w:val="both"/>
        <w:rPr>
          <w:rFonts w:ascii="Arial" w:hAnsi="Arial" w:cs="Arial"/>
          <w:color w:val="auto"/>
          <w:sz w:val="22"/>
          <w:szCs w:val="22"/>
        </w:rPr>
      </w:pPr>
    </w:p>
    <w:p w14:paraId="01AB9021" w14:textId="4C6FB4C1" w:rsidR="00401408" w:rsidRPr="00401408" w:rsidRDefault="009F320F" w:rsidP="00401408">
      <w:pPr>
        <w:pStyle w:val="Default"/>
        <w:spacing w:before="60" w:after="60" w:line="360" w:lineRule="auto"/>
        <w:contextualSpacing/>
        <w:jc w:val="both"/>
        <w:rPr>
          <w:rFonts w:ascii="Arial" w:hAnsi="Arial" w:cs="Arial"/>
        </w:rPr>
      </w:pPr>
      <w:r w:rsidRPr="00401408">
        <w:rPr>
          <w:rFonts w:ascii="Arial" w:hAnsi="Arial" w:cs="Arial"/>
          <w:b/>
          <w:color w:val="auto"/>
          <w:sz w:val="22"/>
          <w:szCs w:val="22"/>
        </w:rPr>
        <w:t xml:space="preserve">RESPUESTA: </w:t>
      </w:r>
      <w:r w:rsidRPr="00401408">
        <w:rPr>
          <w:rFonts w:ascii="Arial" w:hAnsi="Arial" w:cs="Arial"/>
          <w:color w:val="auto"/>
          <w:sz w:val="22"/>
          <w:szCs w:val="22"/>
        </w:rPr>
        <w:t xml:space="preserve">Con independencia de la obligación que tienen las redes públicas de telecomunicaciones de migrar todas sus </w:t>
      </w:r>
      <w:r w:rsidR="00861421" w:rsidRPr="00401408">
        <w:rPr>
          <w:rFonts w:ascii="Arial" w:hAnsi="Arial" w:cs="Arial"/>
          <w:color w:val="auto"/>
          <w:sz w:val="22"/>
          <w:szCs w:val="22"/>
        </w:rPr>
        <w:t>interconexiones a tecnología IP</w:t>
      </w:r>
      <w:r w:rsidRPr="00401408">
        <w:rPr>
          <w:rFonts w:ascii="Arial" w:hAnsi="Arial" w:cs="Arial"/>
          <w:color w:val="auto"/>
          <w:sz w:val="22"/>
          <w:szCs w:val="22"/>
        </w:rPr>
        <w:t xml:space="preserve"> a más tardar el </w:t>
      </w:r>
      <w:r w:rsidR="00861421" w:rsidRPr="00401408">
        <w:rPr>
          <w:rFonts w:ascii="Arial" w:hAnsi="Arial" w:cs="Arial"/>
          <w:color w:val="auto"/>
          <w:sz w:val="22"/>
          <w:szCs w:val="22"/>
        </w:rPr>
        <w:t>31 de enero</w:t>
      </w:r>
      <w:r w:rsidRPr="00401408">
        <w:rPr>
          <w:rFonts w:ascii="Arial" w:hAnsi="Arial" w:cs="Arial"/>
          <w:color w:val="auto"/>
          <w:sz w:val="22"/>
          <w:szCs w:val="22"/>
        </w:rPr>
        <w:t xml:space="preserve"> de 2022, h</w:t>
      </w:r>
      <w:r w:rsidR="008E6478" w:rsidRPr="00401408">
        <w:rPr>
          <w:rFonts w:ascii="Arial" w:hAnsi="Arial" w:cs="Arial"/>
          <w:color w:val="auto"/>
          <w:sz w:val="22"/>
          <w:szCs w:val="22"/>
        </w:rPr>
        <w:t xml:space="preserve">asta en tanto </w:t>
      </w:r>
      <w:r w:rsidRPr="00401408">
        <w:rPr>
          <w:rFonts w:ascii="Arial" w:hAnsi="Arial" w:cs="Arial"/>
          <w:color w:val="auto"/>
          <w:sz w:val="22"/>
          <w:szCs w:val="22"/>
        </w:rPr>
        <w:t>las redes de señalización de los Concesionarios de uso comercial y de RPT continúen utilizando los códigos de punto de señalización</w:t>
      </w:r>
      <w:r w:rsidR="008E6478" w:rsidRPr="00401408">
        <w:rPr>
          <w:rFonts w:ascii="Arial" w:hAnsi="Arial" w:cs="Arial"/>
          <w:color w:val="auto"/>
          <w:sz w:val="22"/>
          <w:szCs w:val="22"/>
        </w:rPr>
        <w:t xml:space="preserve"> asignados </w:t>
      </w:r>
      <w:r w:rsidRPr="00401408">
        <w:rPr>
          <w:rFonts w:ascii="Arial" w:hAnsi="Arial" w:cs="Arial"/>
          <w:color w:val="auto"/>
          <w:sz w:val="22"/>
          <w:szCs w:val="22"/>
        </w:rPr>
        <w:t>a su favor</w:t>
      </w:r>
      <w:r w:rsidR="007B271D" w:rsidRPr="00401408">
        <w:rPr>
          <w:rFonts w:ascii="Arial" w:hAnsi="Arial" w:cs="Arial"/>
          <w:color w:val="auto"/>
          <w:sz w:val="22"/>
          <w:szCs w:val="22"/>
        </w:rPr>
        <w:t xml:space="preserve"> y, por consiguiente,</w:t>
      </w:r>
      <w:r w:rsidRPr="00401408">
        <w:rPr>
          <w:rFonts w:ascii="Arial" w:hAnsi="Arial" w:cs="Arial"/>
          <w:color w:val="auto"/>
          <w:sz w:val="22"/>
          <w:szCs w:val="22"/>
        </w:rPr>
        <w:t xml:space="preserve"> </w:t>
      </w:r>
      <w:r w:rsidR="007B271D" w:rsidRPr="00401408">
        <w:rPr>
          <w:rFonts w:ascii="Arial" w:hAnsi="Arial" w:cs="Arial"/>
          <w:color w:val="auto"/>
          <w:sz w:val="22"/>
          <w:szCs w:val="22"/>
        </w:rPr>
        <w:t xml:space="preserve">éstos </w:t>
      </w:r>
      <w:r w:rsidR="008E6478" w:rsidRPr="00401408">
        <w:rPr>
          <w:rFonts w:ascii="Arial" w:hAnsi="Arial" w:cs="Arial"/>
          <w:color w:val="auto"/>
          <w:sz w:val="22"/>
          <w:szCs w:val="22"/>
        </w:rPr>
        <w:t>no sean devueltos</w:t>
      </w:r>
      <w:r w:rsidRPr="00401408">
        <w:rPr>
          <w:rFonts w:ascii="Arial" w:hAnsi="Arial" w:cs="Arial"/>
          <w:color w:val="auto"/>
          <w:sz w:val="22"/>
          <w:szCs w:val="22"/>
        </w:rPr>
        <w:t xml:space="preserve"> en su totalidad</w:t>
      </w:r>
      <w:r w:rsidR="008E6478" w:rsidRPr="00401408">
        <w:rPr>
          <w:rFonts w:ascii="Arial" w:hAnsi="Arial" w:cs="Arial"/>
          <w:color w:val="auto"/>
          <w:sz w:val="22"/>
          <w:szCs w:val="22"/>
        </w:rPr>
        <w:t xml:space="preserve"> a la reserva del Instituto, no resulta </w:t>
      </w:r>
      <w:r w:rsidR="008E6478" w:rsidRPr="00401408">
        <w:rPr>
          <w:rFonts w:ascii="Arial" w:hAnsi="Arial" w:cs="Arial"/>
          <w:color w:val="auto"/>
          <w:sz w:val="22"/>
          <w:szCs w:val="22"/>
        </w:rPr>
        <w:lastRenderedPageBreak/>
        <w:t xml:space="preserve">procedente dejar sin efectos </w:t>
      </w:r>
      <w:r w:rsidRPr="00401408">
        <w:rPr>
          <w:rFonts w:ascii="Arial" w:hAnsi="Arial" w:cs="Arial"/>
          <w:color w:val="auto"/>
          <w:sz w:val="22"/>
          <w:szCs w:val="22"/>
        </w:rPr>
        <w:t xml:space="preserve">la totalidad de </w:t>
      </w:r>
      <w:r w:rsidR="008E6478" w:rsidRPr="00401408">
        <w:rPr>
          <w:rFonts w:ascii="Arial" w:hAnsi="Arial" w:cs="Arial"/>
          <w:color w:val="auto"/>
          <w:sz w:val="22"/>
          <w:szCs w:val="22"/>
        </w:rPr>
        <w:t>los trámites y reportes</w:t>
      </w:r>
      <w:r w:rsidRPr="00401408">
        <w:rPr>
          <w:rFonts w:ascii="Arial" w:hAnsi="Arial" w:cs="Arial"/>
          <w:color w:val="auto"/>
          <w:sz w:val="22"/>
          <w:szCs w:val="22"/>
        </w:rPr>
        <w:t xml:space="preserve"> de utilización relativos a códigos de punto</w:t>
      </w:r>
      <w:r w:rsidR="00861421" w:rsidRPr="00401408">
        <w:rPr>
          <w:rFonts w:ascii="Arial" w:hAnsi="Arial" w:cs="Arial"/>
          <w:color w:val="auto"/>
          <w:sz w:val="22"/>
          <w:szCs w:val="22"/>
        </w:rPr>
        <w:t>s</w:t>
      </w:r>
      <w:r w:rsidRPr="00401408">
        <w:rPr>
          <w:rFonts w:ascii="Arial" w:hAnsi="Arial" w:cs="Arial"/>
          <w:color w:val="auto"/>
          <w:sz w:val="22"/>
          <w:szCs w:val="22"/>
        </w:rPr>
        <w:t xml:space="preserve"> de señalización</w:t>
      </w:r>
      <w:r w:rsidR="007B271D" w:rsidRPr="00401408">
        <w:rPr>
          <w:rFonts w:ascii="Arial" w:hAnsi="Arial" w:cs="Arial"/>
          <w:color w:val="auto"/>
          <w:sz w:val="22"/>
          <w:szCs w:val="22"/>
        </w:rPr>
        <w:t xml:space="preserve"> contenidos en el Nuevo PTFS</w:t>
      </w:r>
      <w:r w:rsidRPr="00401408">
        <w:rPr>
          <w:rFonts w:ascii="Arial" w:hAnsi="Arial" w:cs="Arial"/>
          <w:color w:val="auto"/>
          <w:sz w:val="22"/>
          <w:szCs w:val="22"/>
        </w:rPr>
        <w:t>.</w:t>
      </w:r>
    </w:p>
    <w:p w14:paraId="316B032C" w14:textId="2DC4FF5B" w:rsidR="00401408" w:rsidRDefault="00401408" w:rsidP="00401408">
      <w:pPr>
        <w:rPr>
          <w:rFonts w:ascii="Arial" w:hAnsi="Arial" w:cs="Arial"/>
        </w:rPr>
      </w:pPr>
    </w:p>
    <w:p w14:paraId="798516D5" w14:textId="745F38CE" w:rsidR="00401408" w:rsidRDefault="00401408" w:rsidP="00401408">
      <w:pPr>
        <w:tabs>
          <w:tab w:val="left" w:pos="8083"/>
        </w:tabs>
        <w:rPr>
          <w:rFonts w:ascii="Arial" w:hAnsi="Arial" w:cs="Arial"/>
        </w:rPr>
      </w:pPr>
      <w:r>
        <w:rPr>
          <w:rFonts w:ascii="Arial" w:hAnsi="Arial" w:cs="Arial"/>
        </w:rPr>
        <w:tab/>
      </w:r>
    </w:p>
    <w:p w14:paraId="39F65654" w14:textId="77777777" w:rsidR="00401408" w:rsidRPr="00401408" w:rsidRDefault="00401408" w:rsidP="00401408">
      <w:pPr>
        <w:rPr>
          <w:rFonts w:ascii="Arial" w:hAnsi="Arial" w:cs="Arial"/>
        </w:rPr>
      </w:pPr>
    </w:p>
    <w:p w14:paraId="438F2E5A" w14:textId="77777777" w:rsidR="00401408" w:rsidRPr="00401408" w:rsidRDefault="00401408" w:rsidP="00401408">
      <w:pPr>
        <w:rPr>
          <w:rFonts w:ascii="Arial" w:hAnsi="Arial" w:cs="Arial"/>
        </w:rPr>
      </w:pPr>
    </w:p>
    <w:p w14:paraId="6ED1F5B3" w14:textId="77777777" w:rsidR="00401408" w:rsidRPr="00401408" w:rsidRDefault="00401408" w:rsidP="00401408">
      <w:pPr>
        <w:rPr>
          <w:rFonts w:ascii="Arial" w:hAnsi="Arial" w:cs="Arial"/>
        </w:rPr>
      </w:pPr>
    </w:p>
    <w:p w14:paraId="04133A90" w14:textId="07CBB5AA" w:rsidR="00401408" w:rsidRDefault="00401408" w:rsidP="00401408">
      <w:pPr>
        <w:rPr>
          <w:rFonts w:ascii="Arial" w:hAnsi="Arial" w:cs="Arial"/>
        </w:rPr>
      </w:pPr>
    </w:p>
    <w:p w14:paraId="2D04E1F2" w14:textId="2F5CDAAE" w:rsidR="00A54F38" w:rsidRPr="00401408" w:rsidRDefault="00401408" w:rsidP="00401408">
      <w:pPr>
        <w:tabs>
          <w:tab w:val="left" w:pos="8582"/>
        </w:tabs>
        <w:rPr>
          <w:rFonts w:ascii="Arial" w:hAnsi="Arial" w:cs="Arial"/>
        </w:rPr>
      </w:pPr>
      <w:r>
        <w:rPr>
          <w:rFonts w:ascii="Arial" w:hAnsi="Arial" w:cs="Arial"/>
        </w:rPr>
        <w:tab/>
      </w:r>
    </w:p>
    <w:sectPr w:rsidR="00A54F38" w:rsidRPr="00401408" w:rsidSect="00401408">
      <w:footerReference w:type="default" r:id="rId8"/>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503B" w14:textId="77777777" w:rsidR="00C710C0" w:rsidRDefault="00C710C0" w:rsidP="00401408">
      <w:pPr>
        <w:spacing w:after="0" w:line="240" w:lineRule="auto"/>
      </w:pPr>
      <w:r>
        <w:separator/>
      </w:r>
    </w:p>
  </w:endnote>
  <w:endnote w:type="continuationSeparator" w:id="0">
    <w:p w14:paraId="56C5EDA7" w14:textId="77777777" w:rsidR="00C710C0" w:rsidRDefault="00C710C0" w:rsidP="0040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2A52" w14:textId="4A9CFFDC" w:rsidR="00401408" w:rsidRPr="00401408" w:rsidRDefault="00401408">
    <w:pPr>
      <w:tabs>
        <w:tab w:val="center" w:pos="4550"/>
        <w:tab w:val="left" w:pos="5818"/>
      </w:tabs>
      <w:ind w:right="260"/>
      <w:jc w:val="right"/>
      <w:rPr>
        <w:rFonts w:ascii="Arial" w:hAnsi="Arial" w:cs="Arial"/>
      </w:rPr>
    </w:pPr>
    <w:r w:rsidRPr="00401408">
      <w:rPr>
        <w:rFonts w:ascii="Arial" w:hAnsi="Arial" w:cs="Arial"/>
        <w:spacing w:val="60"/>
        <w:lang w:val="es-ES"/>
      </w:rPr>
      <w:t>Página</w:t>
    </w:r>
    <w:r w:rsidRPr="00401408">
      <w:rPr>
        <w:rFonts w:ascii="Arial" w:hAnsi="Arial" w:cs="Arial"/>
        <w:lang w:val="es-ES"/>
      </w:rPr>
      <w:t xml:space="preserve"> </w:t>
    </w:r>
    <w:r w:rsidRPr="00401408">
      <w:rPr>
        <w:rFonts w:ascii="Arial" w:hAnsi="Arial" w:cs="Arial"/>
      </w:rPr>
      <w:fldChar w:fldCharType="begin"/>
    </w:r>
    <w:r w:rsidRPr="00401408">
      <w:rPr>
        <w:rFonts w:ascii="Arial" w:hAnsi="Arial" w:cs="Arial"/>
      </w:rPr>
      <w:instrText>PAGE   \* MERGEFORMAT</w:instrText>
    </w:r>
    <w:r w:rsidRPr="00401408">
      <w:rPr>
        <w:rFonts w:ascii="Arial" w:hAnsi="Arial" w:cs="Arial"/>
      </w:rPr>
      <w:fldChar w:fldCharType="separate"/>
    </w:r>
    <w:r w:rsidRPr="00401408">
      <w:rPr>
        <w:rFonts w:ascii="Arial" w:hAnsi="Arial" w:cs="Arial"/>
        <w:lang w:val="es-ES"/>
      </w:rPr>
      <w:t>1</w:t>
    </w:r>
    <w:r w:rsidRPr="00401408">
      <w:rPr>
        <w:rFonts w:ascii="Arial" w:hAnsi="Arial" w:cs="Arial"/>
      </w:rPr>
      <w:fldChar w:fldCharType="end"/>
    </w:r>
    <w:r w:rsidRPr="00401408">
      <w:rPr>
        <w:rFonts w:ascii="Arial" w:hAnsi="Arial" w:cs="Arial"/>
        <w:lang w:val="es-ES"/>
      </w:rPr>
      <w:t xml:space="preserve"> de </w:t>
    </w:r>
    <w:r w:rsidRPr="00401408">
      <w:rPr>
        <w:rFonts w:ascii="Arial" w:hAnsi="Arial" w:cs="Arial"/>
      </w:rPr>
      <w:fldChar w:fldCharType="begin"/>
    </w:r>
    <w:r w:rsidRPr="00401408">
      <w:rPr>
        <w:rFonts w:ascii="Arial" w:hAnsi="Arial" w:cs="Arial"/>
      </w:rPr>
      <w:instrText>NUMPAGES  \* Arabic  \* MERGEFORMAT</w:instrText>
    </w:r>
    <w:r w:rsidRPr="00401408">
      <w:rPr>
        <w:rFonts w:ascii="Arial" w:hAnsi="Arial" w:cs="Arial"/>
      </w:rPr>
      <w:fldChar w:fldCharType="separate"/>
    </w:r>
    <w:r w:rsidRPr="00401408">
      <w:rPr>
        <w:rFonts w:ascii="Arial" w:hAnsi="Arial" w:cs="Arial"/>
        <w:lang w:val="es-ES"/>
      </w:rPr>
      <w:t>1</w:t>
    </w:r>
    <w:r w:rsidRPr="00401408">
      <w:rPr>
        <w:rFonts w:ascii="Arial" w:hAnsi="Arial" w:cs="Arial"/>
      </w:rPr>
      <w:fldChar w:fldCharType="end"/>
    </w:r>
  </w:p>
  <w:p w14:paraId="2790FB98" w14:textId="77777777" w:rsidR="00401408" w:rsidRDefault="004014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AF1F7" w14:textId="77777777" w:rsidR="00C710C0" w:rsidRDefault="00C710C0" w:rsidP="00401408">
      <w:pPr>
        <w:spacing w:after="0" w:line="240" w:lineRule="auto"/>
      </w:pPr>
      <w:r>
        <w:separator/>
      </w:r>
    </w:p>
  </w:footnote>
  <w:footnote w:type="continuationSeparator" w:id="0">
    <w:p w14:paraId="480C3F0F" w14:textId="77777777" w:rsidR="00C710C0" w:rsidRDefault="00C710C0" w:rsidP="00401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46F2"/>
    <w:multiLevelType w:val="hybridMultilevel"/>
    <w:tmpl w:val="6F1C22C0"/>
    <w:lvl w:ilvl="0" w:tplc="92AEAE54">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EE4B20"/>
    <w:multiLevelType w:val="hybridMultilevel"/>
    <w:tmpl w:val="1736CBFE"/>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F101A78"/>
    <w:multiLevelType w:val="hybridMultilevel"/>
    <w:tmpl w:val="1736CBFE"/>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DD52D9D"/>
    <w:multiLevelType w:val="hybridMultilevel"/>
    <w:tmpl w:val="07DE0C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307D89"/>
    <w:multiLevelType w:val="hybridMultilevel"/>
    <w:tmpl w:val="0FFC77F8"/>
    <w:lvl w:ilvl="0" w:tplc="A2285A6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A311F85"/>
    <w:multiLevelType w:val="hybridMultilevel"/>
    <w:tmpl w:val="B8C61130"/>
    <w:lvl w:ilvl="0" w:tplc="04F464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A076F7"/>
    <w:multiLevelType w:val="hybridMultilevel"/>
    <w:tmpl w:val="B49EA4F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DA0669"/>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0111C9"/>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75422B"/>
    <w:multiLevelType w:val="hybridMultilevel"/>
    <w:tmpl w:val="EAC8A652"/>
    <w:lvl w:ilvl="0" w:tplc="48FC69DA">
      <w:start w:val="1"/>
      <w:numFmt w:val="upperRoman"/>
      <w:lvlText w:val="%1."/>
      <w:lvlJc w:val="left"/>
      <w:pPr>
        <w:ind w:left="1008" w:hanging="720"/>
      </w:pPr>
      <w:rPr>
        <w:rFonts w:hint="default"/>
        <w:b/>
        <w:lang w:val="uz-Cyrl-UZ"/>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5FFC1CCF"/>
    <w:multiLevelType w:val="hybridMultilevel"/>
    <w:tmpl w:val="C494F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0E4444"/>
    <w:multiLevelType w:val="hybridMultilevel"/>
    <w:tmpl w:val="1736CBFE"/>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6498688F"/>
    <w:multiLevelType w:val="hybridMultilevel"/>
    <w:tmpl w:val="B038F62A"/>
    <w:lvl w:ilvl="0" w:tplc="C0D40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76289"/>
    <w:multiLevelType w:val="hybridMultilevel"/>
    <w:tmpl w:val="F2EE1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A15F6D"/>
    <w:multiLevelType w:val="hybridMultilevel"/>
    <w:tmpl w:val="036484A6"/>
    <w:lvl w:ilvl="0" w:tplc="2D4054F8">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BF15126"/>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556A23"/>
    <w:multiLevelType w:val="hybridMultilevel"/>
    <w:tmpl w:val="CA4E8852"/>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6"/>
  </w:num>
  <w:num w:numId="2">
    <w:abstractNumId w:val="6"/>
  </w:num>
  <w:num w:numId="3">
    <w:abstractNumId w:val="12"/>
  </w:num>
  <w:num w:numId="4">
    <w:abstractNumId w:val="14"/>
  </w:num>
  <w:num w:numId="5">
    <w:abstractNumId w:val="4"/>
  </w:num>
  <w:num w:numId="6">
    <w:abstractNumId w:val="9"/>
  </w:num>
  <w:num w:numId="7">
    <w:abstractNumId w:val="7"/>
  </w:num>
  <w:num w:numId="8">
    <w:abstractNumId w:val="15"/>
  </w:num>
  <w:num w:numId="9">
    <w:abstractNumId w:val="5"/>
  </w:num>
  <w:num w:numId="10">
    <w:abstractNumId w:val="8"/>
  </w:num>
  <w:num w:numId="11">
    <w:abstractNumId w:val="10"/>
  </w:num>
  <w:num w:numId="12">
    <w:abstractNumId w:val="3"/>
  </w:num>
  <w:num w:numId="13">
    <w:abstractNumId w:val="11"/>
  </w:num>
  <w:num w:numId="14">
    <w:abstractNumId w:val="2"/>
  </w:num>
  <w:num w:numId="15">
    <w:abstractNumId w:val="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6D"/>
    <w:rsid w:val="00000C3C"/>
    <w:rsid w:val="000064BF"/>
    <w:rsid w:val="000357B0"/>
    <w:rsid w:val="00044DA0"/>
    <w:rsid w:val="00046EC8"/>
    <w:rsid w:val="00055B8D"/>
    <w:rsid w:val="00082AE1"/>
    <w:rsid w:val="00084B72"/>
    <w:rsid w:val="000925C2"/>
    <w:rsid w:val="000A35B6"/>
    <w:rsid w:val="000C62DA"/>
    <w:rsid w:val="000C7238"/>
    <w:rsid w:val="000D17E0"/>
    <w:rsid w:val="000D2323"/>
    <w:rsid w:val="000E0644"/>
    <w:rsid w:val="000E45C8"/>
    <w:rsid w:val="000E4749"/>
    <w:rsid w:val="000E54B0"/>
    <w:rsid w:val="00105140"/>
    <w:rsid w:val="00112F6D"/>
    <w:rsid w:val="00115857"/>
    <w:rsid w:val="00130810"/>
    <w:rsid w:val="0013360B"/>
    <w:rsid w:val="00135B9F"/>
    <w:rsid w:val="0013712D"/>
    <w:rsid w:val="00145A34"/>
    <w:rsid w:val="00147882"/>
    <w:rsid w:val="00156991"/>
    <w:rsid w:val="00165345"/>
    <w:rsid w:val="00175DCF"/>
    <w:rsid w:val="00180A49"/>
    <w:rsid w:val="00182616"/>
    <w:rsid w:val="00186197"/>
    <w:rsid w:val="00187FE8"/>
    <w:rsid w:val="00194B76"/>
    <w:rsid w:val="00194E2A"/>
    <w:rsid w:val="0019511B"/>
    <w:rsid w:val="00197A48"/>
    <w:rsid w:val="001C1DF1"/>
    <w:rsid w:val="001C4A31"/>
    <w:rsid w:val="001E126F"/>
    <w:rsid w:val="001F205F"/>
    <w:rsid w:val="0020158C"/>
    <w:rsid w:val="00213322"/>
    <w:rsid w:val="002156DA"/>
    <w:rsid w:val="00222E7F"/>
    <w:rsid w:val="00235277"/>
    <w:rsid w:val="00245453"/>
    <w:rsid w:val="00252BAA"/>
    <w:rsid w:val="002532A7"/>
    <w:rsid w:val="002572C5"/>
    <w:rsid w:val="002657C2"/>
    <w:rsid w:val="0027713C"/>
    <w:rsid w:val="002811F2"/>
    <w:rsid w:val="0028124F"/>
    <w:rsid w:val="00283456"/>
    <w:rsid w:val="00283F03"/>
    <w:rsid w:val="00291942"/>
    <w:rsid w:val="002946F0"/>
    <w:rsid w:val="002A16D2"/>
    <w:rsid w:val="002A6981"/>
    <w:rsid w:val="002B4FF3"/>
    <w:rsid w:val="002C055B"/>
    <w:rsid w:val="002C2DFE"/>
    <w:rsid w:val="002C4624"/>
    <w:rsid w:val="002D7DA2"/>
    <w:rsid w:val="002E17B5"/>
    <w:rsid w:val="002E4C34"/>
    <w:rsid w:val="002E5FD4"/>
    <w:rsid w:val="002F047C"/>
    <w:rsid w:val="002F377E"/>
    <w:rsid w:val="0030087C"/>
    <w:rsid w:val="003076C2"/>
    <w:rsid w:val="00314130"/>
    <w:rsid w:val="00320997"/>
    <w:rsid w:val="00323154"/>
    <w:rsid w:val="003244E7"/>
    <w:rsid w:val="00332A59"/>
    <w:rsid w:val="00333333"/>
    <w:rsid w:val="00341074"/>
    <w:rsid w:val="00352016"/>
    <w:rsid w:val="003605E6"/>
    <w:rsid w:val="00360758"/>
    <w:rsid w:val="00374187"/>
    <w:rsid w:val="003773F7"/>
    <w:rsid w:val="003900ED"/>
    <w:rsid w:val="0039530A"/>
    <w:rsid w:val="0039598A"/>
    <w:rsid w:val="003A070A"/>
    <w:rsid w:val="003A4BF6"/>
    <w:rsid w:val="003A5821"/>
    <w:rsid w:val="003B174D"/>
    <w:rsid w:val="003B244D"/>
    <w:rsid w:val="003B26BC"/>
    <w:rsid w:val="003B354A"/>
    <w:rsid w:val="003C1183"/>
    <w:rsid w:val="003C5479"/>
    <w:rsid w:val="003C5760"/>
    <w:rsid w:val="003E0925"/>
    <w:rsid w:val="003E12CE"/>
    <w:rsid w:val="003E67B8"/>
    <w:rsid w:val="003F0A4B"/>
    <w:rsid w:val="00400025"/>
    <w:rsid w:val="00401408"/>
    <w:rsid w:val="004028BE"/>
    <w:rsid w:val="0040621C"/>
    <w:rsid w:val="00432EFD"/>
    <w:rsid w:val="00441F76"/>
    <w:rsid w:val="00454A3A"/>
    <w:rsid w:val="00455BA7"/>
    <w:rsid w:val="00466B90"/>
    <w:rsid w:val="00473759"/>
    <w:rsid w:val="00482223"/>
    <w:rsid w:val="00483E1A"/>
    <w:rsid w:val="00491C71"/>
    <w:rsid w:val="00492D52"/>
    <w:rsid w:val="0049547A"/>
    <w:rsid w:val="004A18C1"/>
    <w:rsid w:val="004A399F"/>
    <w:rsid w:val="004B3B08"/>
    <w:rsid w:val="004C21B9"/>
    <w:rsid w:val="004C65C1"/>
    <w:rsid w:val="004D26A4"/>
    <w:rsid w:val="004D2842"/>
    <w:rsid w:val="004D38C6"/>
    <w:rsid w:val="004E133A"/>
    <w:rsid w:val="004E1E71"/>
    <w:rsid w:val="0050477C"/>
    <w:rsid w:val="00506AD1"/>
    <w:rsid w:val="005208B8"/>
    <w:rsid w:val="005253AA"/>
    <w:rsid w:val="00541EB9"/>
    <w:rsid w:val="00545B30"/>
    <w:rsid w:val="0055346A"/>
    <w:rsid w:val="0057194D"/>
    <w:rsid w:val="00574280"/>
    <w:rsid w:val="00574C2D"/>
    <w:rsid w:val="0057547B"/>
    <w:rsid w:val="00586F18"/>
    <w:rsid w:val="00594A73"/>
    <w:rsid w:val="00597C1B"/>
    <w:rsid w:val="005C3B81"/>
    <w:rsid w:val="005E4231"/>
    <w:rsid w:val="005E5F11"/>
    <w:rsid w:val="006072C1"/>
    <w:rsid w:val="00614537"/>
    <w:rsid w:val="0061461B"/>
    <w:rsid w:val="006207D0"/>
    <w:rsid w:val="006236D9"/>
    <w:rsid w:val="00644E4D"/>
    <w:rsid w:val="00667B23"/>
    <w:rsid w:val="00671FD5"/>
    <w:rsid w:val="0067397A"/>
    <w:rsid w:val="00676ADC"/>
    <w:rsid w:val="00695E2B"/>
    <w:rsid w:val="00696753"/>
    <w:rsid w:val="006C2781"/>
    <w:rsid w:val="006C3DD7"/>
    <w:rsid w:val="006D0AF8"/>
    <w:rsid w:val="006E7358"/>
    <w:rsid w:val="006E760B"/>
    <w:rsid w:val="006F0775"/>
    <w:rsid w:val="006F1009"/>
    <w:rsid w:val="006F2ED9"/>
    <w:rsid w:val="006F408B"/>
    <w:rsid w:val="006F750B"/>
    <w:rsid w:val="00704520"/>
    <w:rsid w:val="00706FF6"/>
    <w:rsid w:val="00707C5A"/>
    <w:rsid w:val="00715C16"/>
    <w:rsid w:val="007176B9"/>
    <w:rsid w:val="007262DD"/>
    <w:rsid w:val="007327DC"/>
    <w:rsid w:val="00733074"/>
    <w:rsid w:val="00747094"/>
    <w:rsid w:val="00750748"/>
    <w:rsid w:val="00763E7D"/>
    <w:rsid w:val="0077530C"/>
    <w:rsid w:val="0079290F"/>
    <w:rsid w:val="00795A36"/>
    <w:rsid w:val="007A0C6B"/>
    <w:rsid w:val="007A10B7"/>
    <w:rsid w:val="007A4640"/>
    <w:rsid w:val="007A6FC6"/>
    <w:rsid w:val="007B271D"/>
    <w:rsid w:val="007B3C22"/>
    <w:rsid w:val="007B66DF"/>
    <w:rsid w:val="007D5E96"/>
    <w:rsid w:val="007F3A2F"/>
    <w:rsid w:val="007F4A1B"/>
    <w:rsid w:val="00802426"/>
    <w:rsid w:val="00805104"/>
    <w:rsid w:val="0081639E"/>
    <w:rsid w:val="008215A1"/>
    <w:rsid w:val="00826D9C"/>
    <w:rsid w:val="00830530"/>
    <w:rsid w:val="008315BF"/>
    <w:rsid w:val="00831C73"/>
    <w:rsid w:val="00845D35"/>
    <w:rsid w:val="00861421"/>
    <w:rsid w:val="008640A8"/>
    <w:rsid w:val="00881279"/>
    <w:rsid w:val="0088345A"/>
    <w:rsid w:val="00890563"/>
    <w:rsid w:val="00895464"/>
    <w:rsid w:val="0089641F"/>
    <w:rsid w:val="008B4F27"/>
    <w:rsid w:val="008C2974"/>
    <w:rsid w:val="008C33E9"/>
    <w:rsid w:val="008D2893"/>
    <w:rsid w:val="008E6478"/>
    <w:rsid w:val="008E65F4"/>
    <w:rsid w:val="008F426D"/>
    <w:rsid w:val="00924A44"/>
    <w:rsid w:val="00927AEC"/>
    <w:rsid w:val="009342A2"/>
    <w:rsid w:val="00934CD6"/>
    <w:rsid w:val="009368F2"/>
    <w:rsid w:val="009427F7"/>
    <w:rsid w:val="009656A9"/>
    <w:rsid w:val="009821B8"/>
    <w:rsid w:val="00984611"/>
    <w:rsid w:val="00990640"/>
    <w:rsid w:val="00992C31"/>
    <w:rsid w:val="009A0749"/>
    <w:rsid w:val="009A2B15"/>
    <w:rsid w:val="009A3A05"/>
    <w:rsid w:val="009B180F"/>
    <w:rsid w:val="009B619D"/>
    <w:rsid w:val="009B670B"/>
    <w:rsid w:val="009D7879"/>
    <w:rsid w:val="009E32BD"/>
    <w:rsid w:val="009F320F"/>
    <w:rsid w:val="009F3842"/>
    <w:rsid w:val="009F7070"/>
    <w:rsid w:val="00A010E2"/>
    <w:rsid w:val="00A02E81"/>
    <w:rsid w:val="00A07491"/>
    <w:rsid w:val="00A11B42"/>
    <w:rsid w:val="00A12DCC"/>
    <w:rsid w:val="00A12F40"/>
    <w:rsid w:val="00A13460"/>
    <w:rsid w:val="00A17EBD"/>
    <w:rsid w:val="00A24FC5"/>
    <w:rsid w:val="00A27A8A"/>
    <w:rsid w:val="00A35466"/>
    <w:rsid w:val="00A409C3"/>
    <w:rsid w:val="00A40B8F"/>
    <w:rsid w:val="00A54F38"/>
    <w:rsid w:val="00A56628"/>
    <w:rsid w:val="00A60637"/>
    <w:rsid w:val="00A65E53"/>
    <w:rsid w:val="00A70AA6"/>
    <w:rsid w:val="00A71B84"/>
    <w:rsid w:val="00A73DFE"/>
    <w:rsid w:val="00A75B81"/>
    <w:rsid w:val="00A9088C"/>
    <w:rsid w:val="00A93DF4"/>
    <w:rsid w:val="00AA1A8A"/>
    <w:rsid w:val="00AA3932"/>
    <w:rsid w:val="00AA5FF4"/>
    <w:rsid w:val="00AA755F"/>
    <w:rsid w:val="00AC0AA7"/>
    <w:rsid w:val="00AC6093"/>
    <w:rsid w:val="00AC6BAF"/>
    <w:rsid w:val="00AC6CA2"/>
    <w:rsid w:val="00AD6559"/>
    <w:rsid w:val="00AF7ABB"/>
    <w:rsid w:val="00B0041D"/>
    <w:rsid w:val="00B21639"/>
    <w:rsid w:val="00B23A30"/>
    <w:rsid w:val="00B25C4B"/>
    <w:rsid w:val="00B31C74"/>
    <w:rsid w:val="00B36A97"/>
    <w:rsid w:val="00B41EAB"/>
    <w:rsid w:val="00B4206A"/>
    <w:rsid w:val="00B43832"/>
    <w:rsid w:val="00B57F36"/>
    <w:rsid w:val="00B90012"/>
    <w:rsid w:val="00B9507C"/>
    <w:rsid w:val="00BB047C"/>
    <w:rsid w:val="00BD65EC"/>
    <w:rsid w:val="00BE3D13"/>
    <w:rsid w:val="00BE6D1B"/>
    <w:rsid w:val="00BF1541"/>
    <w:rsid w:val="00BF6B6F"/>
    <w:rsid w:val="00C17A90"/>
    <w:rsid w:val="00C26691"/>
    <w:rsid w:val="00C53334"/>
    <w:rsid w:val="00C53A37"/>
    <w:rsid w:val="00C6374F"/>
    <w:rsid w:val="00C70BAD"/>
    <w:rsid w:val="00C710C0"/>
    <w:rsid w:val="00C7687A"/>
    <w:rsid w:val="00C76C52"/>
    <w:rsid w:val="00C9208B"/>
    <w:rsid w:val="00C92A08"/>
    <w:rsid w:val="00C92E33"/>
    <w:rsid w:val="00CA2F81"/>
    <w:rsid w:val="00CA561F"/>
    <w:rsid w:val="00CA62F2"/>
    <w:rsid w:val="00CB5DB5"/>
    <w:rsid w:val="00CB6617"/>
    <w:rsid w:val="00CB70BF"/>
    <w:rsid w:val="00CE356C"/>
    <w:rsid w:val="00CE6BCC"/>
    <w:rsid w:val="00CE74C0"/>
    <w:rsid w:val="00CF1F8A"/>
    <w:rsid w:val="00D0113E"/>
    <w:rsid w:val="00D01161"/>
    <w:rsid w:val="00D0254F"/>
    <w:rsid w:val="00D11735"/>
    <w:rsid w:val="00D270DE"/>
    <w:rsid w:val="00D468FA"/>
    <w:rsid w:val="00D5459C"/>
    <w:rsid w:val="00D62550"/>
    <w:rsid w:val="00D62D4D"/>
    <w:rsid w:val="00D85E51"/>
    <w:rsid w:val="00D92018"/>
    <w:rsid w:val="00DA37AB"/>
    <w:rsid w:val="00DA685A"/>
    <w:rsid w:val="00DC45C7"/>
    <w:rsid w:val="00E140DF"/>
    <w:rsid w:val="00E22A19"/>
    <w:rsid w:val="00E34DB3"/>
    <w:rsid w:val="00E434BB"/>
    <w:rsid w:val="00E441F4"/>
    <w:rsid w:val="00E45BDF"/>
    <w:rsid w:val="00E55300"/>
    <w:rsid w:val="00E626B6"/>
    <w:rsid w:val="00E6333E"/>
    <w:rsid w:val="00E73DA8"/>
    <w:rsid w:val="00E83895"/>
    <w:rsid w:val="00E84B8C"/>
    <w:rsid w:val="00E85670"/>
    <w:rsid w:val="00E876A9"/>
    <w:rsid w:val="00E91BA4"/>
    <w:rsid w:val="00E96CDF"/>
    <w:rsid w:val="00EA36CA"/>
    <w:rsid w:val="00EA4BF9"/>
    <w:rsid w:val="00EB516A"/>
    <w:rsid w:val="00EB62DE"/>
    <w:rsid w:val="00EB7483"/>
    <w:rsid w:val="00EC27D9"/>
    <w:rsid w:val="00EC39A8"/>
    <w:rsid w:val="00ED3D6E"/>
    <w:rsid w:val="00ED48DF"/>
    <w:rsid w:val="00ED50E7"/>
    <w:rsid w:val="00EF15E9"/>
    <w:rsid w:val="00EF3E0B"/>
    <w:rsid w:val="00F059C8"/>
    <w:rsid w:val="00F10D43"/>
    <w:rsid w:val="00F1120D"/>
    <w:rsid w:val="00F1200E"/>
    <w:rsid w:val="00F167C7"/>
    <w:rsid w:val="00F2149E"/>
    <w:rsid w:val="00F326E9"/>
    <w:rsid w:val="00F33F6A"/>
    <w:rsid w:val="00F37197"/>
    <w:rsid w:val="00F43B74"/>
    <w:rsid w:val="00F518E3"/>
    <w:rsid w:val="00F533B3"/>
    <w:rsid w:val="00F5454D"/>
    <w:rsid w:val="00F70CF3"/>
    <w:rsid w:val="00F75447"/>
    <w:rsid w:val="00F77AFB"/>
    <w:rsid w:val="00F77EEA"/>
    <w:rsid w:val="00F82242"/>
    <w:rsid w:val="00F83DE4"/>
    <w:rsid w:val="00F9101C"/>
    <w:rsid w:val="00F97B65"/>
    <w:rsid w:val="00FA05A8"/>
    <w:rsid w:val="00FA1866"/>
    <w:rsid w:val="00FD1A74"/>
    <w:rsid w:val="00FD53AF"/>
    <w:rsid w:val="00FE3C12"/>
    <w:rsid w:val="00FE7808"/>
    <w:rsid w:val="00FF3102"/>
    <w:rsid w:val="00FF5218"/>
    <w:rsid w:val="00FF7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1C55"/>
  <w15:docId w15:val="{D7B7D145-1087-4253-BC19-406D61DE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3F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004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2F6D"/>
    <w:pPr>
      <w:autoSpaceDE w:val="0"/>
      <w:autoSpaceDN w:val="0"/>
      <w:adjustRightInd w:val="0"/>
      <w:spacing w:after="0" w:line="240" w:lineRule="auto"/>
    </w:pPr>
    <w:rPr>
      <w:rFonts w:ascii="ITC Avant Garde" w:hAnsi="ITC Avant Garde" w:cs="ITC Avant Garde"/>
      <w:color w:val="000000"/>
      <w:sz w:val="24"/>
      <w:szCs w:val="24"/>
    </w:rPr>
  </w:style>
  <w:style w:type="character" w:styleId="Hipervnculo">
    <w:name w:val="Hyperlink"/>
    <w:basedOn w:val="Fuentedeprrafopredeter"/>
    <w:uiPriority w:val="99"/>
    <w:semiHidden/>
    <w:unhideWhenUsed/>
    <w:rsid w:val="00112F6D"/>
    <w:rPr>
      <w:strike w:val="0"/>
      <w:dstrike w:val="0"/>
      <w:color w:val="000000"/>
      <w:u w:val="single"/>
      <w:effect w:val="none"/>
      <w:shd w:val="clear" w:color="auto" w:fill="auto"/>
    </w:rPr>
  </w:style>
  <w:style w:type="paragraph" w:styleId="Prrafodelista">
    <w:name w:val="List Paragraph"/>
    <w:aliases w:val="prueba1,4 Viñ 1nivel,Numeración 1,Cuadrícula media 1 - Énfasis 21"/>
    <w:basedOn w:val="Normal"/>
    <w:link w:val="PrrafodelistaCar"/>
    <w:uiPriority w:val="34"/>
    <w:qFormat/>
    <w:rsid w:val="00F2149E"/>
    <w:pPr>
      <w:ind w:left="720"/>
      <w:contextualSpacing/>
    </w:pPr>
  </w:style>
  <w:style w:type="character" w:customStyle="1" w:styleId="Ttulo1Car">
    <w:name w:val="Título 1 Car"/>
    <w:basedOn w:val="Fuentedeprrafopredeter"/>
    <w:link w:val="Ttulo1"/>
    <w:uiPriority w:val="9"/>
    <w:rsid w:val="00F33F6A"/>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aliases w:val="prueba1 Car,4 Viñ 1nivel Car,Numeración 1 Car,Cuadrícula media 1 - Énfasis 21 Car"/>
    <w:link w:val="Prrafodelista"/>
    <w:uiPriority w:val="34"/>
    <w:qFormat/>
    <w:locked/>
    <w:rsid w:val="00E876A9"/>
  </w:style>
  <w:style w:type="paragraph" w:customStyle="1" w:styleId="Texto">
    <w:name w:val="Texto"/>
    <w:basedOn w:val="Normal"/>
    <w:link w:val="TextoCar"/>
    <w:rsid w:val="0032315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323154"/>
    <w:rPr>
      <w:rFonts w:ascii="Arial" w:eastAsia="Times New Roman" w:hAnsi="Arial" w:cs="Arial"/>
      <w:sz w:val="18"/>
      <w:szCs w:val="18"/>
      <w:lang w:val="es-ES" w:eastAsia="es-ES"/>
    </w:rPr>
  </w:style>
  <w:style w:type="paragraph" w:styleId="Subttulo">
    <w:name w:val="Subtitle"/>
    <w:basedOn w:val="Normal"/>
    <w:next w:val="Normal"/>
    <w:link w:val="SubttuloCar"/>
    <w:uiPriority w:val="11"/>
    <w:qFormat/>
    <w:rsid w:val="00DA37AB"/>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A37AB"/>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F518E3"/>
    <w:rPr>
      <w:sz w:val="16"/>
      <w:szCs w:val="16"/>
    </w:rPr>
  </w:style>
  <w:style w:type="paragraph" w:styleId="Textocomentario">
    <w:name w:val="annotation text"/>
    <w:basedOn w:val="Normal"/>
    <w:link w:val="TextocomentarioCar"/>
    <w:uiPriority w:val="99"/>
    <w:semiHidden/>
    <w:unhideWhenUsed/>
    <w:rsid w:val="00F51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18E3"/>
    <w:rPr>
      <w:sz w:val="20"/>
      <w:szCs w:val="20"/>
    </w:rPr>
  </w:style>
  <w:style w:type="paragraph" w:styleId="Asuntodelcomentario">
    <w:name w:val="annotation subject"/>
    <w:basedOn w:val="Textocomentario"/>
    <w:next w:val="Textocomentario"/>
    <w:link w:val="AsuntodelcomentarioCar"/>
    <w:uiPriority w:val="99"/>
    <w:semiHidden/>
    <w:unhideWhenUsed/>
    <w:rsid w:val="00F518E3"/>
    <w:rPr>
      <w:b/>
      <w:bCs/>
    </w:rPr>
  </w:style>
  <w:style w:type="character" w:customStyle="1" w:styleId="AsuntodelcomentarioCar">
    <w:name w:val="Asunto del comentario Car"/>
    <w:basedOn w:val="TextocomentarioCar"/>
    <w:link w:val="Asuntodelcomentario"/>
    <w:uiPriority w:val="99"/>
    <w:semiHidden/>
    <w:rsid w:val="00F518E3"/>
    <w:rPr>
      <w:b/>
      <w:bCs/>
      <w:sz w:val="20"/>
      <w:szCs w:val="20"/>
    </w:rPr>
  </w:style>
  <w:style w:type="paragraph" w:styleId="Textodeglobo">
    <w:name w:val="Balloon Text"/>
    <w:basedOn w:val="Normal"/>
    <w:link w:val="TextodegloboCar"/>
    <w:uiPriority w:val="99"/>
    <w:semiHidden/>
    <w:unhideWhenUsed/>
    <w:rsid w:val="00F51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18E3"/>
    <w:rPr>
      <w:rFonts w:ascii="Segoe UI" w:hAnsi="Segoe UI" w:cs="Segoe UI"/>
      <w:sz w:val="18"/>
      <w:szCs w:val="18"/>
    </w:rPr>
  </w:style>
  <w:style w:type="character" w:customStyle="1" w:styleId="Ttulo2Car">
    <w:name w:val="Título 2 Car"/>
    <w:basedOn w:val="Fuentedeprrafopredeter"/>
    <w:link w:val="Ttulo2"/>
    <w:uiPriority w:val="9"/>
    <w:semiHidden/>
    <w:rsid w:val="00B004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FD1A74"/>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styleId="Textoennegrita">
    <w:name w:val="Strong"/>
    <w:basedOn w:val="Fuentedeprrafopredeter"/>
    <w:uiPriority w:val="22"/>
    <w:qFormat/>
    <w:rsid w:val="00A13460"/>
    <w:rPr>
      <w:rFonts w:ascii="Arial" w:hAnsi="Arial" w:cs="Arial" w:hint="default"/>
      <w:b/>
      <w:bCs/>
    </w:rPr>
  </w:style>
  <w:style w:type="paragraph" w:styleId="Encabezado">
    <w:name w:val="header"/>
    <w:basedOn w:val="Normal"/>
    <w:link w:val="EncabezadoCar"/>
    <w:uiPriority w:val="99"/>
    <w:unhideWhenUsed/>
    <w:rsid w:val="004014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408"/>
  </w:style>
  <w:style w:type="paragraph" w:styleId="Piedepgina">
    <w:name w:val="footer"/>
    <w:basedOn w:val="Normal"/>
    <w:link w:val="PiedepginaCar"/>
    <w:uiPriority w:val="99"/>
    <w:unhideWhenUsed/>
    <w:rsid w:val="004014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4831">
      <w:bodyDiv w:val="1"/>
      <w:marLeft w:val="0"/>
      <w:marRight w:val="0"/>
      <w:marTop w:val="0"/>
      <w:marBottom w:val="0"/>
      <w:divBdr>
        <w:top w:val="none" w:sz="0" w:space="0" w:color="auto"/>
        <w:left w:val="none" w:sz="0" w:space="0" w:color="auto"/>
        <w:bottom w:val="none" w:sz="0" w:space="0" w:color="auto"/>
        <w:right w:val="none" w:sz="0" w:space="0" w:color="auto"/>
      </w:divBdr>
    </w:div>
    <w:div w:id="593244068">
      <w:bodyDiv w:val="1"/>
      <w:marLeft w:val="0"/>
      <w:marRight w:val="0"/>
      <w:marTop w:val="0"/>
      <w:marBottom w:val="0"/>
      <w:divBdr>
        <w:top w:val="none" w:sz="0" w:space="0" w:color="auto"/>
        <w:left w:val="none" w:sz="0" w:space="0" w:color="auto"/>
        <w:bottom w:val="none" w:sz="0" w:space="0" w:color="auto"/>
        <w:right w:val="none" w:sz="0" w:space="0" w:color="auto"/>
      </w:divBdr>
    </w:div>
    <w:div w:id="1751656430">
      <w:bodyDiv w:val="1"/>
      <w:marLeft w:val="0"/>
      <w:marRight w:val="0"/>
      <w:marTop w:val="0"/>
      <w:marBottom w:val="0"/>
      <w:divBdr>
        <w:top w:val="none" w:sz="0" w:space="0" w:color="auto"/>
        <w:left w:val="none" w:sz="0" w:space="0" w:color="auto"/>
        <w:bottom w:val="none" w:sz="0" w:space="0" w:color="auto"/>
        <w:right w:val="none" w:sz="0" w:space="0" w:color="auto"/>
      </w:divBdr>
    </w:div>
    <w:div w:id="1876309416">
      <w:bodyDiv w:val="1"/>
      <w:marLeft w:val="0"/>
      <w:marRight w:val="0"/>
      <w:marTop w:val="0"/>
      <w:marBottom w:val="0"/>
      <w:divBdr>
        <w:top w:val="none" w:sz="0" w:space="0" w:color="auto"/>
        <w:left w:val="none" w:sz="0" w:space="0" w:color="auto"/>
        <w:bottom w:val="none" w:sz="0" w:space="0" w:color="auto"/>
        <w:right w:val="none" w:sz="0" w:space="0" w:color="auto"/>
      </w:divBdr>
    </w:div>
    <w:div w:id="2039234834">
      <w:bodyDiv w:val="1"/>
      <w:marLeft w:val="0"/>
      <w:marRight w:val="0"/>
      <w:marTop w:val="0"/>
      <w:marBottom w:val="0"/>
      <w:divBdr>
        <w:top w:val="none" w:sz="0" w:space="0" w:color="auto"/>
        <w:left w:val="none" w:sz="0" w:space="0" w:color="auto"/>
        <w:bottom w:val="none" w:sz="0" w:space="0" w:color="auto"/>
        <w:right w:val="none" w:sz="0" w:space="0" w:color="auto"/>
      </w:divBdr>
    </w:div>
    <w:div w:id="21244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ft.org.mx/industria/consultas-publicas/consulta-publica-sobre-el-anteproyecto-de-acuerdo-mediante-el-cual-el-ift-modifica-los-pla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4133</Words>
  <Characters>22735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Luis Suarez Fuentes</dc:creator>
  <cp:keywords/>
  <dc:description/>
  <cp:lastModifiedBy>Josue Teoyotl Calderon</cp:lastModifiedBy>
  <cp:revision>3</cp:revision>
  <cp:lastPrinted>2021-10-20T16:21:00Z</cp:lastPrinted>
  <dcterms:created xsi:type="dcterms:W3CDTF">2021-10-20T16:21:00Z</dcterms:created>
  <dcterms:modified xsi:type="dcterms:W3CDTF">2021-10-20T16:21:00Z</dcterms:modified>
</cp:coreProperties>
</file>