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5A00EF50" w14:textId="77777777" w:rsidR="007A75A4" w:rsidRDefault="00501ADF" w:rsidP="00501ADF">
            <w:pPr>
              <w:jc w:val="both"/>
              <w:rPr>
                <w:rFonts w:ascii="ITC Avant Garde" w:hAnsi="ITC Avant Garde"/>
                <w:b/>
                <w:sz w:val="18"/>
                <w:szCs w:val="18"/>
              </w:rPr>
            </w:pPr>
            <w:bookmarkStart w:id="0" w:name="_GoBack" w:colFirst="1" w:colLast="1"/>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D3C28">
              <w:rPr>
                <w:rFonts w:ascii="ITC Avant Garde" w:hAnsi="ITC Avant Garde"/>
                <w:b/>
                <w:sz w:val="18"/>
                <w:szCs w:val="18"/>
              </w:rPr>
              <w:t xml:space="preserve"> </w:t>
            </w:r>
          </w:p>
          <w:p w14:paraId="3DCB3D69" w14:textId="77777777" w:rsidR="007A75A4" w:rsidRDefault="007A75A4" w:rsidP="00501ADF">
            <w:pPr>
              <w:jc w:val="both"/>
              <w:rPr>
                <w:rFonts w:ascii="ITC Avant Garde" w:hAnsi="ITC Avant Garde"/>
                <w:b/>
                <w:sz w:val="18"/>
                <w:szCs w:val="18"/>
              </w:rPr>
            </w:pPr>
          </w:p>
          <w:p w14:paraId="4410292B" w14:textId="520CF7A9" w:rsidR="00501ADF" w:rsidRPr="00451B7D" w:rsidRDefault="007A75A4" w:rsidP="00501ADF">
            <w:pPr>
              <w:jc w:val="both"/>
              <w:rPr>
                <w:rFonts w:ascii="ITC Avant Garde" w:hAnsi="ITC Avant Garde"/>
                <w:b/>
                <w:sz w:val="18"/>
                <w:szCs w:val="18"/>
              </w:rPr>
            </w:pPr>
            <w:r>
              <w:rPr>
                <w:rFonts w:ascii="ITC Avant Garde" w:hAnsi="ITC Avant Garde"/>
                <w:b/>
                <w:sz w:val="18"/>
                <w:szCs w:val="18"/>
              </w:rPr>
              <w:t>UNIDAD DE CONCESIONES Y SERVICIOS</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43AB2B2C" w14:textId="3A8A3BAD" w:rsidR="001D3C28" w:rsidRPr="009D4B7A" w:rsidRDefault="00182F9C" w:rsidP="001D3C28">
            <w:pPr>
              <w:jc w:val="both"/>
              <w:rPr>
                <w:rFonts w:ascii="ITC Avant Garde" w:hAnsi="ITC Avant Garde"/>
                <w:sz w:val="18"/>
                <w:szCs w:val="18"/>
              </w:rPr>
            </w:pPr>
            <w:r w:rsidRPr="00182F9C">
              <w:rPr>
                <w:rFonts w:ascii="ITC Avant Garde" w:hAnsi="ITC Avant Garde"/>
                <w:bCs/>
                <w:sz w:val="18"/>
                <w:szCs w:val="18"/>
              </w:rPr>
              <w:t>Anteproyecto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 y las correspondientes modificaciones a dichas disposiciones</w:t>
            </w:r>
            <w:r w:rsidR="001D3C28" w:rsidRPr="009D4B7A">
              <w:rPr>
                <w:rFonts w:ascii="ITC Avant Garde" w:hAnsi="ITC Avant Garde"/>
                <w:sz w:val="18"/>
                <w:szCs w:val="18"/>
              </w:rPr>
              <w:t xml:space="preserve">. </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3F18926B" w:rsidR="0068307E" w:rsidRPr="00451B7D" w:rsidRDefault="001D3C28" w:rsidP="00501ADF">
            <w:pPr>
              <w:jc w:val="both"/>
              <w:rPr>
                <w:rFonts w:ascii="ITC Avant Garde" w:hAnsi="ITC Avant Garde"/>
                <w:sz w:val="18"/>
                <w:szCs w:val="18"/>
              </w:rPr>
            </w:pPr>
            <w:r>
              <w:rPr>
                <w:rFonts w:ascii="ITC Avant Garde" w:hAnsi="ITC Avant Garde"/>
                <w:sz w:val="18"/>
                <w:szCs w:val="18"/>
              </w:rPr>
              <w:t>Rafael Eslava Herrada</w:t>
            </w:r>
          </w:p>
          <w:p w14:paraId="25E2A8DE" w14:textId="67407DD1" w:rsidR="0068307E" w:rsidRPr="00451B7D" w:rsidRDefault="00700E9A" w:rsidP="00501ADF">
            <w:pPr>
              <w:jc w:val="both"/>
              <w:rPr>
                <w:rFonts w:ascii="ITC Avant Garde" w:hAnsi="ITC Avant Garde"/>
                <w:sz w:val="18"/>
                <w:szCs w:val="18"/>
              </w:rPr>
            </w:pPr>
            <w:r>
              <w:rPr>
                <w:rFonts w:ascii="ITC Avant Garde" w:hAnsi="ITC Avant Garde"/>
                <w:sz w:val="18"/>
                <w:szCs w:val="18"/>
              </w:rPr>
              <w:t xml:space="preserve">Teléfono: </w:t>
            </w:r>
            <w:r w:rsidR="001F31F8">
              <w:rPr>
                <w:rFonts w:ascii="ITC Avant Garde" w:hAnsi="ITC Avant Garde"/>
                <w:sz w:val="18"/>
                <w:szCs w:val="18"/>
              </w:rPr>
              <w:t>555015</w:t>
            </w:r>
            <w:r>
              <w:rPr>
                <w:rFonts w:ascii="ITC Avant Garde" w:hAnsi="ITC Avant Garde"/>
                <w:sz w:val="18"/>
                <w:szCs w:val="18"/>
              </w:rPr>
              <w:t>4158</w:t>
            </w:r>
            <w:r w:rsidR="0068307E" w:rsidRPr="00451B7D">
              <w:rPr>
                <w:rFonts w:ascii="ITC Avant Garde" w:hAnsi="ITC Avant Garde"/>
                <w:sz w:val="18"/>
                <w:szCs w:val="18"/>
              </w:rPr>
              <w:t xml:space="preserve"> </w:t>
            </w:r>
          </w:p>
          <w:p w14:paraId="03752238" w14:textId="0EE454A0"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688F363F" w14:textId="45FC4FFD" w:rsidR="00700E9A" w:rsidRPr="00451B7D" w:rsidRDefault="00681C6C" w:rsidP="00501ADF">
            <w:pPr>
              <w:jc w:val="both"/>
              <w:rPr>
                <w:rFonts w:ascii="ITC Avant Garde" w:hAnsi="ITC Avant Garde"/>
                <w:sz w:val="18"/>
                <w:szCs w:val="18"/>
              </w:rPr>
            </w:pPr>
            <w:r>
              <w:rPr>
                <w:rFonts w:ascii="ITC Avant Garde" w:hAnsi="ITC Avant Garde"/>
                <w:sz w:val="18"/>
                <w:szCs w:val="18"/>
              </w:rPr>
              <w:t>r</w:t>
            </w:r>
            <w:r w:rsidR="00700E9A">
              <w:rPr>
                <w:rFonts w:ascii="ITC Avant Garde" w:hAnsi="ITC Avant Garde"/>
                <w:sz w:val="18"/>
                <w:szCs w:val="18"/>
              </w:rPr>
              <w:t>afael.eslava@ift.org.mx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594B3186" w:rsidR="0068307E" w:rsidRPr="00451B7D" w:rsidRDefault="00265043" w:rsidP="008E48F5">
            <w:pPr>
              <w:jc w:val="center"/>
              <w:rPr>
                <w:rFonts w:ascii="ITC Avant Garde" w:hAnsi="ITC Avant Garde"/>
                <w:sz w:val="18"/>
                <w:szCs w:val="18"/>
              </w:rPr>
            </w:pPr>
            <w:r>
              <w:rPr>
                <w:rFonts w:ascii="ITC Avant Garde" w:hAnsi="ITC Avant Garde"/>
                <w:sz w:val="18"/>
                <w:szCs w:val="18"/>
              </w:rPr>
              <w:t>01/03/</w:t>
            </w:r>
            <w:r w:rsidR="00681C6C">
              <w:rPr>
                <w:rFonts w:ascii="ITC Avant Garde" w:hAnsi="ITC Avant Garde"/>
                <w:sz w:val="18"/>
                <w:szCs w:val="18"/>
              </w:rPr>
              <w:t>2021</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58930CE1" w:rsidR="0068307E" w:rsidRPr="00451B7D" w:rsidRDefault="003057AE" w:rsidP="003057AE">
            <w:pPr>
              <w:jc w:val="center"/>
              <w:rPr>
                <w:rFonts w:ascii="ITC Avant Garde" w:hAnsi="ITC Avant Garde"/>
                <w:sz w:val="18"/>
                <w:szCs w:val="18"/>
              </w:rPr>
            </w:pPr>
            <w:r>
              <w:rPr>
                <w:rFonts w:ascii="ITC Avant Garde" w:hAnsi="ITC Avant Garde"/>
                <w:sz w:val="18"/>
                <w:szCs w:val="18"/>
              </w:rPr>
              <w:t>16/03</w:t>
            </w:r>
            <w:r w:rsidR="003D5D98">
              <w:rPr>
                <w:rFonts w:ascii="ITC Avant Garde" w:hAnsi="ITC Avant Garde"/>
                <w:sz w:val="18"/>
                <w:szCs w:val="18"/>
              </w:rPr>
              <w:t>/</w:t>
            </w:r>
            <w:r w:rsidR="00681C6C">
              <w:rPr>
                <w:rFonts w:ascii="ITC Avant Garde" w:hAnsi="ITC Avant Garde"/>
                <w:sz w:val="18"/>
                <w:szCs w:val="18"/>
              </w:rPr>
              <w:t>2021</w:t>
            </w:r>
            <w:r w:rsidR="00D23BD5" w:rsidRPr="00451B7D">
              <w:rPr>
                <w:rFonts w:ascii="ITC Avant Garde" w:hAnsi="ITC Avant Garde"/>
                <w:sz w:val="18"/>
                <w:szCs w:val="18"/>
              </w:rPr>
              <w:t xml:space="preserve"> a</w:t>
            </w:r>
            <w:r w:rsidR="00B46736">
              <w:rPr>
                <w:rFonts w:ascii="ITC Avant Garde" w:hAnsi="ITC Avant Garde"/>
                <w:sz w:val="18"/>
                <w:szCs w:val="18"/>
              </w:rPr>
              <w:t>l</w:t>
            </w:r>
            <w:r w:rsidR="00D23BD5" w:rsidRPr="00451B7D">
              <w:rPr>
                <w:rFonts w:ascii="ITC Avant Garde" w:hAnsi="ITC Avant Garde"/>
                <w:sz w:val="18"/>
                <w:szCs w:val="18"/>
              </w:rPr>
              <w:t xml:space="preserve"> </w:t>
            </w:r>
            <w:r>
              <w:rPr>
                <w:rFonts w:ascii="ITC Avant Garde" w:hAnsi="ITC Avant Garde"/>
                <w:sz w:val="18"/>
                <w:szCs w:val="18"/>
              </w:rPr>
              <w:t>19/04</w:t>
            </w:r>
            <w:r w:rsidR="00B46736">
              <w:rPr>
                <w:rFonts w:ascii="ITC Avant Garde" w:hAnsi="ITC Avant Garde"/>
                <w:sz w:val="18"/>
                <w:szCs w:val="18"/>
              </w:rPr>
              <w:t>/</w:t>
            </w:r>
            <w:r w:rsidR="00681C6C">
              <w:rPr>
                <w:rFonts w:ascii="ITC Avant Garde" w:hAnsi="ITC Avant Garde"/>
                <w:sz w:val="18"/>
                <w:szCs w:val="18"/>
              </w:rPr>
              <w:t>2021</w:t>
            </w:r>
          </w:p>
        </w:tc>
      </w:tr>
      <w:bookmarkEnd w:id="0"/>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18F31A2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14040A9" w14:textId="68D9E670" w:rsidR="00446247" w:rsidRDefault="00446247" w:rsidP="008A48B0">
            <w:pPr>
              <w:shd w:val="clear" w:color="auto" w:fill="FFFFFF" w:themeFill="background1"/>
              <w:jc w:val="both"/>
              <w:rPr>
                <w:rFonts w:ascii="ITC Avant Garde" w:hAnsi="ITC Avant Garde"/>
                <w:b/>
                <w:sz w:val="18"/>
                <w:szCs w:val="18"/>
              </w:rPr>
            </w:pPr>
          </w:p>
          <w:p w14:paraId="1F84EB76" w14:textId="6CFAF440" w:rsidR="00184C7B" w:rsidRDefault="00446247" w:rsidP="004D13A4">
            <w:pPr>
              <w:widowControl w:val="0"/>
              <w:autoSpaceDE w:val="0"/>
              <w:autoSpaceDN w:val="0"/>
              <w:spacing w:line="276" w:lineRule="auto"/>
              <w:ind w:right="155"/>
              <w:jc w:val="both"/>
              <w:rPr>
                <w:rFonts w:ascii="ITC Avant Garde" w:hAnsi="ITC Avant Garde"/>
                <w:b/>
                <w:sz w:val="18"/>
                <w:szCs w:val="18"/>
              </w:rPr>
            </w:pPr>
            <w:r w:rsidRPr="00C77C95">
              <w:rPr>
                <w:rFonts w:ascii="ITC Avant Garde" w:hAnsi="ITC Avant Garde"/>
                <w:b/>
                <w:sz w:val="18"/>
                <w:szCs w:val="18"/>
              </w:rPr>
              <w:t xml:space="preserve">En </w:t>
            </w:r>
            <w:r w:rsidR="00C77C95" w:rsidRPr="00C77C95">
              <w:rPr>
                <w:rFonts w:ascii="ITC Avant Garde" w:hAnsi="ITC Avant Garde"/>
                <w:b/>
                <w:sz w:val="18"/>
                <w:szCs w:val="18"/>
              </w:rPr>
              <w:t>los</w:t>
            </w:r>
            <w:r w:rsidRPr="00C77C95">
              <w:rPr>
                <w:rFonts w:ascii="ITC Avant Garde" w:hAnsi="ITC Avant Garde"/>
                <w:b/>
                <w:sz w:val="18"/>
                <w:szCs w:val="18"/>
              </w:rPr>
              <w:t xml:space="preserve"> Plan</w:t>
            </w:r>
            <w:r w:rsidR="00C77C95" w:rsidRPr="00C77C95">
              <w:rPr>
                <w:rFonts w:ascii="ITC Avant Garde" w:hAnsi="ITC Avant Garde"/>
                <w:b/>
                <w:sz w:val="18"/>
                <w:szCs w:val="18"/>
              </w:rPr>
              <w:t>es</w:t>
            </w:r>
            <w:r w:rsidRPr="00C77C95">
              <w:rPr>
                <w:rFonts w:ascii="ITC Avant Garde" w:hAnsi="ITC Avant Garde"/>
                <w:b/>
                <w:sz w:val="18"/>
                <w:szCs w:val="18"/>
              </w:rPr>
              <w:t xml:space="preserve"> Técnico</w:t>
            </w:r>
            <w:r w:rsidR="00C77C95" w:rsidRPr="00C77C95">
              <w:rPr>
                <w:rFonts w:ascii="ITC Avant Garde" w:hAnsi="ITC Avant Garde"/>
                <w:b/>
                <w:sz w:val="18"/>
                <w:szCs w:val="18"/>
              </w:rPr>
              <w:t>s</w:t>
            </w:r>
            <w:r w:rsidRPr="00C77C95">
              <w:rPr>
                <w:rFonts w:ascii="ITC Avant Garde" w:hAnsi="ITC Avant Garde"/>
                <w:b/>
                <w:sz w:val="18"/>
                <w:szCs w:val="18"/>
              </w:rPr>
              <w:t xml:space="preserve"> Fundamental</w:t>
            </w:r>
            <w:r w:rsidR="00C77C95" w:rsidRPr="00C77C95">
              <w:rPr>
                <w:rFonts w:ascii="ITC Avant Garde" w:hAnsi="ITC Avant Garde"/>
                <w:b/>
                <w:sz w:val="18"/>
                <w:szCs w:val="18"/>
              </w:rPr>
              <w:t>es</w:t>
            </w:r>
            <w:r w:rsidRPr="00C77C95">
              <w:rPr>
                <w:rFonts w:ascii="ITC Avant Garde" w:hAnsi="ITC Avant Garde"/>
                <w:b/>
                <w:sz w:val="18"/>
                <w:szCs w:val="18"/>
              </w:rPr>
              <w:t xml:space="preserve"> de Numeración </w:t>
            </w:r>
            <w:r w:rsidR="00C77C95" w:rsidRPr="00C77C95">
              <w:rPr>
                <w:rFonts w:ascii="ITC Avant Garde" w:hAnsi="ITC Avant Garde"/>
                <w:b/>
                <w:sz w:val="18"/>
                <w:szCs w:val="18"/>
              </w:rPr>
              <w:t xml:space="preserve">y </w:t>
            </w:r>
            <w:r w:rsidRPr="00C77C95">
              <w:rPr>
                <w:rFonts w:ascii="ITC Avant Garde" w:hAnsi="ITC Avant Garde"/>
                <w:b/>
                <w:sz w:val="18"/>
                <w:szCs w:val="18"/>
              </w:rPr>
              <w:t xml:space="preserve">Señalización </w:t>
            </w:r>
            <w:r w:rsidR="00C77C95" w:rsidRPr="00C77C95">
              <w:rPr>
                <w:rFonts w:ascii="ITC Avant Garde" w:hAnsi="ITC Avant Garde"/>
                <w:b/>
                <w:sz w:val="18"/>
                <w:szCs w:val="18"/>
              </w:rPr>
              <w:t xml:space="preserve">publicados en el Diario Oficial de la Federación (el “DOF”) el 21 de junio de 1996, (el “PTFN” y </w:t>
            </w:r>
            <w:r w:rsidRPr="00C77C95">
              <w:rPr>
                <w:rFonts w:ascii="ITC Avant Garde" w:hAnsi="ITC Avant Garde"/>
                <w:b/>
                <w:sz w:val="18"/>
                <w:szCs w:val="18"/>
              </w:rPr>
              <w:t>“PTFS”</w:t>
            </w:r>
            <w:r w:rsidR="00C77C95" w:rsidRPr="00C77C95">
              <w:rPr>
                <w:rFonts w:ascii="ITC Avant Garde" w:hAnsi="ITC Avant Garde"/>
                <w:b/>
                <w:sz w:val="18"/>
                <w:szCs w:val="18"/>
              </w:rPr>
              <w:t xml:space="preserve"> respectivamente</w:t>
            </w:r>
            <w:r w:rsidRPr="00C77C95">
              <w:rPr>
                <w:rFonts w:ascii="ITC Avant Garde" w:hAnsi="ITC Avant Garde"/>
                <w:b/>
                <w:sz w:val="18"/>
                <w:szCs w:val="18"/>
              </w:rPr>
              <w:t xml:space="preserve">), </w:t>
            </w:r>
            <w:r w:rsidR="00C5305E">
              <w:rPr>
                <w:rFonts w:ascii="ITC Avant Garde" w:hAnsi="ITC Avant Garde"/>
                <w:b/>
                <w:sz w:val="18"/>
                <w:szCs w:val="18"/>
              </w:rPr>
              <w:t>así como</w:t>
            </w:r>
            <w:r w:rsidR="00C77C95" w:rsidRPr="00C77C95">
              <w:rPr>
                <w:rFonts w:ascii="ITC Avant Garde" w:hAnsi="ITC Avant Garde"/>
                <w:b/>
                <w:sz w:val="18"/>
                <w:szCs w:val="18"/>
              </w:rPr>
              <w:t xml:space="preserve"> sus correspondientes modificaciones</w:t>
            </w:r>
            <w:r w:rsidRPr="00C77C95">
              <w:rPr>
                <w:rFonts w:ascii="ITC Avant Garde" w:hAnsi="ITC Avant Garde"/>
                <w:b/>
                <w:sz w:val="18"/>
                <w:szCs w:val="18"/>
              </w:rPr>
              <w:t xml:space="preserve">; </w:t>
            </w:r>
            <w:r w:rsidR="00C77C95" w:rsidRPr="00C77C95">
              <w:rPr>
                <w:rFonts w:ascii="ITC Avant Garde" w:hAnsi="ITC Avant Garde"/>
                <w:b/>
                <w:sz w:val="18"/>
                <w:szCs w:val="18"/>
              </w:rPr>
              <w:t>nuevos Planes Técnicos Fundamentales de Numeración y de Señalización, publicados en el DOF el 11 de mayo de 2018 (“nuevo PTFN” y “nuevo PTFS” respectivamente)</w:t>
            </w:r>
            <w:r w:rsidR="00C5305E">
              <w:rPr>
                <w:rFonts w:ascii="ITC Avant Garde" w:hAnsi="ITC Avant Garde"/>
                <w:b/>
                <w:sz w:val="18"/>
                <w:szCs w:val="18"/>
              </w:rPr>
              <w:t>,</w:t>
            </w:r>
            <w:r w:rsidR="00C77C95" w:rsidRPr="00C77C95">
              <w:rPr>
                <w:rFonts w:ascii="ITC Avant Garde" w:hAnsi="ITC Avant Garde"/>
                <w:b/>
                <w:sz w:val="18"/>
                <w:szCs w:val="18"/>
              </w:rPr>
              <w:t xml:space="preserve"> </w:t>
            </w:r>
            <w:r w:rsidR="00C5305E">
              <w:rPr>
                <w:rFonts w:ascii="ITC Avant Garde" w:hAnsi="ITC Avant Garde"/>
                <w:b/>
                <w:sz w:val="18"/>
                <w:szCs w:val="18"/>
              </w:rPr>
              <w:t>así como sus</w:t>
            </w:r>
            <w:r w:rsidR="00C77C95" w:rsidRPr="00C77C95">
              <w:rPr>
                <w:rFonts w:ascii="ITC Avant Garde" w:hAnsi="ITC Avant Garde"/>
                <w:b/>
                <w:sz w:val="18"/>
                <w:szCs w:val="18"/>
              </w:rPr>
              <w:t xml:space="preserve"> correspondientes modificaciones, </w:t>
            </w:r>
            <w:r w:rsidR="000A4428">
              <w:rPr>
                <w:rFonts w:ascii="ITC Avant Garde" w:hAnsi="ITC Avant Garde"/>
                <w:b/>
                <w:sz w:val="18"/>
                <w:szCs w:val="18"/>
              </w:rPr>
              <w:t>y</w:t>
            </w:r>
            <w:r w:rsidRPr="00C77C95">
              <w:rPr>
                <w:rFonts w:ascii="ITC Avant Garde" w:hAnsi="ITC Avant Garde"/>
                <w:b/>
                <w:sz w:val="18"/>
                <w:szCs w:val="18"/>
              </w:rPr>
              <w:t xml:space="preserve"> Reglas de Portabilidad Numérica publicadas en el DOF el 12 de noviembre de 2014 (las “Reglas de Portabilidad”)</w:t>
            </w:r>
            <w:r w:rsidR="00C5305E">
              <w:rPr>
                <w:rFonts w:ascii="ITC Avant Garde" w:hAnsi="ITC Avant Garde"/>
                <w:b/>
                <w:sz w:val="18"/>
                <w:szCs w:val="18"/>
              </w:rPr>
              <w:t xml:space="preserve">, así como </w:t>
            </w:r>
            <w:r w:rsidR="00C77C95" w:rsidRPr="00C77C95">
              <w:rPr>
                <w:rFonts w:ascii="ITC Avant Garde" w:hAnsi="ITC Avant Garde"/>
                <w:b/>
                <w:sz w:val="18"/>
                <w:szCs w:val="18"/>
              </w:rPr>
              <w:t>sus respectivas modificaciones</w:t>
            </w:r>
            <w:r w:rsidRPr="00C77C95">
              <w:rPr>
                <w:rFonts w:ascii="ITC Avant Garde" w:hAnsi="ITC Avant Garde"/>
                <w:b/>
                <w:sz w:val="18"/>
                <w:szCs w:val="18"/>
              </w:rPr>
              <w:t xml:space="preserve">, no se encuentran reconocidos los derecho de los titulares de una concesión única para uso público o social a </w:t>
            </w:r>
            <w:r w:rsidR="00184C7B" w:rsidRPr="00C77C95">
              <w:rPr>
                <w:rFonts w:ascii="ITC Avant Garde" w:hAnsi="ITC Avant Garde"/>
                <w:b/>
                <w:sz w:val="18"/>
                <w:szCs w:val="18"/>
              </w:rPr>
              <w:t xml:space="preserve">contar con un código de identificación </w:t>
            </w:r>
            <w:r w:rsidR="00BC354D">
              <w:rPr>
                <w:rFonts w:ascii="ITC Avant Garde" w:hAnsi="ITC Avant Garde"/>
                <w:b/>
                <w:sz w:val="18"/>
                <w:szCs w:val="18"/>
              </w:rPr>
              <w:t>administrativo</w:t>
            </w:r>
            <w:r w:rsidR="00184C7B" w:rsidRPr="00C77C95">
              <w:rPr>
                <w:rFonts w:ascii="ITC Avant Garde" w:hAnsi="ITC Avant Garde"/>
                <w:b/>
                <w:sz w:val="18"/>
                <w:szCs w:val="18"/>
              </w:rPr>
              <w:t xml:space="preserve"> y recursos de numeración propios o</w:t>
            </w:r>
            <w:r w:rsidR="00184C7B" w:rsidRPr="00184C7B">
              <w:rPr>
                <w:rFonts w:ascii="ITC Avant Garde" w:hAnsi="ITC Avant Garde"/>
                <w:b/>
                <w:sz w:val="18"/>
                <w:szCs w:val="18"/>
              </w:rPr>
              <w:t xml:space="preserve"> provistos por un concesionario de uso comercial o de una red pública de telecomunicaciones</w:t>
            </w:r>
            <w:r w:rsidR="009C3539">
              <w:rPr>
                <w:rFonts w:ascii="ITC Avant Garde" w:hAnsi="ITC Avant Garde"/>
                <w:b/>
                <w:sz w:val="18"/>
                <w:szCs w:val="18"/>
              </w:rPr>
              <w:t>.</w:t>
            </w:r>
          </w:p>
          <w:p w14:paraId="79D2B1F1" w14:textId="77777777" w:rsidR="00853D04" w:rsidRDefault="00853D04" w:rsidP="004D13A4">
            <w:pPr>
              <w:widowControl w:val="0"/>
              <w:autoSpaceDE w:val="0"/>
              <w:autoSpaceDN w:val="0"/>
              <w:spacing w:line="276" w:lineRule="auto"/>
              <w:ind w:right="155"/>
              <w:jc w:val="both"/>
              <w:rPr>
                <w:rFonts w:ascii="ITC Avant Garde" w:hAnsi="ITC Avant Garde"/>
                <w:b/>
                <w:sz w:val="18"/>
                <w:szCs w:val="18"/>
              </w:rPr>
            </w:pPr>
          </w:p>
          <w:p w14:paraId="229C760D" w14:textId="3A097359" w:rsidR="00A3349D" w:rsidRDefault="00A3349D" w:rsidP="004D13A4">
            <w:pPr>
              <w:widowControl w:val="0"/>
              <w:autoSpaceDE w:val="0"/>
              <w:autoSpaceDN w:val="0"/>
              <w:spacing w:line="276" w:lineRule="auto"/>
              <w:ind w:right="155"/>
              <w:jc w:val="both"/>
              <w:rPr>
                <w:rFonts w:ascii="ITC Avant Garde" w:hAnsi="ITC Avant Garde"/>
                <w:b/>
                <w:sz w:val="18"/>
                <w:szCs w:val="18"/>
              </w:rPr>
            </w:pPr>
            <w:r w:rsidRPr="00A3349D">
              <w:rPr>
                <w:rFonts w:ascii="ITC Avant Garde" w:hAnsi="ITC Avant Garde"/>
                <w:b/>
                <w:sz w:val="18"/>
                <w:szCs w:val="18"/>
              </w:rPr>
              <w:t xml:space="preserve">Por otro lado, </w:t>
            </w:r>
            <w:r w:rsidR="006609D5" w:rsidRPr="00A3349D">
              <w:rPr>
                <w:rFonts w:ascii="ITC Avant Garde" w:hAnsi="ITC Avant Garde"/>
                <w:b/>
                <w:sz w:val="18"/>
                <w:szCs w:val="18"/>
              </w:rPr>
              <w:t>con base en su Programa Anual de Trabajo 2020</w:t>
            </w:r>
            <w:r w:rsidR="006609D5">
              <w:rPr>
                <w:rFonts w:ascii="ITC Avant Garde" w:hAnsi="ITC Avant Garde"/>
                <w:b/>
                <w:sz w:val="18"/>
                <w:szCs w:val="18"/>
              </w:rPr>
              <w:t>,</w:t>
            </w:r>
            <w:r w:rsidR="006D412A">
              <w:rPr>
                <w:rFonts w:ascii="ITC Avant Garde" w:hAnsi="ITC Avant Garde"/>
                <w:b/>
                <w:sz w:val="18"/>
                <w:szCs w:val="18"/>
              </w:rPr>
              <w:t xml:space="preserve"> </w:t>
            </w:r>
            <w:r w:rsidRPr="00A3349D">
              <w:rPr>
                <w:rFonts w:ascii="ITC Avant Garde" w:hAnsi="ITC Avant Garde"/>
                <w:b/>
                <w:sz w:val="18"/>
                <w:szCs w:val="18"/>
              </w:rPr>
              <w:t>el Instituto decidió incorporar un proceso integral de Gobierno Electrónico</w:t>
            </w:r>
            <w:r w:rsidR="006609D5">
              <w:rPr>
                <w:rFonts w:ascii="ITC Avant Garde" w:hAnsi="ITC Avant Garde"/>
                <w:b/>
                <w:sz w:val="18"/>
                <w:szCs w:val="18"/>
              </w:rPr>
              <w:t xml:space="preserve"> y en tal sentido</w:t>
            </w:r>
            <w:r w:rsidRPr="00A3349D">
              <w:rPr>
                <w:rFonts w:ascii="ITC Avant Garde" w:hAnsi="ITC Avant Garde"/>
                <w:b/>
                <w:sz w:val="18"/>
                <w:szCs w:val="18"/>
              </w:rPr>
              <w:t xml:space="preserve"> continúa </w:t>
            </w:r>
            <w:r w:rsidR="00793772">
              <w:rPr>
                <w:rFonts w:ascii="ITC Avant Garde" w:hAnsi="ITC Avant Garde"/>
                <w:b/>
                <w:sz w:val="18"/>
                <w:szCs w:val="18"/>
              </w:rPr>
              <w:t>implemen</w:t>
            </w:r>
            <w:r w:rsidR="00793772" w:rsidRPr="00A3349D">
              <w:rPr>
                <w:rFonts w:ascii="ITC Avant Garde" w:hAnsi="ITC Avant Garde"/>
                <w:b/>
                <w:sz w:val="18"/>
                <w:szCs w:val="18"/>
              </w:rPr>
              <w:t xml:space="preserve">tando </w:t>
            </w:r>
            <w:r w:rsidRPr="00A3349D">
              <w:rPr>
                <w:rFonts w:ascii="ITC Avant Garde" w:hAnsi="ITC Avant Garde"/>
                <w:b/>
                <w:sz w:val="18"/>
                <w:szCs w:val="18"/>
              </w:rPr>
              <w:t xml:space="preserve">acciones encaminadas a disminuir la carga administrativa y regulatoria en todos los trámites y procesos </w:t>
            </w:r>
            <w:r w:rsidR="00793772">
              <w:rPr>
                <w:rFonts w:ascii="ITC Avant Garde" w:hAnsi="ITC Avant Garde"/>
                <w:b/>
                <w:sz w:val="18"/>
                <w:szCs w:val="18"/>
              </w:rPr>
              <w:t>del Instituto que contribuyan a la realización</w:t>
            </w:r>
            <w:r w:rsidR="00793772" w:rsidRPr="00A3349D">
              <w:rPr>
                <w:rFonts w:ascii="ITC Avant Garde" w:hAnsi="ITC Avant Garde"/>
                <w:b/>
                <w:sz w:val="18"/>
                <w:szCs w:val="18"/>
              </w:rPr>
              <w:t xml:space="preserve"> del mismo</w:t>
            </w:r>
            <w:r w:rsidR="00793772">
              <w:rPr>
                <w:rFonts w:ascii="ITC Avant Garde" w:hAnsi="ITC Avant Garde"/>
                <w:b/>
                <w:sz w:val="18"/>
                <w:szCs w:val="18"/>
              </w:rPr>
              <w:t>.</w:t>
            </w:r>
          </w:p>
          <w:p w14:paraId="179AFCDE" w14:textId="77777777" w:rsidR="00BC354D" w:rsidRPr="00A3349D" w:rsidRDefault="00BC354D" w:rsidP="004D13A4">
            <w:pPr>
              <w:widowControl w:val="0"/>
              <w:autoSpaceDE w:val="0"/>
              <w:autoSpaceDN w:val="0"/>
              <w:spacing w:line="276" w:lineRule="auto"/>
              <w:ind w:right="155"/>
              <w:jc w:val="both"/>
              <w:rPr>
                <w:rFonts w:ascii="ITC Avant Garde" w:hAnsi="ITC Avant Garde"/>
                <w:b/>
                <w:sz w:val="18"/>
                <w:szCs w:val="18"/>
              </w:rPr>
            </w:pPr>
          </w:p>
          <w:p w14:paraId="0355D31D" w14:textId="162A959F" w:rsidR="00BC354D" w:rsidRPr="00A3349D" w:rsidRDefault="00BC354D" w:rsidP="004D13A4">
            <w:pPr>
              <w:widowControl w:val="0"/>
              <w:autoSpaceDE w:val="0"/>
              <w:autoSpaceDN w:val="0"/>
              <w:spacing w:line="276" w:lineRule="auto"/>
              <w:ind w:right="155"/>
              <w:jc w:val="both"/>
              <w:rPr>
                <w:rFonts w:ascii="ITC Avant Garde" w:hAnsi="ITC Avant Garde"/>
                <w:b/>
                <w:sz w:val="18"/>
                <w:szCs w:val="18"/>
              </w:rPr>
            </w:pPr>
            <w:r w:rsidRPr="00853D04">
              <w:rPr>
                <w:rFonts w:ascii="ITC Avant Garde" w:hAnsi="ITC Avant Garde"/>
                <w:b/>
                <w:sz w:val="18"/>
                <w:szCs w:val="18"/>
              </w:rPr>
              <w:t>Lo anterior, responde a la necesidad de adaptarse al cambio cultural que las TIC han ocasionado en la comunicación e interacción entre el gobierno y la ciudadanía, ya que con éstos nuevos esquemas se ofrecerán mayores y mejores prestaciones a los ciudadanos, al proporcionar puntos de acceso unificados y sencillos para resolver trámite</w:t>
            </w:r>
            <w:r w:rsidR="004D13A4">
              <w:rPr>
                <w:rFonts w:ascii="ITC Avant Garde" w:hAnsi="ITC Avant Garde"/>
                <w:b/>
                <w:sz w:val="18"/>
                <w:szCs w:val="18"/>
              </w:rPr>
              <w:t>s y satisfacer servicios y que, a su vez, permitirán</w:t>
            </w:r>
            <w:r w:rsidRPr="00853D04">
              <w:rPr>
                <w:rFonts w:ascii="ITC Avant Garde" w:hAnsi="ITC Avant Garde"/>
                <w:b/>
                <w:sz w:val="18"/>
                <w:szCs w:val="18"/>
              </w:rPr>
              <w:t xml:space="preserve"> otorgar a los ciudadanos mayor autonomía y empoderamiento, así como una mejor dinámica de inclusión social</w:t>
            </w:r>
            <w:r>
              <w:rPr>
                <w:rFonts w:ascii="ITC Avant Garde" w:hAnsi="ITC Avant Garde"/>
                <w:b/>
                <w:sz w:val="18"/>
                <w:szCs w:val="18"/>
              </w:rPr>
              <w:t>.</w:t>
            </w:r>
          </w:p>
          <w:p w14:paraId="4D0A1D8D" w14:textId="77777777" w:rsidR="00853D04" w:rsidRDefault="00853D04" w:rsidP="004D13A4">
            <w:pPr>
              <w:spacing w:line="276" w:lineRule="auto"/>
              <w:jc w:val="both"/>
              <w:rPr>
                <w:rFonts w:ascii="ITC Avant Garde" w:hAnsi="ITC Avant Garde"/>
                <w:b/>
                <w:sz w:val="18"/>
                <w:szCs w:val="18"/>
              </w:rPr>
            </w:pPr>
          </w:p>
          <w:p w14:paraId="77B70C94" w14:textId="0C44F8D1" w:rsidR="00700E9A" w:rsidRPr="00451B7D" w:rsidRDefault="00A3349D" w:rsidP="004D13A4">
            <w:pPr>
              <w:spacing w:line="276" w:lineRule="auto"/>
              <w:jc w:val="both"/>
              <w:rPr>
                <w:rFonts w:ascii="ITC Avant Garde" w:hAnsi="ITC Avant Garde"/>
                <w:sz w:val="18"/>
                <w:szCs w:val="18"/>
              </w:rPr>
            </w:pPr>
            <w:r w:rsidRPr="00A3349D">
              <w:rPr>
                <w:rFonts w:ascii="ITC Avant Garde" w:hAnsi="ITC Avant Garde"/>
                <w:b/>
                <w:sz w:val="18"/>
                <w:szCs w:val="18"/>
              </w:rPr>
              <w:lastRenderedPageBreak/>
              <w:t xml:space="preserve">Cabe </w:t>
            </w:r>
            <w:r w:rsidR="00793772">
              <w:rPr>
                <w:rFonts w:ascii="ITC Avant Garde" w:hAnsi="ITC Avant Garde"/>
                <w:b/>
                <w:sz w:val="18"/>
                <w:szCs w:val="18"/>
              </w:rPr>
              <w:t>mencionar</w:t>
            </w:r>
            <w:r w:rsidRPr="00A3349D">
              <w:rPr>
                <w:rFonts w:ascii="ITC Avant Garde" w:hAnsi="ITC Avant Garde"/>
                <w:b/>
                <w:sz w:val="18"/>
                <w:szCs w:val="18"/>
              </w:rPr>
              <w:t xml:space="preserve"> que</w:t>
            </w:r>
            <w:r w:rsidR="00E6650D">
              <w:rPr>
                <w:rFonts w:ascii="ITC Avant Garde" w:hAnsi="ITC Avant Garde"/>
                <w:b/>
                <w:sz w:val="18"/>
                <w:szCs w:val="18"/>
              </w:rPr>
              <w:t>,</w:t>
            </w:r>
            <w:r w:rsidRPr="00A3349D">
              <w:rPr>
                <w:rFonts w:ascii="ITC Avant Garde" w:hAnsi="ITC Avant Garde"/>
                <w:b/>
                <w:sz w:val="18"/>
                <w:szCs w:val="18"/>
              </w:rPr>
              <w:t xml:space="preserve"> </w:t>
            </w:r>
            <w:r w:rsidR="00793772">
              <w:rPr>
                <w:rFonts w:ascii="ITC Avant Garde" w:hAnsi="ITC Avant Garde"/>
                <w:b/>
                <w:sz w:val="18"/>
                <w:szCs w:val="18"/>
              </w:rPr>
              <w:t xml:space="preserve">si bien </w:t>
            </w:r>
            <w:r w:rsidRPr="00A3349D">
              <w:rPr>
                <w:rFonts w:ascii="ITC Avant Garde" w:hAnsi="ITC Avant Garde"/>
                <w:b/>
                <w:sz w:val="18"/>
                <w:szCs w:val="18"/>
              </w:rPr>
              <w:t>el nuevo PTFN y el nuevo PTFS contemplan la implementación de trámites electrónicos, a efecto de ser consistentes con las acciones practicadas por el Instituto en sus diferentes procesos de atención de trámites a través de Gobierno Electrónico, se estima pertinente incorporar en dichos planes, en lo conducente, lo establecido en los Lineamientos de Ventanilla Electrónica.</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18EC2C5"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 </w:t>
                  </w:r>
                  <w:r w:rsidR="00700E9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3057AE">
                  <w:pPr>
                    <w:framePr w:hSpace="141" w:wrap="around" w:vAnchor="text" w:hAnchor="margin" w:y="356"/>
                    <w:jc w:val="both"/>
                    <w:rPr>
                      <w:rFonts w:ascii="ITC Avant Garde" w:hAnsi="ITC Avant Garde"/>
                      <w:sz w:val="18"/>
                      <w:szCs w:val="18"/>
                    </w:rPr>
                  </w:pPr>
                </w:p>
                <w:p w14:paraId="7CA4A6B4" w14:textId="77777777" w:rsidR="00596FDE" w:rsidRDefault="00596FDE" w:rsidP="003057AE">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3057AE">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0A7A0548" w:rsidR="00BE7D1C" w:rsidRPr="00451B7D" w:rsidRDefault="00700E9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9FD84F5" w14:textId="7E667F88" w:rsidR="000E4C0F" w:rsidRDefault="000E4C0F" w:rsidP="001A7400">
                  <w:pPr>
                    <w:jc w:val="both"/>
                    <w:rPr>
                      <w:rFonts w:ascii="ITC Avant Garde" w:hAnsi="ITC Avant Garde"/>
                      <w:sz w:val="18"/>
                      <w:szCs w:val="18"/>
                    </w:rPr>
                  </w:pPr>
                  <w:r>
                    <w:rPr>
                      <w:rFonts w:ascii="ITC Avant Garde" w:hAnsi="ITC Avant Garde"/>
                      <w:sz w:val="18"/>
                      <w:szCs w:val="18"/>
                    </w:rPr>
                    <w:t>N</w:t>
                  </w:r>
                  <w:r w:rsidR="001A7400">
                    <w:rPr>
                      <w:rFonts w:ascii="ITC Avant Garde" w:hAnsi="ITC Avant Garde"/>
                      <w:sz w:val="18"/>
                      <w:szCs w:val="18"/>
                    </w:rPr>
                    <w:t>o</w:t>
                  </w:r>
                  <w:r w:rsidR="00585269" w:rsidRPr="000C3E5D">
                    <w:rPr>
                      <w:rFonts w:ascii="ITC Avant Garde" w:hAnsi="ITC Avant Garde"/>
                      <w:sz w:val="18"/>
                      <w:szCs w:val="18"/>
                    </w:rPr>
                    <w:t xml:space="preserve"> emitir la pre</w:t>
                  </w:r>
                  <w:r>
                    <w:rPr>
                      <w:rFonts w:ascii="ITC Avant Garde" w:hAnsi="ITC Avant Garde"/>
                      <w:sz w:val="18"/>
                      <w:szCs w:val="18"/>
                    </w:rPr>
                    <w:t xml:space="preserve">sente propuesta de modificación, implicaría que </w:t>
                  </w:r>
                  <w:r w:rsidRPr="00BC28B8">
                    <w:rPr>
                      <w:rFonts w:ascii="ITC Avant Garde" w:hAnsi="ITC Avant Garde"/>
                      <w:sz w:val="18"/>
                      <w:szCs w:val="18"/>
                    </w:rPr>
                    <w:t>los titulares de una concesión única para uso público o social</w:t>
                  </w:r>
                  <w:r>
                    <w:rPr>
                      <w:rFonts w:ascii="ITC Avant Garde" w:hAnsi="ITC Avant Garde"/>
                      <w:sz w:val="18"/>
                      <w:szCs w:val="18"/>
                    </w:rPr>
                    <w:t xml:space="preserve">, se vean imposibilitados </w:t>
                  </w:r>
                  <w:r w:rsidR="00E86D03">
                    <w:rPr>
                      <w:rFonts w:ascii="ITC Avant Garde" w:hAnsi="ITC Avant Garde"/>
                      <w:sz w:val="18"/>
                      <w:szCs w:val="18"/>
                    </w:rPr>
                    <w:t>para</w:t>
                  </w:r>
                  <w:r>
                    <w:rPr>
                      <w:rFonts w:ascii="ITC Avant Garde" w:hAnsi="ITC Avant Garde"/>
                      <w:sz w:val="18"/>
                      <w:szCs w:val="18"/>
                    </w:rPr>
                    <w:t xml:space="preserve"> pro</w:t>
                  </w:r>
                  <w:r w:rsidR="00E86D03">
                    <w:rPr>
                      <w:rFonts w:ascii="ITC Avant Garde" w:hAnsi="ITC Avant Garde"/>
                      <w:sz w:val="18"/>
                      <w:szCs w:val="18"/>
                    </w:rPr>
                    <w:t xml:space="preserve">veer o prestar servicios </w:t>
                  </w:r>
                  <w:r w:rsidR="005F1777">
                    <w:rPr>
                      <w:rFonts w:ascii="ITC Avant Garde" w:hAnsi="ITC Avant Garde"/>
                      <w:sz w:val="18"/>
                      <w:szCs w:val="18"/>
                    </w:rPr>
                    <w:t>de telecomunicaciones cuyo insumo principal es la numeración administrada por el Instituto.</w:t>
                  </w:r>
                </w:p>
                <w:p w14:paraId="2D54D9C6" w14:textId="77777777" w:rsidR="001525EA" w:rsidRDefault="001525EA" w:rsidP="001A7400">
                  <w:pPr>
                    <w:jc w:val="both"/>
                    <w:rPr>
                      <w:rFonts w:ascii="ITC Avant Garde" w:hAnsi="ITC Avant Garde"/>
                      <w:sz w:val="18"/>
                      <w:szCs w:val="18"/>
                    </w:rPr>
                  </w:pPr>
                </w:p>
                <w:p w14:paraId="01472906" w14:textId="10849DEB" w:rsidR="006D412A" w:rsidRDefault="006D412A" w:rsidP="001A7400">
                  <w:pPr>
                    <w:jc w:val="both"/>
                    <w:rPr>
                      <w:rFonts w:ascii="ITC Avant Garde" w:hAnsi="ITC Avant Garde"/>
                      <w:sz w:val="18"/>
                      <w:szCs w:val="18"/>
                    </w:rPr>
                  </w:pPr>
                  <w:r>
                    <w:rPr>
                      <w:rFonts w:ascii="ITC Avant Garde" w:hAnsi="ITC Avant Garde"/>
                      <w:sz w:val="18"/>
                      <w:szCs w:val="18"/>
                    </w:rPr>
                    <w:t xml:space="preserve">Asimismo, el no emitir regulación respecto a la implementación, en lo conducente, de los Lineamientos de la </w:t>
                  </w:r>
                  <w:r>
                    <w:rPr>
                      <w:rFonts w:ascii="ITC Avant Garde" w:hAnsi="ITC Avant Garde"/>
                      <w:sz w:val="18"/>
                      <w:szCs w:val="18"/>
                    </w:rPr>
                    <w:lastRenderedPageBreak/>
                    <w:t xml:space="preserve">Ventanilla Electrónica, contemplada en las acciones de Gobierno Electrónico, impediría </w:t>
                  </w:r>
                  <w:r w:rsidR="001525EA" w:rsidRPr="001525EA">
                    <w:rPr>
                      <w:rFonts w:ascii="ITC Avant Garde" w:hAnsi="ITC Avant Garde"/>
                      <w:sz w:val="18"/>
                      <w:szCs w:val="18"/>
                    </w:rPr>
                    <w:t xml:space="preserve">adaptarse al cambio cultural que las TIC han ocasionado en la comunicación e interacción entre el gobierno y la ciudadanía, ya que con éstos nuevos esquemas se ofrecerán mayores y mejores prestaciones a los ciudadanos, al proporcionar puntos de acceso unificados y sencillos para resolver </w:t>
                  </w:r>
                  <w:r w:rsidR="004D13A4">
                    <w:rPr>
                      <w:rFonts w:ascii="ITC Avant Garde" w:hAnsi="ITC Avant Garde"/>
                      <w:sz w:val="18"/>
                      <w:szCs w:val="18"/>
                    </w:rPr>
                    <w:t>trámites y satisfacer servicios y que, a su vez, permitirán</w:t>
                  </w:r>
                  <w:r w:rsidR="001525EA" w:rsidRPr="001525EA">
                    <w:rPr>
                      <w:rFonts w:ascii="ITC Avant Garde" w:hAnsi="ITC Avant Garde"/>
                      <w:sz w:val="18"/>
                      <w:szCs w:val="18"/>
                    </w:rPr>
                    <w:t xml:space="preserve"> otorgar a los ciudadanos mayor autonomía y empoderamiento, así como una mejor dinámica de inclusión social.</w:t>
                  </w:r>
                </w:p>
                <w:p w14:paraId="360D5F57" w14:textId="337051A3" w:rsidR="001A7400" w:rsidRPr="00B46736" w:rsidRDefault="001A7400" w:rsidP="001A7400">
                  <w:pPr>
                    <w:jc w:val="both"/>
                    <w:rPr>
                      <w:rFonts w:ascii="Arial" w:hAnsi="Arial" w:cs="Arial"/>
                    </w:rPr>
                  </w:pPr>
                </w:p>
              </w:tc>
              <w:tc>
                <w:tcPr>
                  <w:tcW w:w="3969" w:type="dxa"/>
                </w:tcPr>
                <w:p w14:paraId="049015E8" w14:textId="023D12CF" w:rsidR="00393251" w:rsidRDefault="00393251" w:rsidP="006A5680">
                  <w:pPr>
                    <w:jc w:val="both"/>
                    <w:rPr>
                      <w:rFonts w:ascii="ITC Avant Garde" w:hAnsi="ITC Avant Garde"/>
                      <w:sz w:val="18"/>
                      <w:szCs w:val="18"/>
                    </w:rPr>
                  </w:pPr>
                  <w:r>
                    <w:rPr>
                      <w:rFonts w:ascii="ITC Avant Garde" w:hAnsi="ITC Avant Garde"/>
                      <w:sz w:val="18"/>
                      <w:szCs w:val="18"/>
                    </w:rPr>
                    <w:lastRenderedPageBreak/>
                    <w:t>Esta alternativa, n</w:t>
                  </w:r>
                  <w:r w:rsidRPr="00393251">
                    <w:rPr>
                      <w:rFonts w:ascii="ITC Avant Garde" w:hAnsi="ITC Avant Garde"/>
                      <w:sz w:val="18"/>
                      <w:szCs w:val="18"/>
                    </w:rPr>
                    <w:t xml:space="preserve">o se considera conveniente, </w:t>
                  </w:r>
                  <w:r>
                    <w:rPr>
                      <w:rFonts w:ascii="ITC Avant Garde" w:hAnsi="ITC Avant Garde"/>
                      <w:sz w:val="18"/>
                      <w:szCs w:val="18"/>
                    </w:rPr>
                    <w:t xml:space="preserve">debido a que impide la entrada de nuevos competidores, </w:t>
                  </w:r>
                  <w:r w:rsidR="006A5680">
                    <w:rPr>
                      <w:rFonts w:ascii="ITC Avant Garde" w:hAnsi="ITC Avant Garde"/>
                      <w:sz w:val="18"/>
                      <w:szCs w:val="18"/>
                    </w:rPr>
                    <w:t>y la posibilidad de que los usuarios de dichas concesionarias obtengan nuevos servicios de telecomunicaciones, a</w:t>
                  </w:r>
                  <w:r w:rsidR="003F1542">
                    <w:rPr>
                      <w:rFonts w:ascii="ITC Avant Garde" w:hAnsi="ITC Avant Garde"/>
                      <w:sz w:val="18"/>
                      <w:szCs w:val="18"/>
                    </w:rPr>
                    <w:t>dicionalmente, esta alternativa</w:t>
                  </w:r>
                  <w:r>
                    <w:rPr>
                      <w:rFonts w:ascii="ITC Avant Garde" w:hAnsi="ITC Avant Garde"/>
                      <w:sz w:val="18"/>
                      <w:szCs w:val="18"/>
                    </w:rPr>
                    <w:t xml:space="preserve"> </w:t>
                  </w:r>
                  <w:r w:rsidR="003F1542">
                    <w:rPr>
                      <w:rFonts w:ascii="ITC Avant Garde" w:hAnsi="ITC Avant Garde"/>
                      <w:sz w:val="18"/>
                      <w:szCs w:val="18"/>
                    </w:rPr>
                    <w:t xml:space="preserve">limitaría </w:t>
                  </w:r>
                  <w:r w:rsidR="006A5680">
                    <w:rPr>
                      <w:rFonts w:ascii="ITC Avant Garde" w:hAnsi="ITC Avant Garde"/>
                      <w:sz w:val="18"/>
                      <w:szCs w:val="18"/>
                    </w:rPr>
                    <w:t xml:space="preserve">el derecho </w:t>
                  </w:r>
                  <w:r w:rsidR="003F1542">
                    <w:rPr>
                      <w:rFonts w:ascii="ITC Avant Garde" w:hAnsi="ITC Avant Garde"/>
                      <w:sz w:val="18"/>
                      <w:szCs w:val="18"/>
                    </w:rPr>
                    <w:t>de</w:t>
                  </w:r>
                  <w:r w:rsidR="006A5680">
                    <w:rPr>
                      <w:rFonts w:ascii="ITC Avant Garde" w:hAnsi="ITC Avant Garde"/>
                      <w:sz w:val="18"/>
                      <w:szCs w:val="18"/>
                    </w:rPr>
                    <w:t xml:space="preserve"> </w:t>
                  </w:r>
                  <w:r w:rsidR="003F1542">
                    <w:rPr>
                      <w:rFonts w:ascii="ITC Avant Garde" w:hAnsi="ITC Avant Garde"/>
                      <w:sz w:val="18"/>
                      <w:szCs w:val="18"/>
                    </w:rPr>
                    <w:t>dichos</w:t>
                  </w:r>
                  <w:r w:rsidR="006A5680">
                    <w:rPr>
                      <w:rFonts w:ascii="ITC Avant Garde" w:hAnsi="ITC Avant Garde"/>
                      <w:sz w:val="18"/>
                      <w:szCs w:val="18"/>
                    </w:rPr>
                    <w:t xml:space="preserve"> usuarios </w:t>
                  </w:r>
                  <w:r w:rsidR="003F1542">
                    <w:rPr>
                      <w:rFonts w:ascii="ITC Avant Garde" w:hAnsi="ITC Avant Garde"/>
                      <w:sz w:val="18"/>
                      <w:szCs w:val="18"/>
                    </w:rPr>
                    <w:t>de</w:t>
                  </w:r>
                  <w:r w:rsidR="006A5680">
                    <w:rPr>
                      <w:rFonts w:ascii="ITC Avant Garde" w:hAnsi="ITC Avant Garde"/>
                      <w:sz w:val="18"/>
                      <w:szCs w:val="18"/>
                    </w:rPr>
                    <w:t xml:space="preserve"> </w:t>
                  </w:r>
                  <w:r w:rsidR="003F1542">
                    <w:rPr>
                      <w:rFonts w:ascii="ITC Avant Garde" w:hAnsi="ITC Avant Garde"/>
                      <w:sz w:val="18"/>
                      <w:szCs w:val="18"/>
                    </w:rPr>
                    <w:t>ejercer la portabilidad numérica</w:t>
                  </w:r>
                  <w:r w:rsidR="006A5680">
                    <w:rPr>
                      <w:rFonts w:ascii="ITC Avant Garde" w:hAnsi="ITC Avant Garde"/>
                      <w:sz w:val="18"/>
                      <w:szCs w:val="18"/>
                    </w:rPr>
                    <w:t>.</w:t>
                  </w:r>
                  <w:r w:rsidR="006D412A">
                    <w:rPr>
                      <w:rFonts w:ascii="ITC Avant Garde" w:hAnsi="ITC Avant Garde"/>
                      <w:sz w:val="18"/>
                      <w:szCs w:val="18"/>
                    </w:rPr>
                    <w:t xml:space="preserve"> </w:t>
                  </w:r>
                </w:p>
                <w:p w14:paraId="7C074A2A" w14:textId="35FC22F2" w:rsidR="006D412A" w:rsidRDefault="006D412A" w:rsidP="006A5680">
                  <w:pPr>
                    <w:jc w:val="both"/>
                    <w:rPr>
                      <w:rFonts w:ascii="ITC Avant Garde" w:hAnsi="ITC Avant Garde"/>
                      <w:sz w:val="18"/>
                      <w:szCs w:val="18"/>
                    </w:rPr>
                  </w:pPr>
                </w:p>
                <w:p w14:paraId="562D28FC" w14:textId="07A4830A" w:rsidR="006D412A" w:rsidRPr="0014159C" w:rsidRDefault="006D412A" w:rsidP="006D412A">
                  <w:pPr>
                    <w:jc w:val="both"/>
                    <w:rPr>
                      <w:rFonts w:ascii="ITC Avant Garde" w:hAnsi="ITC Avant Garde"/>
                      <w:sz w:val="18"/>
                      <w:szCs w:val="18"/>
                    </w:rPr>
                  </w:pPr>
                  <w:r>
                    <w:rPr>
                      <w:rFonts w:ascii="ITC Avant Garde" w:hAnsi="ITC Avant Garde"/>
                      <w:sz w:val="18"/>
                      <w:szCs w:val="18"/>
                    </w:rPr>
                    <w:t xml:space="preserve">Por otro lado, el no emitir regulación respecto a la implementación, en lo conducente, de los Lineamientos de la Ventanilla Electrónica, impediría </w:t>
                  </w:r>
                  <w:r w:rsidRPr="0014159C">
                    <w:rPr>
                      <w:rFonts w:ascii="ITC Avant Garde" w:hAnsi="ITC Avant Garde"/>
                      <w:sz w:val="18"/>
                      <w:szCs w:val="18"/>
                    </w:rPr>
                    <w:t xml:space="preserve">continuar con la ejecución de las acciones relacionadas con la implementación de gobierno electrónico, dirigidas a disminuir </w:t>
                  </w:r>
                  <w:r w:rsidRPr="0014159C">
                    <w:rPr>
                      <w:rFonts w:ascii="ITC Avant Garde" w:hAnsi="ITC Avant Garde"/>
                      <w:sz w:val="18"/>
                      <w:szCs w:val="18"/>
                    </w:rPr>
                    <w:lastRenderedPageBreak/>
                    <w:t>la carga administrativa y regulatoria en el Instituto</w:t>
                  </w:r>
                  <w:r>
                    <w:rPr>
                      <w:rFonts w:ascii="ITC Avant Garde" w:hAnsi="ITC Avant Garde"/>
                      <w:sz w:val="18"/>
                      <w:szCs w:val="18"/>
                    </w:rPr>
                    <w:t>.</w:t>
                  </w:r>
                </w:p>
                <w:p w14:paraId="3A0F5AC2" w14:textId="7B18135B" w:rsidR="006A5680" w:rsidRPr="00EE42D7" w:rsidRDefault="006A5680" w:rsidP="001525EA">
                  <w:pPr>
                    <w:jc w:val="both"/>
                    <w:rPr>
                      <w:rFonts w:ascii="Arial" w:hAnsi="Arial" w:cs="Arial"/>
                    </w:rPr>
                  </w:pP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2F907F6B" w:rsidR="00BE7D1C" w:rsidRPr="00451B7D" w:rsidRDefault="006D412A" w:rsidP="003F600A">
                      <w:pPr>
                        <w:rPr>
                          <w:rFonts w:ascii="ITC Avant Garde" w:hAnsi="ITC Avant Garde"/>
                          <w:i/>
                          <w:sz w:val="18"/>
                          <w:szCs w:val="18"/>
                        </w:rPr>
                      </w:pPr>
                      <w:r w:rsidRPr="007430B6">
                        <w:rPr>
                          <w:rStyle w:val="Textodelmarcadordeposicin"/>
                          <w:sz w:val="20"/>
                        </w:rPr>
                        <w:t>Elija un elemento.</w:t>
                      </w:r>
                    </w:p>
                  </w:tc>
                </w:sdtContent>
              </w:sdt>
              <w:tc>
                <w:tcPr>
                  <w:tcW w:w="2684" w:type="dxa"/>
                  <w:tcBorders>
                    <w:left w:val="single" w:sz="12" w:space="0" w:color="auto"/>
                  </w:tcBorders>
                </w:tcPr>
                <w:p w14:paraId="45F86C45" w14:textId="0321DBAF" w:rsidR="00BE7D1C" w:rsidRPr="00451B7D" w:rsidRDefault="00BE7D1C" w:rsidP="006D412A">
                  <w:pPr>
                    <w:jc w:val="both"/>
                    <w:rPr>
                      <w:rFonts w:ascii="ITC Avant Garde" w:hAnsi="ITC Avant Garde"/>
                      <w:sz w:val="18"/>
                      <w:szCs w:val="18"/>
                    </w:rPr>
                  </w:pPr>
                </w:p>
              </w:tc>
              <w:tc>
                <w:tcPr>
                  <w:tcW w:w="3969" w:type="dxa"/>
                </w:tcPr>
                <w:p w14:paraId="665E7213" w14:textId="6CFE45D4" w:rsidR="00BE7D1C" w:rsidRPr="0014159C" w:rsidRDefault="00BE7D1C" w:rsidP="006D412A">
                  <w:pPr>
                    <w:jc w:val="both"/>
                    <w:rPr>
                      <w:rFonts w:ascii="ITC Avant Garde" w:hAnsi="ITC Avant Garde"/>
                      <w:sz w:val="18"/>
                      <w:szCs w:val="18"/>
                    </w:rPr>
                  </w:pP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0030B0A" w14:textId="2DAF8E39" w:rsidR="00B46736" w:rsidRDefault="00B46736" w:rsidP="00B46736">
            <w:pPr>
              <w:pStyle w:val="Texto"/>
              <w:spacing w:after="60" w:line="213" w:lineRule="exact"/>
              <w:ind w:firstLine="0"/>
              <w:rPr>
                <w:rFonts w:ascii="ITC Avant Garde" w:eastAsiaTheme="minorHAnsi" w:hAnsi="ITC Avant Garde" w:cstheme="minorBidi"/>
                <w:szCs w:val="18"/>
                <w:lang w:val="es-MX" w:eastAsia="en-US"/>
              </w:rPr>
            </w:pPr>
          </w:p>
          <w:p w14:paraId="224DF733" w14:textId="1DB36D99" w:rsidR="00A73202" w:rsidRDefault="008B7CF5" w:rsidP="00B46736">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Se considera que la modificación a </w:t>
            </w:r>
            <w:r w:rsidRPr="000C3E5D">
              <w:rPr>
                <w:rFonts w:ascii="ITC Avant Garde" w:eastAsiaTheme="minorHAnsi" w:hAnsi="ITC Avant Garde" w:cstheme="minorBidi"/>
                <w:szCs w:val="18"/>
              </w:rPr>
              <w:t>los PTFN</w:t>
            </w:r>
            <w:r w:rsidRPr="000C3E5D">
              <w:rPr>
                <w:rFonts w:ascii="ITC Avant Garde" w:hAnsi="ITC Avant Garde"/>
                <w:szCs w:val="18"/>
              </w:rPr>
              <w:t>,</w:t>
            </w:r>
            <w:r w:rsidRPr="000C3E5D">
              <w:rPr>
                <w:rFonts w:ascii="ITC Avant Garde" w:eastAsiaTheme="minorHAnsi" w:hAnsi="ITC Avant Garde" w:cstheme="minorBidi"/>
                <w:szCs w:val="18"/>
              </w:rPr>
              <w:t xml:space="preserve"> PTFS, nuevo PTFN</w:t>
            </w:r>
            <w:r w:rsidRPr="000C3E5D">
              <w:rPr>
                <w:rFonts w:ascii="ITC Avant Garde" w:hAnsi="ITC Avant Garde" w:cstheme="minorBidi"/>
                <w:szCs w:val="18"/>
              </w:rPr>
              <w:t xml:space="preserve">, </w:t>
            </w:r>
            <w:r w:rsidRPr="000C3E5D">
              <w:rPr>
                <w:rFonts w:ascii="ITC Avant Garde" w:eastAsiaTheme="minorHAnsi" w:hAnsi="ITC Avant Garde" w:cstheme="minorBidi"/>
                <w:szCs w:val="18"/>
              </w:rPr>
              <w:t>nuevo PTFS</w:t>
            </w:r>
            <w:r w:rsidRPr="000C3E5D">
              <w:rPr>
                <w:rFonts w:ascii="ITC Avant Garde" w:hAnsi="ITC Avant Garde" w:cstheme="minorBidi"/>
                <w:szCs w:val="18"/>
              </w:rPr>
              <w:t xml:space="preserve"> y </w:t>
            </w:r>
            <w:r w:rsidRPr="000C3E5D">
              <w:rPr>
                <w:rFonts w:ascii="ITC Avant Garde" w:eastAsiaTheme="minorHAnsi" w:hAnsi="ITC Avant Garde" w:cstheme="minorBidi"/>
                <w:szCs w:val="18"/>
              </w:rPr>
              <w:t>Reglas de Portabilidad</w:t>
            </w:r>
            <w:r>
              <w:rPr>
                <w:rFonts w:ascii="ITC Avant Garde" w:eastAsiaTheme="minorHAnsi" w:hAnsi="ITC Avant Garde" w:cstheme="minorBidi"/>
                <w:szCs w:val="18"/>
              </w:rPr>
              <w:t xml:space="preserve">, </w:t>
            </w:r>
            <w:r>
              <w:rPr>
                <w:rFonts w:ascii="ITC Avant Garde" w:eastAsiaTheme="minorHAnsi" w:hAnsi="ITC Avant Garde" w:cstheme="minorBidi"/>
                <w:szCs w:val="18"/>
                <w:lang w:val="es-MX" w:eastAsia="en-US"/>
              </w:rPr>
              <w:t xml:space="preserve">no genera costos de cumplimiento, puesto que </w:t>
            </w:r>
            <w:r w:rsidR="00501B92">
              <w:rPr>
                <w:rFonts w:ascii="ITC Avant Garde" w:eastAsiaTheme="minorHAnsi" w:hAnsi="ITC Avant Garde" w:cstheme="minorBidi"/>
                <w:szCs w:val="18"/>
                <w:lang w:val="es-MX" w:eastAsia="en-US"/>
              </w:rPr>
              <w:t xml:space="preserve">dichas disposiciones </w:t>
            </w:r>
            <w:r>
              <w:rPr>
                <w:rFonts w:ascii="ITC Avant Garde" w:eastAsiaTheme="minorHAnsi" w:hAnsi="ITC Avant Garde" w:cstheme="minorBidi"/>
                <w:szCs w:val="18"/>
                <w:lang w:val="es-MX" w:eastAsia="en-US"/>
              </w:rPr>
              <w:t>de carácter general</w:t>
            </w:r>
            <w:r w:rsidR="00501B92">
              <w:rPr>
                <w:rFonts w:ascii="ITC Avant Garde" w:eastAsiaTheme="minorHAnsi" w:hAnsi="ITC Avant Garde" w:cstheme="minorBidi"/>
                <w:szCs w:val="18"/>
                <w:lang w:val="es-MX" w:eastAsia="en-US"/>
              </w:rPr>
              <w:t xml:space="preserve"> solamente comprenden </w:t>
            </w:r>
            <w:r>
              <w:rPr>
                <w:rFonts w:ascii="ITC Avant Garde" w:eastAsiaTheme="minorHAnsi" w:hAnsi="ITC Avant Garde" w:cstheme="minorBidi"/>
                <w:szCs w:val="18"/>
                <w:lang w:val="es-MX" w:eastAsia="en-US"/>
              </w:rPr>
              <w:t xml:space="preserve">la </w:t>
            </w:r>
            <w:r w:rsidR="00D855EF">
              <w:rPr>
                <w:rFonts w:ascii="ITC Avant Garde" w:eastAsiaTheme="minorHAnsi" w:hAnsi="ITC Avant Garde" w:cstheme="minorBidi"/>
                <w:szCs w:val="18"/>
                <w:lang w:val="es-MX" w:eastAsia="en-US"/>
              </w:rPr>
              <w:t xml:space="preserve">posibilidad </w:t>
            </w:r>
            <w:r>
              <w:rPr>
                <w:rFonts w:ascii="ITC Avant Garde" w:eastAsiaTheme="minorHAnsi" w:hAnsi="ITC Avant Garde" w:cstheme="minorBidi"/>
                <w:szCs w:val="18"/>
                <w:lang w:val="es-MX" w:eastAsia="en-US"/>
              </w:rPr>
              <w:t>de</w:t>
            </w:r>
            <w:r w:rsidR="00D855EF">
              <w:rPr>
                <w:rFonts w:ascii="ITC Avant Garde" w:eastAsiaTheme="minorHAnsi" w:hAnsi="ITC Avant Garde" w:cstheme="minorBidi"/>
                <w:szCs w:val="18"/>
                <w:lang w:val="es-MX" w:eastAsia="en-US"/>
              </w:rPr>
              <w:t xml:space="preserve"> que</w:t>
            </w:r>
            <w:r>
              <w:rPr>
                <w:rFonts w:ascii="ITC Avant Garde" w:eastAsiaTheme="minorHAnsi" w:hAnsi="ITC Avant Garde" w:cstheme="minorBidi"/>
                <w:szCs w:val="18"/>
                <w:lang w:val="es-MX" w:eastAsia="en-US"/>
              </w:rPr>
              <w:t xml:space="preserve"> nuevos</w:t>
            </w:r>
            <w:r w:rsidR="00D855EF">
              <w:rPr>
                <w:rFonts w:ascii="ITC Avant Garde" w:eastAsiaTheme="minorHAnsi" w:hAnsi="ITC Avant Garde" w:cstheme="minorBidi"/>
                <w:szCs w:val="18"/>
                <w:lang w:val="es-MX" w:eastAsia="en-US"/>
              </w:rPr>
              <w:t xml:space="preserve"> tipos de</w:t>
            </w:r>
            <w:r>
              <w:rPr>
                <w:rFonts w:ascii="ITC Avant Garde" w:eastAsiaTheme="minorHAnsi" w:hAnsi="ITC Avant Garde" w:cstheme="minorBidi"/>
                <w:szCs w:val="18"/>
                <w:lang w:val="es-MX" w:eastAsia="en-US"/>
              </w:rPr>
              <w:t xml:space="preserve"> </w:t>
            </w:r>
            <w:r w:rsidR="00D855EF">
              <w:rPr>
                <w:rFonts w:ascii="ITC Avant Garde" w:eastAsiaTheme="minorHAnsi" w:hAnsi="ITC Avant Garde" w:cstheme="minorBidi"/>
                <w:szCs w:val="18"/>
                <w:lang w:val="es-MX" w:eastAsia="en-US"/>
              </w:rPr>
              <w:t xml:space="preserve">prestadores de servicios </w:t>
            </w:r>
            <w:r w:rsidR="006C6900">
              <w:rPr>
                <w:rFonts w:ascii="ITC Avant Garde" w:eastAsiaTheme="minorHAnsi" w:hAnsi="ITC Avant Garde" w:cstheme="minorBidi"/>
                <w:szCs w:val="18"/>
                <w:lang w:val="es-MX" w:eastAsia="en-US"/>
              </w:rPr>
              <w:t>tengan acceso a</w:t>
            </w:r>
            <w:r w:rsidR="00D855EF">
              <w:rPr>
                <w:rFonts w:ascii="ITC Avant Garde" w:eastAsiaTheme="minorHAnsi" w:hAnsi="ITC Avant Garde" w:cstheme="minorBidi"/>
                <w:szCs w:val="18"/>
                <w:lang w:val="es-MX" w:eastAsia="en-US"/>
              </w:rPr>
              <w:t xml:space="preserve"> recursos numéricos</w:t>
            </w:r>
            <w:r w:rsidR="00842E2B">
              <w:rPr>
                <w:rFonts w:ascii="ITC Avant Garde" w:eastAsiaTheme="minorHAnsi" w:hAnsi="ITC Avant Garde" w:cstheme="minorBidi"/>
                <w:szCs w:val="18"/>
                <w:lang w:val="es-MX" w:eastAsia="en-US"/>
              </w:rPr>
              <w:t xml:space="preserve"> que al día de hoy</w:t>
            </w:r>
            <w:r w:rsidR="006C6900">
              <w:rPr>
                <w:rFonts w:ascii="ITC Avant Garde" w:eastAsiaTheme="minorHAnsi" w:hAnsi="ITC Avant Garde" w:cstheme="minorBidi"/>
                <w:szCs w:val="18"/>
                <w:lang w:val="es-MX" w:eastAsia="en-US"/>
              </w:rPr>
              <w:t xml:space="preserve"> solo se asignan a titulares de una concesión única para uso comercial, </w:t>
            </w:r>
            <w:r w:rsidR="00DC488B">
              <w:rPr>
                <w:rFonts w:ascii="ITC Avant Garde" w:eastAsiaTheme="minorHAnsi" w:hAnsi="ITC Avant Garde" w:cstheme="minorBidi"/>
                <w:szCs w:val="18"/>
                <w:lang w:val="es-MX" w:eastAsia="en-US"/>
              </w:rPr>
              <w:t xml:space="preserve">o </w:t>
            </w:r>
            <w:r w:rsidR="006C6900">
              <w:rPr>
                <w:rFonts w:ascii="ITC Avant Garde" w:eastAsiaTheme="minorHAnsi" w:hAnsi="ITC Avant Garde" w:cstheme="minorBidi"/>
                <w:szCs w:val="18"/>
                <w:lang w:val="es-MX" w:eastAsia="en-US"/>
              </w:rPr>
              <w:t xml:space="preserve">de red pública de telecomunicaciones, </w:t>
            </w:r>
            <w:r w:rsidR="00DC488B">
              <w:rPr>
                <w:rFonts w:ascii="ITC Avant Garde" w:eastAsiaTheme="minorHAnsi" w:hAnsi="ITC Avant Garde" w:cstheme="minorBidi"/>
                <w:szCs w:val="18"/>
                <w:lang w:val="es-MX" w:eastAsia="en-US"/>
              </w:rPr>
              <w:t xml:space="preserve">así como a </w:t>
            </w:r>
            <w:r w:rsidR="00F72CC2">
              <w:rPr>
                <w:rFonts w:ascii="ITC Avant Garde" w:eastAsiaTheme="minorHAnsi" w:hAnsi="ITC Avant Garde" w:cstheme="minorBidi"/>
                <w:szCs w:val="18"/>
                <w:lang w:val="es-MX" w:eastAsia="en-US"/>
              </w:rPr>
              <w:t xml:space="preserve">autorizados o permisionarios. </w:t>
            </w:r>
            <w:r w:rsidR="00A73202">
              <w:rPr>
                <w:rFonts w:ascii="ITC Avant Garde" w:eastAsiaTheme="minorHAnsi" w:hAnsi="ITC Avant Garde" w:cstheme="minorBidi"/>
                <w:szCs w:val="18"/>
                <w:lang w:val="es-MX" w:eastAsia="en-US"/>
              </w:rPr>
              <w:t>Asimismo, se considera, nula la carga regulatoria a los actuales sujetos comprendidos en las disposiciones de carácter general vigentes por los motivos antes expuestos.</w:t>
            </w:r>
          </w:p>
          <w:p w14:paraId="5DF213D6" w14:textId="277AE35C" w:rsidR="004970F0" w:rsidRDefault="004970F0" w:rsidP="00B46736">
            <w:pPr>
              <w:pStyle w:val="Texto"/>
              <w:spacing w:after="60" w:line="213" w:lineRule="exact"/>
              <w:ind w:firstLine="0"/>
              <w:rPr>
                <w:rFonts w:ascii="ITC Avant Garde" w:eastAsiaTheme="minorHAnsi" w:hAnsi="ITC Avant Garde" w:cstheme="minorBidi"/>
                <w:szCs w:val="18"/>
                <w:lang w:val="es-MX" w:eastAsia="en-US"/>
              </w:rPr>
            </w:pPr>
          </w:p>
          <w:p w14:paraId="30710488" w14:textId="73A0445B" w:rsidR="004970F0" w:rsidRDefault="004970F0" w:rsidP="00B46736">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Por</w:t>
            </w:r>
            <w:r w:rsidR="00182F9C">
              <w:rPr>
                <w:rFonts w:ascii="ITC Avant Garde" w:eastAsiaTheme="minorHAnsi" w:hAnsi="ITC Avant Garde" w:cstheme="minorBidi"/>
                <w:szCs w:val="18"/>
                <w:lang w:val="es-MX" w:eastAsia="en-US"/>
              </w:rPr>
              <w:t xml:space="preserve"> </w:t>
            </w:r>
            <w:r>
              <w:rPr>
                <w:rFonts w:ascii="ITC Avant Garde" w:eastAsiaTheme="minorHAnsi" w:hAnsi="ITC Avant Garde" w:cstheme="minorBidi"/>
                <w:szCs w:val="18"/>
                <w:lang w:val="es-MX" w:eastAsia="en-US"/>
              </w:rPr>
              <w:t xml:space="preserve">lo que hace a la modificación que se prevé realizar a </w:t>
            </w:r>
            <w:r w:rsidRPr="000C3E5D">
              <w:rPr>
                <w:rFonts w:ascii="ITC Avant Garde" w:eastAsiaTheme="minorHAnsi" w:hAnsi="ITC Avant Garde" w:cstheme="minorBidi"/>
                <w:szCs w:val="18"/>
              </w:rPr>
              <w:t>los PTFN</w:t>
            </w:r>
            <w:r w:rsidRPr="000C3E5D">
              <w:rPr>
                <w:rFonts w:ascii="ITC Avant Garde" w:hAnsi="ITC Avant Garde"/>
                <w:szCs w:val="18"/>
              </w:rPr>
              <w:t>,</w:t>
            </w:r>
            <w:r w:rsidRPr="000C3E5D">
              <w:rPr>
                <w:rFonts w:ascii="ITC Avant Garde" w:eastAsiaTheme="minorHAnsi" w:hAnsi="ITC Avant Garde" w:cstheme="minorBidi"/>
                <w:szCs w:val="18"/>
              </w:rPr>
              <w:t xml:space="preserve"> PTFS, nuevo PTFN</w:t>
            </w:r>
            <w:r w:rsidRPr="000C3E5D">
              <w:rPr>
                <w:rFonts w:ascii="ITC Avant Garde" w:hAnsi="ITC Avant Garde" w:cstheme="minorBidi"/>
                <w:szCs w:val="18"/>
              </w:rPr>
              <w:t xml:space="preserve">, </w:t>
            </w:r>
            <w:r w:rsidRPr="000C3E5D">
              <w:rPr>
                <w:rFonts w:ascii="ITC Avant Garde" w:eastAsiaTheme="minorHAnsi" w:hAnsi="ITC Avant Garde" w:cstheme="minorBidi"/>
                <w:szCs w:val="18"/>
              </w:rPr>
              <w:t>nuevo PTFS</w:t>
            </w:r>
            <w:r w:rsidRPr="000C3E5D">
              <w:rPr>
                <w:rFonts w:ascii="ITC Avant Garde" w:hAnsi="ITC Avant Garde" w:cstheme="minorBidi"/>
                <w:szCs w:val="18"/>
              </w:rPr>
              <w:t xml:space="preserve"> y </w:t>
            </w:r>
            <w:r w:rsidRPr="000C3E5D">
              <w:rPr>
                <w:rFonts w:ascii="ITC Avant Garde" w:eastAsiaTheme="minorHAnsi" w:hAnsi="ITC Avant Garde" w:cstheme="minorBidi"/>
                <w:szCs w:val="18"/>
              </w:rPr>
              <w:t>Reglas de Portabilidad</w:t>
            </w:r>
            <w:r w:rsidR="00F93016">
              <w:rPr>
                <w:rFonts w:ascii="ITC Avant Garde" w:eastAsiaTheme="minorHAnsi" w:hAnsi="ITC Avant Garde" w:cstheme="minorBidi"/>
                <w:szCs w:val="18"/>
              </w:rPr>
              <w:t>,</w:t>
            </w:r>
            <w:r>
              <w:rPr>
                <w:rFonts w:ascii="ITC Avant Garde" w:eastAsiaTheme="minorHAnsi" w:hAnsi="ITC Avant Garde" w:cstheme="minorBidi"/>
                <w:szCs w:val="18"/>
                <w:lang w:val="es-MX" w:eastAsia="en-US"/>
              </w:rPr>
              <w:t xml:space="preserve"> relativa a</w:t>
            </w:r>
            <w:r w:rsidR="00F93016">
              <w:rPr>
                <w:rFonts w:ascii="ITC Avant Garde" w:eastAsiaTheme="minorHAnsi" w:hAnsi="ITC Avant Garde" w:cstheme="minorBidi"/>
                <w:szCs w:val="18"/>
                <w:lang w:val="es-MX" w:eastAsia="en-US"/>
              </w:rPr>
              <w:t xml:space="preserve">l uso </w:t>
            </w:r>
            <w:r>
              <w:rPr>
                <w:rFonts w:ascii="ITC Avant Garde" w:eastAsiaTheme="minorHAnsi" w:hAnsi="ITC Avant Garde" w:cstheme="minorBidi"/>
                <w:szCs w:val="18"/>
                <w:lang w:val="es-MX" w:eastAsia="en-US"/>
              </w:rPr>
              <w:t xml:space="preserve">de </w:t>
            </w:r>
            <w:r w:rsidR="00F93016">
              <w:rPr>
                <w:rFonts w:ascii="ITC Avant Garde" w:eastAsiaTheme="minorHAnsi" w:hAnsi="ITC Avant Garde" w:cstheme="minorBidi"/>
                <w:szCs w:val="18"/>
                <w:lang w:val="es-MX" w:eastAsia="en-US"/>
              </w:rPr>
              <w:t xml:space="preserve">la </w:t>
            </w:r>
            <w:r>
              <w:rPr>
                <w:rFonts w:ascii="ITC Avant Garde" w:eastAsiaTheme="minorHAnsi" w:hAnsi="ITC Avant Garde" w:cstheme="minorBidi"/>
                <w:szCs w:val="18"/>
                <w:lang w:val="es-MX" w:eastAsia="en-US"/>
              </w:rPr>
              <w:t>Ventanilla Electrónica</w:t>
            </w:r>
            <w:r w:rsidR="00F93016">
              <w:rPr>
                <w:rFonts w:ascii="ITC Avant Garde" w:eastAsiaTheme="minorHAnsi" w:hAnsi="ITC Avant Garde" w:cstheme="minorBidi"/>
                <w:szCs w:val="18"/>
                <w:lang w:val="es-MX" w:eastAsia="en-US"/>
              </w:rPr>
              <w:t xml:space="preserve"> para la sustanciación de los trámites establecidos en los planes, </w:t>
            </w:r>
            <w:r>
              <w:rPr>
                <w:rFonts w:ascii="ITC Avant Garde" w:eastAsiaTheme="minorHAnsi" w:hAnsi="ITC Avant Garde" w:cstheme="minorBidi"/>
                <w:szCs w:val="18"/>
                <w:lang w:val="es-MX" w:eastAsia="en-US"/>
              </w:rPr>
              <w:t xml:space="preserve">se considera que </w:t>
            </w:r>
            <w:r w:rsidR="00CA2299">
              <w:rPr>
                <w:rFonts w:ascii="ITC Avant Garde" w:eastAsiaTheme="minorHAnsi" w:hAnsi="ITC Avant Garde" w:cstheme="minorBidi"/>
                <w:szCs w:val="18"/>
                <w:lang w:val="es-MX" w:eastAsia="en-US"/>
              </w:rPr>
              <w:t xml:space="preserve">en </w:t>
            </w:r>
            <w:r w:rsidR="001525EA">
              <w:rPr>
                <w:rFonts w:ascii="ITC Avant Garde" w:eastAsiaTheme="minorHAnsi" w:hAnsi="ITC Avant Garde" w:cstheme="minorBidi"/>
                <w:szCs w:val="18"/>
                <w:lang w:val="es-MX" w:eastAsia="en-US"/>
              </w:rPr>
              <w:t>los mismos</w:t>
            </w:r>
            <w:r>
              <w:rPr>
                <w:rFonts w:ascii="ITC Avant Garde" w:eastAsiaTheme="minorHAnsi" w:hAnsi="ITC Avant Garde" w:cstheme="minorBidi"/>
                <w:szCs w:val="18"/>
                <w:lang w:val="es-MX" w:eastAsia="en-US"/>
              </w:rPr>
              <w:t xml:space="preserve"> </w:t>
            </w:r>
            <w:r w:rsidR="004C3543">
              <w:rPr>
                <w:rFonts w:ascii="ITC Avant Garde" w:eastAsiaTheme="minorHAnsi" w:hAnsi="ITC Avant Garde" w:cstheme="minorBidi"/>
                <w:szCs w:val="18"/>
                <w:lang w:val="es-MX" w:eastAsia="en-US"/>
              </w:rPr>
              <w:t xml:space="preserve">ya </w:t>
            </w:r>
            <w:r w:rsidR="00CA2299">
              <w:rPr>
                <w:rFonts w:ascii="ITC Avant Garde" w:eastAsiaTheme="minorHAnsi" w:hAnsi="ITC Avant Garde" w:cstheme="minorBidi"/>
                <w:szCs w:val="18"/>
                <w:lang w:val="es-MX" w:eastAsia="en-US"/>
              </w:rPr>
              <w:t xml:space="preserve">se </w:t>
            </w:r>
            <w:r>
              <w:rPr>
                <w:rFonts w:ascii="ITC Avant Garde" w:eastAsiaTheme="minorHAnsi" w:hAnsi="ITC Avant Garde" w:cstheme="minorBidi"/>
                <w:szCs w:val="18"/>
                <w:lang w:val="es-MX" w:eastAsia="en-US"/>
              </w:rPr>
              <w:t xml:space="preserve">establecía </w:t>
            </w:r>
            <w:r w:rsidR="00CA2299">
              <w:rPr>
                <w:rFonts w:ascii="ITC Avant Garde" w:eastAsiaTheme="minorHAnsi" w:hAnsi="ITC Avant Garde" w:cstheme="minorBidi"/>
                <w:szCs w:val="18"/>
                <w:lang w:val="es-MX" w:eastAsia="en-US"/>
              </w:rPr>
              <w:t xml:space="preserve">su </w:t>
            </w:r>
            <w:r>
              <w:rPr>
                <w:rFonts w:ascii="ITC Avant Garde" w:eastAsiaTheme="minorHAnsi" w:hAnsi="ITC Avant Garde" w:cstheme="minorBidi"/>
                <w:szCs w:val="18"/>
                <w:lang w:val="es-MX" w:eastAsia="en-US"/>
              </w:rPr>
              <w:t>implementación electrónic</w:t>
            </w:r>
            <w:r w:rsidR="00CA2299">
              <w:rPr>
                <w:rFonts w:ascii="ITC Avant Garde" w:eastAsiaTheme="minorHAnsi" w:hAnsi="ITC Avant Garde" w:cstheme="minorBidi"/>
                <w:szCs w:val="18"/>
                <w:lang w:val="es-MX" w:eastAsia="en-US"/>
              </w:rPr>
              <w:t>a</w:t>
            </w:r>
            <w:r w:rsidR="004C3543">
              <w:rPr>
                <w:rFonts w:ascii="ITC Avant Garde" w:eastAsiaTheme="minorHAnsi" w:hAnsi="ITC Avant Garde" w:cstheme="minorBidi"/>
                <w:szCs w:val="18"/>
                <w:lang w:val="es-MX" w:eastAsia="en-US"/>
              </w:rPr>
              <w:t>, por lo que</w:t>
            </w:r>
            <w:r>
              <w:rPr>
                <w:rFonts w:ascii="ITC Avant Garde" w:eastAsiaTheme="minorHAnsi" w:hAnsi="ITC Avant Garde" w:cstheme="minorBidi"/>
                <w:szCs w:val="18"/>
                <w:lang w:val="es-MX" w:eastAsia="en-US"/>
              </w:rPr>
              <w:t xml:space="preserve"> la posible carga regulatoria fue </w:t>
            </w:r>
            <w:r w:rsidR="004C3543">
              <w:rPr>
                <w:rFonts w:ascii="ITC Avant Garde" w:eastAsiaTheme="minorHAnsi" w:hAnsi="ITC Avant Garde" w:cstheme="minorBidi"/>
                <w:szCs w:val="18"/>
                <w:lang w:val="es-MX" w:eastAsia="en-US"/>
              </w:rPr>
              <w:t>tomada en cuenta</w:t>
            </w:r>
            <w:r>
              <w:rPr>
                <w:rFonts w:ascii="ITC Avant Garde" w:eastAsiaTheme="minorHAnsi" w:hAnsi="ITC Avant Garde" w:cstheme="minorBidi"/>
                <w:szCs w:val="18"/>
                <w:lang w:val="es-MX" w:eastAsia="en-US"/>
              </w:rPr>
              <w:t xml:space="preserve"> en el proceso de </w:t>
            </w:r>
            <w:r w:rsidR="00501B92">
              <w:rPr>
                <w:rFonts w:ascii="ITC Avant Garde" w:eastAsiaTheme="minorHAnsi" w:hAnsi="ITC Avant Garde" w:cstheme="minorBidi"/>
                <w:szCs w:val="18"/>
                <w:lang w:val="es-MX" w:eastAsia="en-US"/>
              </w:rPr>
              <w:t xml:space="preserve">aprobación de </w:t>
            </w:r>
            <w:r w:rsidR="00CA2299">
              <w:rPr>
                <w:rFonts w:ascii="ITC Avant Garde" w:eastAsiaTheme="minorHAnsi" w:hAnsi="ITC Avant Garde" w:cstheme="minorBidi"/>
                <w:szCs w:val="18"/>
                <w:lang w:val="es-MX" w:eastAsia="en-US"/>
              </w:rPr>
              <w:t>los planes</w:t>
            </w:r>
            <w:r w:rsidR="00501B92">
              <w:rPr>
                <w:rFonts w:ascii="ITC Avant Garde" w:eastAsiaTheme="minorHAnsi" w:hAnsi="ITC Avant Garde" w:cstheme="minorBidi"/>
                <w:szCs w:val="18"/>
                <w:lang w:val="es-MX" w:eastAsia="en-US"/>
              </w:rPr>
              <w:t xml:space="preserve"> </w:t>
            </w:r>
            <w:r>
              <w:rPr>
                <w:rFonts w:ascii="ITC Avant Garde" w:eastAsiaTheme="minorHAnsi" w:hAnsi="ITC Avant Garde" w:cstheme="minorBidi"/>
                <w:szCs w:val="18"/>
                <w:lang w:val="es-MX" w:eastAsia="en-US"/>
              </w:rPr>
              <w:t>y puesta en conocimiento de los sujetos regulados mediante el proceso de consulta pública</w:t>
            </w:r>
            <w:r w:rsidR="004C3543">
              <w:rPr>
                <w:rFonts w:ascii="ITC Avant Garde" w:eastAsiaTheme="minorHAnsi" w:hAnsi="ITC Avant Garde" w:cstheme="minorBidi"/>
                <w:szCs w:val="18"/>
                <w:lang w:val="es-MX" w:eastAsia="en-US"/>
              </w:rPr>
              <w:t xml:space="preserve"> correspondiente.</w:t>
            </w:r>
            <w:r w:rsidR="00501B92">
              <w:rPr>
                <w:rFonts w:ascii="ITC Avant Garde" w:eastAsiaTheme="minorHAnsi" w:hAnsi="ITC Avant Garde" w:cstheme="minorBidi"/>
                <w:szCs w:val="18"/>
                <w:lang w:val="es-MX" w:eastAsia="en-US"/>
              </w:rPr>
              <w:t xml:space="preserve"> </w:t>
            </w:r>
          </w:p>
          <w:p w14:paraId="7CEF5AB6" w14:textId="1489AE03" w:rsidR="00BE7D1C" w:rsidRPr="008B7CF5" w:rsidRDefault="00BE7D1C" w:rsidP="00B46736">
            <w:pPr>
              <w:pStyle w:val="Texto"/>
              <w:spacing w:after="60" w:line="213" w:lineRule="exact"/>
              <w:ind w:firstLine="0"/>
              <w:rPr>
                <w:rFonts w:ascii="ITC Avant Garde" w:eastAsiaTheme="minorHAnsi" w:hAnsi="ITC Avant Garde" w:cstheme="minorBidi"/>
                <w:szCs w:val="18"/>
                <w:lang w:val="es-MX" w:eastAsia="en-US"/>
              </w:rPr>
            </w:pPr>
          </w:p>
          <w:p w14:paraId="05780536" w14:textId="77777777" w:rsidR="00BE7D1C" w:rsidRPr="00451B7D" w:rsidRDefault="00BE7D1C" w:rsidP="003F600A">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A0BE33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2627ED7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7E56B43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00700E9A">
              <w:rPr>
                <w:rFonts w:ascii="ITC Avant Garde" w:hAnsi="ITC Avant Garde"/>
                <w:sz w:val="18"/>
                <w:szCs w:val="18"/>
              </w:rPr>
              <w:t xml:space="preserve"> ) No (X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B82763">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B82763">
              <w:rPr>
                <w:rFonts w:ascii="ITC Avant Garde" w:hAnsi="ITC Avant Garde"/>
                <w:sz w:val="18"/>
                <w:szCs w:val="18"/>
              </w:rPr>
              <w:t>ciones, prestaciones o trámites</w:t>
            </w:r>
            <w:r w:rsidRPr="00B82763">
              <w:rPr>
                <w:rFonts w:ascii="ITC Avant Garde" w:hAnsi="ITC Avant Garde"/>
                <w:sz w:val="18"/>
                <w:szCs w:val="18"/>
              </w:rPr>
              <w:t>.</w:t>
            </w:r>
          </w:p>
        </w:tc>
        <w:tc>
          <w:tcPr>
            <w:tcW w:w="1462" w:type="dxa"/>
          </w:tcPr>
          <w:p w14:paraId="40FD2722" w14:textId="22A424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00700E9A">
              <w:rPr>
                <w:rFonts w:ascii="ITC Avant Garde" w:hAnsi="ITC Avant Garde"/>
                <w:sz w:val="18"/>
                <w:szCs w:val="18"/>
              </w:rPr>
              <w:t>) No (X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34AE2226" w:rsidR="00B74C55"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1760EA5E" w14:textId="77777777" w:rsidR="00304150" w:rsidRPr="00451B7D" w:rsidRDefault="00304150" w:rsidP="00A73AD8">
            <w:pPr>
              <w:jc w:val="both"/>
              <w:rPr>
                <w:rFonts w:ascii="ITC Avant Garde" w:hAnsi="ITC Avant Garde"/>
                <w:b/>
                <w:sz w:val="18"/>
                <w:szCs w:val="18"/>
              </w:rPr>
            </w:pPr>
          </w:p>
          <w:p w14:paraId="47D15F0F" w14:textId="1FD75314" w:rsidR="00700E9A" w:rsidRPr="00304150" w:rsidRDefault="00700E9A" w:rsidP="00304150">
            <w:pPr>
              <w:pStyle w:val="Prrafodelista"/>
              <w:numPr>
                <w:ilvl w:val="0"/>
                <w:numId w:val="6"/>
              </w:numPr>
              <w:jc w:val="both"/>
              <w:rPr>
                <w:rFonts w:ascii="ITC Avant Garde" w:hAnsi="ITC Avant Garde"/>
                <w:sz w:val="18"/>
                <w:szCs w:val="18"/>
              </w:rPr>
            </w:pPr>
            <w:r w:rsidRPr="00304150">
              <w:rPr>
                <w:rFonts w:ascii="ITC Avant Garde" w:hAnsi="ITC Avant Garde"/>
                <w:sz w:val="18"/>
                <w:szCs w:val="18"/>
              </w:rPr>
              <w:t xml:space="preserve">Plan Técnico Fundamental de Numeración, publicado en el </w:t>
            </w:r>
            <w:r w:rsidR="00266C17" w:rsidRPr="00304150">
              <w:rPr>
                <w:rFonts w:ascii="ITC Avant Garde" w:hAnsi="ITC Avant Garde"/>
                <w:sz w:val="18"/>
                <w:szCs w:val="18"/>
              </w:rPr>
              <w:t>Diario Oficial de la Federación</w:t>
            </w:r>
            <w:r w:rsidR="00266C17">
              <w:rPr>
                <w:rFonts w:ascii="ITC Avant Garde" w:hAnsi="ITC Avant Garde"/>
                <w:sz w:val="18"/>
                <w:szCs w:val="18"/>
              </w:rPr>
              <w:t xml:space="preserve"> </w:t>
            </w:r>
            <w:r w:rsidRPr="00304150">
              <w:rPr>
                <w:rFonts w:ascii="ITC Avant Garde" w:hAnsi="ITC Avant Garde"/>
                <w:sz w:val="18"/>
                <w:szCs w:val="18"/>
              </w:rPr>
              <w:t>el 21 de junio de 1996;</w:t>
            </w:r>
          </w:p>
          <w:p w14:paraId="4638AE59" w14:textId="7B24DC49" w:rsidR="00700E9A" w:rsidRPr="00304150" w:rsidRDefault="00700E9A" w:rsidP="00304150">
            <w:pPr>
              <w:pStyle w:val="Prrafodelista"/>
              <w:numPr>
                <w:ilvl w:val="0"/>
                <w:numId w:val="6"/>
              </w:numPr>
              <w:jc w:val="both"/>
              <w:rPr>
                <w:rFonts w:ascii="ITC Avant Garde" w:hAnsi="ITC Avant Garde"/>
                <w:sz w:val="18"/>
                <w:szCs w:val="18"/>
              </w:rPr>
            </w:pPr>
            <w:r w:rsidRPr="00304150">
              <w:rPr>
                <w:rFonts w:ascii="ITC Avant Garde" w:hAnsi="ITC Avant Garde"/>
                <w:sz w:val="18"/>
                <w:szCs w:val="18"/>
              </w:rPr>
              <w:t xml:space="preserve">Plan Técnico Fundamental de Señalización, publicado en el </w:t>
            </w:r>
            <w:r w:rsidR="00266C17" w:rsidRPr="00304150">
              <w:rPr>
                <w:rFonts w:ascii="ITC Avant Garde" w:hAnsi="ITC Avant Garde"/>
                <w:sz w:val="18"/>
                <w:szCs w:val="18"/>
              </w:rPr>
              <w:t>Diario Oficial de la Federación</w:t>
            </w:r>
            <w:r w:rsidR="00266C17">
              <w:rPr>
                <w:rFonts w:ascii="ITC Avant Garde" w:hAnsi="ITC Avant Garde"/>
                <w:sz w:val="18"/>
                <w:szCs w:val="18"/>
              </w:rPr>
              <w:t xml:space="preserve"> </w:t>
            </w:r>
            <w:r w:rsidRPr="00304150">
              <w:rPr>
                <w:rFonts w:ascii="ITC Avant Garde" w:hAnsi="ITC Avant Garde"/>
                <w:sz w:val="18"/>
                <w:szCs w:val="18"/>
              </w:rPr>
              <w:t>el 21 de junio de 1996;</w:t>
            </w:r>
          </w:p>
          <w:p w14:paraId="17186D0B" w14:textId="4888FB0B" w:rsidR="00700E9A" w:rsidRDefault="00700E9A" w:rsidP="00304150">
            <w:pPr>
              <w:pStyle w:val="Prrafodelista"/>
              <w:numPr>
                <w:ilvl w:val="0"/>
                <w:numId w:val="6"/>
              </w:numPr>
              <w:jc w:val="both"/>
              <w:rPr>
                <w:rFonts w:ascii="ITC Avant Garde" w:hAnsi="ITC Avant Garde"/>
                <w:sz w:val="18"/>
                <w:szCs w:val="18"/>
              </w:rPr>
            </w:pPr>
            <w:r w:rsidRPr="00304150">
              <w:rPr>
                <w:rFonts w:ascii="ITC Avant Garde" w:hAnsi="ITC Avant Garde"/>
                <w:sz w:val="18"/>
                <w:szCs w:val="18"/>
              </w:rPr>
              <w:t>Resolución por la que el Pleno de la extinta Comisión Federal de Telecomunicaciones modifica el Plan Técnico Fundamental de Señalización, publicada en el Diario Oficial de la Federación el 14 de octubre de 2011;</w:t>
            </w:r>
          </w:p>
          <w:p w14:paraId="4A13A8C4" w14:textId="44681823" w:rsidR="00304150" w:rsidRDefault="00304150" w:rsidP="00304150">
            <w:pPr>
              <w:pStyle w:val="Prrafodelista"/>
              <w:numPr>
                <w:ilvl w:val="0"/>
                <w:numId w:val="6"/>
              </w:numPr>
              <w:jc w:val="both"/>
              <w:rPr>
                <w:rFonts w:ascii="ITC Avant Garde" w:hAnsi="ITC Avant Garde"/>
                <w:sz w:val="18"/>
                <w:szCs w:val="18"/>
              </w:rPr>
            </w:pPr>
            <w:r w:rsidRPr="00304150">
              <w:rPr>
                <w:rFonts w:ascii="ITC Avant Garde" w:hAnsi="ITC Avant Garde"/>
                <w:sz w:val="18"/>
                <w:szCs w:val="18"/>
              </w:rPr>
              <w:t>Decreto por el que se reforman y adicionan diversas disposiciones de los artículos 6, 7, 27, 28, 73, 78, 94 y 105 de la Constitución Política de los Estados Unidos Mexicanos, en materia de telecomunicaciones</w:t>
            </w:r>
            <w:r>
              <w:rPr>
                <w:rFonts w:ascii="ITC Avant Garde" w:hAnsi="ITC Avant Garde"/>
                <w:sz w:val="18"/>
                <w:szCs w:val="18"/>
              </w:rPr>
              <w:t xml:space="preserve">, </w:t>
            </w:r>
            <w:r w:rsidRPr="00304150">
              <w:rPr>
                <w:rFonts w:ascii="ITC Avant Garde" w:hAnsi="ITC Avant Garde"/>
                <w:sz w:val="18"/>
                <w:szCs w:val="18"/>
              </w:rPr>
              <w:t>publicado en el Diario Oficial de la Federación</w:t>
            </w:r>
            <w:r>
              <w:rPr>
                <w:rFonts w:ascii="ITC Avant Garde" w:hAnsi="ITC Avant Garde"/>
                <w:sz w:val="18"/>
                <w:szCs w:val="18"/>
              </w:rPr>
              <w:t xml:space="preserve"> el </w:t>
            </w:r>
            <w:r w:rsidRPr="00304150">
              <w:rPr>
                <w:rFonts w:ascii="ITC Avant Garde" w:hAnsi="ITC Avant Garde"/>
                <w:sz w:val="18"/>
                <w:szCs w:val="18"/>
              </w:rPr>
              <w:t>11 de junio de 2013</w:t>
            </w:r>
            <w:r>
              <w:rPr>
                <w:rFonts w:ascii="ITC Avant Garde" w:hAnsi="ITC Avant Garde"/>
                <w:sz w:val="18"/>
                <w:szCs w:val="18"/>
              </w:rPr>
              <w:t>.</w:t>
            </w:r>
          </w:p>
          <w:p w14:paraId="0180ACFC" w14:textId="77777777" w:rsidR="00304150" w:rsidRPr="00304150" w:rsidRDefault="00304150" w:rsidP="00304150">
            <w:pPr>
              <w:pStyle w:val="Prrafodelista"/>
              <w:numPr>
                <w:ilvl w:val="0"/>
                <w:numId w:val="6"/>
              </w:numPr>
              <w:jc w:val="both"/>
              <w:rPr>
                <w:rFonts w:ascii="ITC Avant Garde" w:hAnsi="ITC Avant Garde"/>
                <w:sz w:val="18"/>
                <w:szCs w:val="18"/>
              </w:rPr>
            </w:pPr>
            <w:r w:rsidRPr="00304150">
              <w:rPr>
                <w:rFonts w:ascii="ITC Avant Garde" w:hAnsi="ITC Avant Garde"/>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en 14 de julio de 2014;</w:t>
            </w:r>
          </w:p>
          <w:p w14:paraId="4741031A" w14:textId="688B46A1"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700E9A" w:rsidRPr="0050672D">
              <w:rPr>
                <w:rFonts w:ascii="ITC Avant Garde" w:eastAsiaTheme="minorHAnsi" w:hAnsi="ITC Avant Garde" w:cstheme="minorBidi"/>
                <w:color w:val="auto"/>
                <w:sz w:val="18"/>
                <w:szCs w:val="18"/>
                <w:bdr w:val="none" w:sz="0" w:space="0" w:color="auto"/>
                <w:lang w:val="es-MX" w:eastAsia="en-US"/>
              </w:rPr>
              <w:t>, publicad</w:t>
            </w:r>
            <w:r>
              <w:rPr>
                <w:rFonts w:ascii="ITC Avant Garde" w:eastAsiaTheme="minorHAnsi" w:hAnsi="ITC Avant Garde" w:cstheme="minorBidi"/>
                <w:color w:val="auto"/>
                <w:sz w:val="18"/>
                <w:szCs w:val="18"/>
                <w:bdr w:val="none" w:sz="0" w:space="0" w:color="auto"/>
                <w:lang w:val="es-MX" w:eastAsia="en-US"/>
              </w:rPr>
              <w:t>o</w:t>
            </w:r>
            <w:r w:rsidR="00700E9A"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304150">
              <w:rPr>
                <w:rFonts w:ascii="ITC Avant Garde" w:hAnsi="ITC Avant Garde"/>
                <w:sz w:val="18"/>
                <w:szCs w:val="18"/>
              </w:rPr>
              <w:t>Diario Oficial de la Federación</w:t>
            </w:r>
            <w:r w:rsidR="00501A52">
              <w:rPr>
                <w:rFonts w:ascii="ITC Avant Garde" w:hAnsi="ITC Avant Garde"/>
                <w:sz w:val="18"/>
                <w:szCs w:val="18"/>
              </w:rPr>
              <w:t xml:space="preserve"> </w:t>
            </w:r>
            <w:r w:rsidR="00700E9A" w:rsidRPr="0050672D">
              <w:rPr>
                <w:rFonts w:ascii="ITC Avant Garde" w:eastAsiaTheme="minorHAnsi" w:hAnsi="ITC Avant Garde" w:cstheme="minorBidi"/>
                <w:color w:val="auto"/>
                <w:sz w:val="18"/>
                <w:szCs w:val="18"/>
                <w:bdr w:val="none" w:sz="0" w:space="0" w:color="auto"/>
                <w:lang w:val="es-MX" w:eastAsia="en-US"/>
              </w:rPr>
              <w:t>el 12 de noviembre de 2014;</w:t>
            </w:r>
          </w:p>
          <w:p w14:paraId="464A9304" w14:textId="28288FC7"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304150">
              <w:rPr>
                <w:rFonts w:ascii="ITC Avant Garde" w:hAnsi="ITC Avant Garde"/>
                <w:sz w:val="18"/>
                <w:szCs w:val="18"/>
              </w:rPr>
              <w:t>Diario Oficial de la Federación</w:t>
            </w:r>
            <w:r w:rsidR="00501A52">
              <w:rPr>
                <w:rFonts w:ascii="ITC Avant Garde" w:hAnsi="ITC Avant Garde"/>
                <w:sz w:val="18"/>
                <w:szCs w:val="18"/>
              </w:rPr>
              <w:t xml:space="preserve">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23 de junio de 2015</w:t>
            </w:r>
            <w:r>
              <w:rPr>
                <w:rFonts w:ascii="ITC Avant Garde" w:eastAsiaTheme="minorHAnsi" w:hAnsi="ITC Avant Garde" w:cstheme="minorBidi"/>
                <w:color w:val="auto"/>
                <w:sz w:val="18"/>
                <w:szCs w:val="18"/>
                <w:bdr w:val="none" w:sz="0" w:space="0" w:color="auto"/>
                <w:lang w:val="es-MX" w:eastAsia="en-US"/>
              </w:rPr>
              <w:t>;</w:t>
            </w:r>
          </w:p>
          <w:p w14:paraId="0417B916" w14:textId="19D0BEF7"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 xml:space="preserve">Acuerdo mediante el cual el Pleno del Instituto Federal de Telecomunicaciones expide los Lineamientos de Colaboración en Materia de Seguridad y Justicia y modifica el Plan </w:t>
            </w:r>
            <w:r w:rsidRPr="00304150">
              <w:rPr>
                <w:rFonts w:ascii="ITC Avant Garde" w:eastAsiaTheme="minorHAnsi" w:hAnsi="ITC Avant Garde" w:cstheme="minorBidi"/>
                <w:color w:val="auto"/>
                <w:sz w:val="18"/>
                <w:szCs w:val="18"/>
                <w:bdr w:val="none" w:sz="0" w:space="0" w:color="auto"/>
                <w:lang w:val="es-MX" w:eastAsia="en-US"/>
              </w:rPr>
              <w:lastRenderedPageBreak/>
              <w:t>Técnico Fundamental de Numeración, publicado el 21 de junio de 1996</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4C3543">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 de diciembre de 2015</w:t>
            </w:r>
            <w:r>
              <w:rPr>
                <w:rFonts w:ascii="ITC Avant Garde" w:eastAsiaTheme="minorHAnsi" w:hAnsi="ITC Avant Garde" w:cstheme="minorBidi"/>
                <w:color w:val="auto"/>
                <w:sz w:val="18"/>
                <w:szCs w:val="18"/>
                <w:bdr w:val="none" w:sz="0" w:space="0" w:color="auto"/>
                <w:lang w:val="es-MX" w:eastAsia="en-US"/>
              </w:rPr>
              <w:t>;</w:t>
            </w:r>
          </w:p>
          <w:p w14:paraId="783ABC9B" w14:textId="3AB269EC" w:rsidR="004C3543" w:rsidRDefault="004C354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4C3543">
              <w:rPr>
                <w:rFonts w:ascii="ITC Avant Garde" w:eastAsiaTheme="minorHAnsi" w:hAnsi="ITC Avant Garde" w:cstheme="minorBidi"/>
                <w:color w:val="auto"/>
                <w:sz w:val="18"/>
                <w:szCs w:val="18"/>
                <w:bdr w:val="none" w:sz="0" w:space="0" w:color="auto"/>
                <w:lang w:val="es-MX" w:eastAsia="en-US"/>
              </w:rPr>
              <w:t xml:space="preserve">Acuerdo mediante el cual el Pleno del Instituto Federal de Telecomunicaciones aprueba y emite los Lineamientos de Consulta Pública y Análisis de Impacto Regulatorio del Instituto Federal de Telecomunicaciones,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4C3543">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sidRPr="004C3543">
              <w:rPr>
                <w:rFonts w:ascii="ITC Avant Garde" w:eastAsiaTheme="minorHAnsi" w:hAnsi="ITC Avant Garde" w:cstheme="minorBidi"/>
                <w:color w:val="auto"/>
                <w:sz w:val="18"/>
                <w:szCs w:val="18"/>
                <w:bdr w:val="none" w:sz="0" w:space="0" w:color="auto"/>
                <w:lang w:val="es-MX" w:eastAsia="en-US"/>
              </w:rPr>
              <w:t xml:space="preserve"> 8 de noviembre de 2017.</w:t>
            </w:r>
          </w:p>
          <w:p w14:paraId="224FD737" w14:textId="428371E0"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304150">
              <w:rPr>
                <w:rFonts w:ascii="ITC Avant Garde" w:hAnsi="ITC Avant Garde"/>
                <w:sz w:val="18"/>
                <w:szCs w:val="18"/>
              </w:rPr>
              <w:t>Diario Oficial de la Federación</w:t>
            </w:r>
            <w:r w:rsidR="00501A52">
              <w:rPr>
                <w:rFonts w:ascii="ITC Avant Garde" w:hAnsi="ITC Avant Garde"/>
                <w:sz w:val="18"/>
                <w:szCs w:val="18"/>
              </w:rPr>
              <w:t xml:space="preserve">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11 de mayo de 2018</w:t>
            </w:r>
            <w:r w:rsidR="00D06C55">
              <w:rPr>
                <w:rFonts w:ascii="ITC Avant Garde" w:eastAsiaTheme="minorHAnsi" w:hAnsi="ITC Avant Garde" w:cstheme="minorBidi"/>
                <w:color w:val="auto"/>
                <w:sz w:val="18"/>
                <w:szCs w:val="18"/>
                <w:bdr w:val="none" w:sz="0" w:space="0" w:color="auto"/>
                <w:lang w:val="es-MX" w:eastAsia="en-US"/>
              </w:rPr>
              <w:t>;</w:t>
            </w:r>
          </w:p>
          <w:p w14:paraId="69CA5DBC" w14:textId="11E9F6DD"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así como lo referente a las Reglas de Potabilidad Numérica, publicados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304150">
              <w:rPr>
                <w:rFonts w:ascii="ITC Avant Garde" w:hAnsi="ITC Avant Garde"/>
                <w:sz w:val="18"/>
                <w:szCs w:val="18"/>
              </w:rPr>
              <w:t>Diario Oficial de la Federación</w:t>
            </w:r>
            <w:r w:rsidR="00501A52">
              <w:rPr>
                <w:rFonts w:ascii="ITC Avant Garde" w:hAnsi="ITC Avant Garde"/>
                <w:sz w:val="18"/>
                <w:szCs w:val="18"/>
              </w:rPr>
              <w:t xml:space="preserve">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20 de marzo de 2019</w:t>
            </w:r>
            <w:r w:rsidR="00D06C55">
              <w:rPr>
                <w:rFonts w:ascii="ITC Avant Garde" w:eastAsiaTheme="minorHAnsi" w:hAnsi="ITC Avant Garde" w:cstheme="minorBidi"/>
                <w:color w:val="auto"/>
                <w:sz w:val="18"/>
                <w:szCs w:val="18"/>
                <w:bdr w:val="none" w:sz="0" w:space="0" w:color="auto"/>
                <w:lang w:val="es-MX" w:eastAsia="en-US"/>
              </w:rPr>
              <w:t>;</w:t>
            </w:r>
          </w:p>
          <w:p w14:paraId="1EC776AD" w14:textId="3198F99F" w:rsidR="00304150" w:rsidRDefault="00304150"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Plan Técnico Fundamental de Numeración, publicado en el Diario Oficial de la Federación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8F131B" w:rsidRPr="00304150">
              <w:rPr>
                <w:rFonts w:ascii="ITC Avant Garde" w:hAnsi="ITC Avant Garde"/>
                <w:sz w:val="18"/>
                <w:szCs w:val="18"/>
              </w:rPr>
              <w:t>Diario Oficial de la Federación</w:t>
            </w:r>
            <w:r w:rsidR="008F131B">
              <w:rPr>
                <w:rFonts w:ascii="ITC Avant Garde" w:hAnsi="ITC Avant Garde"/>
                <w:sz w:val="18"/>
                <w:szCs w:val="18"/>
              </w:rPr>
              <w:t xml:space="preserve">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17 de julio de 2019</w:t>
            </w:r>
            <w:r w:rsidR="004C3543">
              <w:rPr>
                <w:rFonts w:ascii="ITC Avant Garde" w:eastAsiaTheme="minorHAnsi" w:hAnsi="ITC Avant Garde" w:cstheme="minorBidi"/>
                <w:color w:val="auto"/>
                <w:sz w:val="18"/>
                <w:szCs w:val="18"/>
                <w:bdr w:val="none" w:sz="0" w:space="0" w:color="auto"/>
                <w:lang w:val="es-MX" w:eastAsia="en-US"/>
              </w:rPr>
              <w:t>;</w:t>
            </w:r>
          </w:p>
          <w:p w14:paraId="161B065D" w14:textId="444307E2" w:rsidR="00304150" w:rsidRDefault="00304150"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las Reglas de Portabilidad Numérica</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8F131B" w:rsidRPr="004C3543">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28 de octubre de 2019</w:t>
            </w:r>
            <w:r w:rsidR="004C3543">
              <w:rPr>
                <w:rFonts w:ascii="ITC Avant Garde" w:eastAsiaTheme="minorHAnsi" w:hAnsi="ITC Avant Garde" w:cstheme="minorBidi"/>
                <w:color w:val="auto"/>
                <w:sz w:val="18"/>
                <w:szCs w:val="18"/>
                <w:bdr w:val="none" w:sz="0" w:space="0" w:color="auto"/>
                <w:lang w:val="es-MX" w:eastAsia="en-US"/>
              </w:rPr>
              <w:t>, y</w:t>
            </w:r>
          </w:p>
          <w:p w14:paraId="7CDC0B4D" w14:textId="478BDB65" w:rsidR="00870931" w:rsidRPr="00451B7D" w:rsidRDefault="004C3543" w:rsidP="004C3543">
            <w:pPr>
              <w:pStyle w:val="EntuizerCuerpo"/>
              <w:numPr>
                <w:ilvl w:val="0"/>
                <w:numId w:val="6"/>
              </w:numPr>
              <w:spacing w:before="0"/>
              <w:rPr>
                <w:rFonts w:ascii="ITC Avant Garde" w:hAnsi="ITC Avant Garde"/>
                <w:sz w:val="18"/>
                <w:szCs w:val="18"/>
              </w:rPr>
            </w:pPr>
            <w:r w:rsidRPr="004C3543">
              <w:rPr>
                <w:rFonts w:ascii="ITC Avant Garde" w:eastAsiaTheme="minorHAnsi" w:hAnsi="ITC Avant Garde" w:cstheme="minorBidi"/>
                <w:color w:val="auto"/>
                <w:sz w:val="18"/>
                <w:szCs w:val="18"/>
                <w:bdr w:val="none" w:sz="0" w:space="0" w:color="auto"/>
                <w:lang w:val="es-MX" w:eastAsia="en-US"/>
              </w:rPr>
              <w:t xml:space="preserve">Acuerdo mediante el cual el Pleno del Instituto Federal de Telecomunicaciones aprueba y emite los Lineamientos para la sustanciación de los trámites y servicios que se realicen ante el Instituto Federal de Telecomunicaciones,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4C3543">
              <w:rPr>
                <w:rFonts w:ascii="ITC Avant Garde" w:eastAsiaTheme="minorHAnsi" w:hAnsi="ITC Avant Garde" w:cstheme="minorBidi"/>
                <w:color w:val="auto"/>
                <w:sz w:val="18"/>
                <w:szCs w:val="18"/>
                <w:bdr w:val="none" w:sz="0" w:space="0" w:color="auto"/>
                <w:lang w:val="es-MX" w:eastAsia="en-US"/>
              </w:rPr>
              <w:t>Diario Oficial de la Federación e</w:t>
            </w:r>
            <w:r>
              <w:rPr>
                <w:rFonts w:ascii="ITC Avant Garde" w:eastAsiaTheme="minorHAnsi" w:hAnsi="ITC Avant Garde" w:cstheme="minorBidi"/>
                <w:color w:val="auto"/>
                <w:sz w:val="18"/>
                <w:szCs w:val="18"/>
                <w:bdr w:val="none" w:sz="0" w:space="0" w:color="auto"/>
                <w:lang w:val="es-MX" w:eastAsia="en-US"/>
              </w:rPr>
              <w:t>l 5 de noviembre de 2019.</w:t>
            </w:r>
            <w:r w:rsidR="00304150" w:rsidRPr="00451B7D">
              <w:rPr>
                <w:rFonts w:ascii="ITC Avant Garde" w:hAnsi="ITC Avant Garde"/>
                <w:sz w:val="18"/>
                <w:szCs w:val="18"/>
              </w:rPr>
              <w:t xml:space="preserve"> </w:t>
            </w: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6BBA" w14:textId="77777777" w:rsidR="00E266E0" w:rsidRDefault="00E266E0" w:rsidP="00501ADF">
      <w:pPr>
        <w:spacing w:after="0" w:line="240" w:lineRule="auto"/>
      </w:pPr>
      <w:r>
        <w:separator/>
      </w:r>
    </w:p>
  </w:endnote>
  <w:endnote w:type="continuationSeparator" w:id="0">
    <w:p w14:paraId="370FE60F" w14:textId="77777777" w:rsidR="00E266E0" w:rsidRDefault="00E266E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7BCF8F6F"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265043">
              <w:rPr>
                <w:b/>
                <w:bCs/>
                <w:noProof/>
                <w:sz w:val="20"/>
              </w:rPr>
              <w:t>5</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29DA" w14:textId="77777777" w:rsidR="00E266E0" w:rsidRDefault="00E266E0" w:rsidP="00501ADF">
      <w:pPr>
        <w:spacing w:after="0" w:line="240" w:lineRule="auto"/>
      </w:pPr>
      <w:r>
        <w:separator/>
      </w:r>
    </w:p>
  </w:footnote>
  <w:footnote w:type="continuationSeparator" w:id="0">
    <w:p w14:paraId="1B456054" w14:textId="77777777" w:rsidR="00E266E0" w:rsidRDefault="00E266E0" w:rsidP="00501ADF">
      <w:pPr>
        <w:spacing w:after="0" w:line="240" w:lineRule="auto"/>
      </w:pPr>
      <w:r>
        <w:continuationSeparator/>
      </w:r>
    </w:p>
  </w:footnote>
  <w:footnote w:id="1">
    <w:p w14:paraId="05EB7592" w14:textId="7C1FF113" w:rsidR="008E1AD3"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w:t>
      </w:r>
      <w:r w:rsidR="00B94F56">
        <w:rPr>
          <w:rFonts w:ascii="ITC Avant Garde" w:hAnsi="ITC Avant Garde"/>
          <w:sz w:val="16"/>
          <w:szCs w:val="16"/>
        </w:rPr>
        <w:t>de que se emita una resolución.</w:t>
      </w:r>
    </w:p>
    <w:p w14:paraId="70705C66" w14:textId="77777777" w:rsidR="00B94F56" w:rsidRPr="007C425A" w:rsidRDefault="00B94F56" w:rsidP="00BA4E93">
      <w:pPr>
        <w:pStyle w:val="Textonotapie"/>
        <w:jc w:val="both"/>
        <w:rPr>
          <w:rFonts w:ascii="ITC Avant Garde" w:hAnsi="ITC Avant Garde"/>
          <w:sz w:val="16"/>
          <w:szCs w:val="16"/>
        </w:rPr>
      </w:pP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3B24DC"/>
    <w:multiLevelType w:val="hybridMultilevel"/>
    <w:tmpl w:val="B0A8D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46665"/>
    <w:rsid w:val="00056AE8"/>
    <w:rsid w:val="0006478F"/>
    <w:rsid w:val="00074B25"/>
    <w:rsid w:val="0008149E"/>
    <w:rsid w:val="0008542D"/>
    <w:rsid w:val="000A4428"/>
    <w:rsid w:val="000B4BF7"/>
    <w:rsid w:val="000C16BC"/>
    <w:rsid w:val="000C3E5D"/>
    <w:rsid w:val="000D401B"/>
    <w:rsid w:val="000E4C0F"/>
    <w:rsid w:val="000E6A13"/>
    <w:rsid w:val="000F669B"/>
    <w:rsid w:val="001106AE"/>
    <w:rsid w:val="0014159C"/>
    <w:rsid w:val="00147C6B"/>
    <w:rsid w:val="001525EA"/>
    <w:rsid w:val="00162F3F"/>
    <w:rsid w:val="00177F7B"/>
    <w:rsid w:val="00181A32"/>
    <w:rsid w:val="00182F9C"/>
    <w:rsid w:val="00184C7B"/>
    <w:rsid w:val="001932FC"/>
    <w:rsid w:val="001A7400"/>
    <w:rsid w:val="001B2EE7"/>
    <w:rsid w:val="001B4A51"/>
    <w:rsid w:val="001D3C28"/>
    <w:rsid w:val="001E26FE"/>
    <w:rsid w:val="001F31F8"/>
    <w:rsid w:val="002026A5"/>
    <w:rsid w:val="00206C6C"/>
    <w:rsid w:val="00211C96"/>
    <w:rsid w:val="0023764E"/>
    <w:rsid w:val="00247B33"/>
    <w:rsid w:val="00262122"/>
    <w:rsid w:val="00265043"/>
    <w:rsid w:val="00266C17"/>
    <w:rsid w:val="002840F7"/>
    <w:rsid w:val="00286496"/>
    <w:rsid w:val="00295E97"/>
    <w:rsid w:val="002C038C"/>
    <w:rsid w:val="002D28C7"/>
    <w:rsid w:val="002E56F1"/>
    <w:rsid w:val="0030055F"/>
    <w:rsid w:val="003039BF"/>
    <w:rsid w:val="00304150"/>
    <w:rsid w:val="00304F52"/>
    <w:rsid w:val="003057AE"/>
    <w:rsid w:val="003103A6"/>
    <w:rsid w:val="00323167"/>
    <w:rsid w:val="00333B41"/>
    <w:rsid w:val="00345E0B"/>
    <w:rsid w:val="00372BF7"/>
    <w:rsid w:val="0039169A"/>
    <w:rsid w:val="00393251"/>
    <w:rsid w:val="003949C0"/>
    <w:rsid w:val="003A72BC"/>
    <w:rsid w:val="003B48A5"/>
    <w:rsid w:val="003D5D98"/>
    <w:rsid w:val="003E1D84"/>
    <w:rsid w:val="003F05E7"/>
    <w:rsid w:val="003F1542"/>
    <w:rsid w:val="004226AE"/>
    <w:rsid w:val="00446247"/>
    <w:rsid w:val="00451B7D"/>
    <w:rsid w:val="004603F7"/>
    <w:rsid w:val="0049127C"/>
    <w:rsid w:val="004970F0"/>
    <w:rsid w:val="004A7C30"/>
    <w:rsid w:val="004B6836"/>
    <w:rsid w:val="004C2806"/>
    <w:rsid w:val="004C3543"/>
    <w:rsid w:val="004C7F92"/>
    <w:rsid w:val="004D13A4"/>
    <w:rsid w:val="004E0AA9"/>
    <w:rsid w:val="004E0DA9"/>
    <w:rsid w:val="00501A52"/>
    <w:rsid w:val="00501ADF"/>
    <w:rsid w:val="00501B92"/>
    <w:rsid w:val="0050672D"/>
    <w:rsid w:val="005070C3"/>
    <w:rsid w:val="00525271"/>
    <w:rsid w:val="005319D5"/>
    <w:rsid w:val="005364EF"/>
    <w:rsid w:val="00585269"/>
    <w:rsid w:val="00596FDE"/>
    <w:rsid w:val="005A06B2"/>
    <w:rsid w:val="005A40FB"/>
    <w:rsid w:val="005B2C92"/>
    <w:rsid w:val="005C44A8"/>
    <w:rsid w:val="005D455D"/>
    <w:rsid w:val="005F1777"/>
    <w:rsid w:val="006220C6"/>
    <w:rsid w:val="00623EB8"/>
    <w:rsid w:val="00634DE8"/>
    <w:rsid w:val="00641D09"/>
    <w:rsid w:val="00647FB6"/>
    <w:rsid w:val="006609D5"/>
    <w:rsid w:val="006717D5"/>
    <w:rsid w:val="00681C6C"/>
    <w:rsid w:val="0068307E"/>
    <w:rsid w:val="006A3A0E"/>
    <w:rsid w:val="006A5680"/>
    <w:rsid w:val="006C6900"/>
    <w:rsid w:val="006D412A"/>
    <w:rsid w:val="006D7556"/>
    <w:rsid w:val="006D7A08"/>
    <w:rsid w:val="00700E9A"/>
    <w:rsid w:val="007018A1"/>
    <w:rsid w:val="00712636"/>
    <w:rsid w:val="00714252"/>
    <w:rsid w:val="00721854"/>
    <w:rsid w:val="00725DE7"/>
    <w:rsid w:val="0074323F"/>
    <w:rsid w:val="0076488A"/>
    <w:rsid w:val="00765DA1"/>
    <w:rsid w:val="007906D0"/>
    <w:rsid w:val="00793772"/>
    <w:rsid w:val="007A37D6"/>
    <w:rsid w:val="007A75A4"/>
    <w:rsid w:val="007C425A"/>
    <w:rsid w:val="007D4E5B"/>
    <w:rsid w:val="007E5807"/>
    <w:rsid w:val="007F37BF"/>
    <w:rsid w:val="00801FED"/>
    <w:rsid w:val="00804F49"/>
    <w:rsid w:val="008135FB"/>
    <w:rsid w:val="00814A48"/>
    <w:rsid w:val="008215EE"/>
    <w:rsid w:val="00827470"/>
    <w:rsid w:val="00842E2B"/>
    <w:rsid w:val="0084560D"/>
    <w:rsid w:val="00853D04"/>
    <w:rsid w:val="00855FA5"/>
    <w:rsid w:val="008658BC"/>
    <w:rsid w:val="0086684A"/>
    <w:rsid w:val="00870931"/>
    <w:rsid w:val="00876D05"/>
    <w:rsid w:val="0089319E"/>
    <w:rsid w:val="008A1704"/>
    <w:rsid w:val="008A2605"/>
    <w:rsid w:val="008A48B0"/>
    <w:rsid w:val="008B7CF5"/>
    <w:rsid w:val="008C6578"/>
    <w:rsid w:val="008C76AF"/>
    <w:rsid w:val="008E1AD3"/>
    <w:rsid w:val="008E3011"/>
    <w:rsid w:val="008E48F5"/>
    <w:rsid w:val="008F0A9A"/>
    <w:rsid w:val="008F131B"/>
    <w:rsid w:val="00904FBE"/>
    <w:rsid w:val="009058DB"/>
    <w:rsid w:val="00911216"/>
    <w:rsid w:val="009442FD"/>
    <w:rsid w:val="009656B1"/>
    <w:rsid w:val="009806B7"/>
    <w:rsid w:val="00986E23"/>
    <w:rsid w:val="009C3539"/>
    <w:rsid w:val="009D10E1"/>
    <w:rsid w:val="009D4B7A"/>
    <w:rsid w:val="009D5C70"/>
    <w:rsid w:val="009D73E5"/>
    <w:rsid w:val="009E2E36"/>
    <w:rsid w:val="009E2F03"/>
    <w:rsid w:val="009F237F"/>
    <w:rsid w:val="00A07BD0"/>
    <w:rsid w:val="00A14D75"/>
    <w:rsid w:val="00A1622C"/>
    <w:rsid w:val="00A3349D"/>
    <w:rsid w:val="00A7211D"/>
    <w:rsid w:val="00A73202"/>
    <w:rsid w:val="00A73AD8"/>
    <w:rsid w:val="00A7440F"/>
    <w:rsid w:val="00A81C3A"/>
    <w:rsid w:val="00A855B0"/>
    <w:rsid w:val="00AA4CB3"/>
    <w:rsid w:val="00B2360F"/>
    <w:rsid w:val="00B24AB5"/>
    <w:rsid w:val="00B32137"/>
    <w:rsid w:val="00B32DDD"/>
    <w:rsid w:val="00B41497"/>
    <w:rsid w:val="00B43D57"/>
    <w:rsid w:val="00B46736"/>
    <w:rsid w:val="00B6461E"/>
    <w:rsid w:val="00B74C55"/>
    <w:rsid w:val="00B74F10"/>
    <w:rsid w:val="00B77B4B"/>
    <w:rsid w:val="00B82763"/>
    <w:rsid w:val="00B94F56"/>
    <w:rsid w:val="00BA0F10"/>
    <w:rsid w:val="00BA4E93"/>
    <w:rsid w:val="00BB73BA"/>
    <w:rsid w:val="00BC28B8"/>
    <w:rsid w:val="00BC2FF7"/>
    <w:rsid w:val="00BC354D"/>
    <w:rsid w:val="00BC4426"/>
    <w:rsid w:val="00BE3A96"/>
    <w:rsid w:val="00BE7D1C"/>
    <w:rsid w:val="00C37872"/>
    <w:rsid w:val="00C510BF"/>
    <w:rsid w:val="00C51F8C"/>
    <w:rsid w:val="00C5305E"/>
    <w:rsid w:val="00C53388"/>
    <w:rsid w:val="00C5470D"/>
    <w:rsid w:val="00C77C95"/>
    <w:rsid w:val="00C917FC"/>
    <w:rsid w:val="00CA2299"/>
    <w:rsid w:val="00CB6924"/>
    <w:rsid w:val="00CE2EA1"/>
    <w:rsid w:val="00D02DA9"/>
    <w:rsid w:val="00D0386B"/>
    <w:rsid w:val="00D06C55"/>
    <w:rsid w:val="00D221B5"/>
    <w:rsid w:val="00D23BD5"/>
    <w:rsid w:val="00D31AE9"/>
    <w:rsid w:val="00D55CA7"/>
    <w:rsid w:val="00D855EF"/>
    <w:rsid w:val="00DA7BF8"/>
    <w:rsid w:val="00DB01FA"/>
    <w:rsid w:val="00DB0A05"/>
    <w:rsid w:val="00DC488B"/>
    <w:rsid w:val="00DD07D9"/>
    <w:rsid w:val="00DD609E"/>
    <w:rsid w:val="00DE198C"/>
    <w:rsid w:val="00DE6F24"/>
    <w:rsid w:val="00E046F4"/>
    <w:rsid w:val="00E16506"/>
    <w:rsid w:val="00E21B49"/>
    <w:rsid w:val="00E266E0"/>
    <w:rsid w:val="00E27972"/>
    <w:rsid w:val="00E45263"/>
    <w:rsid w:val="00E6080B"/>
    <w:rsid w:val="00E6650D"/>
    <w:rsid w:val="00E768BA"/>
    <w:rsid w:val="00E8340B"/>
    <w:rsid w:val="00E86D03"/>
    <w:rsid w:val="00E94FB3"/>
    <w:rsid w:val="00EE42D7"/>
    <w:rsid w:val="00EE6FE8"/>
    <w:rsid w:val="00F03289"/>
    <w:rsid w:val="00F17D50"/>
    <w:rsid w:val="00F31821"/>
    <w:rsid w:val="00F342A4"/>
    <w:rsid w:val="00F67BA3"/>
    <w:rsid w:val="00F72CC2"/>
    <w:rsid w:val="00F75427"/>
    <w:rsid w:val="00F75C80"/>
    <w:rsid w:val="00F9299E"/>
    <w:rsid w:val="00F93016"/>
    <w:rsid w:val="00F94A28"/>
    <w:rsid w:val="00FB158A"/>
    <w:rsid w:val="00FB4FEA"/>
    <w:rsid w:val="00FB58BA"/>
    <w:rsid w:val="00FD121A"/>
    <w:rsid w:val="00FE174F"/>
    <w:rsid w:val="00FF4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nhideWhenUsed/>
    <w:rsid w:val="008135FB"/>
    <w:pPr>
      <w:spacing w:line="240" w:lineRule="auto"/>
    </w:pPr>
    <w:rPr>
      <w:sz w:val="20"/>
      <w:szCs w:val="20"/>
    </w:rPr>
  </w:style>
  <w:style w:type="character" w:customStyle="1" w:styleId="TextocomentarioCar">
    <w:name w:val="Texto comentario Car"/>
    <w:basedOn w:val="Fuentedeprrafopredeter"/>
    <w:link w:val="Textocomentario"/>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EntuizerCuerpo">
    <w:name w:val="Entuizer Cuerpo"/>
    <w:basedOn w:val="Normal"/>
    <w:qFormat/>
    <w:rsid w:val="00700E9A"/>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link w:val="Prrafodelista"/>
    <w:uiPriority w:val="34"/>
    <w:locked/>
    <w:rsid w:val="00700E9A"/>
  </w:style>
  <w:style w:type="paragraph" w:customStyle="1" w:styleId="Texto">
    <w:name w:val="Texto"/>
    <w:basedOn w:val="Normal"/>
    <w:link w:val="TextoCar"/>
    <w:rsid w:val="00A7440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7440F"/>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43AB1"/>
    <w:rsid w:val="00055F24"/>
    <w:rsid w:val="000970D1"/>
    <w:rsid w:val="00156B10"/>
    <w:rsid w:val="00162398"/>
    <w:rsid w:val="00175213"/>
    <w:rsid w:val="00180921"/>
    <w:rsid w:val="001B4064"/>
    <w:rsid w:val="001D35B4"/>
    <w:rsid w:val="001F04F5"/>
    <w:rsid w:val="002D1216"/>
    <w:rsid w:val="00303C4E"/>
    <w:rsid w:val="00354F0E"/>
    <w:rsid w:val="00361AF2"/>
    <w:rsid w:val="003A0826"/>
    <w:rsid w:val="0046051D"/>
    <w:rsid w:val="004709C4"/>
    <w:rsid w:val="00504DE3"/>
    <w:rsid w:val="0051743B"/>
    <w:rsid w:val="00540EA6"/>
    <w:rsid w:val="0058081F"/>
    <w:rsid w:val="006020B4"/>
    <w:rsid w:val="00622624"/>
    <w:rsid w:val="0067131A"/>
    <w:rsid w:val="007118CA"/>
    <w:rsid w:val="00760FAD"/>
    <w:rsid w:val="00773EB6"/>
    <w:rsid w:val="007B146F"/>
    <w:rsid w:val="007D35E4"/>
    <w:rsid w:val="00832D70"/>
    <w:rsid w:val="0089178B"/>
    <w:rsid w:val="00895355"/>
    <w:rsid w:val="00963F51"/>
    <w:rsid w:val="00981D52"/>
    <w:rsid w:val="009D4F76"/>
    <w:rsid w:val="00A80CA9"/>
    <w:rsid w:val="00B04438"/>
    <w:rsid w:val="00B05362"/>
    <w:rsid w:val="00B05773"/>
    <w:rsid w:val="00B234BA"/>
    <w:rsid w:val="00B53C30"/>
    <w:rsid w:val="00B748CE"/>
    <w:rsid w:val="00BD02AE"/>
    <w:rsid w:val="00BD59E5"/>
    <w:rsid w:val="00CF1BA4"/>
    <w:rsid w:val="00DB3940"/>
    <w:rsid w:val="00E75A8C"/>
    <w:rsid w:val="00EB2284"/>
    <w:rsid w:val="00F04DDA"/>
    <w:rsid w:val="00F504ED"/>
    <w:rsid w:val="00F873A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477A22E6-3914-4790-8FD3-E65AEDB5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1869</Words>
  <Characters>10281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Piña Vega</cp:lastModifiedBy>
  <cp:revision>6</cp:revision>
  <dcterms:created xsi:type="dcterms:W3CDTF">2021-03-02T03:43:00Z</dcterms:created>
  <dcterms:modified xsi:type="dcterms:W3CDTF">2021-03-11T22:53:00Z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