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57EA" w14:textId="77777777" w:rsidR="00A90983" w:rsidRDefault="00A90983">
      <w:bookmarkStart w:id="0" w:name="_GoBack"/>
      <w:bookmarkEnd w:id="0"/>
    </w:p>
    <w:p w14:paraId="568F7AD5" w14:textId="77777777" w:rsidR="00A90983" w:rsidRDefault="00A90983"/>
    <w:p w14:paraId="59681A83" w14:textId="77777777" w:rsidR="00470C57" w:rsidRDefault="00470C57"/>
    <w:p w14:paraId="09CE0B54" w14:textId="77777777" w:rsidR="00470C57" w:rsidRDefault="00470C57"/>
    <w:p w14:paraId="40955308" w14:textId="77777777" w:rsidR="00470C57" w:rsidRDefault="00470C57"/>
    <w:p w14:paraId="3B9F389E" w14:textId="77777777" w:rsidR="00470C57" w:rsidRDefault="00470C57"/>
    <w:p w14:paraId="664BCFA6" w14:textId="77777777" w:rsidR="00A90983" w:rsidRDefault="00A90983"/>
    <w:p w14:paraId="056A13BC" w14:textId="77777777" w:rsidR="00470C57" w:rsidRPr="00864069" w:rsidRDefault="00470C57" w:rsidP="00470C57">
      <w:pPr>
        <w:spacing w:after="0" w:line="240" w:lineRule="auto"/>
        <w:jc w:val="center"/>
        <w:rPr>
          <w:rFonts w:cs="Arial"/>
          <w:b/>
          <w:color w:val="70AD47" w:themeColor="accent6"/>
          <w:sz w:val="44"/>
          <w:szCs w:val="44"/>
        </w:rPr>
      </w:pPr>
      <w:r w:rsidRPr="00864069">
        <w:rPr>
          <w:rFonts w:cs="Arial"/>
          <w:b/>
          <w:color w:val="70AD47" w:themeColor="accent6"/>
          <w:sz w:val="44"/>
          <w:szCs w:val="44"/>
        </w:rPr>
        <w:t xml:space="preserve">Documento de </w:t>
      </w:r>
      <w:r>
        <w:rPr>
          <w:rFonts w:cs="Arial"/>
          <w:b/>
          <w:color w:val="70AD47" w:themeColor="accent6"/>
          <w:sz w:val="44"/>
          <w:szCs w:val="44"/>
        </w:rPr>
        <w:t>R</w:t>
      </w:r>
      <w:r w:rsidRPr="00864069">
        <w:rPr>
          <w:rFonts w:cs="Arial"/>
          <w:b/>
          <w:color w:val="70AD47" w:themeColor="accent6"/>
          <w:sz w:val="44"/>
          <w:szCs w:val="44"/>
        </w:rPr>
        <w:t>eferencia</w:t>
      </w:r>
    </w:p>
    <w:p w14:paraId="5183D382" w14:textId="77777777" w:rsidR="00470C57" w:rsidRPr="00BB6DE1" w:rsidRDefault="00470C57" w:rsidP="00470C57">
      <w:pPr>
        <w:spacing w:after="0" w:line="240" w:lineRule="auto"/>
        <w:jc w:val="center"/>
        <w:rPr>
          <w:rFonts w:cs="Arial"/>
          <w:b/>
          <w:color w:val="70AD47" w:themeColor="accent6"/>
          <w:sz w:val="52"/>
          <w:szCs w:val="72"/>
        </w:rPr>
      </w:pPr>
    </w:p>
    <w:p w14:paraId="4956159E" w14:textId="77777777" w:rsidR="00470C57" w:rsidRPr="00BB6DE1" w:rsidRDefault="00470C57" w:rsidP="00470C57">
      <w:pPr>
        <w:spacing w:after="0" w:line="240" w:lineRule="auto"/>
        <w:jc w:val="center"/>
        <w:rPr>
          <w:rFonts w:cs="Arial"/>
          <w:b/>
          <w:color w:val="70AD47" w:themeColor="accent6"/>
          <w:sz w:val="52"/>
          <w:szCs w:val="72"/>
        </w:rPr>
      </w:pPr>
    </w:p>
    <w:p w14:paraId="06881DC0" w14:textId="1E1E99E2" w:rsidR="00A90983" w:rsidRPr="00BB6DE1" w:rsidRDefault="007A7C0D" w:rsidP="007A7C0D">
      <w:pPr>
        <w:jc w:val="center"/>
        <w:rPr>
          <w:sz w:val="20"/>
        </w:rPr>
      </w:pPr>
      <w:r w:rsidRPr="00BB6DE1">
        <w:rPr>
          <w:rFonts w:cs="Arial"/>
          <w:b/>
          <w:color w:val="70AD47" w:themeColor="accent6"/>
          <w:sz w:val="52"/>
          <w:szCs w:val="72"/>
        </w:rPr>
        <w:t>IDENTIFICACIÓN DE NECESIDADES DE ESPECTRO PARA SISTEMAS DE TRANSPORTE INTELIGENTE EN LA BANDA 5850-5925 MH</w:t>
      </w:r>
      <w:r w:rsidR="00A959B1">
        <w:rPr>
          <w:rFonts w:cs="Arial"/>
          <w:b/>
          <w:color w:val="70AD47" w:themeColor="accent6"/>
          <w:sz w:val="52"/>
          <w:szCs w:val="72"/>
        </w:rPr>
        <w:t>z</w:t>
      </w:r>
    </w:p>
    <w:p w14:paraId="2EEA0FF0" w14:textId="77777777" w:rsidR="00A90983" w:rsidRDefault="00A90983"/>
    <w:p w14:paraId="64724513" w14:textId="77777777" w:rsidR="00A90983" w:rsidRDefault="00A90983"/>
    <w:p w14:paraId="0ED0D068" w14:textId="77777777" w:rsidR="00A90983" w:rsidRDefault="00A90983"/>
    <w:p w14:paraId="5593B2DF" w14:textId="77777777" w:rsidR="00470C57" w:rsidRDefault="00470C57">
      <w:r>
        <w:br w:type="page"/>
      </w:r>
    </w:p>
    <w:p w14:paraId="1E420050" w14:textId="77777777" w:rsidR="00A90983" w:rsidRDefault="00A90983"/>
    <w:p w14:paraId="6512B4BB" w14:textId="77777777" w:rsidR="00A90983" w:rsidRDefault="00A90983"/>
    <w:p w14:paraId="19AC6891" w14:textId="77777777" w:rsidR="00A90983" w:rsidRDefault="00A90983"/>
    <w:p w14:paraId="0634351B" w14:textId="77777777" w:rsidR="00F12D83" w:rsidRDefault="00F12D83"/>
    <w:p w14:paraId="1BE609A7" w14:textId="77777777" w:rsidR="00754B7D" w:rsidRDefault="00754B7D"/>
    <w:p w14:paraId="630D1206" w14:textId="77777777" w:rsidR="00754B7D" w:rsidRDefault="00754B7D"/>
    <w:p w14:paraId="07795F87" w14:textId="77777777" w:rsidR="00754B7D" w:rsidRDefault="00754B7D"/>
    <w:p w14:paraId="56526E5F" w14:textId="77777777" w:rsidR="00754B7D" w:rsidRDefault="00754B7D"/>
    <w:p w14:paraId="3361126C" w14:textId="77777777" w:rsidR="00754B7D" w:rsidRDefault="00754B7D"/>
    <w:p w14:paraId="2E0C7FE5" w14:textId="77777777" w:rsidR="00754B7D" w:rsidRPr="00754B7D" w:rsidRDefault="00754B7D" w:rsidP="00754B7D">
      <w:pPr>
        <w:spacing w:after="0" w:line="240" w:lineRule="auto"/>
        <w:ind w:left="709" w:right="900"/>
        <w:jc w:val="both"/>
        <w:rPr>
          <w:rFonts w:cstheme="minorHAnsi"/>
          <w:color w:val="70AD47" w:themeColor="accent6"/>
        </w:rPr>
      </w:pPr>
      <w:r w:rsidRPr="00754B7D">
        <w:rPr>
          <w:rFonts w:cstheme="minorHAnsi"/>
          <w:color w:val="70AD47" w:themeColor="accent6"/>
        </w:rPr>
        <w:t xml:space="preserve">El presente documento fue elaborado por la Unidad de Espectro Radioeléctrico del Instituto Federal de Telecomunicaciones con la finalidad de brindar información respecto </w:t>
      </w:r>
      <w:r>
        <w:rPr>
          <w:rFonts w:cstheme="minorHAnsi"/>
          <w:color w:val="70AD47" w:themeColor="accent6"/>
        </w:rPr>
        <w:t>de la banda de frecuencia</w:t>
      </w:r>
      <w:r w:rsidR="00470C57">
        <w:rPr>
          <w:rFonts w:cstheme="minorHAnsi"/>
          <w:color w:val="70AD47" w:themeColor="accent6"/>
        </w:rPr>
        <w:t>s</w:t>
      </w:r>
      <w:r>
        <w:rPr>
          <w:rFonts w:cstheme="minorHAnsi"/>
          <w:color w:val="70AD47" w:themeColor="accent6"/>
        </w:rPr>
        <w:t xml:space="preserve"> 5850-5925 MHz.</w:t>
      </w:r>
    </w:p>
    <w:p w14:paraId="309332AF" w14:textId="77777777" w:rsidR="00754B7D" w:rsidRPr="00754B7D" w:rsidRDefault="00754B7D" w:rsidP="00754B7D">
      <w:pPr>
        <w:spacing w:after="0" w:line="240" w:lineRule="auto"/>
        <w:ind w:left="709" w:right="900"/>
        <w:jc w:val="both"/>
        <w:rPr>
          <w:rFonts w:cstheme="minorHAnsi"/>
          <w:color w:val="70AD47" w:themeColor="accent6"/>
        </w:rPr>
      </w:pPr>
    </w:p>
    <w:p w14:paraId="1A0C29C9" w14:textId="77777777" w:rsidR="00470C57" w:rsidRDefault="00470C57" w:rsidP="00470C57">
      <w:pPr>
        <w:spacing w:after="0" w:line="240" w:lineRule="auto"/>
        <w:ind w:left="709" w:right="900"/>
        <w:jc w:val="both"/>
        <w:rPr>
          <w:rFonts w:cstheme="minorHAnsi"/>
          <w:color w:val="70AD47" w:themeColor="accent6"/>
        </w:rPr>
      </w:pPr>
      <w:r w:rsidRPr="00470C57">
        <w:rPr>
          <w:rFonts w:cstheme="minorHAnsi"/>
          <w:color w:val="70AD47" w:themeColor="accent6"/>
        </w:rPr>
        <w:t xml:space="preserve">Este documento es únicamente informativo, por lo que en ningún caso lo establecido en </w:t>
      </w:r>
      <w:r w:rsidR="00FC42DC">
        <w:rPr>
          <w:rFonts w:cstheme="minorHAnsi"/>
          <w:color w:val="70AD47" w:themeColor="accent6"/>
        </w:rPr>
        <w:t>e</w:t>
      </w:r>
      <w:r w:rsidRPr="00470C57">
        <w:rPr>
          <w:rFonts w:cstheme="minorHAnsi"/>
          <w:color w:val="70AD47" w:themeColor="accent6"/>
        </w:rPr>
        <w:t>ste prejuzga la opinión que el Pleno del Instituto pudiera tener sobre el particular, ni prejuzga sobre las determinaciones futuras que se establezcan para la banda de frecuencias 5</w:t>
      </w:r>
      <w:r>
        <w:rPr>
          <w:rFonts w:cstheme="minorHAnsi"/>
          <w:color w:val="70AD47" w:themeColor="accent6"/>
        </w:rPr>
        <w:t>8</w:t>
      </w:r>
      <w:r w:rsidRPr="00470C57">
        <w:rPr>
          <w:rFonts w:cstheme="minorHAnsi"/>
          <w:color w:val="70AD47" w:themeColor="accent6"/>
        </w:rPr>
        <w:t>5</w:t>
      </w:r>
      <w:r>
        <w:rPr>
          <w:rFonts w:cstheme="minorHAnsi"/>
          <w:color w:val="70AD47" w:themeColor="accent6"/>
        </w:rPr>
        <w:t>0</w:t>
      </w:r>
      <w:r w:rsidRPr="00470C57">
        <w:rPr>
          <w:rFonts w:cstheme="minorHAnsi"/>
          <w:color w:val="70AD47" w:themeColor="accent6"/>
        </w:rPr>
        <w:t>-</w:t>
      </w:r>
      <w:r>
        <w:rPr>
          <w:rFonts w:cstheme="minorHAnsi"/>
          <w:color w:val="70AD47" w:themeColor="accent6"/>
        </w:rPr>
        <w:t>59</w:t>
      </w:r>
      <w:r w:rsidRPr="00470C57">
        <w:rPr>
          <w:rFonts w:cstheme="minorHAnsi"/>
          <w:color w:val="70AD47" w:themeColor="accent6"/>
        </w:rPr>
        <w:t>25 MHz.</w:t>
      </w:r>
    </w:p>
    <w:p w14:paraId="5FABBF10" w14:textId="77777777" w:rsidR="00872CB5" w:rsidRPr="00470C57" w:rsidRDefault="00872CB5" w:rsidP="00470C57">
      <w:pPr>
        <w:spacing w:after="0" w:line="240" w:lineRule="auto"/>
        <w:ind w:left="709" w:right="900"/>
        <w:jc w:val="both"/>
        <w:rPr>
          <w:rFonts w:cstheme="minorHAnsi"/>
          <w:color w:val="70AD47" w:themeColor="accent6"/>
        </w:rPr>
      </w:pPr>
      <w:r w:rsidRPr="00470C57">
        <w:rPr>
          <w:rFonts w:cstheme="minorHAnsi"/>
          <w:color w:val="70AD47" w:themeColor="accent6"/>
        </w:rPr>
        <w:br w:type="page"/>
      </w:r>
    </w:p>
    <w:sdt>
      <w:sdtPr>
        <w:rPr>
          <w:rFonts w:ascii="ITC Avant Garde" w:eastAsiaTheme="minorHAnsi" w:hAnsi="ITC Avant Garde" w:cstheme="minorBidi"/>
          <w:color w:val="auto"/>
          <w:sz w:val="22"/>
          <w:szCs w:val="22"/>
          <w:lang w:val="es-ES" w:eastAsia="en-US"/>
        </w:rPr>
        <w:id w:val="664442034"/>
        <w:docPartObj>
          <w:docPartGallery w:val="Table of Contents"/>
          <w:docPartUnique/>
        </w:docPartObj>
      </w:sdtPr>
      <w:sdtEndPr>
        <w:rPr>
          <w:b/>
          <w:bCs/>
        </w:rPr>
      </w:sdtEndPr>
      <w:sdtContent>
        <w:p w14:paraId="5ACDA7BF" w14:textId="77777777" w:rsidR="00707578" w:rsidRPr="003D4924" w:rsidRDefault="00707578" w:rsidP="00E1164E">
          <w:pPr>
            <w:pStyle w:val="TtuloTDC"/>
            <w:rPr>
              <w:rFonts w:ascii="ITC Avant Garde" w:eastAsiaTheme="minorHAnsi" w:hAnsi="ITC Avant Garde" w:cstheme="minorHAnsi"/>
              <w:color w:val="70AD47" w:themeColor="accent6"/>
            </w:rPr>
          </w:pPr>
          <w:r w:rsidRPr="003D4924">
            <w:rPr>
              <w:rFonts w:ascii="ITC Avant Garde" w:eastAsiaTheme="minorHAnsi" w:hAnsi="ITC Avant Garde" w:cstheme="minorHAnsi"/>
              <w:color w:val="70AD47" w:themeColor="accent6"/>
            </w:rPr>
            <w:t>Contenido</w:t>
          </w:r>
        </w:p>
        <w:p w14:paraId="25FF434B" w14:textId="61A843C3" w:rsidR="009C753F" w:rsidRDefault="00707578">
          <w:pPr>
            <w:pStyle w:val="TDC1"/>
            <w:tabs>
              <w:tab w:val="right" w:leader="dot" w:pos="8828"/>
            </w:tabs>
            <w:rPr>
              <w:rFonts w:asciiTheme="minorHAnsi" w:eastAsiaTheme="minorEastAsia" w:hAnsiTheme="minorHAnsi"/>
              <w:noProof/>
              <w:lang w:eastAsia="es-MX"/>
            </w:rPr>
          </w:pPr>
          <w:r w:rsidRPr="003D4924">
            <w:rPr>
              <w:rFonts w:cstheme="minorHAnsi"/>
              <w:b/>
              <w:bCs/>
              <w:lang w:val="es-ES"/>
            </w:rPr>
            <w:fldChar w:fldCharType="begin"/>
          </w:r>
          <w:r w:rsidRPr="003D4924">
            <w:rPr>
              <w:rFonts w:cstheme="minorHAnsi"/>
              <w:b/>
              <w:bCs/>
              <w:lang w:val="es-ES"/>
            </w:rPr>
            <w:instrText xml:space="preserve"> TOC \o "1-3" \h \z \u </w:instrText>
          </w:r>
          <w:r w:rsidRPr="003D4924">
            <w:rPr>
              <w:rFonts w:cstheme="minorHAnsi"/>
              <w:b/>
              <w:bCs/>
              <w:lang w:val="es-ES"/>
            </w:rPr>
            <w:fldChar w:fldCharType="separate"/>
          </w:r>
          <w:hyperlink w:anchor="_Toc79501205" w:history="1">
            <w:r w:rsidR="009C753F" w:rsidRPr="00745453">
              <w:rPr>
                <w:rStyle w:val="Hipervnculo"/>
                <w:noProof/>
              </w:rPr>
              <w:t>Lista de imágenes</w:t>
            </w:r>
            <w:r w:rsidR="009C753F">
              <w:rPr>
                <w:noProof/>
                <w:webHidden/>
              </w:rPr>
              <w:tab/>
            </w:r>
            <w:r w:rsidR="009C753F">
              <w:rPr>
                <w:noProof/>
                <w:webHidden/>
              </w:rPr>
              <w:fldChar w:fldCharType="begin"/>
            </w:r>
            <w:r w:rsidR="009C753F">
              <w:rPr>
                <w:noProof/>
                <w:webHidden/>
              </w:rPr>
              <w:instrText xml:space="preserve"> PAGEREF _Toc79501205 \h </w:instrText>
            </w:r>
            <w:r w:rsidR="009C753F">
              <w:rPr>
                <w:noProof/>
                <w:webHidden/>
              </w:rPr>
            </w:r>
            <w:r w:rsidR="009C753F">
              <w:rPr>
                <w:noProof/>
                <w:webHidden/>
              </w:rPr>
              <w:fldChar w:fldCharType="separate"/>
            </w:r>
            <w:r w:rsidR="00A77086">
              <w:rPr>
                <w:noProof/>
                <w:webHidden/>
              </w:rPr>
              <w:t>4</w:t>
            </w:r>
            <w:r w:rsidR="009C753F">
              <w:rPr>
                <w:noProof/>
                <w:webHidden/>
              </w:rPr>
              <w:fldChar w:fldCharType="end"/>
            </w:r>
          </w:hyperlink>
        </w:p>
        <w:p w14:paraId="4CC5567B" w14:textId="27B5E3A2" w:rsidR="009C753F" w:rsidRDefault="00F679CA">
          <w:pPr>
            <w:pStyle w:val="TDC1"/>
            <w:tabs>
              <w:tab w:val="right" w:leader="dot" w:pos="8828"/>
            </w:tabs>
            <w:rPr>
              <w:rFonts w:asciiTheme="minorHAnsi" w:eastAsiaTheme="minorEastAsia" w:hAnsiTheme="minorHAnsi"/>
              <w:noProof/>
              <w:lang w:eastAsia="es-MX"/>
            </w:rPr>
          </w:pPr>
          <w:hyperlink w:anchor="_Toc79501206" w:history="1">
            <w:r w:rsidR="009C753F" w:rsidRPr="00745453">
              <w:rPr>
                <w:rStyle w:val="Hipervnculo"/>
                <w:noProof/>
              </w:rPr>
              <w:t>Acrónimos y Abreviaturas</w:t>
            </w:r>
            <w:r w:rsidR="009C753F">
              <w:rPr>
                <w:noProof/>
                <w:webHidden/>
              </w:rPr>
              <w:tab/>
            </w:r>
            <w:r w:rsidR="009C753F">
              <w:rPr>
                <w:noProof/>
                <w:webHidden/>
              </w:rPr>
              <w:fldChar w:fldCharType="begin"/>
            </w:r>
            <w:r w:rsidR="009C753F">
              <w:rPr>
                <w:noProof/>
                <w:webHidden/>
              </w:rPr>
              <w:instrText xml:space="preserve"> PAGEREF _Toc79501206 \h </w:instrText>
            </w:r>
            <w:r w:rsidR="009C753F">
              <w:rPr>
                <w:noProof/>
                <w:webHidden/>
              </w:rPr>
            </w:r>
            <w:r w:rsidR="009C753F">
              <w:rPr>
                <w:noProof/>
                <w:webHidden/>
              </w:rPr>
              <w:fldChar w:fldCharType="separate"/>
            </w:r>
            <w:r w:rsidR="00A77086">
              <w:rPr>
                <w:noProof/>
                <w:webHidden/>
              </w:rPr>
              <w:t>5</w:t>
            </w:r>
            <w:r w:rsidR="009C753F">
              <w:rPr>
                <w:noProof/>
                <w:webHidden/>
              </w:rPr>
              <w:fldChar w:fldCharType="end"/>
            </w:r>
          </w:hyperlink>
        </w:p>
        <w:p w14:paraId="49939C67" w14:textId="4CF29CAC" w:rsidR="009C753F" w:rsidRDefault="00F679CA">
          <w:pPr>
            <w:pStyle w:val="TDC1"/>
            <w:tabs>
              <w:tab w:val="right" w:leader="dot" w:pos="8828"/>
            </w:tabs>
            <w:rPr>
              <w:rFonts w:asciiTheme="minorHAnsi" w:eastAsiaTheme="minorEastAsia" w:hAnsiTheme="minorHAnsi"/>
              <w:noProof/>
              <w:lang w:eastAsia="es-MX"/>
            </w:rPr>
          </w:pPr>
          <w:hyperlink w:anchor="_Toc79501207" w:history="1">
            <w:r w:rsidR="009C753F" w:rsidRPr="00745453">
              <w:rPr>
                <w:rStyle w:val="Hipervnculo"/>
                <w:noProof/>
              </w:rPr>
              <w:t>Introducción</w:t>
            </w:r>
            <w:r w:rsidR="009C753F">
              <w:rPr>
                <w:noProof/>
                <w:webHidden/>
              </w:rPr>
              <w:tab/>
            </w:r>
            <w:r w:rsidR="009C753F">
              <w:rPr>
                <w:noProof/>
                <w:webHidden/>
              </w:rPr>
              <w:fldChar w:fldCharType="begin"/>
            </w:r>
            <w:r w:rsidR="009C753F">
              <w:rPr>
                <w:noProof/>
                <w:webHidden/>
              </w:rPr>
              <w:instrText xml:space="preserve"> PAGEREF _Toc79501207 \h </w:instrText>
            </w:r>
            <w:r w:rsidR="009C753F">
              <w:rPr>
                <w:noProof/>
                <w:webHidden/>
              </w:rPr>
            </w:r>
            <w:r w:rsidR="009C753F">
              <w:rPr>
                <w:noProof/>
                <w:webHidden/>
              </w:rPr>
              <w:fldChar w:fldCharType="separate"/>
            </w:r>
            <w:r w:rsidR="00A77086">
              <w:rPr>
                <w:noProof/>
                <w:webHidden/>
              </w:rPr>
              <w:t>6</w:t>
            </w:r>
            <w:r w:rsidR="009C753F">
              <w:rPr>
                <w:noProof/>
                <w:webHidden/>
              </w:rPr>
              <w:fldChar w:fldCharType="end"/>
            </w:r>
          </w:hyperlink>
        </w:p>
        <w:p w14:paraId="3EE3EE97" w14:textId="1FCBFADA" w:rsidR="009C753F" w:rsidRDefault="00F679CA">
          <w:pPr>
            <w:pStyle w:val="TDC1"/>
            <w:tabs>
              <w:tab w:val="right" w:leader="dot" w:pos="8828"/>
            </w:tabs>
            <w:rPr>
              <w:rFonts w:asciiTheme="minorHAnsi" w:eastAsiaTheme="minorEastAsia" w:hAnsiTheme="minorHAnsi"/>
              <w:noProof/>
              <w:lang w:eastAsia="es-MX"/>
            </w:rPr>
          </w:pPr>
          <w:hyperlink w:anchor="_Toc79501208" w:history="1">
            <w:r w:rsidR="009C753F" w:rsidRPr="00745453">
              <w:rPr>
                <w:rStyle w:val="Hipervnculo"/>
                <w:noProof/>
              </w:rPr>
              <w:t>Objetivo</w:t>
            </w:r>
            <w:r w:rsidR="009C753F">
              <w:rPr>
                <w:noProof/>
                <w:webHidden/>
              </w:rPr>
              <w:tab/>
            </w:r>
            <w:r w:rsidR="009C753F">
              <w:rPr>
                <w:noProof/>
                <w:webHidden/>
              </w:rPr>
              <w:fldChar w:fldCharType="begin"/>
            </w:r>
            <w:r w:rsidR="009C753F">
              <w:rPr>
                <w:noProof/>
                <w:webHidden/>
              </w:rPr>
              <w:instrText xml:space="preserve"> PAGEREF _Toc79501208 \h </w:instrText>
            </w:r>
            <w:r w:rsidR="009C753F">
              <w:rPr>
                <w:noProof/>
                <w:webHidden/>
              </w:rPr>
            </w:r>
            <w:r w:rsidR="009C753F">
              <w:rPr>
                <w:noProof/>
                <w:webHidden/>
              </w:rPr>
              <w:fldChar w:fldCharType="separate"/>
            </w:r>
            <w:r w:rsidR="00A77086">
              <w:rPr>
                <w:noProof/>
                <w:webHidden/>
              </w:rPr>
              <w:t>7</w:t>
            </w:r>
            <w:r w:rsidR="009C753F">
              <w:rPr>
                <w:noProof/>
                <w:webHidden/>
              </w:rPr>
              <w:fldChar w:fldCharType="end"/>
            </w:r>
          </w:hyperlink>
        </w:p>
        <w:p w14:paraId="4944E228" w14:textId="4E48C5E2" w:rsidR="009C753F" w:rsidRDefault="00F679CA">
          <w:pPr>
            <w:pStyle w:val="TDC1"/>
            <w:tabs>
              <w:tab w:val="right" w:leader="dot" w:pos="8828"/>
            </w:tabs>
            <w:rPr>
              <w:rFonts w:asciiTheme="minorHAnsi" w:eastAsiaTheme="minorEastAsia" w:hAnsiTheme="minorHAnsi"/>
              <w:noProof/>
              <w:lang w:eastAsia="es-MX"/>
            </w:rPr>
          </w:pPr>
          <w:hyperlink w:anchor="_Toc79501209" w:history="1">
            <w:r w:rsidR="009C753F" w:rsidRPr="00745453">
              <w:rPr>
                <w:rStyle w:val="Hipervnculo"/>
                <w:noProof/>
              </w:rPr>
              <w:t>Marco Jurídico.</w:t>
            </w:r>
            <w:r w:rsidR="009C753F">
              <w:rPr>
                <w:noProof/>
                <w:webHidden/>
              </w:rPr>
              <w:tab/>
            </w:r>
            <w:r w:rsidR="009C753F">
              <w:rPr>
                <w:noProof/>
                <w:webHidden/>
              </w:rPr>
              <w:fldChar w:fldCharType="begin"/>
            </w:r>
            <w:r w:rsidR="009C753F">
              <w:rPr>
                <w:noProof/>
                <w:webHidden/>
              </w:rPr>
              <w:instrText xml:space="preserve"> PAGEREF _Toc79501209 \h </w:instrText>
            </w:r>
            <w:r w:rsidR="009C753F">
              <w:rPr>
                <w:noProof/>
                <w:webHidden/>
              </w:rPr>
            </w:r>
            <w:r w:rsidR="009C753F">
              <w:rPr>
                <w:noProof/>
                <w:webHidden/>
              </w:rPr>
              <w:fldChar w:fldCharType="separate"/>
            </w:r>
            <w:r w:rsidR="00A77086">
              <w:rPr>
                <w:noProof/>
                <w:webHidden/>
              </w:rPr>
              <w:t>8</w:t>
            </w:r>
            <w:r w:rsidR="009C753F">
              <w:rPr>
                <w:noProof/>
                <w:webHidden/>
              </w:rPr>
              <w:fldChar w:fldCharType="end"/>
            </w:r>
          </w:hyperlink>
        </w:p>
        <w:p w14:paraId="72A5076C" w14:textId="18E97491" w:rsidR="009C753F" w:rsidRDefault="00F679CA">
          <w:pPr>
            <w:pStyle w:val="TDC1"/>
            <w:tabs>
              <w:tab w:val="right" w:leader="dot" w:pos="8828"/>
            </w:tabs>
            <w:rPr>
              <w:rFonts w:asciiTheme="minorHAnsi" w:eastAsiaTheme="minorEastAsia" w:hAnsiTheme="minorHAnsi"/>
              <w:noProof/>
              <w:lang w:eastAsia="es-MX"/>
            </w:rPr>
          </w:pPr>
          <w:hyperlink w:anchor="_Toc79501210" w:history="1">
            <w:r w:rsidR="009C753F" w:rsidRPr="00745453">
              <w:rPr>
                <w:rStyle w:val="Hipervnculo"/>
                <w:noProof/>
              </w:rPr>
              <w:t>Estado actual de la banda de frecuencias 5850-5925 MHz.</w:t>
            </w:r>
            <w:r w:rsidR="009C753F">
              <w:rPr>
                <w:noProof/>
                <w:webHidden/>
              </w:rPr>
              <w:tab/>
            </w:r>
            <w:r w:rsidR="009C753F">
              <w:rPr>
                <w:noProof/>
                <w:webHidden/>
              </w:rPr>
              <w:fldChar w:fldCharType="begin"/>
            </w:r>
            <w:r w:rsidR="009C753F">
              <w:rPr>
                <w:noProof/>
                <w:webHidden/>
              </w:rPr>
              <w:instrText xml:space="preserve"> PAGEREF _Toc79501210 \h </w:instrText>
            </w:r>
            <w:r w:rsidR="009C753F">
              <w:rPr>
                <w:noProof/>
                <w:webHidden/>
              </w:rPr>
            </w:r>
            <w:r w:rsidR="009C753F">
              <w:rPr>
                <w:noProof/>
                <w:webHidden/>
              </w:rPr>
              <w:fldChar w:fldCharType="separate"/>
            </w:r>
            <w:r w:rsidR="00A77086">
              <w:rPr>
                <w:noProof/>
                <w:webHidden/>
              </w:rPr>
              <w:t>12</w:t>
            </w:r>
            <w:r w:rsidR="009C753F">
              <w:rPr>
                <w:noProof/>
                <w:webHidden/>
              </w:rPr>
              <w:fldChar w:fldCharType="end"/>
            </w:r>
          </w:hyperlink>
        </w:p>
        <w:p w14:paraId="401AB3D8" w14:textId="09FDE6A7" w:rsidR="009C753F" w:rsidRDefault="00F679CA">
          <w:pPr>
            <w:pStyle w:val="TDC2"/>
            <w:tabs>
              <w:tab w:val="right" w:leader="dot" w:pos="8828"/>
            </w:tabs>
            <w:rPr>
              <w:rFonts w:asciiTheme="minorHAnsi" w:eastAsiaTheme="minorEastAsia" w:hAnsiTheme="minorHAnsi"/>
              <w:noProof/>
              <w:lang w:eastAsia="es-MX"/>
            </w:rPr>
          </w:pPr>
          <w:hyperlink w:anchor="_Toc79501211" w:history="1">
            <w:r w:rsidR="009C753F" w:rsidRPr="00745453">
              <w:rPr>
                <w:rStyle w:val="Hipervnculo"/>
                <w:noProof/>
              </w:rPr>
              <w:t>Entorno nacional relativo a la banda de frecuencias 5850-5925 MHz</w:t>
            </w:r>
            <w:r w:rsidR="009C753F">
              <w:rPr>
                <w:noProof/>
                <w:webHidden/>
              </w:rPr>
              <w:tab/>
            </w:r>
            <w:r w:rsidR="009C753F">
              <w:rPr>
                <w:noProof/>
                <w:webHidden/>
              </w:rPr>
              <w:fldChar w:fldCharType="begin"/>
            </w:r>
            <w:r w:rsidR="009C753F">
              <w:rPr>
                <w:noProof/>
                <w:webHidden/>
              </w:rPr>
              <w:instrText xml:space="preserve"> PAGEREF _Toc79501211 \h </w:instrText>
            </w:r>
            <w:r w:rsidR="009C753F">
              <w:rPr>
                <w:noProof/>
                <w:webHidden/>
              </w:rPr>
            </w:r>
            <w:r w:rsidR="009C753F">
              <w:rPr>
                <w:noProof/>
                <w:webHidden/>
              </w:rPr>
              <w:fldChar w:fldCharType="separate"/>
            </w:r>
            <w:r w:rsidR="00A77086">
              <w:rPr>
                <w:noProof/>
                <w:webHidden/>
              </w:rPr>
              <w:t>12</w:t>
            </w:r>
            <w:r w:rsidR="009C753F">
              <w:rPr>
                <w:noProof/>
                <w:webHidden/>
              </w:rPr>
              <w:fldChar w:fldCharType="end"/>
            </w:r>
          </w:hyperlink>
        </w:p>
        <w:p w14:paraId="5B7237D0" w14:textId="76B8830B" w:rsidR="009C753F" w:rsidRDefault="00F679CA">
          <w:pPr>
            <w:pStyle w:val="TDC3"/>
            <w:tabs>
              <w:tab w:val="right" w:leader="dot" w:pos="8828"/>
            </w:tabs>
            <w:rPr>
              <w:rFonts w:asciiTheme="minorHAnsi" w:eastAsiaTheme="minorEastAsia" w:hAnsiTheme="minorHAnsi"/>
              <w:noProof/>
              <w:lang w:eastAsia="es-MX"/>
            </w:rPr>
          </w:pPr>
          <w:hyperlink w:anchor="_Toc79501212" w:history="1">
            <w:r w:rsidR="009C753F" w:rsidRPr="00745453">
              <w:rPr>
                <w:rStyle w:val="Hipervnculo"/>
                <w:noProof/>
              </w:rPr>
              <w:t>Atribución nacional de la banda de frecuencias 5850-5925 MHz.</w:t>
            </w:r>
            <w:r w:rsidR="009C753F">
              <w:rPr>
                <w:noProof/>
                <w:webHidden/>
              </w:rPr>
              <w:tab/>
            </w:r>
            <w:r w:rsidR="009C753F">
              <w:rPr>
                <w:noProof/>
                <w:webHidden/>
              </w:rPr>
              <w:fldChar w:fldCharType="begin"/>
            </w:r>
            <w:r w:rsidR="009C753F">
              <w:rPr>
                <w:noProof/>
                <w:webHidden/>
              </w:rPr>
              <w:instrText xml:space="preserve"> PAGEREF _Toc79501212 \h </w:instrText>
            </w:r>
            <w:r w:rsidR="009C753F">
              <w:rPr>
                <w:noProof/>
                <w:webHidden/>
              </w:rPr>
            </w:r>
            <w:r w:rsidR="009C753F">
              <w:rPr>
                <w:noProof/>
                <w:webHidden/>
              </w:rPr>
              <w:fldChar w:fldCharType="separate"/>
            </w:r>
            <w:r w:rsidR="00A77086">
              <w:rPr>
                <w:noProof/>
                <w:webHidden/>
              </w:rPr>
              <w:t>12</w:t>
            </w:r>
            <w:r w:rsidR="009C753F">
              <w:rPr>
                <w:noProof/>
                <w:webHidden/>
              </w:rPr>
              <w:fldChar w:fldCharType="end"/>
            </w:r>
          </w:hyperlink>
        </w:p>
        <w:p w14:paraId="47D4184E" w14:textId="44734F62" w:rsidR="009C753F" w:rsidRDefault="00F679CA">
          <w:pPr>
            <w:pStyle w:val="TDC3"/>
            <w:tabs>
              <w:tab w:val="right" w:leader="dot" w:pos="8828"/>
            </w:tabs>
            <w:rPr>
              <w:rFonts w:asciiTheme="minorHAnsi" w:eastAsiaTheme="minorEastAsia" w:hAnsiTheme="minorHAnsi"/>
              <w:noProof/>
              <w:lang w:eastAsia="es-MX"/>
            </w:rPr>
          </w:pPr>
          <w:hyperlink w:anchor="_Toc79501213" w:history="1">
            <w:r w:rsidR="009C753F" w:rsidRPr="00745453">
              <w:rPr>
                <w:rStyle w:val="Hipervnculo"/>
                <w:noProof/>
              </w:rPr>
              <w:t>Uso de la banda de frecuencias 5850-5925 MHz en México.</w:t>
            </w:r>
            <w:r w:rsidR="009C753F">
              <w:rPr>
                <w:noProof/>
                <w:webHidden/>
              </w:rPr>
              <w:tab/>
            </w:r>
            <w:r w:rsidR="009C753F">
              <w:rPr>
                <w:noProof/>
                <w:webHidden/>
              </w:rPr>
              <w:fldChar w:fldCharType="begin"/>
            </w:r>
            <w:r w:rsidR="009C753F">
              <w:rPr>
                <w:noProof/>
                <w:webHidden/>
              </w:rPr>
              <w:instrText xml:space="preserve"> PAGEREF _Toc79501213 \h </w:instrText>
            </w:r>
            <w:r w:rsidR="009C753F">
              <w:rPr>
                <w:noProof/>
                <w:webHidden/>
              </w:rPr>
            </w:r>
            <w:r w:rsidR="009C753F">
              <w:rPr>
                <w:noProof/>
                <w:webHidden/>
              </w:rPr>
              <w:fldChar w:fldCharType="separate"/>
            </w:r>
            <w:r w:rsidR="00A77086">
              <w:rPr>
                <w:noProof/>
                <w:webHidden/>
              </w:rPr>
              <w:t>13</w:t>
            </w:r>
            <w:r w:rsidR="009C753F">
              <w:rPr>
                <w:noProof/>
                <w:webHidden/>
              </w:rPr>
              <w:fldChar w:fldCharType="end"/>
            </w:r>
          </w:hyperlink>
        </w:p>
        <w:p w14:paraId="2EB537D6" w14:textId="5C11240E" w:rsidR="009C753F" w:rsidRDefault="00F679CA">
          <w:pPr>
            <w:pStyle w:val="TDC3"/>
            <w:tabs>
              <w:tab w:val="right" w:leader="dot" w:pos="8828"/>
            </w:tabs>
            <w:rPr>
              <w:rFonts w:asciiTheme="minorHAnsi" w:eastAsiaTheme="minorEastAsia" w:hAnsiTheme="minorHAnsi"/>
              <w:noProof/>
              <w:lang w:eastAsia="es-MX"/>
            </w:rPr>
          </w:pPr>
          <w:hyperlink w:anchor="_Toc79501214" w:history="1">
            <w:r w:rsidR="009C753F" w:rsidRPr="00745453">
              <w:rPr>
                <w:rStyle w:val="Hipervnculo"/>
                <w:noProof/>
              </w:rPr>
              <w:t>Actividades en el CTER.</w:t>
            </w:r>
            <w:r w:rsidR="009C753F">
              <w:rPr>
                <w:noProof/>
                <w:webHidden/>
              </w:rPr>
              <w:tab/>
            </w:r>
            <w:r w:rsidR="009C753F">
              <w:rPr>
                <w:noProof/>
                <w:webHidden/>
              </w:rPr>
              <w:fldChar w:fldCharType="begin"/>
            </w:r>
            <w:r w:rsidR="009C753F">
              <w:rPr>
                <w:noProof/>
                <w:webHidden/>
              </w:rPr>
              <w:instrText xml:space="preserve"> PAGEREF _Toc79501214 \h </w:instrText>
            </w:r>
            <w:r w:rsidR="009C753F">
              <w:rPr>
                <w:noProof/>
                <w:webHidden/>
              </w:rPr>
            </w:r>
            <w:r w:rsidR="009C753F">
              <w:rPr>
                <w:noProof/>
                <w:webHidden/>
              </w:rPr>
              <w:fldChar w:fldCharType="separate"/>
            </w:r>
            <w:r w:rsidR="00A77086">
              <w:rPr>
                <w:noProof/>
                <w:webHidden/>
              </w:rPr>
              <w:t>14</w:t>
            </w:r>
            <w:r w:rsidR="009C753F">
              <w:rPr>
                <w:noProof/>
                <w:webHidden/>
              </w:rPr>
              <w:fldChar w:fldCharType="end"/>
            </w:r>
          </w:hyperlink>
        </w:p>
        <w:p w14:paraId="792BDBDD" w14:textId="791FAF64" w:rsidR="009C753F" w:rsidRDefault="00F679CA">
          <w:pPr>
            <w:pStyle w:val="TDC2"/>
            <w:tabs>
              <w:tab w:val="right" w:leader="dot" w:pos="8828"/>
            </w:tabs>
            <w:rPr>
              <w:rFonts w:asciiTheme="minorHAnsi" w:eastAsiaTheme="minorEastAsia" w:hAnsiTheme="minorHAnsi"/>
              <w:noProof/>
              <w:lang w:eastAsia="es-MX"/>
            </w:rPr>
          </w:pPr>
          <w:hyperlink w:anchor="_Toc79501215" w:history="1">
            <w:r w:rsidR="009C753F" w:rsidRPr="00745453">
              <w:rPr>
                <w:rStyle w:val="Hipervnculo"/>
                <w:noProof/>
              </w:rPr>
              <w:t>Entorno internacional de la banda de frecuencias 5850-5925 MHz</w:t>
            </w:r>
            <w:r w:rsidR="009C753F">
              <w:rPr>
                <w:noProof/>
                <w:webHidden/>
              </w:rPr>
              <w:tab/>
            </w:r>
            <w:r w:rsidR="009C753F">
              <w:rPr>
                <w:noProof/>
                <w:webHidden/>
              </w:rPr>
              <w:fldChar w:fldCharType="begin"/>
            </w:r>
            <w:r w:rsidR="009C753F">
              <w:rPr>
                <w:noProof/>
                <w:webHidden/>
              </w:rPr>
              <w:instrText xml:space="preserve"> PAGEREF _Toc79501215 \h </w:instrText>
            </w:r>
            <w:r w:rsidR="009C753F">
              <w:rPr>
                <w:noProof/>
                <w:webHidden/>
              </w:rPr>
            </w:r>
            <w:r w:rsidR="009C753F">
              <w:rPr>
                <w:noProof/>
                <w:webHidden/>
              </w:rPr>
              <w:fldChar w:fldCharType="separate"/>
            </w:r>
            <w:r w:rsidR="00A77086">
              <w:rPr>
                <w:noProof/>
                <w:webHidden/>
              </w:rPr>
              <w:t>15</w:t>
            </w:r>
            <w:r w:rsidR="009C753F">
              <w:rPr>
                <w:noProof/>
                <w:webHidden/>
              </w:rPr>
              <w:fldChar w:fldCharType="end"/>
            </w:r>
          </w:hyperlink>
        </w:p>
        <w:p w14:paraId="229EA64C" w14:textId="27CD6880" w:rsidR="009C753F" w:rsidRDefault="00F679CA">
          <w:pPr>
            <w:pStyle w:val="TDC3"/>
            <w:tabs>
              <w:tab w:val="right" w:leader="dot" w:pos="8828"/>
            </w:tabs>
            <w:rPr>
              <w:rFonts w:asciiTheme="minorHAnsi" w:eastAsiaTheme="minorEastAsia" w:hAnsiTheme="minorHAnsi"/>
              <w:noProof/>
              <w:lang w:eastAsia="es-MX"/>
            </w:rPr>
          </w:pPr>
          <w:hyperlink w:anchor="_Toc79501216" w:history="1">
            <w:r w:rsidR="009C753F" w:rsidRPr="00745453">
              <w:rPr>
                <w:rStyle w:val="Hipervnculo"/>
                <w:noProof/>
              </w:rPr>
              <w:t>Atribución internacional de la banda de frecuencias 5850-5925 MHz.</w:t>
            </w:r>
            <w:r w:rsidR="009C753F">
              <w:rPr>
                <w:noProof/>
                <w:webHidden/>
              </w:rPr>
              <w:tab/>
            </w:r>
            <w:r w:rsidR="009C753F">
              <w:rPr>
                <w:noProof/>
                <w:webHidden/>
              </w:rPr>
              <w:fldChar w:fldCharType="begin"/>
            </w:r>
            <w:r w:rsidR="009C753F">
              <w:rPr>
                <w:noProof/>
                <w:webHidden/>
              </w:rPr>
              <w:instrText xml:space="preserve"> PAGEREF _Toc79501216 \h </w:instrText>
            </w:r>
            <w:r w:rsidR="009C753F">
              <w:rPr>
                <w:noProof/>
                <w:webHidden/>
              </w:rPr>
            </w:r>
            <w:r w:rsidR="009C753F">
              <w:rPr>
                <w:noProof/>
                <w:webHidden/>
              </w:rPr>
              <w:fldChar w:fldCharType="separate"/>
            </w:r>
            <w:r w:rsidR="00A77086">
              <w:rPr>
                <w:noProof/>
                <w:webHidden/>
              </w:rPr>
              <w:t>15</w:t>
            </w:r>
            <w:r w:rsidR="009C753F">
              <w:rPr>
                <w:noProof/>
                <w:webHidden/>
              </w:rPr>
              <w:fldChar w:fldCharType="end"/>
            </w:r>
          </w:hyperlink>
        </w:p>
        <w:p w14:paraId="3B5E7293" w14:textId="33F0174E" w:rsidR="009C753F" w:rsidRDefault="00F679CA">
          <w:pPr>
            <w:pStyle w:val="TDC3"/>
            <w:tabs>
              <w:tab w:val="right" w:leader="dot" w:pos="8828"/>
            </w:tabs>
            <w:rPr>
              <w:rFonts w:asciiTheme="minorHAnsi" w:eastAsiaTheme="minorEastAsia" w:hAnsiTheme="minorHAnsi"/>
              <w:noProof/>
              <w:lang w:eastAsia="es-MX"/>
            </w:rPr>
          </w:pPr>
          <w:hyperlink w:anchor="_Toc79501217" w:history="1">
            <w:r w:rsidR="009C753F" w:rsidRPr="00745453">
              <w:rPr>
                <w:rStyle w:val="Hipervnculo"/>
                <w:noProof/>
              </w:rPr>
              <w:t>Regulación en otros países para la banda de frecuencias 5850-5925 MHz.</w:t>
            </w:r>
            <w:r w:rsidR="009C753F">
              <w:rPr>
                <w:noProof/>
                <w:webHidden/>
              </w:rPr>
              <w:tab/>
            </w:r>
            <w:r w:rsidR="009C753F">
              <w:rPr>
                <w:noProof/>
                <w:webHidden/>
              </w:rPr>
              <w:fldChar w:fldCharType="begin"/>
            </w:r>
            <w:r w:rsidR="009C753F">
              <w:rPr>
                <w:noProof/>
                <w:webHidden/>
              </w:rPr>
              <w:instrText xml:space="preserve"> PAGEREF _Toc79501217 \h </w:instrText>
            </w:r>
            <w:r w:rsidR="009C753F">
              <w:rPr>
                <w:noProof/>
                <w:webHidden/>
              </w:rPr>
            </w:r>
            <w:r w:rsidR="009C753F">
              <w:rPr>
                <w:noProof/>
                <w:webHidden/>
              </w:rPr>
              <w:fldChar w:fldCharType="separate"/>
            </w:r>
            <w:r w:rsidR="00A77086">
              <w:rPr>
                <w:noProof/>
                <w:webHidden/>
              </w:rPr>
              <w:t>16</w:t>
            </w:r>
            <w:r w:rsidR="009C753F">
              <w:rPr>
                <w:noProof/>
                <w:webHidden/>
              </w:rPr>
              <w:fldChar w:fldCharType="end"/>
            </w:r>
          </w:hyperlink>
        </w:p>
        <w:p w14:paraId="315E3763" w14:textId="48D72271" w:rsidR="009C753F" w:rsidRDefault="00F679CA">
          <w:pPr>
            <w:pStyle w:val="TDC3"/>
            <w:tabs>
              <w:tab w:val="right" w:leader="dot" w:pos="8828"/>
            </w:tabs>
            <w:rPr>
              <w:rFonts w:asciiTheme="minorHAnsi" w:eastAsiaTheme="minorEastAsia" w:hAnsiTheme="minorHAnsi"/>
              <w:noProof/>
              <w:lang w:eastAsia="es-MX"/>
            </w:rPr>
          </w:pPr>
          <w:hyperlink w:anchor="_Toc79501218" w:history="1">
            <w:r w:rsidR="009C753F" w:rsidRPr="00745453">
              <w:rPr>
                <w:rStyle w:val="Hipervnculo"/>
                <w:noProof/>
              </w:rPr>
              <w:t>Recomendaciones y estándares aplicables</w:t>
            </w:r>
            <w:r w:rsidR="009C753F">
              <w:rPr>
                <w:noProof/>
                <w:webHidden/>
              </w:rPr>
              <w:tab/>
            </w:r>
            <w:r w:rsidR="009C753F">
              <w:rPr>
                <w:noProof/>
                <w:webHidden/>
              </w:rPr>
              <w:fldChar w:fldCharType="begin"/>
            </w:r>
            <w:r w:rsidR="009C753F">
              <w:rPr>
                <w:noProof/>
                <w:webHidden/>
              </w:rPr>
              <w:instrText xml:space="preserve"> PAGEREF _Toc79501218 \h </w:instrText>
            </w:r>
            <w:r w:rsidR="009C753F">
              <w:rPr>
                <w:noProof/>
                <w:webHidden/>
              </w:rPr>
            </w:r>
            <w:r w:rsidR="009C753F">
              <w:rPr>
                <w:noProof/>
                <w:webHidden/>
              </w:rPr>
              <w:fldChar w:fldCharType="separate"/>
            </w:r>
            <w:r w:rsidR="00A77086">
              <w:rPr>
                <w:noProof/>
                <w:webHidden/>
              </w:rPr>
              <w:t>20</w:t>
            </w:r>
            <w:r w:rsidR="009C753F">
              <w:rPr>
                <w:noProof/>
                <w:webHidden/>
              </w:rPr>
              <w:fldChar w:fldCharType="end"/>
            </w:r>
          </w:hyperlink>
        </w:p>
        <w:p w14:paraId="067F9D78" w14:textId="44AE6B40" w:rsidR="009C753F" w:rsidRDefault="00F679CA">
          <w:pPr>
            <w:pStyle w:val="TDC1"/>
            <w:tabs>
              <w:tab w:val="right" w:leader="dot" w:pos="8828"/>
            </w:tabs>
            <w:rPr>
              <w:rFonts w:asciiTheme="minorHAnsi" w:eastAsiaTheme="minorEastAsia" w:hAnsiTheme="minorHAnsi"/>
              <w:noProof/>
              <w:lang w:eastAsia="es-MX"/>
            </w:rPr>
          </w:pPr>
          <w:hyperlink w:anchor="_Toc79501219" w:history="1">
            <w:r w:rsidR="009C753F" w:rsidRPr="00745453">
              <w:rPr>
                <w:rStyle w:val="Hipervnculo"/>
                <w:noProof/>
              </w:rPr>
              <w:t>Casos de uso de los STI.</w:t>
            </w:r>
            <w:r w:rsidR="009C753F">
              <w:rPr>
                <w:noProof/>
                <w:webHidden/>
              </w:rPr>
              <w:tab/>
            </w:r>
            <w:r w:rsidR="009C753F">
              <w:rPr>
                <w:noProof/>
                <w:webHidden/>
              </w:rPr>
              <w:fldChar w:fldCharType="begin"/>
            </w:r>
            <w:r w:rsidR="009C753F">
              <w:rPr>
                <w:noProof/>
                <w:webHidden/>
              </w:rPr>
              <w:instrText xml:space="preserve"> PAGEREF _Toc79501219 \h </w:instrText>
            </w:r>
            <w:r w:rsidR="009C753F">
              <w:rPr>
                <w:noProof/>
                <w:webHidden/>
              </w:rPr>
            </w:r>
            <w:r w:rsidR="009C753F">
              <w:rPr>
                <w:noProof/>
                <w:webHidden/>
              </w:rPr>
              <w:fldChar w:fldCharType="separate"/>
            </w:r>
            <w:r w:rsidR="00A77086">
              <w:rPr>
                <w:noProof/>
                <w:webHidden/>
              </w:rPr>
              <w:t>26</w:t>
            </w:r>
            <w:r w:rsidR="009C753F">
              <w:rPr>
                <w:noProof/>
                <w:webHidden/>
              </w:rPr>
              <w:fldChar w:fldCharType="end"/>
            </w:r>
          </w:hyperlink>
        </w:p>
        <w:p w14:paraId="68C8C987" w14:textId="4BE05A14" w:rsidR="009C753F" w:rsidRDefault="00F679CA">
          <w:pPr>
            <w:pStyle w:val="TDC1"/>
            <w:tabs>
              <w:tab w:val="right" w:leader="dot" w:pos="8828"/>
            </w:tabs>
            <w:rPr>
              <w:rFonts w:asciiTheme="minorHAnsi" w:eastAsiaTheme="minorEastAsia" w:hAnsiTheme="minorHAnsi"/>
              <w:noProof/>
              <w:lang w:eastAsia="es-MX"/>
            </w:rPr>
          </w:pPr>
          <w:hyperlink w:anchor="_Toc79501220" w:history="1">
            <w:r w:rsidR="009C753F" w:rsidRPr="00745453">
              <w:rPr>
                <w:rStyle w:val="Hipervnculo"/>
                <w:noProof/>
              </w:rPr>
              <w:t>Caracterización técnica de los STI.</w:t>
            </w:r>
            <w:r w:rsidR="009C753F">
              <w:rPr>
                <w:noProof/>
                <w:webHidden/>
              </w:rPr>
              <w:tab/>
            </w:r>
            <w:r w:rsidR="009C753F">
              <w:rPr>
                <w:noProof/>
                <w:webHidden/>
              </w:rPr>
              <w:fldChar w:fldCharType="begin"/>
            </w:r>
            <w:r w:rsidR="009C753F">
              <w:rPr>
                <w:noProof/>
                <w:webHidden/>
              </w:rPr>
              <w:instrText xml:space="preserve"> PAGEREF _Toc79501220 \h </w:instrText>
            </w:r>
            <w:r w:rsidR="009C753F">
              <w:rPr>
                <w:noProof/>
                <w:webHidden/>
              </w:rPr>
            </w:r>
            <w:r w:rsidR="009C753F">
              <w:rPr>
                <w:noProof/>
                <w:webHidden/>
              </w:rPr>
              <w:fldChar w:fldCharType="separate"/>
            </w:r>
            <w:r w:rsidR="00A77086">
              <w:rPr>
                <w:noProof/>
                <w:webHidden/>
              </w:rPr>
              <w:t>28</w:t>
            </w:r>
            <w:r w:rsidR="009C753F">
              <w:rPr>
                <w:noProof/>
                <w:webHidden/>
              </w:rPr>
              <w:fldChar w:fldCharType="end"/>
            </w:r>
          </w:hyperlink>
        </w:p>
        <w:p w14:paraId="79E81E13" w14:textId="28A3B9D3" w:rsidR="009C753F" w:rsidRDefault="00F679CA">
          <w:pPr>
            <w:pStyle w:val="TDC1"/>
            <w:tabs>
              <w:tab w:val="right" w:leader="dot" w:pos="8828"/>
            </w:tabs>
            <w:rPr>
              <w:rFonts w:asciiTheme="minorHAnsi" w:eastAsiaTheme="minorEastAsia" w:hAnsiTheme="minorHAnsi"/>
              <w:noProof/>
              <w:lang w:eastAsia="es-MX"/>
            </w:rPr>
          </w:pPr>
          <w:hyperlink w:anchor="_Toc79501221" w:history="1">
            <w:r w:rsidR="009C753F" w:rsidRPr="00745453">
              <w:rPr>
                <w:rStyle w:val="Hipervnculo"/>
                <w:noProof/>
              </w:rPr>
              <w:t>Los ITS y su relación con tecnologías 5G.</w:t>
            </w:r>
            <w:r w:rsidR="009C753F">
              <w:rPr>
                <w:noProof/>
                <w:webHidden/>
              </w:rPr>
              <w:tab/>
            </w:r>
            <w:r w:rsidR="009C753F">
              <w:rPr>
                <w:noProof/>
                <w:webHidden/>
              </w:rPr>
              <w:fldChar w:fldCharType="begin"/>
            </w:r>
            <w:r w:rsidR="009C753F">
              <w:rPr>
                <w:noProof/>
                <w:webHidden/>
              </w:rPr>
              <w:instrText xml:space="preserve"> PAGEREF _Toc79501221 \h </w:instrText>
            </w:r>
            <w:r w:rsidR="009C753F">
              <w:rPr>
                <w:noProof/>
                <w:webHidden/>
              </w:rPr>
            </w:r>
            <w:r w:rsidR="009C753F">
              <w:rPr>
                <w:noProof/>
                <w:webHidden/>
              </w:rPr>
              <w:fldChar w:fldCharType="separate"/>
            </w:r>
            <w:r w:rsidR="00A77086">
              <w:rPr>
                <w:noProof/>
                <w:webHidden/>
              </w:rPr>
              <w:t>29</w:t>
            </w:r>
            <w:r w:rsidR="009C753F">
              <w:rPr>
                <w:noProof/>
                <w:webHidden/>
              </w:rPr>
              <w:fldChar w:fldCharType="end"/>
            </w:r>
          </w:hyperlink>
        </w:p>
        <w:p w14:paraId="58D6BD88" w14:textId="5EA3C135" w:rsidR="009C753F" w:rsidRDefault="00F679CA">
          <w:pPr>
            <w:pStyle w:val="TDC1"/>
            <w:tabs>
              <w:tab w:val="right" w:leader="dot" w:pos="8828"/>
            </w:tabs>
            <w:rPr>
              <w:rFonts w:asciiTheme="minorHAnsi" w:eastAsiaTheme="minorEastAsia" w:hAnsiTheme="minorHAnsi"/>
              <w:noProof/>
              <w:lang w:eastAsia="es-MX"/>
            </w:rPr>
          </w:pPr>
          <w:hyperlink w:anchor="_Toc79501222" w:history="1">
            <w:r w:rsidR="009C753F" w:rsidRPr="00745453">
              <w:rPr>
                <w:rStyle w:val="Hipervnculo"/>
                <w:noProof/>
              </w:rPr>
              <w:t>Espectro radioeléctrico para STI.</w:t>
            </w:r>
            <w:r w:rsidR="009C753F">
              <w:rPr>
                <w:noProof/>
                <w:webHidden/>
              </w:rPr>
              <w:tab/>
            </w:r>
            <w:r w:rsidR="009C753F">
              <w:rPr>
                <w:noProof/>
                <w:webHidden/>
              </w:rPr>
              <w:fldChar w:fldCharType="begin"/>
            </w:r>
            <w:r w:rsidR="009C753F">
              <w:rPr>
                <w:noProof/>
                <w:webHidden/>
              </w:rPr>
              <w:instrText xml:space="preserve"> PAGEREF _Toc79501222 \h </w:instrText>
            </w:r>
            <w:r w:rsidR="009C753F">
              <w:rPr>
                <w:noProof/>
                <w:webHidden/>
              </w:rPr>
            </w:r>
            <w:r w:rsidR="009C753F">
              <w:rPr>
                <w:noProof/>
                <w:webHidden/>
              </w:rPr>
              <w:fldChar w:fldCharType="separate"/>
            </w:r>
            <w:r w:rsidR="00A77086">
              <w:rPr>
                <w:noProof/>
                <w:webHidden/>
              </w:rPr>
              <w:t>30</w:t>
            </w:r>
            <w:r w:rsidR="009C753F">
              <w:rPr>
                <w:noProof/>
                <w:webHidden/>
              </w:rPr>
              <w:fldChar w:fldCharType="end"/>
            </w:r>
          </w:hyperlink>
        </w:p>
        <w:p w14:paraId="4131E359" w14:textId="3F813C55" w:rsidR="009C753F" w:rsidRDefault="00F679CA">
          <w:pPr>
            <w:pStyle w:val="TDC1"/>
            <w:tabs>
              <w:tab w:val="right" w:leader="dot" w:pos="8828"/>
            </w:tabs>
            <w:rPr>
              <w:rFonts w:asciiTheme="minorHAnsi" w:eastAsiaTheme="minorEastAsia" w:hAnsiTheme="minorHAnsi"/>
              <w:noProof/>
              <w:lang w:eastAsia="es-MX"/>
            </w:rPr>
          </w:pPr>
          <w:hyperlink w:anchor="_Toc79501223" w:history="1">
            <w:r w:rsidR="009C753F" w:rsidRPr="00745453">
              <w:rPr>
                <w:rStyle w:val="Hipervnculo"/>
                <w:noProof/>
              </w:rPr>
              <w:t>Conclusiones</w:t>
            </w:r>
            <w:r w:rsidR="009C753F">
              <w:rPr>
                <w:noProof/>
                <w:webHidden/>
              </w:rPr>
              <w:tab/>
            </w:r>
            <w:r w:rsidR="009C753F">
              <w:rPr>
                <w:noProof/>
                <w:webHidden/>
              </w:rPr>
              <w:fldChar w:fldCharType="begin"/>
            </w:r>
            <w:r w:rsidR="009C753F">
              <w:rPr>
                <w:noProof/>
                <w:webHidden/>
              </w:rPr>
              <w:instrText xml:space="preserve"> PAGEREF _Toc79501223 \h </w:instrText>
            </w:r>
            <w:r w:rsidR="009C753F">
              <w:rPr>
                <w:noProof/>
                <w:webHidden/>
              </w:rPr>
            </w:r>
            <w:r w:rsidR="009C753F">
              <w:rPr>
                <w:noProof/>
                <w:webHidden/>
              </w:rPr>
              <w:fldChar w:fldCharType="separate"/>
            </w:r>
            <w:r w:rsidR="00A77086">
              <w:rPr>
                <w:noProof/>
                <w:webHidden/>
              </w:rPr>
              <w:t>31</w:t>
            </w:r>
            <w:r w:rsidR="009C753F">
              <w:rPr>
                <w:noProof/>
                <w:webHidden/>
              </w:rPr>
              <w:fldChar w:fldCharType="end"/>
            </w:r>
          </w:hyperlink>
        </w:p>
        <w:p w14:paraId="31EB981D" w14:textId="49FA78D3" w:rsidR="009C753F" w:rsidRDefault="00F679CA">
          <w:pPr>
            <w:pStyle w:val="TDC1"/>
            <w:tabs>
              <w:tab w:val="right" w:leader="dot" w:pos="8828"/>
            </w:tabs>
            <w:rPr>
              <w:rFonts w:asciiTheme="minorHAnsi" w:eastAsiaTheme="minorEastAsia" w:hAnsiTheme="minorHAnsi"/>
              <w:noProof/>
              <w:lang w:eastAsia="es-MX"/>
            </w:rPr>
          </w:pPr>
          <w:hyperlink w:anchor="_Toc79501224" w:history="1">
            <w:r w:rsidR="009C753F" w:rsidRPr="00745453">
              <w:rPr>
                <w:rStyle w:val="Hipervnculo"/>
                <w:noProof/>
              </w:rPr>
              <w:t>Fuentes Consultadas</w:t>
            </w:r>
            <w:r w:rsidR="009C753F">
              <w:rPr>
                <w:noProof/>
                <w:webHidden/>
              </w:rPr>
              <w:tab/>
            </w:r>
            <w:r w:rsidR="009C753F">
              <w:rPr>
                <w:noProof/>
                <w:webHidden/>
              </w:rPr>
              <w:fldChar w:fldCharType="begin"/>
            </w:r>
            <w:r w:rsidR="009C753F">
              <w:rPr>
                <w:noProof/>
                <w:webHidden/>
              </w:rPr>
              <w:instrText xml:space="preserve"> PAGEREF _Toc79501224 \h </w:instrText>
            </w:r>
            <w:r w:rsidR="009C753F">
              <w:rPr>
                <w:noProof/>
                <w:webHidden/>
              </w:rPr>
            </w:r>
            <w:r w:rsidR="009C753F">
              <w:rPr>
                <w:noProof/>
                <w:webHidden/>
              </w:rPr>
              <w:fldChar w:fldCharType="separate"/>
            </w:r>
            <w:r w:rsidR="00A77086">
              <w:rPr>
                <w:noProof/>
                <w:webHidden/>
              </w:rPr>
              <w:t>32</w:t>
            </w:r>
            <w:r w:rsidR="009C753F">
              <w:rPr>
                <w:noProof/>
                <w:webHidden/>
              </w:rPr>
              <w:fldChar w:fldCharType="end"/>
            </w:r>
          </w:hyperlink>
        </w:p>
        <w:p w14:paraId="2B42AE25" w14:textId="3E3C2FB7" w:rsidR="00707578" w:rsidRDefault="00707578">
          <w:r w:rsidRPr="003D4924">
            <w:rPr>
              <w:rFonts w:cstheme="minorHAnsi"/>
              <w:b/>
              <w:bCs/>
              <w:lang w:val="es-ES"/>
            </w:rPr>
            <w:fldChar w:fldCharType="end"/>
          </w:r>
        </w:p>
      </w:sdtContent>
    </w:sdt>
    <w:p w14:paraId="381F7FA2" w14:textId="77777777" w:rsidR="00754B7D" w:rsidRDefault="00754B7D"/>
    <w:p w14:paraId="2B703A8D" w14:textId="77777777" w:rsidR="00872CB5" w:rsidRDefault="00872CB5">
      <w:r>
        <w:br w:type="page"/>
      </w:r>
    </w:p>
    <w:p w14:paraId="0B82FEC1" w14:textId="29909AD4" w:rsidR="00155ABD" w:rsidRDefault="00155ABD" w:rsidP="00E1164E">
      <w:pPr>
        <w:pStyle w:val="Ttulo1"/>
      </w:pPr>
      <w:bookmarkStart w:id="1" w:name="_Toc36542193"/>
      <w:bookmarkStart w:id="2" w:name="_Toc36548488"/>
      <w:bookmarkStart w:id="3" w:name="_Toc36560491"/>
      <w:bookmarkStart w:id="4" w:name="_Toc36566042"/>
      <w:bookmarkStart w:id="5" w:name="_Toc36576352"/>
      <w:bookmarkStart w:id="6" w:name="_Toc36579678"/>
      <w:bookmarkStart w:id="7" w:name="_Toc36582129"/>
      <w:bookmarkStart w:id="8" w:name="_Toc36583179"/>
      <w:bookmarkStart w:id="9" w:name="_Toc36585095"/>
      <w:bookmarkStart w:id="10" w:name="_Toc36629003"/>
      <w:bookmarkStart w:id="11" w:name="_Toc36639866"/>
      <w:bookmarkStart w:id="12" w:name="_Toc36641052"/>
      <w:bookmarkStart w:id="13" w:name="_Toc36641260"/>
      <w:bookmarkStart w:id="14" w:name="_Toc36641677"/>
      <w:bookmarkStart w:id="15" w:name="_Toc36649891"/>
      <w:bookmarkStart w:id="16" w:name="_Toc41002264"/>
      <w:bookmarkStart w:id="17" w:name="_Toc71194789"/>
      <w:bookmarkStart w:id="18" w:name="_Toc79501205"/>
      <w:r w:rsidRPr="00E53FE7">
        <w:lastRenderedPageBreak/>
        <w:t>Lista de imágenes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8F492F1" w14:textId="0A24C71F" w:rsidR="005B1C40" w:rsidRDefault="00E840A1">
      <w:pPr>
        <w:pStyle w:val="Tabladeilustraciones"/>
        <w:tabs>
          <w:tab w:val="right" w:leader="dot" w:pos="8828"/>
        </w:tabs>
        <w:rPr>
          <w:rFonts w:asciiTheme="minorHAnsi" w:eastAsiaTheme="minorEastAsia" w:hAnsiTheme="minorHAnsi"/>
          <w:noProof/>
          <w:lang w:eastAsia="es-MX"/>
        </w:rPr>
      </w:pPr>
      <w:r>
        <w:fldChar w:fldCharType="begin"/>
      </w:r>
      <w:r>
        <w:instrText xml:space="preserve"> TOC \h \z \c "Ilustración" </w:instrText>
      </w:r>
      <w:r>
        <w:fldChar w:fldCharType="separate"/>
      </w:r>
      <w:hyperlink w:anchor="_Toc79424545" w:history="1">
        <w:r w:rsidR="005B1C40" w:rsidRPr="006D2CFD">
          <w:rPr>
            <w:rStyle w:val="Hipervnculo"/>
            <w:noProof/>
          </w:rPr>
          <w:t>Ilustración 1. Atribución nacional de la banda 5850–5925 MHz conforme al CNAF (elaboración propia)</w:t>
        </w:r>
        <w:r w:rsidR="005B1C40">
          <w:rPr>
            <w:noProof/>
            <w:webHidden/>
          </w:rPr>
          <w:tab/>
        </w:r>
        <w:r w:rsidR="005B1C40">
          <w:rPr>
            <w:noProof/>
            <w:webHidden/>
          </w:rPr>
          <w:fldChar w:fldCharType="begin"/>
        </w:r>
        <w:r w:rsidR="005B1C40">
          <w:rPr>
            <w:noProof/>
            <w:webHidden/>
          </w:rPr>
          <w:instrText xml:space="preserve"> PAGEREF _Toc79424545 \h </w:instrText>
        </w:r>
        <w:r w:rsidR="005B1C40">
          <w:rPr>
            <w:noProof/>
            <w:webHidden/>
          </w:rPr>
        </w:r>
        <w:r w:rsidR="005B1C40">
          <w:rPr>
            <w:noProof/>
            <w:webHidden/>
          </w:rPr>
          <w:fldChar w:fldCharType="separate"/>
        </w:r>
        <w:r w:rsidR="00A77086">
          <w:rPr>
            <w:noProof/>
            <w:webHidden/>
          </w:rPr>
          <w:t>12</w:t>
        </w:r>
        <w:r w:rsidR="005B1C40">
          <w:rPr>
            <w:noProof/>
            <w:webHidden/>
          </w:rPr>
          <w:fldChar w:fldCharType="end"/>
        </w:r>
      </w:hyperlink>
    </w:p>
    <w:p w14:paraId="69B6147F" w14:textId="18BEED71" w:rsidR="005B1C40" w:rsidRDefault="00F679CA">
      <w:pPr>
        <w:pStyle w:val="Tabladeilustraciones"/>
        <w:tabs>
          <w:tab w:val="right" w:leader="dot" w:pos="8828"/>
        </w:tabs>
        <w:rPr>
          <w:rFonts w:asciiTheme="minorHAnsi" w:eastAsiaTheme="minorEastAsia" w:hAnsiTheme="minorHAnsi"/>
          <w:noProof/>
          <w:lang w:eastAsia="es-MX"/>
        </w:rPr>
      </w:pPr>
      <w:hyperlink w:anchor="_Toc79424546" w:history="1">
        <w:r w:rsidR="005B1C40" w:rsidRPr="006D2CFD">
          <w:rPr>
            <w:rStyle w:val="Hipervnculo"/>
            <w:noProof/>
          </w:rPr>
          <w:t>Ilustración 2. Atribución internacional de la banda 5850–5925 MHz conforme al RR (elaboración propia)</w:t>
        </w:r>
        <w:r w:rsidR="005B1C40">
          <w:rPr>
            <w:noProof/>
            <w:webHidden/>
          </w:rPr>
          <w:tab/>
        </w:r>
        <w:r w:rsidR="005B1C40">
          <w:rPr>
            <w:noProof/>
            <w:webHidden/>
          </w:rPr>
          <w:fldChar w:fldCharType="begin"/>
        </w:r>
        <w:r w:rsidR="005B1C40">
          <w:rPr>
            <w:noProof/>
            <w:webHidden/>
          </w:rPr>
          <w:instrText xml:space="preserve"> PAGEREF _Toc79424546 \h </w:instrText>
        </w:r>
        <w:r w:rsidR="005B1C40">
          <w:rPr>
            <w:noProof/>
            <w:webHidden/>
          </w:rPr>
        </w:r>
        <w:r w:rsidR="005B1C40">
          <w:rPr>
            <w:noProof/>
            <w:webHidden/>
          </w:rPr>
          <w:fldChar w:fldCharType="separate"/>
        </w:r>
        <w:r w:rsidR="00A77086">
          <w:rPr>
            <w:noProof/>
            <w:webHidden/>
          </w:rPr>
          <w:t>15</w:t>
        </w:r>
        <w:r w:rsidR="005B1C40">
          <w:rPr>
            <w:noProof/>
            <w:webHidden/>
          </w:rPr>
          <w:fldChar w:fldCharType="end"/>
        </w:r>
      </w:hyperlink>
    </w:p>
    <w:p w14:paraId="093D2A07" w14:textId="10FA39E8" w:rsidR="005B1C40" w:rsidRDefault="00F679CA">
      <w:pPr>
        <w:pStyle w:val="Tabladeilustraciones"/>
        <w:tabs>
          <w:tab w:val="right" w:leader="dot" w:pos="8828"/>
        </w:tabs>
        <w:rPr>
          <w:rFonts w:asciiTheme="minorHAnsi" w:eastAsiaTheme="minorEastAsia" w:hAnsiTheme="minorHAnsi"/>
          <w:noProof/>
          <w:lang w:eastAsia="es-MX"/>
        </w:rPr>
      </w:pPr>
      <w:hyperlink w:anchor="_Toc79424547" w:history="1">
        <w:r w:rsidR="005B1C40" w:rsidRPr="006D2CFD">
          <w:rPr>
            <w:rStyle w:val="Hipervnculo"/>
            <w:noProof/>
          </w:rPr>
          <w:t>Ilustración 3. Diferentes formas de interacción y comunicación de un vehículo en el marco de STI (elaboración propia)</w:t>
        </w:r>
        <w:r w:rsidR="005B1C40">
          <w:rPr>
            <w:noProof/>
            <w:webHidden/>
          </w:rPr>
          <w:tab/>
        </w:r>
        <w:r w:rsidR="005B1C40">
          <w:rPr>
            <w:noProof/>
            <w:webHidden/>
          </w:rPr>
          <w:fldChar w:fldCharType="begin"/>
        </w:r>
        <w:r w:rsidR="005B1C40">
          <w:rPr>
            <w:noProof/>
            <w:webHidden/>
          </w:rPr>
          <w:instrText xml:space="preserve"> PAGEREF _Toc79424547 \h </w:instrText>
        </w:r>
        <w:r w:rsidR="005B1C40">
          <w:rPr>
            <w:noProof/>
            <w:webHidden/>
          </w:rPr>
        </w:r>
        <w:r w:rsidR="005B1C40">
          <w:rPr>
            <w:noProof/>
            <w:webHidden/>
          </w:rPr>
          <w:fldChar w:fldCharType="separate"/>
        </w:r>
        <w:r w:rsidR="00A77086">
          <w:rPr>
            <w:noProof/>
            <w:webHidden/>
          </w:rPr>
          <w:t>27</w:t>
        </w:r>
        <w:r w:rsidR="005B1C40">
          <w:rPr>
            <w:noProof/>
            <w:webHidden/>
          </w:rPr>
          <w:fldChar w:fldCharType="end"/>
        </w:r>
      </w:hyperlink>
    </w:p>
    <w:p w14:paraId="0A81F283" w14:textId="2166C014" w:rsidR="005B1C40" w:rsidRDefault="00F679CA">
      <w:pPr>
        <w:pStyle w:val="Tabladeilustraciones"/>
        <w:tabs>
          <w:tab w:val="right" w:leader="dot" w:pos="8828"/>
        </w:tabs>
        <w:rPr>
          <w:rFonts w:asciiTheme="minorHAnsi" w:eastAsiaTheme="minorEastAsia" w:hAnsiTheme="minorHAnsi"/>
          <w:noProof/>
          <w:lang w:eastAsia="es-MX"/>
        </w:rPr>
      </w:pPr>
      <w:hyperlink w:anchor="_Toc79424548" w:history="1">
        <w:r w:rsidR="005B1C40" w:rsidRPr="006D2CFD">
          <w:rPr>
            <w:rStyle w:val="Hipervnculo"/>
            <w:noProof/>
          </w:rPr>
          <w:t>Ilustración 4. Casos de uso de IMT proyectados para 2020 en adelante</w:t>
        </w:r>
        <w:r w:rsidR="005B1C40">
          <w:rPr>
            <w:noProof/>
            <w:webHidden/>
          </w:rPr>
          <w:tab/>
        </w:r>
        <w:r w:rsidR="005B1C40">
          <w:rPr>
            <w:noProof/>
            <w:webHidden/>
          </w:rPr>
          <w:fldChar w:fldCharType="begin"/>
        </w:r>
        <w:r w:rsidR="005B1C40">
          <w:rPr>
            <w:noProof/>
            <w:webHidden/>
          </w:rPr>
          <w:instrText xml:space="preserve"> PAGEREF _Toc79424548 \h </w:instrText>
        </w:r>
        <w:r w:rsidR="005B1C40">
          <w:rPr>
            <w:noProof/>
            <w:webHidden/>
          </w:rPr>
        </w:r>
        <w:r w:rsidR="005B1C40">
          <w:rPr>
            <w:noProof/>
            <w:webHidden/>
          </w:rPr>
          <w:fldChar w:fldCharType="separate"/>
        </w:r>
        <w:r w:rsidR="00A77086">
          <w:rPr>
            <w:noProof/>
            <w:webHidden/>
          </w:rPr>
          <w:t>30</w:t>
        </w:r>
        <w:r w:rsidR="005B1C40">
          <w:rPr>
            <w:noProof/>
            <w:webHidden/>
          </w:rPr>
          <w:fldChar w:fldCharType="end"/>
        </w:r>
      </w:hyperlink>
    </w:p>
    <w:p w14:paraId="2FDAE1B1" w14:textId="170C2BAF" w:rsidR="00872CB5" w:rsidRDefault="00E840A1" w:rsidP="00E840A1">
      <w:pPr>
        <w:spacing w:after="120" w:line="360" w:lineRule="auto"/>
      </w:pPr>
      <w:r>
        <w:fldChar w:fldCharType="end"/>
      </w:r>
      <w:r w:rsidR="00872CB5">
        <w:br w:type="page"/>
      </w:r>
    </w:p>
    <w:p w14:paraId="7B10FFC4" w14:textId="77777777" w:rsidR="00155ABD" w:rsidRDefault="00BB1698" w:rsidP="00E1164E">
      <w:pPr>
        <w:pStyle w:val="Ttulo1"/>
      </w:pPr>
      <w:bookmarkStart w:id="19" w:name="_Toc71194790"/>
      <w:bookmarkStart w:id="20" w:name="_Toc79501206"/>
      <w:r>
        <w:lastRenderedPageBreak/>
        <w:t>A</w:t>
      </w:r>
      <w:r w:rsidR="00155ABD">
        <w:t>crónimos</w:t>
      </w:r>
      <w:r>
        <w:t xml:space="preserve"> y Abreviaturas</w:t>
      </w:r>
      <w:bookmarkEnd w:id="19"/>
      <w:bookmarkEnd w:id="20"/>
    </w:p>
    <w:tbl>
      <w:tblPr>
        <w:tblStyle w:val="Tablaconcuadrcula"/>
        <w:tblW w:w="9493" w:type="dxa"/>
        <w:tblCellMar>
          <w:left w:w="57" w:type="dxa"/>
          <w:right w:w="57" w:type="dxa"/>
        </w:tblCellMar>
        <w:tblLook w:val="04A0" w:firstRow="1" w:lastRow="0" w:firstColumn="1" w:lastColumn="0" w:noHBand="0" w:noVBand="1"/>
      </w:tblPr>
      <w:tblGrid>
        <w:gridCol w:w="988"/>
        <w:gridCol w:w="8505"/>
      </w:tblGrid>
      <w:tr w:rsidR="004C2C86" w14:paraId="441DDD8F" w14:textId="77777777" w:rsidTr="00B911B5">
        <w:tc>
          <w:tcPr>
            <w:tcW w:w="988" w:type="dxa"/>
          </w:tcPr>
          <w:p w14:paraId="5630F272" w14:textId="77777777" w:rsidR="004C2C86" w:rsidRDefault="00153B18" w:rsidP="004C2C86">
            <w:r>
              <w:t>3GPP</w:t>
            </w:r>
          </w:p>
        </w:tc>
        <w:tc>
          <w:tcPr>
            <w:tcW w:w="8505" w:type="dxa"/>
          </w:tcPr>
          <w:p w14:paraId="2ED1DD27" w14:textId="77777777" w:rsidR="004C2C86" w:rsidRDefault="00153B18" w:rsidP="004C2C86">
            <w:r w:rsidRPr="00153B18">
              <w:t xml:space="preserve">3rd </w:t>
            </w:r>
            <w:r w:rsidRPr="00D1298E">
              <w:rPr>
                <w:lang w:val="en-US"/>
              </w:rPr>
              <w:t>Generation Partnership Project</w:t>
            </w:r>
          </w:p>
        </w:tc>
      </w:tr>
      <w:tr w:rsidR="00101A71" w14:paraId="015B92F5" w14:textId="77777777" w:rsidTr="00B911B5">
        <w:tc>
          <w:tcPr>
            <w:tcW w:w="988" w:type="dxa"/>
          </w:tcPr>
          <w:p w14:paraId="48C9A039" w14:textId="77777777" w:rsidR="00101A71" w:rsidRDefault="00101A71" w:rsidP="004C2C86">
            <w:r>
              <w:t>CCP.II</w:t>
            </w:r>
          </w:p>
        </w:tc>
        <w:tc>
          <w:tcPr>
            <w:tcW w:w="8505" w:type="dxa"/>
          </w:tcPr>
          <w:p w14:paraId="7A148C69" w14:textId="77777777" w:rsidR="00101A71" w:rsidRPr="00153B18" w:rsidRDefault="00101A71" w:rsidP="00101A71">
            <w:r>
              <w:t>Comité Consultivo Permanente II</w:t>
            </w:r>
          </w:p>
        </w:tc>
      </w:tr>
      <w:tr w:rsidR="004A02A3" w14:paraId="2A27A422" w14:textId="77777777" w:rsidTr="00B911B5">
        <w:tc>
          <w:tcPr>
            <w:tcW w:w="988" w:type="dxa"/>
          </w:tcPr>
          <w:p w14:paraId="31216964" w14:textId="77777777" w:rsidR="004A02A3" w:rsidRDefault="004A02A3" w:rsidP="004C2C86">
            <w:r>
              <w:t>CEPT</w:t>
            </w:r>
          </w:p>
        </w:tc>
        <w:tc>
          <w:tcPr>
            <w:tcW w:w="8505" w:type="dxa"/>
          </w:tcPr>
          <w:p w14:paraId="69D4F77F" w14:textId="77777777" w:rsidR="004A02A3" w:rsidRDefault="00A269FE" w:rsidP="00101A71">
            <w:r w:rsidRPr="00A269FE">
              <w:t>Conferencia Europea de Administraciones de Correos y Telecomunicaciones</w:t>
            </w:r>
            <w:r>
              <w:t xml:space="preserve"> (del francés </w:t>
            </w:r>
            <w:proofErr w:type="spellStart"/>
            <w:r w:rsidRPr="00C366B9">
              <w:rPr>
                <w:i/>
              </w:rPr>
              <w:t>Conférence</w:t>
            </w:r>
            <w:proofErr w:type="spellEnd"/>
            <w:r w:rsidRPr="00C366B9">
              <w:rPr>
                <w:i/>
              </w:rPr>
              <w:t xml:space="preserve"> </w:t>
            </w:r>
            <w:proofErr w:type="spellStart"/>
            <w:r w:rsidRPr="00C366B9">
              <w:rPr>
                <w:i/>
              </w:rPr>
              <w:t>européenne</w:t>
            </w:r>
            <w:proofErr w:type="spellEnd"/>
            <w:r w:rsidRPr="00C366B9">
              <w:rPr>
                <w:i/>
              </w:rPr>
              <w:t xml:space="preserve"> des </w:t>
            </w:r>
            <w:proofErr w:type="spellStart"/>
            <w:r w:rsidRPr="00C366B9">
              <w:rPr>
                <w:i/>
              </w:rPr>
              <w:t>administrations</w:t>
            </w:r>
            <w:proofErr w:type="spellEnd"/>
            <w:r w:rsidRPr="00C366B9">
              <w:rPr>
                <w:i/>
              </w:rPr>
              <w:t xml:space="preserve"> des postes et des </w:t>
            </w:r>
            <w:proofErr w:type="spellStart"/>
            <w:r w:rsidRPr="00C366B9">
              <w:rPr>
                <w:i/>
              </w:rPr>
              <w:t>télécommunications</w:t>
            </w:r>
            <w:proofErr w:type="spellEnd"/>
            <w:r>
              <w:rPr>
                <w:i/>
              </w:rPr>
              <w:t>)</w:t>
            </w:r>
          </w:p>
        </w:tc>
      </w:tr>
      <w:tr w:rsidR="00101A71" w14:paraId="67BFBCCA" w14:textId="77777777" w:rsidTr="00B911B5">
        <w:tc>
          <w:tcPr>
            <w:tcW w:w="988" w:type="dxa"/>
          </w:tcPr>
          <w:p w14:paraId="4DD0782E" w14:textId="77777777" w:rsidR="00101A71" w:rsidRDefault="00101A71" w:rsidP="004C2C86">
            <w:r>
              <w:t>CITEL</w:t>
            </w:r>
          </w:p>
        </w:tc>
        <w:tc>
          <w:tcPr>
            <w:tcW w:w="8505" w:type="dxa"/>
          </w:tcPr>
          <w:p w14:paraId="519F4FA8" w14:textId="77777777" w:rsidR="00101A71" w:rsidRPr="00153B18" w:rsidRDefault="00101A71" w:rsidP="004C2C86">
            <w:r>
              <w:t>Comisión Interamericana de Telecomunicaciones</w:t>
            </w:r>
          </w:p>
        </w:tc>
      </w:tr>
      <w:tr w:rsidR="00CA6D42" w14:paraId="433749A1" w14:textId="77777777" w:rsidTr="00B911B5">
        <w:tc>
          <w:tcPr>
            <w:tcW w:w="988" w:type="dxa"/>
          </w:tcPr>
          <w:p w14:paraId="308DC9D0" w14:textId="4335583E" w:rsidR="00CA6D42" w:rsidRDefault="00CA6D42" w:rsidP="004C2C86">
            <w:r>
              <w:t>CNAF</w:t>
            </w:r>
          </w:p>
        </w:tc>
        <w:tc>
          <w:tcPr>
            <w:tcW w:w="8505" w:type="dxa"/>
          </w:tcPr>
          <w:p w14:paraId="4A83F413" w14:textId="1C89C45D" w:rsidR="00CA6D42" w:rsidRDefault="00CA6D42" w:rsidP="004C2C86">
            <w:r>
              <w:t>Cuadro Nacional de Atribución de Frecuencias</w:t>
            </w:r>
          </w:p>
        </w:tc>
      </w:tr>
      <w:tr w:rsidR="004A02A3" w14:paraId="4D8F4CDD" w14:textId="77777777" w:rsidTr="00B911B5">
        <w:tc>
          <w:tcPr>
            <w:tcW w:w="988" w:type="dxa"/>
          </w:tcPr>
          <w:p w14:paraId="41BA8CA4" w14:textId="77777777" w:rsidR="004A02A3" w:rsidRDefault="004A02A3" w:rsidP="004C2C86">
            <w:proofErr w:type="spellStart"/>
            <w:r>
              <w:t>eMBB</w:t>
            </w:r>
            <w:proofErr w:type="spellEnd"/>
          </w:p>
        </w:tc>
        <w:tc>
          <w:tcPr>
            <w:tcW w:w="8505" w:type="dxa"/>
          </w:tcPr>
          <w:p w14:paraId="2CB241B3" w14:textId="0845B337" w:rsidR="004A02A3" w:rsidRDefault="00A269FE" w:rsidP="004C2C86">
            <w:r>
              <w:t xml:space="preserve">Banda Ancha Móvil Mejorada (del inglés </w:t>
            </w:r>
            <w:proofErr w:type="spellStart"/>
            <w:r w:rsidRPr="00C366B9">
              <w:rPr>
                <w:i/>
              </w:rPr>
              <w:t>Enhanced</w:t>
            </w:r>
            <w:proofErr w:type="spellEnd"/>
            <w:r w:rsidRPr="00C366B9">
              <w:rPr>
                <w:i/>
              </w:rPr>
              <w:t xml:space="preserve"> Mobile </w:t>
            </w:r>
            <w:proofErr w:type="spellStart"/>
            <w:r w:rsidRPr="00C366B9">
              <w:rPr>
                <w:i/>
              </w:rPr>
              <w:t>Broadband</w:t>
            </w:r>
            <w:proofErr w:type="spellEnd"/>
            <w:r>
              <w:rPr>
                <w:i/>
              </w:rPr>
              <w:t>)</w:t>
            </w:r>
          </w:p>
        </w:tc>
      </w:tr>
      <w:tr w:rsidR="004C2C86" w14:paraId="2E69A51B" w14:textId="77777777" w:rsidTr="00B911B5">
        <w:tc>
          <w:tcPr>
            <w:tcW w:w="988" w:type="dxa"/>
          </w:tcPr>
          <w:p w14:paraId="1CE995B4" w14:textId="77777777" w:rsidR="004C2C86" w:rsidRDefault="00846CE2" w:rsidP="004C2C86">
            <w:r>
              <w:t>CTER</w:t>
            </w:r>
          </w:p>
        </w:tc>
        <w:tc>
          <w:tcPr>
            <w:tcW w:w="8505" w:type="dxa"/>
          </w:tcPr>
          <w:p w14:paraId="4820D3C9" w14:textId="4FAD35A7" w:rsidR="004C2C86" w:rsidRDefault="00846CE2" w:rsidP="004C2C86">
            <w:r>
              <w:t xml:space="preserve">Comité Técnico en </w:t>
            </w:r>
            <w:r w:rsidR="00BB6DE1">
              <w:t>m</w:t>
            </w:r>
            <w:r>
              <w:t>ateria de Espectro Radioeléctrico</w:t>
            </w:r>
          </w:p>
        </w:tc>
      </w:tr>
      <w:tr w:rsidR="004A02A3" w14:paraId="3C532917" w14:textId="77777777" w:rsidTr="00B911B5">
        <w:tc>
          <w:tcPr>
            <w:tcW w:w="988" w:type="dxa"/>
          </w:tcPr>
          <w:p w14:paraId="25EFC38B" w14:textId="77777777" w:rsidR="004A02A3" w:rsidRDefault="004A02A3" w:rsidP="004C2C86">
            <w:r>
              <w:t>DSRC</w:t>
            </w:r>
          </w:p>
        </w:tc>
        <w:tc>
          <w:tcPr>
            <w:tcW w:w="8505" w:type="dxa"/>
          </w:tcPr>
          <w:p w14:paraId="7A2D70F4" w14:textId="369358D2" w:rsidR="004A02A3" w:rsidRDefault="00F41BDB" w:rsidP="004C2C86">
            <w:r>
              <w:t>D</w:t>
            </w:r>
            <w:r w:rsidRPr="00F41BDB">
              <w:t>ispositivos dedicados de comunicaciones de corto alcance</w:t>
            </w:r>
            <w:r>
              <w:t xml:space="preserve"> (del inglés </w:t>
            </w:r>
            <w:proofErr w:type="spellStart"/>
            <w:r w:rsidR="000927BF" w:rsidRPr="000927BF">
              <w:rPr>
                <w:i/>
              </w:rPr>
              <w:t>Dedicated</w:t>
            </w:r>
            <w:proofErr w:type="spellEnd"/>
            <w:r w:rsidR="000927BF" w:rsidRPr="000927BF">
              <w:rPr>
                <w:i/>
              </w:rPr>
              <w:t xml:space="preserve"> Short-</w:t>
            </w:r>
            <w:proofErr w:type="spellStart"/>
            <w:r w:rsidR="000927BF" w:rsidRPr="000927BF">
              <w:rPr>
                <w:i/>
              </w:rPr>
              <w:t>Range</w:t>
            </w:r>
            <w:proofErr w:type="spellEnd"/>
            <w:r w:rsidR="000927BF" w:rsidRPr="000927BF">
              <w:rPr>
                <w:i/>
              </w:rPr>
              <w:t xml:space="preserve"> </w:t>
            </w:r>
            <w:proofErr w:type="spellStart"/>
            <w:r w:rsidR="000927BF" w:rsidRPr="000927BF">
              <w:rPr>
                <w:i/>
              </w:rPr>
              <w:t>Communications</w:t>
            </w:r>
            <w:proofErr w:type="spellEnd"/>
            <w:r>
              <w:rPr>
                <w:i/>
              </w:rPr>
              <w:t>)</w:t>
            </w:r>
          </w:p>
        </w:tc>
      </w:tr>
      <w:tr w:rsidR="005C59DD" w14:paraId="795A2A0D" w14:textId="77777777" w:rsidTr="00B911B5">
        <w:tc>
          <w:tcPr>
            <w:tcW w:w="988" w:type="dxa"/>
          </w:tcPr>
          <w:p w14:paraId="34487F24" w14:textId="614085A0" w:rsidR="005C59DD" w:rsidRDefault="005C59DD" w:rsidP="004C2C86">
            <w:r w:rsidRPr="005C59DD">
              <w:t>ECC</w:t>
            </w:r>
          </w:p>
        </w:tc>
        <w:tc>
          <w:tcPr>
            <w:tcW w:w="8505" w:type="dxa"/>
          </w:tcPr>
          <w:p w14:paraId="5C425F98" w14:textId="7EAD5809" w:rsidR="005C59DD" w:rsidRDefault="005C59DD" w:rsidP="004C2C86">
            <w:r w:rsidRPr="005C59DD">
              <w:t>Comité de Comunicaciones Electrónicas (</w:t>
            </w:r>
            <w:r>
              <w:t>del</w:t>
            </w:r>
            <w:r w:rsidRPr="005C59DD">
              <w:t xml:space="preserve"> inglés</w:t>
            </w:r>
            <w:r>
              <w:t xml:space="preserve"> </w:t>
            </w:r>
            <w:r w:rsidRPr="005C59DD">
              <w:rPr>
                <w:i/>
              </w:rPr>
              <w:t xml:space="preserve">Electronic </w:t>
            </w:r>
            <w:proofErr w:type="spellStart"/>
            <w:r w:rsidRPr="005C59DD">
              <w:rPr>
                <w:i/>
              </w:rPr>
              <w:t>Communications</w:t>
            </w:r>
            <w:proofErr w:type="spellEnd"/>
            <w:r w:rsidRPr="005C59DD">
              <w:rPr>
                <w:i/>
              </w:rPr>
              <w:t xml:space="preserve"> </w:t>
            </w:r>
            <w:proofErr w:type="spellStart"/>
            <w:r w:rsidRPr="005C59DD">
              <w:rPr>
                <w:i/>
              </w:rPr>
              <w:t>Committee</w:t>
            </w:r>
            <w:proofErr w:type="spellEnd"/>
            <w:r w:rsidRPr="005C59DD">
              <w:t>)</w:t>
            </w:r>
          </w:p>
        </w:tc>
      </w:tr>
      <w:tr w:rsidR="004C2C86" w14:paraId="678BC352" w14:textId="77777777" w:rsidTr="00B911B5">
        <w:tc>
          <w:tcPr>
            <w:tcW w:w="988" w:type="dxa"/>
          </w:tcPr>
          <w:p w14:paraId="5D5C3949" w14:textId="77777777" w:rsidR="004C2C86" w:rsidRDefault="00153B18" w:rsidP="004C2C86">
            <w:r>
              <w:t>ETSI</w:t>
            </w:r>
          </w:p>
        </w:tc>
        <w:tc>
          <w:tcPr>
            <w:tcW w:w="8505" w:type="dxa"/>
          </w:tcPr>
          <w:p w14:paraId="360E8EDF" w14:textId="77777777" w:rsidR="004C2C86" w:rsidRDefault="00153B18" w:rsidP="00153B18">
            <w:r w:rsidRPr="00153B18">
              <w:t>Instituto Europeo de Nor</w:t>
            </w:r>
            <w:r>
              <w:t>mas de Telecomunicaciones (del inglés</w:t>
            </w:r>
            <w:r w:rsidRPr="00153B18">
              <w:t xml:space="preserve"> </w:t>
            </w:r>
            <w:proofErr w:type="spellStart"/>
            <w:r w:rsidRPr="00736821">
              <w:rPr>
                <w:i/>
              </w:rPr>
              <w:t>European</w:t>
            </w:r>
            <w:proofErr w:type="spellEnd"/>
            <w:r w:rsidRPr="00736821">
              <w:rPr>
                <w:i/>
              </w:rPr>
              <w:t xml:space="preserve"> </w:t>
            </w:r>
            <w:proofErr w:type="spellStart"/>
            <w:r w:rsidRPr="00736821">
              <w:rPr>
                <w:i/>
              </w:rPr>
              <w:t>Telecommunications</w:t>
            </w:r>
            <w:proofErr w:type="spellEnd"/>
            <w:r w:rsidRPr="00736821">
              <w:rPr>
                <w:i/>
              </w:rPr>
              <w:t xml:space="preserve"> </w:t>
            </w:r>
            <w:proofErr w:type="spellStart"/>
            <w:r w:rsidRPr="00736821">
              <w:rPr>
                <w:i/>
              </w:rPr>
              <w:t>Standards</w:t>
            </w:r>
            <w:proofErr w:type="spellEnd"/>
            <w:r w:rsidRPr="00736821">
              <w:rPr>
                <w:i/>
              </w:rPr>
              <w:t xml:space="preserve"> </w:t>
            </w:r>
            <w:proofErr w:type="spellStart"/>
            <w:r w:rsidRPr="00736821">
              <w:rPr>
                <w:i/>
              </w:rPr>
              <w:t>Institute</w:t>
            </w:r>
            <w:proofErr w:type="spellEnd"/>
            <w:r>
              <w:t>)</w:t>
            </w:r>
          </w:p>
        </w:tc>
      </w:tr>
      <w:tr w:rsidR="004C2C86" w14:paraId="2CF67244" w14:textId="77777777" w:rsidTr="00B911B5">
        <w:tc>
          <w:tcPr>
            <w:tcW w:w="988" w:type="dxa"/>
          </w:tcPr>
          <w:p w14:paraId="77D11779" w14:textId="1971F3A6" w:rsidR="004C2C86" w:rsidRDefault="001165AA" w:rsidP="004C2C86">
            <w:r w:rsidRPr="00E53FE7">
              <w:t>E</w:t>
            </w:r>
            <w:r w:rsidR="00376A69">
              <w:t>-</w:t>
            </w:r>
            <w:r w:rsidRPr="00E53FE7">
              <w:t>UTRA</w:t>
            </w:r>
          </w:p>
        </w:tc>
        <w:tc>
          <w:tcPr>
            <w:tcW w:w="8505" w:type="dxa"/>
          </w:tcPr>
          <w:p w14:paraId="2B7E725F" w14:textId="4E167D5F" w:rsidR="004C2C86" w:rsidRDefault="00D46D88" w:rsidP="004C2C86">
            <w:r>
              <w:t xml:space="preserve">Sistema de Telecomunicaciones Móviles </w:t>
            </w:r>
            <w:r w:rsidR="006F4FAD">
              <w:t xml:space="preserve">Terrestre Evolucionado (del inglés </w:t>
            </w:r>
            <w:proofErr w:type="spellStart"/>
            <w:r w:rsidR="006F4FAD" w:rsidRPr="00E53FE7">
              <w:rPr>
                <w:i/>
              </w:rPr>
              <w:t>Evolved</w:t>
            </w:r>
            <w:proofErr w:type="spellEnd"/>
            <w:r w:rsidR="006F4FAD" w:rsidRPr="00E53FE7">
              <w:rPr>
                <w:i/>
              </w:rPr>
              <w:t xml:space="preserve"> Universal </w:t>
            </w:r>
            <w:proofErr w:type="spellStart"/>
            <w:r w:rsidR="000927BF">
              <w:rPr>
                <w:i/>
              </w:rPr>
              <w:t>Terrestrial</w:t>
            </w:r>
            <w:proofErr w:type="spellEnd"/>
            <w:r w:rsidR="000927BF">
              <w:rPr>
                <w:i/>
              </w:rPr>
              <w:t xml:space="preserve"> Radio Access</w:t>
            </w:r>
            <w:r w:rsidR="006F4FAD">
              <w:rPr>
                <w:i/>
              </w:rPr>
              <w:t>)</w:t>
            </w:r>
          </w:p>
        </w:tc>
      </w:tr>
      <w:tr w:rsidR="00AA0314" w14:paraId="1439FA56" w14:textId="77777777" w:rsidTr="00B911B5">
        <w:tc>
          <w:tcPr>
            <w:tcW w:w="988" w:type="dxa"/>
          </w:tcPr>
          <w:p w14:paraId="7FE59854" w14:textId="39F1D849" w:rsidR="00AA0314" w:rsidRPr="00E53FE7" w:rsidRDefault="00AA0314" w:rsidP="004C2C86">
            <w:r>
              <w:t>IEEE</w:t>
            </w:r>
          </w:p>
        </w:tc>
        <w:tc>
          <w:tcPr>
            <w:tcW w:w="8505" w:type="dxa"/>
          </w:tcPr>
          <w:p w14:paraId="2611CEDF" w14:textId="43039B9A" w:rsidR="00AA0314" w:rsidRDefault="00AA0314" w:rsidP="004C2C86">
            <w:r w:rsidRPr="00AA0314">
              <w:t>Instituto de Ingenieros Eléctricos y Electrónicos</w:t>
            </w:r>
            <w:r>
              <w:t xml:space="preserve"> (del inglés </w:t>
            </w:r>
            <w:proofErr w:type="spellStart"/>
            <w:r w:rsidRPr="00AA0314">
              <w:rPr>
                <w:i/>
              </w:rPr>
              <w:t>Institute</w:t>
            </w:r>
            <w:proofErr w:type="spellEnd"/>
            <w:r w:rsidRPr="00AA0314">
              <w:rPr>
                <w:i/>
              </w:rPr>
              <w:t xml:space="preserve"> </w:t>
            </w:r>
            <w:proofErr w:type="spellStart"/>
            <w:r w:rsidRPr="00AA0314">
              <w:rPr>
                <w:i/>
              </w:rPr>
              <w:t>of</w:t>
            </w:r>
            <w:proofErr w:type="spellEnd"/>
            <w:r w:rsidRPr="00AA0314">
              <w:rPr>
                <w:i/>
              </w:rPr>
              <w:t xml:space="preserve"> </w:t>
            </w:r>
            <w:proofErr w:type="spellStart"/>
            <w:r w:rsidRPr="00AA0314">
              <w:rPr>
                <w:i/>
              </w:rPr>
              <w:t>Electrical</w:t>
            </w:r>
            <w:proofErr w:type="spellEnd"/>
            <w:r w:rsidRPr="00AA0314">
              <w:rPr>
                <w:i/>
              </w:rPr>
              <w:t xml:space="preserve"> and </w:t>
            </w:r>
            <w:proofErr w:type="spellStart"/>
            <w:r w:rsidRPr="00AA0314">
              <w:rPr>
                <w:i/>
              </w:rPr>
              <w:t>Electronics</w:t>
            </w:r>
            <w:proofErr w:type="spellEnd"/>
            <w:r w:rsidRPr="00AA0314">
              <w:rPr>
                <w:i/>
              </w:rPr>
              <w:t xml:space="preserve"> </w:t>
            </w:r>
            <w:proofErr w:type="spellStart"/>
            <w:r w:rsidRPr="00AA0314">
              <w:rPr>
                <w:i/>
              </w:rPr>
              <w:t>Engineers</w:t>
            </w:r>
            <w:proofErr w:type="spellEnd"/>
            <w:r>
              <w:t>)</w:t>
            </w:r>
          </w:p>
        </w:tc>
      </w:tr>
      <w:tr w:rsidR="004C2C86" w14:paraId="68EAB122" w14:textId="77777777" w:rsidTr="00B911B5">
        <w:tc>
          <w:tcPr>
            <w:tcW w:w="988" w:type="dxa"/>
          </w:tcPr>
          <w:p w14:paraId="13417D53" w14:textId="77777777" w:rsidR="004C2C86" w:rsidRDefault="001E739F" w:rsidP="004C2C86">
            <w:r>
              <w:t>IMT</w:t>
            </w:r>
          </w:p>
        </w:tc>
        <w:tc>
          <w:tcPr>
            <w:tcW w:w="8505" w:type="dxa"/>
          </w:tcPr>
          <w:p w14:paraId="52718AE7" w14:textId="77777777" w:rsidR="004C2C86" w:rsidRDefault="001E739F" w:rsidP="004C2C86">
            <w:r w:rsidRPr="001E739F">
              <w:t>Telecomunicaciones Móviles Internacionales (del inglés</w:t>
            </w:r>
            <w:r w:rsidRPr="00736821">
              <w:rPr>
                <w:i/>
              </w:rPr>
              <w:t xml:space="preserve"> International Mobile </w:t>
            </w:r>
            <w:proofErr w:type="spellStart"/>
            <w:r w:rsidRPr="00736821">
              <w:rPr>
                <w:i/>
              </w:rPr>
              <w:t>Telecommunications</w:t>
            </w:r>
            <w:proofErr w:type="spellEnd"/>
            <w:r w:rsidRPr="00736821">
              <w:t>)</w:t>
            </w:r>
          </w:p>
        </w:tc>
      </w:tr>
      <w:tr w:rsidR="0029613C" w14:paraId="02C98BA8" w14:textId="77777777" w:rsidTr="00B911B5">
        <w:tc>
          <w:tcPr>
            <w:tcW w:w="988" w:type="dxa"/>
          </w:tcPr>
          <w:p w14:paraId="0E9A50CD" w14:textId="77777777" w:rsidR="0029613C" w:rsidRDefault="0029613C" w:rsidP="004C2C86">
            <w:r>
              <w:t>Instituto</w:t>
            </w:r>
          </w:p>
        </w:tc>
        <w:tc>
          <w:tcPr>
            <w:tcW w:w="8505" w:type="dxa"/>
          </w:tcPr>
          <w:p w14:paraId="511A8E15" w14:textId="77777777" w:rsidR="0029613C" w:rsidRPr="001E739F" w:rsidRDefault="0029613C" w:rsidP="004C2C86">
            <w:r>
              <w:t>Instituto Federal de Telecomunicaciones</w:t>
            </w:r>
          </w:p>
        </w:tc>
      </w:tr>
      <w:tr w:rsidR="006B5DC7" w14:paraId="63D7A616" w14:textId="77777777" w:rsidTr="00B911B5">
        <w:tc>
          <w:tcPr>
            <w:tcW w:w="988" w:type="dxa"/>
          </w:tcPr>
          <w:p w14:paraId="78D800E7" w14:textId="439CF71A" w:rsidR="006B5DC7" w:rsidRDefault="006B5DC7" w:rsidP="004C2C86">
            <w:r>
              <w:t>LTE</w:t>
            </w:r>
          </w:p>
        </w:tc>
        <w:tc>
          <w:tcPr>
            <w:tcW w:w="8505" w:type="dxa"/>
          </w:tcPr>
          <w:p w14:paraId="11A78CF7" w14:textId="77777777" w:rsidR="006B5DC7" w:rsidRPr="00BB6DE1" w:rsidRDefault="00A024A2" w:rsidP="004C2C86">
            <w:pPr>
              <w:rPr>
                <w:i/>
              </w:rPr>
            </w:pPr>
            <w:r w:rsidRPr="00BB6DE1">
              <w:t xml:space="preserve">Evolución a Largo Plazo (del inglés, </w:t>
            </w:r>
            <w:r w:rsidR="006B5DC7" w:rsidRPr="00BB6DE1">
              <w:rPr>
                <w:i/>
              </w:rPr>
              <w:t xml:space="preserve">Long </w:t>
            </w:r>
            <w:proofErr w:type="spellStart"/>
            <w:r w:rsidR="006B5DC7" w:rsidRPr="00BB6DE1">
              <w:rPr>
                <w:i/>
              </w:rPr>
              <w:t>Term</w:t>
            </w:r>
            <w:proofErr w:type="spellEnd"/>
            <w:r w:rsidR="006B5DC7" w:rsidRPr="00BB6DE1">
              <w:rPr>
                <w:i/>
              </w:rPr>
              <w:t xml:space="preserve"> </w:t>
            </w:r>
            <w:proofErr w:type="spellStart"/>
            <w:r w:rsidR="006B5DC7" w:rsidRPr="00BB6DE1">
              <w:rPr>
                <w:i/>
              </w:rPr>
              <w:t>Evolution</w:t>
            </w:r>
            <w:proofErr w:type="spellEnd"/>
            <w:r w:rsidRPr="00BB6DE1">
              <w:rPr>
                <w:i/>
              </w:rPr>
              <w:t>)</w:t>
            </w:r>
          </w:p>
        </w:tc>
      </w:tr>
      <w:tr w:rsidR="00F41BDB" w14:paraId="443276BC" w14:textId="77777777" w:rsidTr="00B911B5">
        <w:tc>
          <w:tcPr>
            <w:tcW w:w="988" w:type="dxa"/>
          </w:tcPr>
          <w:p w14:paraId="630B8955" w14:textId="77777777" w:rsidR="00F41BDB" w:rsidRDefault="00F41BDB" w:rsidP="004C2C86">
            <w:proofErr w:type="spellStart"/>
            <w:r>
              <w:t>mMTC</w:t>
            </w:r>
            <w:proofErr w:type="spellEnd"/>
          </w:p>
        </w:tc>
        <w:tc>
          <w:tcPr>
            <w:tcW w:w="8505" w:type="dxa"/>
          </w:tcPr>
          <w:p w14:paraId="4CA07EEF" w14:textId="77777777" w:rsidR="00F41BDB" w:rsidRPr="00BB6DE1" w:rsidRDefault="008B6FB0" w:rsidP="004C2C86">
            <w:r w:rsidRPr="00BB6DE1">
              <w:t xml:space="preserve">Comunicaciones Masivas de Tipo Máquina (del inglés </w:t>
            </w:r>
            <w:proofErr w:type="spellStart"/>
            <w:r w:rsidRPr="00BB6DE1">
              <w:rPr>
                <w:i/>
              </w:rPr>
              <w:t>Massive</w:t>
            </w:r>
            <w:proofErr w:type="spellEnd"/>
            <w:r w:rsidRPr="00BB6DE1">
              <w:rPr>
                <w:i/>
              </w:rPr>
              <w:t xml:space="preserve"> Machine </w:t>
            </w:r>
            <w:proofErr w:type="spellStart"/>
            <w:r w:rsidRPr="00BB6DE1">
              <w:rPr>
                <w:i/>
              </w:rPr>
              <w:t>Type</w:t>
            </w:r>
            <w:proofErr w:type="spellEnd"/>
            <w:r w:rsidRPr="00BB6DE1">
              <w:rPr>
                <w:i/>
              </w:rPr>
              <w:t xml:space="preserve"> </w:t>
            </w:r>
            <w:proofErr w:type="spellStart"/>
            <w:r w:rsidRPr="00BB6DE1">
              <w:rPr>
                <w:i/>
              </w:rPr>
              <w:t>Communications</w:t>
            </w:r>
            <w:proofErr w:type="spellEnd"/>
            <w:r w:rsidRPr="00BB6DE1">
              <w:rPr>
                <w:i/>
              </w:rPr>
              <w:t>)</w:t>
            </w:r>
          </w:p>
        </w:tc>
      </w:tr>
      <w:tr w:rsidR="00F41BDB" w14:paraId="72719F57" w14:textId="77777777" w:rsidTr="00B911B5">
        <w:tc>
          <w:tcPr>
            <w:tcW w:w="988" w:type="dxa"/>
          </w:tcPr>
          <w:p w14:paraId="5F01D0F4" w14:textId="77777777" w:rsidR="00F41BDB" w:rsidRDefault="00F41BDB" w:rsidP="004C2C86">
            <w:r>
              <w:t>OBU</w:t>
            </w:r>
          </w:p>
        </w:tc>
        <w:tc>
          <w:tcPr>
            <w:tcW w:w="8505" w:type="dxa"/>
          </w:tcPr>
          <w:p w14:paraId="63BA057E" w14:textId="77777777" w:rsidR="00F41BDB" w:rsidRDefault="008B6FB0" w:rsidP="004C2C86">
            <w:pPr>
              <w:rPr>
                <w:lang w:val="en-US"/>
              </w:rPr>
            </w:pPr>
            <w:r>
              <w:rPr>
                <w:lang w:val="en-US"/>
              </w:rPr>
              <w:t xml:space="preserve">Unidad a </w:t>
            </w:r>
            <w:proofErr w:type="spellStart"/>
            <w:r>
              <w:rPr>
                <w:lang w:val="en-US"/>
              </w:rPr>
              <w:t>Bordo</w:t>
            </w:r>
            <w:proofErr w:type="spellEnd"/>
            <w:r>
              <w:rPr>
                <w:lang w:val="en-US"/>
              </w:rPr>
              <w:t xml:space="preserve"> (del </w:t>
            </w:r>
            <w:proofErr w:type="spellStart"/>
            <w:r>
              <w:rPr>
                <w:lang w:val="en-US"/>
              </w:rPr>
              <w:t>inglés</w:t>
            </w:r>
            <w:proofErr w:type="spellEnd"/>
            <w:r>
              <w:rPr>
                <w:lang w:val="en-US"/>
              </w:rPr>
              <w:t xml:space="preserve">, </w:t>
            </w:r>
            <w:r>
              <w:rPr>
                <w:i/>
                <w:lang w:val="en-US"/>
              </w:rPr>
              <w:t>On-Board Unit)</w:t>
            </w:r>
          </w:p>
        </w:tc>
      </w:tr>
      <w:tr w:rsidR="00AA0314" w14:paraId="15223E6E" w14:textId="77777777" w:rsidTr="00B911B5">
        <w:tc>
          <w:tcPr>
            <w:tcW w:w="988" w:type="dxa"/>
          </w:tcPr>
          <w:p w14:paraId="6B63E65C" w14:textId="4E38D1AA" w:rsidR="00AA0314" w:rsidRDefault="00AA0314" w:rsidP="004C2C86">
            <w:r>
              <w:t>RPC</w:t>
            </w:r>
          </w:p>
        </w:tc>
        <w:tc>
          <w:tcPr>
            <w:tcW w:w="8505" w:type="dxa"/>
          </w:tcPr>
          <w:p w14:paraId="7289377A" w14:textId="11834C4D" w:rsidR="00AA0314" w:rsidRDefault="00AA0314" w:rsidP="004C2C86">
            <w:pPr>
              <w:rPr>
                <w:lang w:val="en-US"/>
              </w:rPr>
            </w:pPr>
            <w:proofErr w:type="spellStart"/>
            <w:r>
              <w:rPr>
                <w:lang w:val="en-US"/>
              </w:rPr>
              <w:t>Registro</w:t>
            </w:r>
            <w:proofErr w:type="spellEnd"/>
            <w:r>
              <w:rPr>
                <w:lang w:val="en-US"/>
              </w:rPr>
              <w:t xml:space="preserve"> </w:t>
            </w:r>
            <w:proofErr w:type="spellStart"/>
            <w:r>
              <w:rPr>
                <w:lang w:val="en-US"/>
              </w:rPr>
              <w:t>Público</w:t>
            </w:r>
            <w:proofErr w:type="spellEnd"/>
            <w:r>
              <w:rPr>
                <w:lang w:val="en-US"/>
              </w:rPr>
              <w:t xml:space="preserve"> de </w:t>
            </w:r>
            <w:proofErr w:type="spellStart"/>
            <w:r>
              <w:rPr>
                <w:lang w:val="en-US"/>
              </w:rPr>
              <w:t>Concesiones</w:t>
            </w:r>
            <w:proofErr w:type="spellEnd"/>
          </w:p>
        </w:tc>
      </w:tr>
      <w:tr w:rsidR="0029613C" w14:paraId="76FDFA30" w14:textId="77777777" w:rsidTr="00B911B5">
        <w:tc>
          <w:tcPr>
            <w:tcW w:w="988" w:type="dxa"/>
          </w:tcPr>
          <w:p w14:paraId="51CD981F" w14:textId="77777777" w:rsidR="0029613C" w:rsidRDefault="009A1E68" w:rsidP="004C2C86">
            <w:r>
              <w:t>RR</w:t>
            </w:r>
          </w:p>
        </w:tc>
        <w:tc>
          <w:tcPr>
            <w:tcW w:w="8505" w:type="dxa"/>
          </w:tcPr>
          <w:p w14:paraId="5751C4F6" w14:textId="77777777" w:rsidR="0029613C" w:rsidRDefault="009A1E68" w:rsidP="004C2C86">
            <w:r>
              <w:t>Reglamento de Radiocomunicaciones de la UIT</w:t>
            </w:r>
          </w:p>
        </w:tc>
      </w:tr>
      <w:tr w:rsidR="004305FB" w14:paraId="7537A3ED" w14:textId="77777777" w:rsidTr="00B911B5">
        <w:tc>
          <w:tcPr>
            <w:tcW w:w="988" w:type="dxa"/>
          </w:tcPr>
          <w:p w14:paraId="08740810" w14:textId="77777777" w:rsidR="004305FB" w:rsidRDefault="004305FB" w:rsidP="004C2C86">
            <w:r>
              <w:t>RSU</w:t>
            </w:r>
          </w:p>
        </w:tc>
        <w:tc>
          <w:tcPr>
            <w:tcW w:w="8505" w:type="dxa"/>
          </w:tcPr>
          <w:p w14:paraId="666614C4" w14:textId="0AB8706A" w:rsidR="004305FB" w:rsidRDefault="00035816" w:rsidP="00D1298E">
            <w:r>
              <w:t xml:space="preserve">Unidades en el camino (del inglés </w:t>
            </w:r>
            <w:r w:rsidRPr="00545C18">
              <w:rPr>
                <w:i/>
              </w:rPr>
              <w:t>Road</w:t>
            </w:r>
            <w:r w:rsidR="00376A69">
              <w:rPr>
                <w:i/>
              </w:rPr>
              <w:t xml:space="preserve"> </w:t>
            </w:r>
            <w:proofErr w:type="spellStart"/>
            <w:r w:rsidR="00376A69">
              <w:rPr>
                <w:i/>
              </w:rPr>
              <w:t>S</w:t>
            </w:r>
            <w:r w:rsidRPr="00545C18">
              <w:rPr>
                <w:i/>
              </w:rPr>
              <w:t>ide</w:t>
            </w:r>
            <w:proofErr w:type="spellEnd"/>
            <w:r w:rsidRPr="00545C18">
              <w:rPr>
                <w:i/>
              </w:rPr>
              <w:t xml:space="preserve"> </w:t>
            </w:r>
            <w:proofErr w:type="spellStart"/>
            <w:r w:rsidRPr="00545C18">
              <w:rPr>
                <w:i/>
              </w:rPr>
              <w:t>Unit</w:t>
            </w:r>
            <w:proofErr w:type="spellEnd"/>
            <w:r>
              <w:rPr>
                <w:i/>
              </w:rPr>
              <w:t>)</w:t>
            </w:r>
          </w:p>
        </w:tc>
      </w:tr>
      <w:tr w:rsidR="00C24EE9" w14:paraId="7EBD397A" w14:textId="77777777" w:rsidTr="00B911B5">
        <w:tc>
          <w:tcPr>
            <w:tcW w:w="988" w:type="dxa"/>
          </w:tcPr>
          <w:p w14:paraId="659DBD3E" w14:textId="75B53549" w:rsidR="00C24EE9" w:rsidRDefault="00C24EE9" w:rsidP="004C2C86">
            <w:r>
              <w:t>SIAER</w:t>
            </w:r>
          </w:p>
        </w:tc>
        <w:tc>
          <w:tcPr>
            <w:tcW w:w="8505" w:type="dxa"/>
          </w:tcPr>
          <w:p w14:paraId="6F71E077" w14:textId="31A58E92" w:rsidR="00C24EE9" w:rsidRDefault="00C24EE9" w:rsidP="00D1298E">
            <w:r>
              <w:t>Sistema Integral de Administración del Espectro Radioeléctrico</w:t>
            </w:r>
          </w:p>
        </w:tc>
      </w:tr>
      <w:tr w:rsidR="00EA29A0" w14:paraId="5130D48D" w14:textId="77777777" w:rsidTr="00B911B5">
        <w:tc>
          <w:tcPr>
            <w:tcW w:w="988" w:type="dxa"/>
          </w:tcPr>
          <w:p w14:paraId="548A47CA" w14:textId="5D8084BD" w:rsidR="00EA29A0" w:rsidRDefault="00EA29A0" w:rsidP="00C45D7D">
            <w:r>
              <w:t>STI</w:t>
            </w:r>
          </w:p>
        </w:tc>
        <w:tc>
          <w:tcPr>
            <w:tcW w:w="8505" w:type="dxa"/>
          </w:tcPr>
          <w:p w14:paraId="57F0EFEA" w14:textId="3322164C" w:rsidR="00EA29A0" w:rsidRDefault="00EA29A0" w:rsidP="00C45D7D">
            <w:r w:rsidRPr="0070777D">
              <w:t xml:space="preserve">Sistemas de Transporte Inteligente </w:t>
            </w:r>
            <w:r>
              <w:t>(</w:t>
            </w:r>
            <w:r w:rsidR="00B911B5">
              <w:t xml:space="preserve">ITS </w:t>
            </w:r>
            <w:r>
              <w:t>del</w:t>
            </w:r>
            <w:r w:rsidRPr="0070777D">
              <w:t xml:space="preserve"> inglés </w:t>
            </w:r>
            <w:proofErr w:type="spellStart"/>
            <w:r w:rsidRPr="00476A30">
              <w:rPr>
                <w:i/>
              </w:rPr>
              <w:t>Intelligent</w:t>
            </w:r>
            <w:proofErr w:type="spellEnd"/>
            <w:r w:rsidRPr="00476A30">
              <w:rPr>
                <w:i/>
              </w:rPr>
              <w:t xml:space="preserve"> </w:t>
            </w:r>
            <w:proofErr w:type="spellStart"/>
            <w:r w:rsidRPr="00476A30">
              <w:rPr>
                <w:i/>
              </w:rPr>
              <w:t>Transport</w:t>
            </w:r>
            <w:proofErr w:type="spellEnd"/>
            <w:r w:rsidRPr="00476A30">
              <w:t xml:space="preserve"> </w:t>
            </w:r>
            <w:proofErr w:type="spellStart"/>
            <w:r w:rsidRPr="00476A30">
              <w:rPr>
                <w:i/>
              </w:rPr>
              <w:t>Systems</w:t>
            </w:r>
            <w:proofErr w:type="spellEnd"/>
            <w:r>
              <w:t>)</w:t>
            </w:r>
          </w:p>
        </w:tc>
      </w:tr>
      <w:tr w:rsidR="00DD429A" w14:paraId="1708781A" w14:textId="77777777" w:rsidTr="00B911B5">
        <w:tc>
          <w:tcPr>
            <w:tcW w:w="988" w:type="dxa"/>
          </w:tcPr>
          <w:p w14:paraId="5D1DBDA3" w14:textId="761684E4" w:rsidR="00DD429A" w:rsidRDefault="00DD429A" w:rsidP="00C45D7D">
            <w:proofErr w:type="spellStart"/>
            <w:r>
              <w:t>TICs</w:t>
            </w:r>
            <w:proofErr w:type="spellEnd"/>
          </w:p>
        </w:tc>
        <w:tc>
          <w:tcPr>
            <w:tcW w:w="8505" w:type="dxa"/>
          </w:tcPr>
          <w:p w14:paraId="59010422" w14:textId="2E93DF2A" w:rsidR="00DD429A" w:rsidRPr="0070777D" w:rsidRDefault="00DD429A" w:rsidP="00C45D7D">
            <w:r>
              <w:t>Tecnologías de la Información y Comunicaciones</w:t>
            </w:r>
          </w:p>
        </w:tc>
      </w:tr>
      <w:tr w:rsidR="0029613C" w14:paraId="3DBDBDFF" w14:textId="77777777" w:rsidTr="00B911B5">
        <w:tc>
          <w:tcPr>
            <w:tcW w:w="988" w:type="dxa"/>
          </w:tcPr>
          <w:p w14:paraId="7298BD8C" w14:textId="77777777" w:rsidR="0029613C" w:rsidRDefault="0029613C" w:rsidP="004C2C86">
            <w:r>
              <w:t>UIT</w:t>
            </w:r>
          </w:p>
        </w:tc>
        <w:tc>
          <w:tcPr>
            <w:tcW w:w="8505" w:type="dxa"/>
          </w:tcPr>
          <w:p w14:paraId="68AC86D6" w14:textId="77777777" w:rsidR="0029613C" w:rsidRDefault="0029613C" w:rsidP="004C2C86">
            <w:r>
              <w:t>Unión Internacional de Telecomunicaciones</w:t>
            </w:r>
          </w:p>
        </w:tc>
      </w:tr>
      <w:tr w:rsidR="0029613C" w14:paraId="7F8CE60D" w14:textId="77777777" w:rsidTr="00B911B5">
        <w:tc>
          <w:tcPr>
            <w:tcW w:w="988" w:type="dxa"/>
          </w:tcPr>
          <w:p w14:paraId="332EBBF3" w14:textId="77777777" w:rsidR="0029613C" w:rsidRDefault="00922CC2" w:rsidP="004C2C86">
            <w:r>
              <w:t>UIT-R</w:t>
            </w:r>
          </w:p>
        </w:tc>
        <w:tc>
          <w:tcPr>
            <w:tcW w:w="8505" w:type="dxa"/>
          </w:tcPr>
          <w:p w14:paraId="22ED2ABA" w14:textId="2857C4C7" w:rsidR="0029613C" w:rsidRDefault="00922CC2" w:rsidP="004C2C86">
            <w:r>
              <w:t xml:space="preserve">Sector </w:t>
            </w:r>
            <w:r w:rsidR="00376A69">
              <w:t xml:space="preserve">de </w:t>
            </w:r>
            <w:r>
              <w:t>Radiocomunicaciones de la UIT</w:t>
            </w:r>
          </w:p>
        </w:tc>
      </w:tr>
      <w:tr w:rsidR="00F41BDB" w14:paraId="6FF0C2BB" w14:textId="77777777" w:rsidTr="00B911B5">
        <w:tc>
          <w:tcPr>
            <w:tcW w:w="988" w:type="dxa"/>
          </w:tcPr>
          <w:p w14:paraId="5B6281AC" w14:textId="77777777" w:rsidR="00F41BDB" w:rsidRDefault="00F41BDB" w:rsidP="004C2C86">
            <w:r>
              <w:t>URLLC</w:t>
            </w:r>
          </w:p>
        </w:tc>
        <w:tc>
          <w:tcPr>
            <w:tcW w:w="8505" w:type="dxa"/>
          </w:tcPr>
          <w:p w14:paraId="6D15948C" w14:textId="77777777" w:rsidR="00F41BDB" w:rsidRDefault="008B6FB0" w:rsidP="004C2C86">
            <w:r>
              <w:t xml:space="preserve">Comunicaciones Ultra Confiables de Baja Latencia (del inglés </w:t>
            </w:r>
            <w:r w:rsidRPr="00C366B9">
              <w:rPr>
                <w:i/>
              </w:rPr>
              <w:t xml:space="preserve">Ultra </w:t>
            </w:r>
            <w:proofErr w:type="spellStart"/>
            <w:r w:rsidRPr="00C366B9">
              <w:rPr>
                <w:i/>
              </w:rPr>
              <w:t>Reliable</w:t>
            </w:r>
            <w:proofErr w:type="spellEnd"/>
            <w:r w:rsidRPr="00C366B9">
              <w:rPr>
                <w:i/>
              </w:rPr>
              <w:t xml:space="preserve"> Low </w:t>
            </w:r>
            <w:proofErr w:type="spellStart"/>
            <w:r w:rsidRPr="00C366B9">
              <w:rPr>
                <w:i/>
              </w:rPr>
              <w:t>Latency</w:t>
            </w:r>
            <w:proofErr w:type="spellEnd"/>
            <w:r w:rsidRPr="00C366B9">
              <w:rPr>
                <w:i/>
              </w:rPr>
              <w:t xml:space="preserve"> </w:t>
            </w:r>
            <w:proofErr w:type="spellStart"/>
            <w:r w:rsidRPr="00C366B9">
              <w:rPr>
                <w:i/>
              </w:rPr>
              <w:t>Communications</w:t>
            </w:r>
            <w:proofErr w:type="spellEnd"/>
            <w:r>
              <w:rPr>
                <w:i/>
              </w:rPr>
              <w:t>)</w:t>
            </w:r>
          </w:p>
        </w:tc>
      </w:tr>
      <w:tr w:rsidR="00035816" w14:paraId="76F3B0B8" w14:textId="77777777" w:rsidTr="00B911B5">
        <w:tc>
          <w:tcPr>
            <w:tcW w:w="988" w:type="dxa"/>
          </w:tcPr>
          <w:p w14:paraId="026B7427" w14:textId="77777777" w:rsidR="00035816" w:rsidRDefault="00035816" w:rsidP="004C2C86">
            <w:r>
              <w:t>V2I</w:t>
            </w:r>
          </w:p>
        </w:tc>
        <w:tc>
          <w:tcPr>
            <w:tcW w:w="8505" w:type="dxa"/>
          </w:tcPr>
          <w:p w14:paraId="6F53A527" w14:textId="77777777" w:rsidR="00035816" w:rsidRDefault="00943F93" w:rsidP="004C2C86">
            <w:r>
              <w:t xml:space="preserve">Vehículo a infraestructura (del inglés </w:t>
            </w:r>
            <w:proofErr w:type="spellStart"/>
            <w:r w:rsidRPr="00736821">
              <w:rPr>
                <w:i/>
              </w:rPr>
              <w:t>Vehicle-to-Infrastructure</w:t>
            </w:r>
            <w:proofErr w:type="spellEnd"/>
            <w:r>
              <w:t xml:space="preserve">) </w:t>
            </w:r>
          </w:p>
        </w:tc>
      </w:tr>
      <w:tr w:rsidR="00035816" w14:paraId="7B369603" w14:textId="77777777" w:rsidTr="00B911B5">
        <w:tc>
          <w:tcPr>
            <w:tcW w:w="988" w:type="dxa"/>
          </w:tcPr>
          <w:p w14:paraId="7DCF74CE" w14:textId="77777777" w:rsidR="00035816" w:rsidRDefault="00035816" w:rsidP="004C2C86">
            <w:r>
              <w:t>V2N</w:t>
            </w:r>
          </w:p>
        </w:tc>
        <w:tc>
          <w:tcPr>
            <w:tcW w:w="8505" w:type="dxa"/>
          </w:tcPr>
          <w:p w14:paraId="1AC10DAE" w14:textId="77777777" w:rsidR="00035816" w:rsidRDefault="00A116ED" w:rsidP="004C2C86">
            <w:r>
              <w:t xml:space="preserve">Vehículo a red (del inglés </w:t>
            </w:r>
            <w:proofErr w:type="spellStart"/>
            <w:r w:rsidRPr="00736821">
              <w:rPr>
                <w:i/>
              </w:rPr>
              <w:t>Vehicle</w:t>
            </w:r>
            <w:proofErr w:type="spellEnd"/>
            <w:r w:rsidRPr="00736821">
              <w:rPr>
                <w:i/>
              </w:rPr>
              <w:t>-</w:t>
            </w:r>
            <w:proofErr w:type="spellStart"/>
            <w:r w:rsidRPr="00736821">
              <w:rPr>
                <w:i/>
              </w:rPr>
              <w:t>to</w:t>
            </w:r>
            <w:proofErr w:type="spellEnd"/>
            <w:r w:rsidRPr="00736821">
              <w:rPr>
                <w:i/>
              </w:rPr>
              <w:t>-Network</w:t>
            </w:r>
            <w:r>
              <w:t>)</w:t>
            </w:r>
          </w:p>
        </w:tc>
      </w:tr>
      <w:tr w:rsidR="00035816" w14:paraId="26E4968A" w14:textId="77777777" w:rsidTr="00B911B5">
        <w:tc>
          <w:tcPr>
            <w:tcW w:w="988" w:type="dxa"/>
          </w:tcPr>
          <w:p w14:paraId="7825EE11" w14:textId="77777777" w:rsidR="00035816" w:rsidRDefault="00035816" w:rsidP="004C2C86">
            <w:r>
              <w:t>V2P</w:t>
            </w:r>
          </w:p>
        </w:tc>
        <w:tc>
          <w:tcPr>
            <w:tcW w:w="8505" w:type="dxa"/>
          </w:tcPr>
          <w:p w14:paraId="622B017A" w14:textId="77777777" w:rsidR="00035816" w:rsidRDefault="00D1298E" w:rsidP="004C2C86">
            <w:r>
              <w:t xml:space="preserve">Vehículo a peatón (del inglés </w:t>
            </w:r>
            <w:proofErr w:type="spellStart"/>
            <w:r w:rsidRPr="00545C18">
              <w:rPr>
                <w:i/>
              </w:rPr>
              <w:t>Vehicle-to-Pedestrian</w:t>
            </w:r>
            <w:proofErr w:type="spellEnd"/>
            <w:r>
              <w:t>)</w:t>
            </w:r>
          </w:p>
        </w:tc>
      </w:tr>
      <w:tr w:rsidR="00035816" w14:paraId="5BC87EAA" w14:textId="77777777" w:rsidTr="00B911B5">
        <w:tc>
          <w:tcPr>
            <w:tcW w:w="988" w:type="dxa"/>
          </w:tcPr>
          <w:p w14:paraId="2A6FF138" w14:textId="77777777" w:rsidR="00035816" w:rsidRDefault="00035816" w:rsidP="004C2C86">
            <w:r>
              <w:t>V2V</w:t>
            </w:r>
          </w:p>
        </w:tc>
        <w:tc>
          <w:tcPr>
            <w:tcW w:w="8505" w:type="dxa"/>
          </w:tcPr>
          <w:p w14:paraId="2385B6F4" w14:textId="77777777" w:rsidR="00035816" w:rsidRDefault="00D1298E" w:rsidP="004C2C86">
            <w:r>
              <w:t xml:space="preserve">Vehículo a vehículo (del inglés </w:t>
            </w:r>
            <w:proofErr w:type="spellStart"/>
            <w:r w:rsidRPr="00545C18">
              <w:rPr>
                <w:i/>
              </w:rPr>
              <w:t>Vehicle-to-Vehicle</w:t>
            </w:r>
            <w:proofErr w:type="spellEnd"/>
            <w:r>
              <w:t>)</w:t>
            </w:r>
          </w:p>
        </w:tc>
      </w:tr>
      <w:tr w:rsidR="004A02A3" w14:paraId="5D0BF370" w14:textId="77777777" w:rsidTr="00B911B5">
        <w:tc>
          <w:tcPr>
            <w:tcW w:w="988" w:type="dxa"/>
          </w:tcPr>
          <w:p w14:paraId="35B0194C" w14:textId="77777777" w:rsidR="004A02A3" w:rsidRDefault="004A02A3" w:rsidP="004C2C86">
            <w:r>
              <w:t>V2X</w:t>
            </w:r>
          </w:p>
        </w:tc>
        <w:tc>
          <w:tcPr>
            <w:tcW w:w="8505" w:type="dxa"/>
          </w:tcPr>
          <w:p w14:paraId="3FC754C6" w14:textId="77777777" w:rsidR="004A02A3" w:rsidRDefault="00021BCE" w:rsidP="004C2C86">
            <w:r>
              <w:t xml:space="preserve">Vehículo a cualquier cosa (del inglés </w:t>
            </w:r>
            <w:proofErr w:type="spellStart"/>
            <w:r>
              <w:rPr>
                <w:i/>
              </w:rPr>
              <w:t>Vehicle-to-everything</w:t>
            </w:r>
            <w:proofErr w:type="spellEnd"/>
            <w:r>
              <w:rPr>
                <w:i/>
              </w:rPr>
              <w:t>)</w:t>
            </w:r>
          </w:p>
        </w:tc>
      </w:tr>
    </w:tbl>
    <w:p w14:paraId="0C826623" w14:textId="77777777" w:rsidR="00872CB5" w:rsidRDefault="00872CB5" w:rsidP="00155F4B">
      <w:pPr>
        <w:spacing w:after="0" w:line="240" w:lineRule="auto"/>
      </w:pPr>
      <w:r>
        <w:br w:type="page"/>
      </w:r>
    </w:p>
    <w:p w14:paraId="0194F807" w14:textId="77777777" w:rsidR="00872CB5" w:rsidRPr="00872CB5" w:rsidRDefault="00872CB5" w:rsidP="00E1164E">
      <w:pPr>
        <w:pStyle w:val="Ttulo1"/>
      </w:pPr>
      <w:bookmarkStart w:id="21" w:name="_Toc20471202"/>
      <w:bookmarkStart w:id="22" w:name="_Toc20476313"/>
      <w:bookmarkStart w:id="23" w:name="_Toc20476394"/>
      <w:bookmarkStart w:id="24" w:name="_Toc27064949"/>
      <w:bookmarkStart w:id="25" w:name="_Toc27070901"/>
      <w:bookmarkStart w:id="26" w:name="_Toc27070986"/>
      <w:bookmarkStart w:id="27" w:name="_Toc35881917"/>
      <w:bookmarkStart w:id="28" w:name="_Toc35966884"/>
      <w:bookmarkStart w:id="29" w:name="_Toc35966947"/>
      <w:bookmarkStart w:id="30" w:name="_Toc36542195"/>
      <w:bookmarkStart w:id="31" w:name="_Toc36548490"/>
      <w:bookmarkStart w:id="32" w:name="_Toc36560493"/>
      <w:bookmarkStart w:id="33" w:name="_Toc36566044"/>
      <w:bookmarkStart w:id="34" w:name="_Toc36576354"/>
      <w:bookmarkStart w:id="35" w:name="_Toc36579680"/>
      <w:bookmarkStart w:id="36" w:name="_Toc36582131"/>
      <w:bookmarkStart w:id="37" w:name="_Toc36583181"/>
      <w:bookmarkStart w:id="38" w:name="_Toc36585097"/>
      <w:bookmarkStart w:id="39" w:name="_Toc36629005"/>
      <w:bookmarkStart w:id="40" w:name="_Toc36639868"/>
      <w:bookmarkStart w:id="41" w:name="_Toc36641054"/>
      <w:bookmarkStart w:id="42" w:name="_Toc36641262"/>
      <w:bookmarkStart w:id="43" w:name="_Toc36641679"/>
      <w:bookmarkStart w:id="44" w:name="_Toc36649893"/>
      <w:bookmarkStart w:id="45" w:name="_Toc41002266"/>
      <w:bookmarkStart w:id="46" w:name="_Toc71194791"/>
      <w:bookmarkStart w:id="47" w:name="_Toc79501207"/>
      <w:r w:rsidRPr="00872CB5">
        <w:lastRenderedPageBreak/>
        <w:t>Introducción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AFBD792" w14:textId="480FB677" w:rsidR="00B83D33" w:rsidRDefault="006D054C" w:rsidP="00872CB5">
      <w:pPr>
        <w:spacing w:after="0"/>
        <w:jc w:val="both"/>
        <w:rPr>
          <w:rFonts w:cstheme="minorHAnsi"/>
          <w:bCs/>
        </w:rPr>
      </w:pPr>
      <w:r w:rsidRPr="006D054C">
        <w:rPr>
          <w:rFonts w:cstheme="minorHAnsi"/>
          <w:bCs/>
        </w:rPr>
        <w:t xml:space="preserve">Los </w:t>
      </w:r>
      <w:r w:rsidR="0070777D">
        <w:rPr>
          <w:rFonts w:cstheme="minorHAnsi"/>
          <w:bCs/>
        </w:rPr>
        <w:t>S</w:t>
      </w:r>
      <w:r w:rsidRPr="006D054C">
        <w:rPr>
          <w:rFonts w:cstheme="minorHAnsi"/>
          <w:bCs/>
        </w:rPr>
        <w:t xml:space="preserve">istemas de Transporte Inteligente </w:t>
      </w:r>
      <w:r w:rsidR="00A90595">
        <w:rPr>
          <w:rFonts w:cstheme="minorHAnsi"/>
          <w:bCs/>
        </w:rPr>
        <w:t>(</w:t>
      </w:r>
      <w:r w:rsidR="006861DF">
        <w:rPr>
          <w:rFonts w:cstheme="minorHAnsi"/>
          <w:bCs/>
        </w:rPr>
        <w:t>STI</w:t>
      </w:r>
      <w:r w:rsidR="00E86FB3">
        <w:rPr>
          <w:rFonts w:cstheme="minorHAnsi"/>
          <w:bCs/>
        </w:rPr>
        <w:t>)</w:t>
      </w:r>
      <w:r w:rsidR="00A76137">
        <w:rPr>
          <w:rFonts w:cstheme="minorHAnsi"/>
          <w:bCs/>
        </w:rPr>
        <w:t>,</w:t>
      </w:r>
      <w:r w:rsidR="006861DF">
        <w:rPr>
          <w:rFonts w:cstheme="minorHAnsi"/>
          <w:bCs/>
        </w:rPr>
        <w:t xml:space="preserve"> </w:t>
      </w:r>
      <w:r w:rsidR="00A76137">
        <w:rPr>
          <w:rFonts w:cstheme="minorHAnsi"/>
          <w:bCs/>
        </w:rPr>
        <w:t>que en la literatura podría</w:t>
      </w:r>
      <w:r w:rsidR="00DF7328">
        <w:rPr>
          <w:rFonts w:cstheme="minorHAnsi"/>
          <w:bCs/>
        </w:rPr>
        <w:t>n</w:t>
      </w:r>
      <w:r w:rsidR="00A76137">
        <w:rPr>
          <w:rFonts w:cstheme="minorHAnsi"/>
          <w:bCs/>
        </w:rPr>
        <w:t xml:space="preserve"> encontrarse como </w:t>
      </w:r>
      <w:r w:rsidRPr="006B6C3F">
        <w:rPr>
          <w:rFonts w:cstheme="minorHAnsi"/>
          <w:bCs/>
        </w:rPr>
        <w:t xml:space="preserve">ITS, por las siglas en inglés de </w:t>
      </w:r>
      <w:proofErr w:type="spellStart"/>
      <w:r w:rsidRPr="00E86FB3">
        <w:rPr>
          <w:rFonts w:cstheme="minorHAnsi"/>
          <w:bCs/>
          <w:i/>
        </w:rPr>
        <w:t>Intelligent</w:t>
      </w:r>
      <w:proofErr w:type="spellEnd"/>
      <w:r w:rsidRPr="00E86FB3">
        <w:rPr>
          <w:rFonts w:cstheme="minorHAnsi"/>
          <w:bCs/>
          <w:i/>
        </w:rPr>
        <w:t xml:space="preserve"> </w:t>
      </w:r>
      <w:proofErr w:type="spellStart"/>
      <w:r w:rsidRPr="00E86FB3">
        <w:rPr>
          <w:rFonts w:cstheme="minorHAnsi"/>
          <w:bCs/>
          <w:i/>
        </w:rPr>
        <w:t>Transport</w:t>
      </w:r>
      <w:proofErr w:type="spellEnd"/>
      <w:r w:rsidRPr="00E86FB3">
        <w:rPr>
          <w:rFonts w:cstheme="minorHAnsi"/>
          <w:bCs/>
          <w:i/>
        </w:rPr>
        <w:t xml:space="preserve"> </w:t>
      </w:r>
      <w:proofErr w:type="spellStart"/>
      <w:r w:rsidRPr="00E86FB3">
        <w:rPr>
          <w:rFonts w:cstheme="minorHAnsi"/>
          <w:bCs/>
          <w:i/>
        </w:rPr>
        <w:t>Systems</w:t>
      </w:r>
      <w:proofErr w:type="spellEnd"/>
      <w:r w:rsidR="00A76137">
        <w:rPr>
          <w:rFonts w:cstheme="minorHAnsi"/>
          <w:bCs/>
        </w:rPr>
        <w:t>,</w:t>
      </w:r>
      <w:r w:rsidRPr="006D054C">
        <w:rPr>
          <w:rFonts w:cstheme="minorHAnsi"/>
          <w:bCs/>
        </w:rPr>
        <w:t xml:space="preserve"> han surgido como respuesta ante el avance tecnológico en materia de comunicaciones inalámbricas </w:t>
      </w:r>
      <w:r w:rsidR="00A90595">
        <w:rPr>
          <w:rFonts w:cstheme="minorHAnsi"/>
          <w:bCs/>
        </w:rPr>
        <w:t>y</w:t>
      </w:r>
      <w:r w:rsidR="00BF2A92">
        <w:rPr>
          <w:rFonts w:cstheme="minorHAnsi"/>
          <w:bCs/>
        </w:rPr>
        <w:t xml:space="preserve"> la disrupción tecnológica que la industria</w:t>
      </w:r>
      <w:r w:rsidR="00F44673">
        <w:rPr>
          <w:rFonts w:cstheme="minorHAnsi"/>
          <w:bCs/>
        </w:rPr>
        <w:t xml:space="preserve"> </w:t>
      </w:r>
      <w:r w:rsidR="00BF2A92">
        <w:rPr>
          <w:rFonts w:cstheme="minorHAnsi"/>
          <w:bCs/>
        </w:rPr>
        <w:t xml:space="preserve">automotriz ha </w:t>
      </w:r>
      <w:r w:rsidR="00760B87">
        <w:rPr>
          <w:rFonts w:cstheme="minorHAnsi"/>
          <w:bCs/>
        </w:rPr>
        <w:t>presentado en los últimos años.</w:t>
      </w:r>
    </w:p>
    <w:p w14:paraId="3A89CA44" w14:textId="77777777" w:rsidR="006746FB" w:rsidRDefault="006746FB" w:rsidP="00872CB5">
      <w:pPr>
        <w:spacing w:after="0"/>
        <w:jc w:val="both"/>
        <w:rPr>
          <w:rFonts w:cstheme="minorHAnsi"/>
          <w:bCs/>
        </w:rPr>
      </w:pPr>
    </w:p>
    <w:p w14:paraId="4359EDBE" w14:textId="44DB858D" w:rsidR="00C45D7D" w:rsidRPr="00C45D7D" w:rsidRDefault="00A25077" w:rsidP="00C45D7D">
      <w:pPr>
        <w:spacing w:after="0"/>
        <w:jc w:val="both"/>
        <w:rPr>
          <w:rFonts w:cstheme="minorHAnsi"/>
          <w:bCs/>
        </w:rPr>
      </w:pPr>
      <w:r>
        <w:rPr>
          <w:rFonts w:cstheme="minorHAnsi"/>
          <w:bCs/>
        </w:rPr>
        <w:t>Los</w:t>
      </w:r>
      <w:r w:rsidR="00A65D79">
        <w:rPr>
          <w:rFonts w:cstheme="minorHAnsi"/>
          <w:bCs/>
        </w:rPr>
        <w:t xml:space="preserve"> </w:t>
      </w:r>
      <w:r w:rsidR="00562209" w:rsidRPr="006D054C">
        <w:rPr>
          <w:rFonts w:cstheme="minorHAnsi"/>
          <w:bCs/>
        </w:rPr>
        <w:t>S</w:t>
      </w:r>
      <w:r w:rsidR="006A5C10">
        <w:rPr>
          <w:rFonts w:cstheme="minorHAnsi"/>
          <w:bCs/>
        </w:rPr>
        <w:t>TI</w:t>
      </w:r>
      <w:r w:rsidR="00562209" w:rsidRPr="006D054C">
        <w:rPr>
          <w:rFonts w:cstheme="minorHAnsi"/>
          <w:bCs/>
        </w:rPr>
        <w:t xml:space="preserve"> </w:t>
      </w:r>
      <w:r>
        <w:rPr>
          <w:rFonts w:cstheme="minorHAnsi"/>
          <w:bCs/>
        </w:rPr>
        <w:t>son</w:t>
      </w:r>
      <w:r w:rsidR="00562209" w:rsidRPr="006D054C">
        <w:rPr>
          <w:rFonts w:cstheme="minorHAnsi"/>
          <w:bCs/>
        </w:rPr>
        <w:t xml:space="preserve"> un ecosistema de comunicaciones</w:t>
      </w:r>
      <w:r w:rsidR="00562209">
        <w:rPr>
          <w:rFonts w:cstheme="minorHAnsi"/>
          <w:bCs/>
        </w:rPr>
        <w:t xml:space="preserve"> </w:t>
      </w:r>
      <w:r w:rsidR="0052110F">
        <w:rPr>
          <w:rFonts w:cstheme="minorHAnsi"/>
          <w:bCs/>
        </w:rPr>
        <w:t xml:space="preserve">inalámbricas </w:t>
      </w:r>
      <w:r w:rsidR="00F47A92">
        <w:rPr>
          <w:rFonts w:cstheme="minorHAnsi"/>
          <w:bCs/>
        </w:rPr>
        <w:t>a través de los cuales se combinan</w:t>
      </w:r>
      <w:r w:rsidR="00562209" w:rsidRPr="006D054C">
        <w:rPr>
          <w:rFonts w:cstheme="minorHAnsi"/>
          <w:bCs/>
        </w:rPr>
        <w:t xml:space="preserve"> </w:t>
      </w:r>
      <w:r w:rsidR="00562209">
        <w:rPr>
          <w:rFonts w:cstheme="minorHAnsi"/>
          <w:bCs/>
        </w:rPr>
        <w:t>tecnologías</w:t>
      </w:r>
      <w:r w:rsidR="00562209" w:rsidRPr="006D054C">
        <w:rPr>
          <w:rFonts w:cstheme="minorHAnsi"/>
          <w:bCs/>
        </w:rPr>
        <w:t xml:space="preserve"> de</w:t>
      </w:r>
      <w:r w:rsidR="00562209">
        <w:rPr>
          <w:rFonts w:cstheme="minorHAnsi"/>
          <w:bCs/>
        </w:rPr>
        <w:t>l</w:t>
      </w:r>
      <w:r w:rsidR="00562209" w:rsidRPr="006D054C">
        <w:rPr>
          <w:rFonts w:cstheme="minorHAnsi"/>
          <w:bCs/>
        </w:rPr>
        <w:t xml:space="preserve"> transporte con las tecnologías de la</w:t>
      </w:r>
      <w:r w:rsidR="00562209">
        <w:rPr>
          <w:rFonts w:cstheme="minorHAnsi"/>
          <w:bCs/>
        </w:rPr>
        <w:t xml:space="preserve"> información y la comunicación</w:t>
      </w:r>
      <w:r w:rsidR="005325EE">
        <w:rPr>
          <w:rFonts w:cstheme="minorHAnsi"/>
          <w:bCs/>
        </w:rPr>
        <w:t xml:space="preserve"> (</w:t>
      </w:r>
      <w:proofErr w:type="spellStart"/>
      <w:r w:rsidR="00764303">
        <w:rPr>
          <w:rFonts w:cstheme="minorHAnsi"/>
          <w:bCs/>
        </w:rPr>
        <w:t>TICs</w:t>
      </w:r>
      <w:proofErr w:type="spellEnd"/>
      <w:r w:rsidR="005325EE">
        <w:rPr>
          <w:rFonts w:cstheme="minorHAnsi"/>
          <w:bCs/>
        </w:rPr>
        <w:t>)</w:t>
      </w:r>
      <w:r w:rsidR="00764303">
        <w:rPr>
          <w:rFonts w:cstheme="minorHAnsi"/>
          <w:bCs/>
        </w:rPr>
        <w:t xml:space="preserve">, </w:t>
      </w:r>
      <w:r w:rsidR="002E3CCC">
        <w:rPr>
          <w:rFonts w:cstheme="minorHAnsi"/>
          <w:bCs/>
        </w:rPr>
        <w:t xml:space="preserve">las cuales se encuentran </w:t>
      </w:r>
      <w:r w:rsidR="00764303">
        <w:rPr>
          <w:rFonts w:cstheme="minorHAnsi"/>
          <w:bCs/>
        </w:rPr>
        <w:t xml:space="preserve">orientadas </w:t>
      </w:r>
      <w:r w:rsidR="00C45D7D" w:rsidRPr="00C45D7D">
        <w:rPr>
          <w:rFonts w:cstheme="minorHAnsi"/>
          <w:bCs/>
        </w:rPr>
        <w:t xml:space="preserve">a ofrecer servicios relativos a </w:t>
      </w:r>
      <w:r w:rsidR="0052110F">
        <w:rPr>
          <w:rFonts w:cstheme="minorHAnsi"/>
          <w:bCs/>
        </w:rPr>
        <w:t xml:space="preserve">la </w:t>
      </w:r>
      <w:r w:rsidR="006B6C3F">
        <w:rPr>
          <w:rFonts w:cstheme="minorHAnsi"/>
          <w:bCs/>
        </w:rPr>
        <w:t xml:space="preserve">operación y </w:t>
      </w:r>
      <w:r w:rsidR="0052110F">
        <w:rPr>
          <w:rFonts w:cstheme="minorHAnsi"/>
          <w:bCs/>
        </w:rPr>
        <w:t xml:space="preserve">seguridad del </w:t>
      </w:r>
      <w:r w:rsidR="00C45D7D" w:rsidRPr="00C45D7D">
        <w:rPr>
          <w:rFonts w:cstheme="minorHAnsi"/>
          <w:bCs/>
        </w:rPr>
        <w:t>transporte</w:t>
      </w:r>
      <w:r w:rsidR="006B6C3F">
        <w:rPr>
          <w:rFonts w:cstheme="minorHAnsi"/>
          <w:bCs/>
        </w:rPr>
        <w:t>, así como</w:t>
      </w:r>
      <w:r w:rsidR="00C45D7D" w:rsidRPr="00C45D7D">
        <w:rPr>
          <w:rFonts w:cstheme="minorHAnsi"/>
          <w:bCs/>
        </w:rPr>
        <w:t xml:space="preserve"> de gestión del tráfico.</w:t>
      </w:r>
    </w:p>
    <w:p w14:paraId="6C027B25" w14:textId="77777777" w:rsidR="00C45D7D" w:rsidRPr="00C45D7D" w:rsidRDefault="00C45D7D" w:rsidP="00C45D7D">
      <w:pPr>
        <w:spacing w:after="0"/>
        <w:jc w:val="both"/>
        <w:rPr>
          <w:rFonts w:cstheme="minorHAnsi"/>
          <w:bCs/>
        </w:rPr>
      </w:pPr>
    </w:p>
    <w:p w14:paraId="532169EB" w14:textId="5F2188E1" w:rsidR="00846CE2" w:rsidRDefault="002E3CCC" w:rsidP="00C45D7D">
      <w:pPr>
        <w:spacing w:after="0"/>
        <w:jc w:val="both"/>
        <w:rPr>
          <w:rFonts w:cstheme="minorHAnsi"/>
          <w:bCs/>
        </w:rPr>
      </w:pPr>
      <w:r>
        <w:rPr>
          <w:rFonts w:cstheme="minorHAnsi"/>
          <w:bCs/>
        </w:rPr>
        <w:t xml:space="preserve">En consecuencia, los STI </w:t>
      </w:r>
      <w:r w:rsidR="00C45D7D" w:rsidRPr="00C45D7D">
        <w:rPr>
          <w:rFonts w:cstheme="minorHAnsi"/>
          <w:bCs/>
        </w:rPr>
        <w:t xml:space="preserve">permiten </w:t>
      </w:r>
      <w:r>
        <w:rPr>
          <w:rFonts w:cstheme="minorHAnsi"/>
          <w:bCs/>
        </w:rPr>
        <w:t xml:space="preserve">que </w:t>
      </w:r>
      <w:r w:rsidR="00C45D7D" w:rsidRPr="00C45D7D">
        <w:rPr>
          <w:rFonts w:cstheme="minorHAnsi"/>
          <w:bCs/>
        </w:rPr>
        <w:t xml:space="preserve">los usuarios </w:t>
      </w:r>
      <w:r w:rsidR="006B6C3F">
        <w:rPr>
          <w:rFonts w:cstheme="minorHAnsi"/>
          <w:bCs/>
        </w:rPr>
        <w:t>cuenten</w:t>
      </w:r>
      <w:r w:rsidR="00C45D7D" w:rsidRPr="00C45D7D">
        <w:rPr>
          <w:rFonts w:cstheme="minorHAnsi"/>
          <w:bCs/>
        </w:rPr>
        <w:t xml:space="preserve"> </w:t>
      </w:r>
      <w:r>
        <w:rPr>
          <w:rFonts w:cstheme="minorHAnsi"/>
          <w:bCs/>
        </w:rPr>
        <w:t xml:space="preserve">con diversas herramientas </w:t>
      </w:r>
      <w:r w:rsidR="006B6C3F">
        <w:rPr>
          <w:rFonts w:cstheme="minorHAnsi"/>
          <w:bCs/>
        </w:rPr>
        <w:t xml:space="preserve">y funcionalidades </w:t>
      </w:r>
      <w:r>
        <w:rPr>
          <w:rFonts w:cstheme="minorHAnsi"/>
          <w:bCs/>
        </w:rPr>
        <w:t>en cuanto a</w:t>
      </w:r>
      <w:r w:rsidR="00C45D7D" w:rsidRPr="00C45D7D">
        <w:rPr>
          <w:rFonts w:cstheme="minorHAnsi"/>
          <w:bCs/>
        </w:rPr>
        <w:t xml:space="preserve">l </w:t>
      </w:r>
      <w:r w:rsidR="006B6C3F">
        <w:rPr>
          <w:rFonts w:cstheme="minorHAnsi"/>
          <w:bCs/>
        </w:rPr>
        <w:t xml:space="preserve">manejo, la </w:t>
      </w:r>
      <w:r w:rsidR="00C45D7D" w:rsidRPr="00C45D7D">
        <w:rPr>
          <w:rFonts w:cstheme="minorHAnsi"/>
          <w:bCs/>
        </w:rPr>
        <w:t>seguridad</w:t>
      </w:r>
      <w:r>
        <w:rPr>
          <w:rFonts w:cstheme="minorHAnsi"/>
          <w:bCs/>
        </w:rPr>
        <w:t xml:space="preserve"> y </w:t>
      </w:r>
      <w:r w:rsidR="006B6C3F">
        <w:rPr>
          <w:rFonts w:cstheme="minorHAnsi"/>
          <w:bCs/>
        </w:rPr>
        <w:t>la comodidad del transporte vehicular</w:t>
      </w:r>
      <w:r w:rsidR="00C45D7D" w:rsidRPr="00C45D7D">
        <w:rPr>
          <w:rFonts w:cstheme="minorHAnsi"/>
          <w:bCs/>
        </w:rPr>
        <w:t xml:space="preserve">, </w:t>
      </w:r>
      <w:r>
        <w:rPr>
          <w:rFonts w:cstheme="minorHAnsi"/>
          <w:bCs/>
        </w:rPr>
        <w:t xml:space="preserve">incluyendo </w:t>
      </w:r>
      <w:r w:rsidR="00C45D7D" w:rsidRPr="00C45D7D">
        <w:rPr>
          <w:rFonts w:cstheme="minorHAnsi"/>
          <w:bCs/>
        </w:rPr>
        <w:t>ayudas a la conducción</w:t>
      </w:r>
      <w:r w:rsidRPr="006B6C3F">
        <w:rPr>
          <w:rFonts w:cstheme="minorHAnsi"/>
          <w:bCs/>
        </w:rPr>
        <w:t xml:space="preserve">, </w:t>
      </w:r>
      <w:r w:rsidR="006B6C3F" w:rsidRPr="006B6C3F">
        <w:rPr>
          <w:rFonts w:cstheme="minorHAnsi"/>
          <w:bCs/>
        </w:rPr>
        <w:t>previsión de accidentes</w:t>
      </w:r>
      <w:r w:rsidR="00E86FB3">
        <w:rPr>
          <w:rFonts w:cstheme="minorHAnsi"/>
          <w:bCs/>
        </w:rPr>
        <w:t xml:space="preserve"> y</w:t>
      </w:r>
      <w:r w:rsidR="006B6C3F" w:rsidRPr="006B6C3F">
        <w:rPr>
          <w:rFonts w:cstheme="minorHAnsi"/>
          <w:bCs/>
        </w:rPr>
        <w:t xml:space="preserve"> avisos </w:t>
      </w:r>
      <w:r w:rsidR="006B6C3F">
        <w:rPr>
          <w:rFonts w:cstheme="minorHAnsi"/>
          <w:bCs/>
        </w:rPr>
        <w:t>en el camino, entre otros</w:t>
      </w:r>
      <w:r w:rsidR="00D13A2D">
        <w:rPr>
          <w:rFonts w:cstheme="minorHAnsi"/>
          <w:bCs/>
        </w:rPr>
        <w:t>.</w:t>
      </w:r>
    </w:p>
    <w:p w14:paraId="7FA2075E" w14:textId="0601A241" w:rsidR="00C45D7D" w:rsidRDefault="00C45D7D" w:rsidP="00C45D7D">
      <w:pPr>
        <w:spacing w:after="0"/>
        <w:jc w:val="both"/>
        <w:rPr>
          <w:rFonts w:cstheme="minorHAnsi"/>
          <w:bCs/>
        </w:rPr>
      </w:pPr>
    </w:p>
    <w:p w14:paraId="1CD46C96" w14:textId="426A7C1E" w:rsidR="00E86FB3" w:rsidRDefault="002E3CCC" w:rsidP="00A122D7">
      <w:pPr>
        <w:spacing w:after="0"/>
        <w:jc w:val="both"/>
        <w:rPr>
          <w:rFonts w:cstheme="minorHAnsi"/>
          <w:bCs/>
        </w:rPr>
      </w:pPr>
      <w:r>
        <w:rPr>
          <w:rFonts w:cstheme="minorHAnsi"/>
          <w:bCs/>
        </w:rPr>
        <w:t xml:space="preserve">Como parte de las aplicaciones de </w:t>
      </w:r>
      <w:r w:rsidR="00FF7CE1" w:rsidRPr="006B6C3F">
        <w:rPr>
          <w:rFonts w:cstheme="minorHAnsi"/>
          <w:bCs/>
        </w:rPr>
        <w:t>STI</w:t>
      </w:r>
      <w:r w:rsidR="00C45D7D" w:rsidRPr="00B56639">
        <w:rPr>
          <w:rFonts w:cstheme="minorHAnsi"/>
          <w:bCs/>
        </w:rPr>
        <w:t xml:space="preserve"> </w:t>
      </w:r>
      <w:r>
        <w:rPr>
          <w:rFonts w:cstheme="minorHAnsi"/>
          <w:bCs/>
        </w:rPr>
        <w:t xml:space="preserve">se encuentran aquellos </w:t>
      </w:r>
      <w:r w:rsidR="00C45D7D" w:rsidRPr="00B56639">
        <w:rPr>
          <w:rFonts w:cstheme="minorHAnsi"/>
          <w:bCs/>
        </w:rPr>
        <w:t xml:space="preserve">sistemas de gestión como los que se encargan de la navegación en los </w:t>
      </w:r>
      <w:r>
        <w:rPr>
          <w:rFonts w:cstheme="minorHAnsi"/>
          <w:bCs/>
        </w:rPr>
        <w:t>vehículos</w:t>
      </w:r>
      <w:r w:rsidR="00C45D7D" w:rsidRPr="00B56639">
        <w:rPr>
          <w:rFonts w:cstheme="minorHAnsi"/>
          <w:bCs/>
        </w:rPr>
        <w:t xml:space="preserve">, sistemas de control de las señales de tráfico, reconocimiento automático de placas de matrícula, cámaras de alta velocidad para </w:t>
      </w:r>
      <w:r w:rsidR="00D13A2D">
        <w:rPr>
          <w:rFonts w:cstheme="minorHAnsi"/>
          <w:bCs/>
        </w:rPr>
        <w:t>monitoreo</w:t>
      </w:r>
      <w:r w:rsidR="00C45D7D" w:rsidRPr="00B56639">
        <w:rPr>
          <w:rFonts w:cstheme="minorHAnsi"/>
          <w:bCs/>
        </w:rPr>
        <w:t xml:space="preserve">, </w:t>
      </w:r>
      <w:r w:rsidR="00A122D7" w:rsidRPr="00D13A2D">
        <w:rPr>
          <w:rFonts w:cstheme="minorHAnsi"/>
          <w:bCs/>
        </w:rPr>
        <w:t>así como aplicaciones</w:t>
      </w:r>
      <w:r w:rsidR="00C45D7D" w:rsidRPr="00B56639">
        <w:rPr>
          <w:rFonts w:cstheme="minorHAnsi"/>
          <w:bCs/>
        </w:rPr>
        <w:t xml:space="preserve"> que recopilan datos en tiempo real y que </w:t>
      </w:r>
      <w:r w:rsidR="00D13A2D">
        <w:rPr>
          <w:rFonts w:cstheme="minorHAnsi"/>
          <w:bCs/>
        </w:rPr>
        <w:t>otorgan</w:t>
      </w:r>
      <w:r w:rsidR="00FF7CE1" w:rsidRPr="00B56639">
        <w:rPr>
          <w:rFonts w:cstheme="minorHAnsi"/>
          <w:bCs/>
        </w:rPr>
        <w:t xml:space="preserve"> retroalimentación</w:t>
      </w:r>
      <w:r w:rsidR="00C45D7D" w:rsidRPr="00B56639">
        <w:rPr>
          <w:rFonts w:cstheme="minorHAnsi"/>
          <w:bCs/>
        </w:rPr>
        <w:t xml:space="preserve"> </w:t>
      </w:r>
      <w:r w:rsidR="00E86FB3">
        <w:rPr>
          <w:rFonts w:cstheme="minorHAnsi"/>
          <w:bCs/>
        </w:rPr>
        <w:t>como por ejemplo</w:t>
      </w:r>
      <w:r w:rsidR="00C45D7D" w:rsidRPr="00C45D7D">
        <w:rPr>
          <w:rFonts w:cstheme="minorHAnsi"/>
          <w:bCs/>
        </w:rPr>
        <w:t xml:space="preserve">: información del </w:t>
      </w:r>
      <w:r w:rsidR="00E86FB3">
        <w:rPr>
          <w:rFonts w:cstheme="minorHAnsi"/>
          <w:bCs/>
        </w:rPr>
        <w:t>clima</w:t>
      </w:r>
      <w:r w:rsidR="00C45D7D" w:rsidRPr="00C45D7D">
        <w:rPr>
          <w:rFonts w:cstheme="minorHAnsi"/>
          <w:bCs/>
        </w:rPr>
        <w:t xml:space="preserve">, el estado de las carreteras y del tráfico; </w:t>
      </w:r>
      <w:r w:rsidR="00E86FB3">
        <w:rPr>
          <w:rFonts w:cstheme="minorHAnsi"/>
          <w:bCs/>
        </w:rPr>
        <w:t xml:space="preserve">disponibilidad en </w:t>
      </w:r>
      <w:r w:rsidR="00A122D7">
        <w:rPr>
          <w:rFonts w:cstheme="minorHAnsi"/>
          <w:bCs/>
        </w:rPr>
        <w:t>estacionamient</w:t>
      </w:r>
      <w:r w:rsidR="00C45D7D" w:rsidRPr="00C45D7D">
        <w:rPr>
          <w:rFonts w:cstheme="minorHAnsi"/>
          <w:bCs/>
        </w:rPr>
        <w:t>o</w:t>
      </w:r>
      <w:r w:rsidR="00E86FB3">
        <w:rPr>
          <w:rFonts w:cstheme="minorHAnsi"/>
          <w:bCs/>
        </w:rPr>
        <w:t>s</w:t>
      </w:r>
      <w:r w:rsidR="00C45D7D" w:rsidRPr="00C45D7D">
        <w:rPr>
          <w:rFonts w:cstheme="minorHAnsi"/>
          <w:bCs/>
        </w:rPr>
        <w:t>, o cualquier otro sistema que requiera la toma de decisiones a partir de la lectura de datos.</w:t>
      </w:r>
    </w:p>
    <w:p w14:paraId="755663DD" w14:textId="77777777" w:rsidR="00800452" w:rsidRDefault="00800452" w:rsidP="00A122D7">
      <w:pPr>
        <w:spacing w:after="0"/>
        <w:jc w:val="both"/>
        <w:rPr>
          <w:rFonts w:cstheme="minorHAnsi"/>
          <w:bCs/>
        </w:rPr>
      </w:pPr>
    </w:p>
    <w:p w14:paraId="4102BC02" w14:textId="515F9B17" w:rsidR="00B56639" w:rsidRDefault="00BC3E05" w:rsidP="00B56639">
      <w:pPr>
        <w:spacing w:after="0"/>
        <w:jc w:val="both"/>
        <w:rPr>
          <w:rFonts w:cstheme="minorHAnsi"/>
          <w:bCs/>
        </w:rPr>
      </w:pPr>
      <w:r>
        <w:rPr>
          <w:rFonts w:cstheme="minorHAnsi"/>
          <w:bCs/>
        </w:rPr>
        <w:t>Además, e</w:t>
      </w:r>
      <w:r w:rsidR="00B56639" w:rsidRPr="00B56639">
        <w:rPr>
          <w:rFonts w:cstheme="minorHAnsi"/>
          <w:bCs/>
        </w:rPr>
        <w:t xml:space="preserve">stos sistemas de </w:t>
      </w:r>
      <w:r w:rsidR="00E86FB3">
        <w:rPr>
          <w:rFonts w:cstheme="minorHAnsi"/>
          <w:bCs/>
        </w:rPr>
        <w:t>comunicación</w:t>
      </w:r>
      <w:r w:rsidR="00B56639" w:rsidRPr="00B56639">
        <w:rPr>
          <w:rFonts w:cstheme="minorHAnsi"/>
          <w:bCs/>
        </w:rPr>
        <w:t xml:space="preserve"> </w:t>
      </w:r>
      <w:r w:rsidR="00E86FB3">
        <w:rPr>
          <w:rFonts w:cstheme="minorHAnsi"/>
          <w:bCs/>
        </w:rPr>
        <w:t>con</w:t>
      </w:r>
      <w:r w:rsidR="00B56639" w:rsidRPr="00B56639">
        <w:rPr>
          <w:rFonts w:cstheme="minorHAnsi"/>
          <w:bCs/>
        </w:rPr>
        <w:t xml:space="preserve"> vehículos </w:t>
      </w:r>
      <w:r w:rsidR="00E86FB3">
        <w:rPr>
          <w:rFonts w:cstheme="minorHAnsi"/>
          <w:bCs/>
        </w:rPr>
        <w:t xml:space="preserve">pueden </w:t>
      </w:r>
      <w:r w:rsidR="00B56639" w:rsidRPr="00B56639">
        <w:rPr>
          <w:rFonts w:cstheme="minorHAnsi"/>
          <w:bCs/>
        </w:rPr>
        <w:t>s</w:t>
      </w:r>
      <w:r w:rsidR="00E86FB3">
        <w:rPr>
          <w:rFonts w:cstheme="minorHAnsi"/>
          <w:bCs/>
        </w:rPr>
        <w:t>er</w:t>
      </w:r>
      <w:r w:rsidR="00B56639" w:rsidRPr="00B56639">
        <w:rPr>
          <w:rFonts w:cstheme="minorHAnsi"/>
          <w:bCs/>
        </w:rPr>
        <w:t xml:space="preserve"> conocidos por </w:t>
      </w:r>
      <w:r w:rsidR="00B56639">
        <w:rPr>
          <w:rFonts w:cstheme="minorHAnsi"/>
          <w:bCs/>
        </w:rPr>
        <w:t xml:space="preserve">diferentes </w:t>
      </w:r>
      <w:r w:rsidR="00A76137">
        <w:rPr>
          <w:rFonts w:cstheme="minorHAnsi"/>
          <w:bCs/>
        </w:rPr>
        <w:t xml:space="preserve">nombres o </w:t>
      </w:r>
      <w:r w:rsidR="00B56639">
        <w:rPr>
          <w:rFonts w:cstheme="minorHAnsi"/>
          <w:bCs/>
        </w:rPr>
        <w:t>acrónimos</w:t>
      </w:r>
      <w:r w:rsidR="00B56639" w:rsidRPr="00B56639">
        <w:rPr>
          <w:rFonts w:cstheme="minorHAnsi"/>
          <w:bCs/>
        </w:rPr>
        <w:t xml:space="preserve"> </w:t>
      </w:r>
      <w:r w:rsidR="00E86FB3">
        <w:rPr>
          <w:rFonts w:cstheme="minorHAnsi"/>
          <w:bCs/>
        </w:rPr>
        <w:t xml:space="preserve">dependiendo de su aplicación o tecnología, </w:t>
      </w:r>
      <w:r w:rsidR="00F20EBA">
        <w:rPr>
          <w:rFonts w:cstheme="minorHAnsi"/>
          <w:bCs/>
        </w:rPr>
        <w:t>por lo que</w:t>
      </w:r>
      <w:r w:rsidR="00E86FB3">
        <w:rPr>
          <w:rFonts w:cstheme="minorHAnsi"/>
          <w:bCs/>
        </w:rPr>
        <w:t>, e</w:t>
      </w:r>
      <w:r w:rsidR="00B56639" w:rsidRPr="00B56639">
        <w:rPr>
          <w:rFonts w:cstheme="minorHAnsi"/>
          <w:bCs/>
        </w:rPr>
        <w:t xml:space="preserve">n </w:t>
      </w:r>
      <w:r w:rsidR="00F20EBA">
        <w:rPr>
          <w:rFonts w:cstheme="minorHAnsi"/>
          <w:bCs/>
        </w:rPr>
        <w:t>el presente</w:t>
      </w:r>
      <w:r w:rsidR="00B56639" w:rsidRPr="00B56639">
        <w:rPr>
          <w:rFonts w:cstheme="minorHAnsi"/>
          <w:bCs/>
        </w:rPr>
        <w:t xml:space="preserve"> documento se utilizará el término genérico S</w:t>
      </w:r>
      <w:r w:rsidR="00D13A2D">
        <w:rPr>
          <w:rFonts w:cstheme="minorHAnsi"/>
          <w:bCs/>
        </w:rPr>
        <w:t>TI</w:t>
      </w:r>
      <w:r w:rsidR="00B56639" w:rsidRPr="00B56639">
        <w:rPr>
          <w:rFonts w:cstheme="minorHAnsi"/>
          <w:bCs/>
        </w:rPr>
        <w:t xml:space="preserve"> (Sistema</w:t>
      </w:r>
      <w:r w:rsidR="00A25077">
        <w:rPr>
          <w:rFonts w:cstheme="minorHAnsi"/>
          <w:bCs/>
        </w:rPr>
        <w:t>s</w:t>
      </w:r>
      <w:r w:rsidR="00B56639" w:rsidRPr="00B56639">
        <w:rPr>
          <w:rFonts w:cstheme="minorHAnsi"/>
          <w:bCs/>
        </w:rPr>
        <w:t xml:space="preserve"> de </w:t>
      </w:r>
      <w:r w:rsidR="00A25077">
        <w:rPr>
          <w:rFonts w:cstheme="minorHAnsi"/>
          <w:bCs/>
        </w:rPr>
        <w:t>T</w:t>
      </w:r>
      <w:r w:rsidR="00B56639" w:rsidRPr="00B56639">
        <w:rPr>
          <w:rFonts w:cstheme="minorHAnsi"/>
          <w:bCs/>
        </w:rPr>
        <w:t xml:space="preserve">ransporte </w:t>
      </w:r>
      <w:r w:rsidR="00A25077">
        <w:rPr>
          <w:rFonts w:cstheme="minorHAnsi"/>
          <w:bCs/>
        </w:rPr>
        <w:t>I</w:t>
      </w:r>
      <w:r w:rsidR="00B56639" w:rsidRPr="00B56639">
        <w:rPr>
          <w:rFonts w:cstheme="minorHAnsi"/>
          <w:bCs/>
        </w:rPr>
        <w:t>nteligente)</w:t>
      </w:r>
      <w:r w:rsidR="002E3CCC">
        <w:rPr>
          <w:rFonts w:cstheme="minorHAnsi"/>
          <w:bCs/>
        </w:rPr>
        <w:t xml:space="preserve"> para referirse a dichos </w:t>
      </w:r>
      <w:r w:rsidR="00F33058">
        <w:rPr>
          <w:rFonts w:cstheme="minorHAnsi"/>
          <w:bCs/>
        </w:rPr>
        <w:t>sistemas</w:t>
      </w:r>
      <w:r w:rsidR="00B56639">
        <w:rPr>
          <w:rFonts w:cstheme="minorHAnsi"/>
          <w:bCs/>
        </w:rPr>
        <w:t>.</w:t>
      </w:r>
    </w:p>
    <w:p w14:paraId="43E946B2" w14:textId="77777777" w:rsidR="00846CE2" w:rsidRDefault="00846CE2" w:rsidP="00872CB5">
      <w:pPr>
        <w:spacing w:after="0"/>
        <w:jc w:val="both"/>
        <w:rPr>
          <w:rFonts w:cstheme="minorHAnsi"/>
          <w:bCs/>
        </w:rPr>
      </w:pPr>
    </w:p>
    <w:p w14:paraId="04BB1FF7" w14:textId="1D354055" w:rsidR="002708FD" w:rsidRDefault="00470C57">
      <w:pPr>
        <w:spacing w:after="0"/>
        <w:jc w:val="both"/>
        <w:rPr>
          <w:rFonts w:cstheme="minorHAnsi"/>
          <w:bCs/>
        </w:rPr>
      </w:pPr>
      <w:r>
        <w:rPr>
          <w:rFonts w:cstheme="minorHAnsi"/>
          <w:bCs/>
        </w:rPr>
        <w:t>Así, c</w:t>
      </w:r>
      <w:r w:rsidR="005544DE">
        <w:rPr>
          <w:rFonts w:cstheme="minorHAnsi"/>
          <w:bCs/>
        </w:rPr>
        <w:t xml:space="preserve">on el objeto de analizar el espectro radioeléctrico susceptible para </w:t>
      </w:r>
      <w:r w:rsidR="00D37A79">
        <w:rPr>
          <w:rFonts w:cstheme="minorHAnsi"/>
          <w:bCs/>
        </w:rPr>
        <w:t>STI</w:t>
      </w:r>
      <w:r w:rsidR="005544DE">
        <w:rPr>
          <w:rFonts w:cstheme="minorHAnsi"/>
          <w:bCs/>
        </w:rPr>
        <w:t xml:space="preserve">, </w:t>
      </w:r>
      <w:r w:rsidR="00846CE2">
        <w:rPr>
          <w:rFonts w:cstheme="minorHAnsi"/>
          <w:bCs/>
        </w:rPr>
        <w:t xml:space="preserve">el presente documento </w:t>
      </w:r>
      <w:r w:rsidR="005544DE">
        <w:rPr>
          <w:rFonts w:cstheme="minorHAnsi"/>
          <w:bCs/>
        </w:rPr>
        <w:t>estudia</w:t>
      </w:r>
      <w:r w:rsidR="00846CE2">
        <w:rPr>
          <w:rFonts w:cstheme="minorHAnsi"/>
          <w:bCs/>
        </w:rPr>
        <w:t xml:space="preserve"> la banda de frecuencias 5850-5925 MHz </w:t>
      </w:r>
      <w:r w:rsidR="005544DE" w:rsidRPr="00F20EBA">
        <w:rPr>
          <w:rFonts w:cstheme="minorHAnsi"/>
          <w:bCs/>
        </w:rPr>
        <w:t xml:space="preserve">como una </w:t>
      </w:r>
      <w:r w:rsidR="00F20EBA">
        <w:rPr>
          <w:rFonts w:cstheme="minorHAnsi"/>
          <w:bCs/>
        </w:rPr>
        <w:t>porción del espectro radioeléctrico que pudiera</w:t>
      </w:r>
      <w:r w:rsidR="005544DE" w:rsidRPr="00F20EBA">
        <w:rPr>
          <w:rFonts w:cstheme="minorHAnsi"/>
          <w:bCs/>
        </w:rPr>
        <w:t xml:space="preserve"> </w:t>
      </w:r>
      <w:r w:rsidR="00846CE2" w:rsidRPr="00F20EBA">
        <w:rPr>
          <w:rFonts w:cstheme="minorHAnsi"/>
          <w:bCs/>
        </w:rPr>
        <w:t xml:space="preserve">albergar </w:t>
      </w:r>
      <w:r w:rsidR="00144CD7" w:rsidRPr="00F20EBA">
        <w:rPr>
          <w:rFonts w:cstheme="minorHAnsi"/>
          <w:bCs/>
        </w:rPr>
        <w:t xml:space="preserve">dispositivos </w:t>
      </w:r>
      <w:r w:rsidR="00846CE2" w:rsidRPr="00F20EBA">
        <w:rPr>
          <w:rFonts w:cstheme="minorHAnsi"/>
          <w:bCs/>
        </w:rPr>
        <w:t xml:space="preserve">y aplicaciones inherentes a los </w:t>
      </w:r>
      <w:r w:rsidR="00D37A79" w:rsidRPr="00F20EBA">
        <w:rPr>
          <w:rFonts w:cstheme="minorHAnsi"/>
          <w:bCs/>
        </w:rPr>
        <w:t>STI</w:t>
      </w:r>
      <w:r w:rsidR="00F20EBA">
        <w:rPr>
          <w:rFonts w:cstheme="minorHAnsi"/>
          <w:bCs/>
        </w:rPr>
        <w:t xml:space="preserve">. </w:t>
      </w:r>
      <w:r w:rsidR="00846CE2">
        <w:rPr>
          <w:rFonts w:cstheme="minorHAnsi"/>
          <w:bCs/>
        </w:rPr>
        <w:t>Por esta razón, en el trascurso del desarrollo del documento se ofrece un análisis integral de la banda</w:t>
      </w:r>
      <w:r w:rsidR="00A624AD">
        <w:rPr>
          <w:rFonts w:cstheme="minorHAnsi"/>
          <w:bCs/>
        </w:rPr>
        <w:t>,</w:t>
      </w:r>
      <w:r w:rsidR="00846CE2">
        <w:rPr>
          <w:rFonts w:cstheme="minorHAnsi"/>
          <w:bCs/>
        </w:rPr>
        <w:t xml:space="preserve"> el cual incluye el estado que guarda en cuanto a atribuciones; </w:t>
      </w:r>
      <w:r w:rsidR="00920B15">
        <w:rPr>
          <w:rFonts w:cstheme="minorHAnsi"/>
          <w:bCs/>
        </w:rPr>
        <w:t>la situación</w:t>
      </w:r>
      <w:r w:rsidR="00846CE2">
        <w:rPr>
          <w:rFonts w:cstheme="minorHAnsi"/>
          <w:bCs/>
        </w:rPr>
        <w:t xml:space="preserve"> actual a nivel nacional, regional y mundial; </w:t>
      </w:r>
      <w:r w:rsidR="00920B15">
        <w:rPr>
          <w:rFonts w:cstheme="minorHAnsi"/>
          <w:bCs/>
        </w:rPr>
        <w:t xml:space="preserve">la </w:t>
      </w:r>
      <w:r w:rsidR="00846CE2">
        <w:rPr>
          <w:rFonts w:cstheme="minorHAnsi"/>
          <w:bCs/>
        </w:rPr>
        <w:t>normatividad nacional</w:t>
      </w:r>
      <w:r w:rsidR="00920B15">
        <w:rPr>
          <w:rFonts w:cstheme="minorHAnsi"/>
          <w:bCs/>
        </w:rPr>
        <w:t xml:space="preserve"> aplicable</w:t>
      </w:r>
      <w:r w:rsidR="00846CE2">
        <w:rPr>
          <w:rFonts w:cstheme="minorHAnsi"/>
          <w:bCs/>
        </w:rPr>
        <w:t xml:space="preserve">; insumos que se han recibido en el </w:t>
      </w:r>
      <w:r w:rsidR="005544DE">
        <w:rPr>
          <w:rFonts w:cstheme="minorHAnsi"/>
          <w:bCs/>
        </w:rPr>
        <w:t>Comité Técnico en materia de Espectro Radioeléctrico (</w:t>
      </w:r>
      <w:r w:rsidR="00846CE2">
        <w:rPr>
          <w:rFonts w:cstheme="minorHAnsi"/>
          <w:bCs/>
        </w:rPr>
        <w:t>CTER</w:t>
      </w:r>
      <w:r w:rsidR="005544DE">
        <w:rPr>
          <w:rFonts w:cstheme="minorHAnsi"/>
          <w:bCs/>
        </w:rPr>
        <w:t>)</w:t>
      </w:r>
      <w:r w:rsidR="004431D4">
        <w:rPr>
          <w:rFonts w:cstheme="minorHAnsi"/>
          <w:bCs/>
        </w:rPr>
        <w:t xml:space="preserve">; así como </w:t>
      </w:r>
      <w:r w:rsidR="00920B15" w:rsidRPr="00920B15">
        <w:rPr>
          <w:rFonts w:cstheme="minorHAnsi"/>
          <w:bCs/>
        </w:rPr>
        <w:t>las prácticas regulatorias realizadas</w:t>
      </w:r>
      <w:r w:rsidR="00920B15">
        <w:rPr>
          <w:rFonts w:cstheme="minorHAnsi"/>
          <w:bCs/>
        </w:rPr>
        <w:t xml:space="preserve"> </w:t>
      </w:r>
      <w:r w:rsidR="00920B15" w:rsidRPr="00920B15">
        <w:rPr>
          <w:rFonts w:cstheme="minorHAnsi"/>
          <w:bCs/>
        </w:rPr>
        <w:t>por otras administraciones</w:t>
      </w:r>
      <w:r w:rsidR="00A25077">
        <w:rPr>
          <w:rFonts w:cstheme="minorHAnsi"/>
          <w:bCs/>
        </w:rPr>
        <w:t>,</w:t>
      </w:r>
      <w:r w:rsidR="00920B15" w:rsidRPr="00920B15">
        <w:rPr>
          <w:rFonts w:cstheme="minorHAnsi"/>
          <w:bCs/>
        </w:rPr>
        <w:t xml:space="preserve"> los estándares y tecnologías aplicables que orientan su utilización</w:t>
      </w:r>
      <w:r w:rsidR="00920B15">
        <w:rPr>
          <w:rFonts w:cstheme="minorHAnsi"/>
          <w:bCs/>
        </w:rPr>
        <w:t xml:space="preserve"> </w:t>
      </w:r>
      <w:r w:rsidR="00920B15" w:rsidRPr="00920B15">
        <w:rPr>
          <w:rFonts w:cstheme="minorHAnsi"/>
          <w:bCs/>
        </w:rPr>
        <w:t>armonizada y promueven el uso eficiente del espectro radioeléctrico a nivel regional o mundial</w:t>
      </w:r>
      <w:r w:rsidR="00920B15">
        <w:rPr>
          <w:rFonts w:cstheme="minorHAnsi"/>
          <w:bCs/>
        </w:rPr>
        <w:t>.</w:t>
      </w:r>
    </w:p>
    <w:p w14:paraId="41885580" w14:textId="62DDB91D" w:rsidR="00C402CB" w:rsidRDefault="00C402CB" w:rsidP="00920B15">
      <w:pPr>
        <w:spacing w:after="0"/>
        <w:jc w:val="both"/>
        <w:rPr>
          <w:rFonts w:cstheme="minorHAnsi"/>
          <w:bCs/>
        </w:rPr>
      </w:pPr>
    </w:p>
    <w:p w14:paraId="2644E4EC" w14:textId="77777777" w:rsidR="00C402CB" w:rsidRPr="004278BE" w:rsidRDefault="00C402CB" w:rsidP="00E1164E">
      <w:pPr>
        <w:pStyle w:val="Ttulo1"/>
      </w:pPr>
      <w:bookmarkStart w:id="48" w:name="_Toc36542196"/>
      <w:bookmarkStart w:id="49" w:name="_Toc36548491"/>
      <w:bookmarkStart w:id="50" w:name="_Toc36560494"/>
      <w:bookmarkStart w:id="51" w:name="_Toc36566045"/>
      <w:bookmarkStart w:id="52" w:name="_Toc36576355"/>
      <w:bookmarkStart w:id="53" w:name="_Toc36579681"/>
      <w:bookmarkStart w:id="54" w:name="_Toc36582132"/>
      <w:bookmarkStart w:id="55" w:name="_Toc36583182"/>
      <w:bookmarkStart w:id="56" w:name="_Toc36585098"/>
      <w:bookmarkStart w:id="57" w:name="_Toc36629006"/>
      <w:bookmarkStart w:id="58" w:name="_Toc36639869"/>
      <w:bookmarkStart w:id="59" w:name="_Toc36641055"/>
      <w:bookmarkStart w:id="60" w:name="_Toc36641263"/>
      <w:bookmarkStart w:id="61" w:name="_Toc36641680"/>
      <w:bookmarkStart w:id="62" w:name="_Toc36649894"/>
      <w:bookmarkStart w:id="63" w:name="_Toc41002267"/>
      <w:bookmarkStart w:id="64" w:name="_Toc71194792"/>
      <w:bookmarkStart w:id="65" w:name="_Toc79501208"/>
      <w:r w:rsidRPr="004278BE">
        <w:t>Objetivo</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C0EE7E8" w14:textId="7D4F68DA" w:rsidR="00E87F50" w:rsidRDefault="00FF0B4D" w:rsidP="007C19A1">
      <w:pPr>
        <w:spacing w:after="0"/>
        <w:jc w:val="both"/>
        <w:rPr>
          <w:rFonts w:cstheme="minorHAnsi"/>
        </w:rPr>
      </w:pPr>
      <w:r>
        <w:rPr>
          <w:rFonts w:cstheme="minorHAnsi"/>
        </w:rPr>
        <w:t>E</w:t>
      </w:r>
      <w:r w:rsidR="008E72FD">
        <w:rPr>
          <w:rFonts w:cstheme="minorHAnsi"/>
        </w:rPr>
        <w:t xml:space="preserve">l objetivo de este documento </w:t>
      </w:r>
      <w:r w:rsidR="00053F2F">
        <w:rPr>
          <w:rFonts w:cstheme="minorHAnsi"/>
        </w:rPr>
        <w:t xml:space="preserve">de referencia </w:t>
      </w:r>
      <w:r w:rsidR="008E72FD">
        <w:rPr>
          <w:rFonts w:cstheme="minorHAnsi"/>
        </w:rPr>
        <w:t xml:space="preserve">es proporcionar </w:t>
      </w:r>
      <w:r w:rsidR="00534B56">
        <w:rPr>
          <w:rFonts w:cstheme="minorHAnsi"/>
        </w:rPr>
        <w:t xml:space="preserve">al público en general un contexto nacional e internacional respecto del </w:t>
      </w:r>
      <w:r w:rsidR="00534B56" w:rsidRPr="00534B56">
        <w:rPr>
          <w:rFonts w:cstheme="minorHAnsi"/>
        </w:rPr>
        <w:t>uso actual, la regulación y la prospectiva de uso de la banda de frecuencias 5</w:t>
      </w:r>
      <w:r w:rsidR="00534B56">
        <w:rPr>
          <w:rFonts w:cstheme="minorHAnsi"/>
        </w:rPr>
        <w:t>8</w:t>
      </w:r>
      <w:r w:rsidR="00534B56" w:rsidRPr="00534B56">
        <w:rPr>
          <w:rFonts w:cstheme="minorHAnsi"/>
        </w:rPr>
        <w:t>5</w:t>
      </w:r>
      <w:r w:rsidR="00534B56">
        <w:rPr>
          <w:rFonts w:cstheme="minorHAnsi"/>
        </w:rPr>
        <w:t>0</w:t>
      </w:r>
      <w:r w:rsidR="00534B56" w:rsidRPr="00534B56">
        <w:rPr>
          <w:rFonts w:cstheme="minorHAnsi"/>
        </w:rPr>
        <w:t>-</w:t>
      </w:r>
      <w:r w:rsidR="00534B56">
        <w:rPr>
          <w:rFonts w:cstheme="minorHAnsi"/>
        </w:rPr>
        <w:t>59</w:t>
      </w:r>
      <w:r w:rsidR="00534B56" w:rsidRPr="00534B56">
        <w:rPr>
          <w:rFonts w:cstheme="minorHAnsi"/>
        </w:rPr>
        <w:t>25 MHz</w:t>
      </w:r>
      <w:r w:rsidR="00D15ECC">
        <w:rPr>
          <w:rFonts w:cstheme="minorHAnsi"/>
        </w:rPr>
        <w:t>,</w:t>
      </w:r>
      <w:r w:rsidR="008E72FD">
        <w:rPr>
          <w:rFonts w:cstheme="minorHAnsi"/>
        </w:rPr>
        <w:t xml:space="preserve"> </w:t>
      </w:r>
      <w:r w:rsidR="007C19A1">
        <w:rPr>
          <w:rFonts w:cstheme="minorHAnsi"/>
        </w:rPr>
        <w:t xml:space="preserve">así como información relevante en materia de STI, </w:t>
      </w:r>
      <w:r w:rsidR="008E72FD">
        <w:rPr>
          <w:rFonts w:cstheme="minorHAnsi"/>
        </w:rPr>
        <w:t xml:space="preserve">con el fin de </w:t>
      </w:r>
      <w:r w:rsidR="00534B56">
        <w:rPr>
          <w:rFonts w:cstheme="minorHAnsi"/>
        </w:rPr>
        <w:t>que la</w:t>
      </w:r>
      <w:r w:rsidR="00534B56" w:rsidRPr="00534B56">
        <w:rPr>
          <w:rFonts w:cstheme="minorHAnsi"/>
        </w:rPr>
        <w:t xml:space="preserve">s </w:t>
      </w:r>
      <w:r w:rsidR="00534B56">
        <w:rPr>
          <w:rFonts w:cstheme="minorHAnsi"/>
        </w:rPr>
        <w:t>personas interesada</w:t>
      </w:r>
      <w:r w:rsidR="00534B56" w:rsidRPr="00534B56">
        <w:rPr>
          <w:rFonts w:cstheme="minorHAnsi"/>
        </w:rPr>
        <w:t>s en esta materia formulen comentarios, opiniones o aportaciones en el marco de</w:t>
      </w:r>
      <w:r w:rsidR="008E72FD">
        <w:rPr>
          <w:rFonts w:cstheme="minorHAnsi"/>
        </w:rPr>
        <w:t xml:space="preserve"> la Consulta </w:t>
      </w:r>
      <w:r w:rsidR="00E53FE7">
        <w:rPr>
          <w:rFonts w:cstheme="minorHAnsi"/>
        </w:rPr>
        <w:t xml:space="preserve">Pública </w:t>
      </w:r>
      <w:r w:rsidR="008E72FD">
        <w:rPr>
          <w:rFonts w:cstheme="minorHAnsi"/>
        </w:rPr>
        <w:t xml:space="preserve">de Integración </w:t>
      </w:r>
      <w:r w:rsidR="00E53FE7">
        <w:rPr>
          <w:rFonts w:cstheme="minorHAnsi"/>
        </w:rPr>
        <w:t>del</w:t>
      </w:r>
      <w:r w:rsidR="005479F3">
        <w:rPr>
          <w:rFonts w:cstheme="minorHAnsi"/>
        </w:rPr>
        <w:t xml:space="preserve"> </w:t>
      </w:r>
      <w:r w:rsidR="00AD18EF">
        <w:rPr>
          <w:rFonts w:cstheme="minorHAnsi"/>
        </w:rPr>
        <w:t>“</w:t>
      </w:r>
      <w:r w:rsidR="00E53FE7">
        <w:rPr>
          <w:rFonts w:cstheme="minorHAnsi"/>
        </w:rPr>
        <w:t>Cuestionario sobre</w:t>
      </w:r>
      <w:r w:rsidR="005479F3" w:rsidRPr="005479F3">
        <w:rPr>
          <w:rFonts w:cstheme="minorHAnsi"/>
        </w:rPr>
        <w:t xml:space="preserve"> </w:t>
      </w:r>
      <w:r w:rsidR="00E53FE7" w:rsidRPr="005479F3">
        <w:rPr>
          <w:rFonts w:cstheme="minorHAnsi"/>
        </w:rPr>
        <w:t xml:space="preserve">necesidades de espectro para sistemas de transporte inteligente en </w:t>
      </w:r>
      <w:r w:rsidR="005479F3" w:rsidRPr="005479F3">
        <w:rPr>
          <w:rFonts w:cstheme="minorHAnsi"/>
        </w:rPr>
        <w:t xml:space="preserve">la banda 5850-5925 </w:t>
      </w:r>
      <w:r w:rsidR="005479F3" w:rsidRPr="007C19A1">
        <w:rPr>
          <w:rFonts w:cstheme="minorHAnsi"/>
        </w:rPr>
        <w:t>MHz</w:t>
      </w:r>
      <w:r w:rsidR="008E72FD" w:rsidRPr="007C19A1">
        <w:rPr>
          <w:rFonts w:cstheme="minorHAnsi"/>
        </w:rPr>
        <w:t xml:space="preserve">” que el Instituto Federal de Telecomunicaciones pone a consideración </w:t>
      </w:r>
      <w:r w:rsidR="00534B56" w:rsidRPr="007C19A1">
        <w:rPr>
          <w:rFonts w:cstheme="minorHAnsi"/>
        </w:rPr>
        <w:t>para</w:t>
      </w:r>
      <w:r w:rsidR="00AD18EF" w:rsidRPr="007C19A1">
        <w:rPr>
          <w:rFonts w:cstheme="minorHAnsi"/>
        </w:rPr>
        <w:t xml:space="preserve"> que</w:t>
      </w:r>
      <w:r w:rsidR="00F76CDF" w:rsidRPr="007C19A1">
        <w:rPr>
          <w:rFonts w:cstheme="minorHAnsi"/>
        </w:rPr>
        <w:t xml:space="preserve"> </w:t>
      </w:r>
      <w:r w:rsidR="00AD18EF" w:rsidRPr="007C19A1">
        <w:rPr>
          <w:rFonts w:cstheme="minorHAnsi"/>
        </w:rPr>
        <w:t xml:space="preserve">puedan </w:t>
      </w:r>
      <w:r w:rsidR="00FD742C" w:rsidRPr="007C19A1">
        <w:rPr>
          <w:rFonts w:cstheme="minorHAnsi"/>
        </w:rPr>
        <w:t>recibir</w:t>
      </w:r>
      <w:r w:rsidR="006D459C" w:rsidRPr="007C19A1">
        <w:rPr>
          <w:rFonts w:cstheme="minorHAnsi"/>
        </w:rPr>
        <w:t>se</w:t>
      </w:r>
      <w:r w:rsidR="00FD742C" w:rsidRPr="007C19A1">
        <w:rPr>
          <w:rFonts w:cstheme="minorHAnsi"/>
        </w:rPr>
        <w:t xml:space="preserve"> insumos </w:t>
      </w:r>
      <w:r w:rsidR="006D459C" w:rsidRPr="007C19A1">
        <w:rPr>
          <w:rFonts w:cstheme="minorHAnsi"/>
        </w:rPr>
        <w:t xml:space="preserve">que permitan </w:t>
      </w:r>
      <w:r w:rsidR="00FD742C" w:rsidRPr="007C19A1">
        <w:rPr>
          <w:rFonts w:cstheme="minorHAnsi"/>
        </w:rPr>
        <w:t xml:space="preserve">realizar </w:t>
      </w:r>
      <w:r w:rsidR="008E72FD" w:rsidRPr="007C19A1">
        <w:rPr>
          <w:rFonts w:cstheme="minorHAnsi"/>
        </w:rPr>
        <w:t xml:space="preserve">acciones futuras en materia de planeación y administración del espectro radioeléctrico, </w:t>
      </w:r>
      <w:r w:rsidR="007C19A1">
        <w:rPr>
          <w:rFonts w:cstheme="minorHAnsi"/>
        </w:rPr>
        <w:t xml:space="preserve">que </w:t>
      </w:r>
      <w:r w:rsidR="007C19A1" w:rsidRPr="007C19A1">
        <w:rPr>
          <w:rFonts w:cstheme="minorHAnsi"/>
        </w:rPr>
        <w:t>bus</w:t>
      </w:r>
      <w:r w:rsidR="007C19A1">
        <w:rPr>
          <w:rFonts w:cstheme="minorHAnsi"/>
        </w:rPr>
        <w:t>quen</w:t>
      </w:r>
      <w:r w:rsidR="007C19A1" w:rsidRPr="007C19A1">
        <w:rPr>
          <w:rFonts w:cstheme="minorHAnsi"/>
        </w:rPr>
        <w:t xml:space="preserve"> resaltar nuevas opciones tecnológicas</w:t>
      </w:r>
      <w:r w:rsidR="00053F2F">
        <w:rPr>
          <w:rFonts w:cstheme="minorHAnsi"/>
        </w:rPr>
        <w:t xml:space="preserve">, particularmente </w:t>
      </w:r>
      <w:r w:rsidR="007C2444">
        <w:rPr>
          <w:rFonts w:cstheme="minorHAnsi"/>
        </w:rPr>
        <w:t>en relación a los</w:t>
      </w:r>
      <w:r w:rsidR="00053F2F">
        <w:rPr>
          <w:rFonts w:cstheme="minorHAnsi"/>
        </w:rPr>
        <w:t xml:space="preserve"> STI</w:t>
      </w:r>
      <w:r w:rsidR="007C19A1" w:rsidRPr="007C19A1">
        <w:rPr>
          <w:rFonts w:cstheme="minorHAnsi"/>
        </w:rPr>
        <w:t xml:space="preserve"> que coadyuven a reducir</w:t>
      </w:r>
      <w:r w:rsidR="007C19A1">
        <w:rPr>
          <w:rFonts w:cstheme="minorHAnsi"/>
        </w:rPr>
        <w:t xml:space="preserve"> </w:t>
      </w:r>
      <w:r w:rsidR="007C19A1" w:rsidRPr="007C19A1">
        <w:rPr>
          <w:rFonts w:cstheme="minorHAnsi"/>
        </w:rPr>
        <w:t>la brecha digital y promuevan la armonización del espectro radioeléctrico en beneficio del usuario</w:t>
      </w:r>
      <w:r w:rsidR="007C19A1">
        <w:rPr>
          <w:rFonts w:cstheme="minorHAnsi"/>
        </w:rPr>
        <w:t xml:space="preserve"> </w:t>
      </w:r>
      <w:r w:rsidR="007C19A1" w:rsidRPr="007C19A1">
        <w:rPr>
          <w:rFonts w:cstheme="minorHAnsi"/>
        </w:rPr>
        <w:t>final.</w:t>
      </w:r>
    </w:p>
    <w:p w14:paraId="22E395A3" w14:textId="77777777" w:rsidR="00872CB5" w:rsidRDefault="00872CB5" w:rsidP="00AF5F09">
      <w:pPr>
        <w:spacing w:after="0"/>
        <w:jc w:val="both"/>
      </w:pPr>
      <w:r>
        <w:br w:type="page"/>
      </w:r>
    </w:p>
    <w:p w14:paraId="0FF04657" w14:textId="77777777" w:rsidR="00D833BF" w:rsidRPr="00D833BF" w:rsidRDefault="00D833BF" w:rsidP="00E1164E">
      <w:pPr>
        <w:pStyle w:val="Ttulo1"/>
      </w:pPr>
      <w:bookmarkStart w:id="66" w:name="_Toc71194796"/>
      <w:bookmarkStart w:id="67" w:name="_Toc79501209"/>
      <w:r w:rsidRPr="00D833BF">
        <w:lastRenderedPageBreak/>
        <w:t>Marco Jurídico.</w:t>
      </w:r>
      <w:bookmarkEnd w:id="66"/>
      <w:bookmarkEnd w:id="67"/>
    </w:p>
    <w:p w14:paraId="0FC72CF5" w14:textId="77777777" w:rsidR="00D833BF" w:rsidRDefault="00D833BF" w:rsidP="00D833BF">
      <w:pPr>
        <w:spacing w:after="0"/>
        <w:jc w:val="both"/>
        <w:rPr>
          <w:rFonts w:cstheme="minorHAnsi"/>
        </w:rPr>
      </w:pPr>
      <w:r>
        <w:rPr>
          <w:rFonts w:cstheme="minorHAnsi"/>
        </w:rPr>
        <w:t>De conformidad con lo dispuesto en los artículos 28 de la Constitución; 7 de la Ley; y 1 del Estatuto Orgánico; el Instituto es un órgano público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67147311" w14:textId="77777777" w:rsidR="00D833BF" w:rsidRDefault="00D833BF" w:rsidP="00D833BF">
      <w:pPr>
        <w:spacing w:after="0"/>
        <w:jc w:val="both"/>
        <w:rPr>
          <w:rFonts w:cstheme="minorHAnsi"/>
        </w:rPr>
      </w:pPr>
    </w:p>
    <w:p w14:paraId="168F38A2" w14:textId="77777777" w:rsidR="00D833BF" w:rsidRPr="00604453" w:rsidRDefault="00D833BF" w:rsidP="00D833BF">
      <w:pPr>
        <w:spacing w:after="0"/>
        <w:jc w:val="both"/>
        <w:rPr>
          <w:rFonts w:cstheme="minorHAnsi"/>
        </w:rPr>
      </w:pPr>
      <w:r>
        <w:rPr>
          <w:rFonts w:cstheme="minorHAnsi"/>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w:t>
      </w:r>
      <w:r w:rsidRPr="00604453">
        <w:rPr>
          <w:rFonts w:cstheme="minorHAnsi"/>
        </w:rPr>
        <w:t>la infraestructura activa y pasiva y otros insumos esenciales.</w:t>
      </w:r>
    </w:p>
    <w:p w14:paraId="0F7C5015" w14:textId="77777777" w:rsidR="00D833BF" w:rsidRPr="00604453" w:rsidRDefault="00D833BF" w:rsidP="00D833BF">
      <w:pPr>
        <w:spacing w:after="0"/>
        <w:jc w:val="both"/>
        <w:rPr>
          <w:rFonts w:cstheme="minorHAnsi"/>
        </w:rPr>
      </w:pPr>
    </w:p>
    <w:p w14:paraId="2F18F612" w14:textId="77777777" w:rsidR="00D833BF" w:rsidRDefault="00D833BF" w:rsidP="00D833BF">
      <w:pPr>
        <w:spacing w:after="0"/>
        <w:jc w:val="both"/>
        <w:rPr>
          <w:rFonts w:cstheme="minorHAnsi"/>
        </w:rPr>
      </w:pPr>
      <w:r w:rsidRPr="00604453">
        <w:rPr>
          <w:rFonts w:cstheme="minorHAnsi"/>
        </w:rPr>
        <w:t>El artículo 27, párrafos cuarto y sexto de</w:t>
      </w:r>
      <w:r w:rsidRPr="00C12DCD">
        <w:rPr>
          <w:rFonts w:cstheme="minorHAnsi"/>
        </w:rPr>
        <w:t xml:space="preserve"> la Constitución establece</w:t>
      </w:r>
      <w:r>
        <w:rPr>
          <w:rFonts w:cstheme="minorHAnsi"/>
        </w:rPr>
        <w:t>n</w:t>
      </w:r>
      <w:r w:rsidRPr="00C12DCD">
        <w:rPr>
          <w:rFonts w:cstheme="minorHAnsi"/>
        </w:rPr>
        <w:t>, que corresponde a la Nación el dominio directo del espacio situado sobre el territorio nacional y, dado que las ondas electromagnéticas del espectro radioeléctrico pueden propagarse en dicho espacio, su explotación, su uso y aprovechamiento por los particulares o por sociedades constituidas conforme a las leyes mexicanas no podrá realizarse sino mediante concesiones, que en el caso de radiodifusión y telecomunicaciones serán otorgadas por el Instituto, de acuerdo con las reglas y condiciones que establezcan las leyes.</w:t>
      </w:r>
    </w:p>
    <w:p w14:paraId="6BA4CC1B" w14:textId="77777777" w:rsidR="00D833BF" w:rsidRDefault="00D833BF" w:rsidP="00D833BF">
      <w:pPr>
        <w:spacing w:after="0"/>
        <w:jc w:val="both"/>
        <w:rPr>
          <w:rFonts w:cstheme="minorHAnsi"/>
        </w:rPr>
      </w:pPr>
    </w:p>
    <w:p w14:paraId="2C371129" w14:textId="77777777" w:rsidR="00D833BF" w:rsidRPr="007A6775" w:rsidRDefault="00D833BF" w:rsidP="00D833BF">
      <w:pPr>
        <w:spacing w:after="0" w:line="23" w:lineRule="atLeast"/>
        <w:jc w:val="both"/>
        <w:rPr>
          <w:rFonts w:eastAsia="Calibri" w:cs="Arial"/>
          <w:color w:val="000000"/>
        </w:rPr>
      </w:pPr>
      <w:r w:rsidRPr="007A6775">
        <w:rPr>
          <w:rFonts w:eastAsia="Calibri" w:cs="Arial"/>
          <w:color w:val="000000"/>
        </w:rPr>
        <w:t>Es así que, en cumplimiento a lo que establece la Constitución, en sus artículos 2, cuarto párrafo y 5 de la Ley</w:t>
      </w:r>
      <w:r w:rsidR="008E337F">
        <w:rPr>
          <w:rFonts w:eastAsia="Calibri" w:cs="Arial"/>
          <w:color w:val="000000"/>
        </w:rPr>
        <w:t>,</w:t>
      </w:r>
      <w:r w:rsidRPr="007A6775">
        <w:rPr>
          <w:rFonts w:eastAsia="Calibri" w:cs="Arial"/>
          <w:color w:val="000000"/>
        </w:rPr>
        <w:t xml:space="preserve"> disponen que en todo momento el Estado mantendrá el dominio originario, inalienable e imprescriptible sobre el espectro radioeléctrico, otorgándole a este bien el carácter de vías generales de comunicación.</w:t>
      </w:r>
    </w:p>
    <w:p w14:paraId="579A145B" w14:textId="77777777" w:rsidR="00D833BF" w:rsidRPr="007A6775" w:rsidRDefault="00D833BF" w:rsidP="00D833BF">
      <w:pPr>
        <w:spacing w:after="0" w:line="23" w:lineRule="atLeast"/>
        <w:rPr>
          <w:rFonts w:eastAsia="Calibri" w:cs="Arial"/>
          <w:color w:val="000000"/>
        </w:rPr>
      </w:pPr>
    </w:p>
    <w:p w14:paraId="4D0BC551" w14:textId="77777777" w:rsidR="00D833BF" w:rsidRPr="007A6775" w:rsidRDefault="00D833BF" w:rsidP="00D833BF">
      <w:pPr>
        <w:spacing w:after="0" w:line="23" w:lineRule="atLeast"/>
        <w:jc w:val="both"/>
        <w:rPr>
          <w:rFonts w:eastAsia="Calibri" w:cs="Arial"/>
          <w:color w:val="000000"/>
        </w:rPr>
      </w:pPr>
      <w:r w:rsidRPr="007A6775">
        <w:rPr>
          <w:rFonts w:eastAsia="Calibri" w:cs="Arial"/>
          <w:color w:val="000000"/>
        </w:rPr>
        <w:t xml:space="preserve">Por su parte, el artículo 3, fracción XXI de la Ley, define espectro radioeléctrico como sigue: </w:t>
      </w:r>
    </w:p>
    <w:p w14:paraId="579DA198" w14:textId="77777777" w:rsidR="00D833BF" w:rsidRPr="007A6775" w:rsidRDefault="00D833BF" w:rsidP="00D833BF">
      <w:pPr>
        <w:spacing w:after="0" w:line="23" w:lineRule="atLeast"/>
        <w:jc w:val="both"/>
        <w:rPr>
          <w:rFonts w:eastAsia="Calibri" w:cs="Arial"/>
          <w:color w:val="000000"/>
        </w:rPr>
      </w:pPr>
    </w:p>
    <w:p w14:paraId="554D3702" w14:textId="77777777" w:rsidR="00D833BF" w:rsidRPr="00194C82" w:rsidRDefault="00D833BF" w:rsidP="00D833BF">
      <w:pPr>
        <w:spacing w:after="0" w:line="23" w:lineRule="atLeast"/>
        <w:ind w:left="1134" w:right="1183"/>
        <w:jc w:val="center"/>
        <w:rPr>
          <w:rFonts w:eastAsia="Calibri" w:cs="Arial"/>
          <w:i/>
          <w:color w:val="000000"/>
          <w:sz w:val="20"/>
          <w:szCs w:val="20"/>
        </w:rPr>
      </w:pPr>
      <w:r w:rsidRPr="00194C82">
        <w:rPr>
          <w:rFonts w:eastAsia="Calibri" w:cs="Arial"/>
          <w:i/>
          <w:color w:val="000000"/>
          <w:sz w:val="20"/>
          <w:szCs w:val="20"/>
        </w:rPr>
        <w:t>“TÍTULO PRIMERO</w:t>
      </w:r>
    </w:p>
    <w:p w14:paraId="0E442C0F" w14:textId="77777777" w:rsidR="00D833BF" w:rsidRPr="00194C82" w:rsidRDefault="00D833BF" w:rsidP="00D833BF">
      <w:pPr>
        <w:spacing w:after="0" w:line="23" w:lineRule="atLeast"/>
        <w:ind w:left="1134" w:right="1183"/>
        <w:jc w:val="center"/>
        <w:rPr>
          <w:rFonts w:eastAsia="Calibri" w:cs="Arial"/>
          <w:i/>
          <w:color w:val="000000"/>
          <w:sz w:val="20"/>
          <w:szCs w:val="20"/>
        </w:rPr>
      </w:pPr>
      <w:r w:rsidRPr="00194C82">
        <w:rPr>
          <w:rFonts w:eastAsia="Calibri" w:cs="Arial"/>
          <w:i/>
          <w:color w:val="000000"/>
          <w:sz w:val="20"/>
          <w:szCs w:val="20"/>
        </w:rPr>
        <w:t>Del Ámbito de Aplicación de la Ley y de la</w:t>
      </w:r>
    </w:p>
    <w:p w14:paraId="685AF73D" w14:textId="77777777" w:rsidR="00D833BF" w:rsidRPr="00194C82" w:rsidRDefault="00D833BF" w:rsidP="00D833BF">
      <w:pPr>
        <w:spacing w:after="0" w:line="23" w:lineRule="atLeast"/>
        <w:ind w:left="1134" w:right="1183"/>
        <w:jc w:val="center"/>
        <w:rPr>
          <w:rFonts w:eastAsia="Calibri" w:cs="Arial"/>
          <w:i/>
          <w:color w:val="000000"/>
          <w:sz w:val="20"/>
          <w:szCs w:val="20"/>
        </w:rPr>
      </w:pPr>
      <w:r w:rsidRPr="00194C82">
        <w:rPr>
          <w:rFonts w:eastAsia="Calibri" w:cs="Arial"/>
          <w:i/>
          <w:color w:val="000000"/>
          <w:sz w:val="20"/>
          <w:szCs w:val="20"/>
        </w:rPr>
        <w:t>Competencia de las Autoridades</w:t>
      </w:r>
    </w:p>
    <w:p w14:paraId="04CBDD6B" w14:textId="77777777" w:rsidR="00D833BF" w:rsidRPr="00194C82" w:rsidRDefault="00D833BF" w:rsidP="00D833BF">
      <w:pPr>
        <w:spacing w:after="0" w:line="23" w:lineRule="atLeast"/>
        <w:ind w:left="1134" w:right="1253"/>
        <w:jc w:val="center"/>
        <w:rPr>
          <w:rFonts w:eastAsia="Calibri" w:cs="Arial"/>
          <w:i/>
          <w:color w:val="000000"/>
          <w:sz w:val="20"/>
          <w:szCs w:val="20"/>
        </w:rPr>
      </w:pPr>
    </w:p>
    <w:p w14:paraId="1BFA07D2" w14:textId="77777777" w:rsidR="00D833BF" w:rsidRPr="00194C82" w:rsidRDefault="00D833BF" w:rsidP="00D833BF">
      <w:pPr>
        <w:spacing w:after="0" w:line="23" w:lineRule="atLeast"/>
        <w:ind w:left="1134" w:right="1253"/>
        <w:jc w:val="center"/>
        <w:rPr>
          <w:rFonts w:eastAsia="Calibri" w:cs="Arial"/>
          <w:i/>
          <w:color w:val="000000"/>
          <w:sz w:val="20"/>
          <w:szCs w:val="20"/>
        </w:rPr>
      </w:pPr>
      <w:r w:rsidRPr="00194C82">
        <w:rPr>
          <w:rFonts w:eastAsia="Calibri" w:cs="Arial"/>
          <w:i/>
          <w:color w:val="000000"/>
          <w:sz w:val="20"/>
          <w:szCs w:val="20"/>
        </w:rPr>
        <w:t>Capítulo I</w:t>
      </w:r>
    </w:p>
    <w:p w14:paraId="620AD4BC" w14:textId="77777777" w:rsidR="00D833BF" w:rsidRPr="00194C82" w:rsidRDefault="00D833BF" w:rsidP="00D833BF">
      <w:pPr>
        <w:spacing w:after="0" w:line="23" w:lineRule="atLeast"/>
        <w:ind w:left="1134" w:right="1253"/>
        <w:jc w:val="center"/>
        <w:rPr>
          <w:rFonts w:eastAsia="Calibri" w:cs="Arial"/>
          <w:i/>
          <w:color w:val="000000"/>
          <w:sz w:val="20"/>
          <w:szCs w:val="20"/>
        </w:rPr>
      </w:pPr>
      <w:r w:rsidRPr="00194C82">
        <w:rPr>
          <w:rFonts w:eastAsia="Calibri" w:cs="Arial"/>
          <w:i/>
          <w:color w:val="000000"/>
          <w:sz w:val="20"/>
          <w:szCs w:val="20"/>
        </w:rPr>
        <w:t>Disposiciones Generales</w:t>
      </w:r>
    </w:p>
    <w:p w14:paraId="54901B25" w14:textId="77777777" w:rsidR="00D833BF" w:rsidRPr="00194C82" w:rsidRDefault="00D833BF" w:rsidP="00D833BF">
      <w:pPr>
        <w:spacing w:after="0" w:line="23" w:lineRule="atLeast"/>
        <w:ind w:left="1134" w:right="1253"/>
        <w:jc w:val="both"/>
        <w:rPr>
          <w:rFonts w:eastAsia="Calibri" w:cs="Arial"/>
          <w:i/>
          <w:color w:val="000000"/>
          <w:sz w:val="20"/>
          <w:szCs w:val="20"/>
        </w:rPr>
      </w:pPr>
      <w:r w:rsidRPr="00194C82">
        <w:rPr>
          <w:rFonts w:eastAsia="Calibri" w:cs="Arial"/>
          <w:i/>
          <w:color w:val="000000"/>
          <w:sz w:val="20"/>
          <w:szCs w:val="20"/>
        </w:rPr>
        <w:t>(…)</w:t>
      </w:r>
    </w:p>
    <w:p w14:paraId="19F53E8A" w14:textId="77777777" w:rsidR="00D833BF" w:rsidRPr="00194C82" w:rsidRDefault="00D833BF" w:rsidP="00D833BF">
      <w:pPr>
        <w:spacing w:after="0" w:line="23" w:lineRule="atLeast"/>
        <w:ind w:left="1134" w:right="1253"/>
        <w:jc w:val="both"/>
        <w:rPr>
          <w:rFonts w:eastAsia="Calibri" w:cs="Arial"/>
          <w:i/>
          <w:color w:val="000000"/>
          <w:sz w:val="20"/>
          <w:szCs w:val="20"/>
        </w:rPr>
      </w:pPr>
      <w:r w:rsidRPr="00194C82">
        <w:rPr>
          <w:rFonts w:eastAsia="Calibri" w:cs="Arial"/>
          <w:b/>
          <w:i/>
          <w:color w:val="000000"/>
          <w:sz w:val="20"/>
          <w:szCs w:val="20"/>
        </w:rPr>
        <w:t>Artículo 3</w:t>
      </w:r>
      <w:r w:rsidRPr="00194C82">
        <w:rPr>
          <w:rFonts w:eastAsia="Calibri" w:cs="Arial"/>
          <w:i/>
          <w:color w:val="000000"/>
          <w:sz w:val="20"/>
          <w:szCs w:val="20"/>
        </w:rPr>
        <w:t xml:space="preserve">. Para los efectos de esta Ley se entenderá por: </w:t>
      </w:r>
    </w:p>
    <w:p w14:paraId="706CE44F" w14:textId="77777777" w:rsidR="00D833BF" w:rsidRPr="00194C82" w:rsidRDefault="00D833BF" w:rsidP="00D833BF">
      <w:pPr>
        <w:spacing w:after="0" w:line="23" w:lineRule="atLeast"/>
        <w:ind w:left="1134" w:right="1253"/>
        <w:jc w:val="both"/>
        <w:rPr>
          <w:rFonts w:eastAsia="Calibri" w:cs="Arial"/>
          <w:i/>
          <w:color w:val="000000"/>
          <w:sz w:val="20"/>
          <w:szCs w:val="20"/>
        </w:rPr>
      </w:pPr>
      <w:r w:rsidRPr="00194C82">
        <w:rPr>
          <w:rFonts w:eastAsia="Calibri" w:cs="Arial"/>
          <w:i/>
          <w:color w:val="000000"/>
          <w:sz w:val="20"/>
          <w:szCs w:val="20"/>
        </w:rPr>
        <w:t>(...)</w:t>
      </w:r>
    </w:p>
    <w:p w14:paraId="1C7FA309" w14:textId="77777777" w:rsidR="00D833BF" w:rsidRPr="00194C82" w:rsidRDefault="00D833BF" w:rsidP="00D833BF">
      <w:pPr>
        <w:spacing w:after="0" w:line="23" w:lineRule="atLeast"/>
        <w:ind w:left="1134" w:right="1253"/>
        <w:jc w:val="both"/>
        <w:rPr>
          <w:rFonts w:eastAsia="Calibri" w:cs="Arial"/>
          <w:i/>
          <w:color w:val="000000"/>
          <w:sz w:val="20"/>
          <w:szCs w:val="20"/>
        </w:rPr>
      </w:pPr>
      <w:r w:rsidRPr="00194C82">
        <w:rPr>
          <w:rFonts w:eastAsia="Calibri" w:cs="Arial"/>
          <w:b/>
          <w:i/>
          <w:color w:val="000000"/>
          <w:sz w:val="20"/>
          <w:szCs w:val="20"/>
        </w:rPr>
        <w:t>XXI.</w:t>
      </w:r>
      <w:r w:rsidRPr="00194C82">
        <w:rPr>
          <w:rFonts w:eastAsia="Calibri" w:cs="Arial"/>
          <w:i/>
          <w:color w:val="000000"/>
          <w:sz w:val="20"/>
          <w:szCs w:val="20"/>
        </w:rPr>
        <w:t xml:space="preserve"> </w:t>
      </w:r>
      <w:r w:rsidRPr="00194C82">
        <w:rPr>
          <w:rFonts w:eastAsia="Calibri" w:cs="Arial"/>
          <w:b/>
          <w:i/>
          <w:color w:val="000000"/>
          <w:sz w:val="20"/>
          <w:szCs w:val="20"/>
        </w:rPr>
        <w:t>Espectro radioeléctrico</w:t>
      </w:r>
      <w:r w:rsidRPr="00194C82">
        <w:rPr>
          <w:rFonts w:eastAsia="Calibri" w:cs="Arial"/>
          <w:i/>
          <w:color w:val="000000"/>
          <w:sz w:val="20"/>
          <w:szCs w:val="20"/>
        </w:rPr>
        <w:t xml:space="preserve">: Espacio que permite la propagación, sin guía artificial, de ondas electromagnéticas cuyas bandas de frecuencias se fijan convencionalmente por debajo de los 3,000 </w:t>
      </w:r>
      <w:proofErr w:type="spellStart"/>
      <w:r w:rsidRPr="00194C82">
        <w:rPr>
          <w:rFonts w:eastAsia="Calibri" w:cs="Arial"/>
          <w:i/>
          <w:color w:val="000000"/>
          <w:sz w:val="20"/>
          <w:szCs w:val="20"/>
        </w:rPr>
        <w:t>gigahertz</w:t>
      </w:r>
      <w:proofErr w:type="spellEnd"/>
      <w:r w:rsidRPr="00194C82">
        <w:rPr>
          <w:rFonts w:eastAsia="Calibri" w:cs="Arial"/>
          <w:i/>
          <w:color w:val="000000"/>
          <w:sz w:val="20"/>
          <w:szCs w:val="20"/>
        </w:rPr>
        <w:t>;</w:t>
      </w:r>
    </w:p>
    <w:p w14:paraId="679E5F51" w14:textId="77777777" w:rsidR="00D833BF" w:rsidRPr="00194C82" w:rsidRDefault="00D833BF" w:rsidP="00D833BF">
      <w:pPr>
        <w:spacing w:after="0" w:line="23" w:lineRule="atLeast"/>
        <w:ind w:left="1134" w:right="1253"/>
        <w:jc w:val="both"/>
        <w:rPr>
          <w:rFonts w:eastAsia="Calibri" w:cs="Arial"/>
          <w:i/>
          <w:color w:val="000000"/>
          <w:sz w:val="20"/>
          <w:szCs w:val="20"/>
        </w:rPr>
      </w:pPr>
      <w:r w:rsidRPr="00194C82">
        <w:rPr>
          <w:rFonts w:eastAsia="Calibri" w:cs="Arial"/>
          <w:i/>
          <w:color w:val="000000"/>
          <w:sz w:val="20"/>
          <w:szCs w:val="20"/>
        </w:rPr>
        <w:t xml:space="preserve">(...)" </w:t>
      </w:r>
    </w:p>
    <w:p w14:paraId="41BB9878" w14:textId="77777777" w:rsidR="00D833BF" w:rsidRDefault="00D833BF" w:rsidP="00D833BF">
      <w:pPr>
        <w:spacing w:after="0"/>
        <w:jc w:val="both"/>
        <w:rPr>
          <w:rFonts w:cstheme="minorHAnsi"/>
        </w:rPr>
      </w:pPr>
    </w:p>
    <w:p w14:paraId="54D4F89A" w14:textId="77777777" w:rsidR="00D833BF" w:rsidRPr="00194C82" w:rsidRDefault="00D833BF" w:rsidP="00D833BF">
      <w:pPr>
        <w:spacing w:after="0" w:line="23" w:lineRule="atLeast"/>
        <w:ind w:right="-23"/>
        <w:jc w:val="both"/>
        <w:rPr>
          <w:rFonts w:eastAsia="Calibri" w:cs="Arial"/>
          <w:color w:val="000000"/>
        </w:rPr>
      </w:pPr>
      <w:r w:rsidRPr="00194C82">
        <w:rPr>
          <w:rFonts w:eastAsia="Calibri" w:cs="Arial"/>
          <w:color w:val="000000"/>
        </w:rPr>
        <w:t>En esta tesitura, cabe señalar que</w:t>
      </w:r>
      <w:r w:rsidR="00EA2BEF">
        <w:rPr>
          <w:rFonts w:eastAsia="Calibri" w:cs="Arial"/>
          <w:color w:val="000000"/>
        </w:rPr>
        <w:t>,</w:t>
      </w:r>
      <w:r w:rsidRPr="00194C82">
        <w:rPr>
          <w:rFonts w:eastAsia="Calibri" w:cs="Arial"/>
          <w:color w:val="000000"/>
        </w:rPr>
        <w:t xml:space="preserve"> desde la iniciativa de la Ley se consideró que la planificación del espectro radioeléctrico constituye una de las tareas más relevantes del Estado, toda vez que este recurso es el elemento primario e indispensable de las comunicaciones inalámbricas, por lo que representa un recurso extremadamente escaso y de gran valor.</w:t>
      </w:r>
      <w:r w:rsidRPr="00194C82">
        <w:rPr>
          <w:rFonts w:eastAsia="Calibri" w:cs="Arial"/>
          <w:vertAlign w:val="superscript"/>
          <w:lang w:eastAsia="es-ES"/>
        </w:rPr>
        <w:footnoteReference w:id="2"/>
      </w:r>
    </w:p>
    <w:p w14:paraId="095210F4" w14:textId="77777777" w:rsidR="00D833BF" w:rsidRPr="00194C82" w:rsidRDefault="00D833BF" w:rsidP="00D833BF">
      <w:pPr>
        <w:spacing w:after="0" w:line="23" w:lineRule="atLeast"/>
        <w:ind w:right="-23"/>
        <w:jc w:val="both"/>
        <w:rPr>
          <w:rFonts w:eastAsia="Calibri" w:cs="Arial"/>
          <w:color w:val="000000"/>
        </w:rPr>
      </w:pPr>
    </w:p>
    <w:p w14:paraId="2C610E6C" w14:textId="77777777" w:rsidR="00D833BF" w:rsidRPr="00194C82" w:rsidRDefault="00D833BF" w:rsidP="00D833BF">
      <w:pPr>
        <w:spacing w:after="0" w:line="23" w:lineRule="atLeast"/>
        <w:ind w:right="-23"/>
        <w:jc w:val="both"/>
        <w:rPr>
          <w:rFonts w:eastAsia="Calibri" w:cs="Arial"/>
          <w:color w:val="000000"/>
        </w:rPr>
      </w:pPr>
      <w:r w:rsidRPr="00194C82">
        <w:rPr>
          <w:rFonts w:eastAsia="Calibri" w:cs="Arial"/>
          <w:color w:val="000000"/>
        </w:rPr>
        <w:t>En concordancia con lo anterior, los artículos 54, 55, fracción II y 56 de la Ley, establecen que, para una adecuada planeación, administración y control del espectro radioeléctrico, el Instituto deberá observar diversos elementos que, para este documento de referencia son de suma importancia</w:t>
      </w:r>
      <w:r w:rsidR="00A95624">
        <w:rPr>
          <w:rFonts w:eastAsia="Calibri" w:cs="Arial"/>
          <w:color w:val="000000"/>
        </w:rPr>
        <w:t>.</w:t>
      </w:r>
      <w:r w:rsidRPr="00194C82">
        <w:rPr>
          <w:rFonts w:eastAsia="Calibri" w:cs="Arial"/>
          <w:color w:val="000000"/>
        </w:rPr>
        <w:t xml:space="preserve"> </w:t>
      </w:r>
      <w:r w:rsidR="00A95624">
        <w:rPr>
          <w:rFonts w:eastAsia="Calibri" w:cs="Arial"/>
          <w:color w:val="000000"/>
        </w:rPr>
        <w:t>A</w:t>
      </w:r>
      <w:r w:rsidRPr="00194C82">
        <w:rPr>
          <w:rFonts w:eastAsia="Calibri" w:cs="Arial"/>
          <w:color w:val="000000"/>
        </w:rPr>
        <w:t xml:space="preserve"> continuación, se describen los artículos indicados:</w:t>
      </w:r>
    </w:p>
    <w:p w14:paraId="22731E67" w14:textId="77777777" w:rsidR="00D833BF" w:rsidRPr="00194C82" w:rsidRDefault="00D833BF" w:rsidP="00D833BF">
      <w:pPr>
        <w:spacing w:after="0" w:line="23" w:lineRule="atLeast"/>
        <w:ind w:left="1134" w:right="1183"/>
        <w:jc w:val="center"/>
        <w:rPr>
          <w:rFonts w:eastAsia="Calibri" w:cs="Arial"/>
          <w:i/>
          <w:color w:val="000000"/>
        </w:rPr>
      </w:pPr>
    </w:p>
    <w:p w14:paraId="35620EBD" w14:textId="77777777" w:rsidR="00D833BF" w:rsidRPr="00194C82" w:rsidRDefault="00D833BF" w:rsidP="00D833BF">
      <w:pPr>
        <w:spacing w:after="0" w:line="23" w:lineRule="atLeast"/>
        <w:ind w:left="1134" w:right="1183"/>
        <w:jc w:val="center"/>
        <w:rPr>
          <w:rFonts w:eastAsia="Calibri" w:cs="Arial"/>
          <w:i/>
          <w:color w:val="000000"/>
          <w:sz w:val="20"/>
        </w:rPr>
      </w:pPr>
      <w:r w:rsidRPr="00194C82">
        <w:rPr>
          <w:rFonts w:eastAsia="Calibri" w:cs="Arial"/>
          <w:i/>
          <w:color w:val="000000"/>
          <w:sz w:val="20"/>
        </w:rPr>
        <w:t>“TÍTULO TERCERO</w:t>
      </w:r>
    </w:p>
    <w:p w14:paraId="0DDC40C7" w14:textId="77777777" w:rsidR="00D833BF" w:rsidRPr="00194C82" w:rsidRDefault="00D833BF" w:rsidP="00D833BF">
      <w:pPr>
        <w:spacing w:after="0" w:line="23" w:lineRule="atLeast"/>
        <w:ind w:left="1134" w:right="1183"/>
        <w:jc w:val="center"/>
        <w:rPr>
          <w:rFonts w:eastAsia="Calibri" w:cs="Arial"/>
          <w:b/>
          <w:i/>
          <w:color w:val="000000"/>
          <w:sz w:val="20"/>
        </w:rPr>
      </w:pPr>
      <w:r w:rsidRPr="00194C82">
        <w:rPr>
          <w:rFonts w:eastAsia="Calibri" w:cs="Arial"/>
          <w:b/>
          <w:i/>
          <w:color w:val="000000"/>
          <w:sz w:val="20"/>
        </w:rPr>
        <w:t>Del Espectro Radioeléctrico y Recursos Orbitales</w:t>
      </w:r>
    </w:p>
    <w:p w14:paraId="55ADDD25" w14:textId="77777777" w:rsidR="00D833BF" w:rsidRPr="00194C82" w:rsidRDefault="00D833BF" w:rsidP="00D833BF">
      <w:pPr>
        <w:spacing w:after="0" w:line="23" w:lineRule="atLeast"/>
        <w:ind w:left="1134" w:right="1183"/>
        <w:jc w:val="center"/>
        <w:rPr>
          <w:rFonts w:eastAsia="Calibri" w:cs="Arial"/>
          <w:i/>
          <w:color w:val="000000"/>
          <w:sz w:val="20"/>
        </w:rPr>
      </w:pPr>
      <w:r w:rsidRPr="00194C82">
        <w:rPr>
          <w:rFonts w:eastAsia="Calibri" w:cs="Arial"/>
          <w:i/>
          <w:color w:val="000000"/>
          <w:sz w:val="20"/>
        </w:rPr>
        <w:t>Capítulo Único</w:t>
      </w:r>
    </w:p>
    <w:p w14:paraId="0A09BFE4" w14:textId="77777777" w:rsidR="00D833BF" w:rsidRPr="00194C82" w:rsidRDefault="00D833BF" w:rsidP="00D833BF">
      <w:pPr>
        <w:spacing w:after="0" w:line="23" w:lineRule="atLeast"/>
        <w:ind w:left="1134" w:right="1183"/>
        <w:jc w:val="center"/>
        <w:rPr>
          <w:rFonts w:eastAsia="Calibri" w:cs="Arial"/>
          <w:b/>
          <w:i/>
          <w:color w:val="000000"/>
          <w:sz w:val="20"/>
        </w:rPr>
      </w:pPr>
      <w:r w:rsidRPr="00194C82">
        <w:rPr>
          <w:rFonts w:eastAsia="Calibri" w:cs="Arial"/>
          <w:b/>
          <w:i/>
          <w:color w:val="000000"/>
          <w:sz w:val="20"/>
        </w:rPr>
        <w:t>Del Espectro Radioeléctrico</w:t>
      </w:r>
    </w:p>
    <w:p w14:paraId="33135370" w14:textId="77777777" w:rsidR="00D833BF" w:rsidRPr="00194C82" w:rsidRDefault="00D833BF" w:rsidP="00D833BF">
      <w:pPr>
        <w:spacing w:after="0" w:line="23" w:lineRule="atLeast"/>
        <w:ind w:right="-23"/>
        <w:jc w:val="both"/>
        <w:rPr>
          <w:rFonts w:eastAsia="Calibri" w:cs="Arial"/>
          <w:color w:val="000000"/>
          <w:sz w:val="20"/>
        </w:rPr>
      </w:pPr>
    </w:p>
    <w:p w14:paraId="0774BFB7" w14:textId="77777777" w:rsidR="00D833BF" w:rsidRPr="007A6775" w:rsidRDefault="00D833BF" w:rsidP="00D833BF">
      <w:pPr>
        <w:spacing w:after="0" w:line="23" w:lineRule="atLeast"/>
        <w:ind w:left="1134" w:right="1253"/>
        <w:jc w:val="center"/>
        <w:rPr>
          <w:rFonts w:eastAsia="Calibri" w:cs="Arial"/>
          <w:i/>
          <w:color w:val="000000"/>
          <w:sz w:val="20"/>
        </w:rPr>
      </w:pPr>
      <w:r w:rsidRPr="007A6775">
        <w:rPr>
          <w:rFonts w:eastAsia="Calibri" w:cs="Arial"/>
          <w:i/>
          <w:color w:val="000000"/>
          <w:sz w:val="20"/>
        </w:rPr>
        <w:t>Sección I</w:t>
      </w:r>
    </w:p>
    <w:p w14:paraId="24EB82A9" w14:textId="77777777" w:rsidR="00D833BF" w:rsidRPr="007A6775" w:rsidRDefault="00D833BF" w:rsidP="00D833BF">
      <w:pPr>
        <w:spacing w:after="0" w:line="23" w:lineRule="atLeast"/>
        <w:ind w:left="1134" w:right="1253"/>
        <w:jc w:val="center"/>
        <w:rPr>
          <w:rFonts w:eastAsia="Calibri" w:cs="Arial"/>
          <w:i/>
          <w:color w:val="000000"/>
          <w:sz w:val="20"/>
        </w:rPr>
      </w:pPr>
      <w:r w:rsidRPr="007A6775">
        <w:rPr>
          <w:rFonts w:eastAsia="Calibri" w:cs="Arial"/>
          <w:i/>
          <w:color w:val="000000"/>
          <w:sz w:val="20"/>
        </w:rPr>
        <w:t>Disposiciones Generales</w:t>
      </w:r>
    </w:p>
    <w:p w14:paraId="7A004331" w14:textId="77777777" w:rsidR="00D833BF" w:rsidRPr="007A6775" w:rsidRDefault="00D833BF" w:rsidP="00D833BF">
      <w:pPr>
        <w:spacing w:after="0" w:line="23" w:lineRule="atLeast"/>
        <w:ind w:left="1134" w:right="1253"/>
        <w:jc w:val="both"/>
        <w:rPr>
          <w:rFonts w:eastAsia="Calibri" w:cs="Arial"/>
          <w:i/>
          <w:color w:val="000000"/>
          <w:sz w:val="20"/>
        </w:rPr>
      </w:pPr>
    </w:p>
    <w:p w14:paraId="771E98AC" w14:textId="77777777" w:rsidR="00D833BF" w:rsidRPr="00194C82" w:rsidRDefault="00D833BF" w:rsidP="00D833BF">
      <w:pPr>
        <w:spacing w:after="0" w:line="23" w:lineRule="atLeast"/>
        <w:ind w:left="1134" w:right="1253"/>
        <w:jc w:val="both"/>
        <w:rPr>
          <w:rFonts w:eastAsia="Calibri" w:cs="Arial"/>
          <w:i/>
          <w:color w:val="000000"/>
          <w:sz w:val="20"/>
        </w:rPr>
      </w:pPr>
      <w:r w:rsidRPr="007A6775">
        <w:rPr>
          <w:rFonts w:eastAsia="Calibri" w:cs="Arial"/>
          <w:b/>
          <w:i/>
          <w:color w:val="000000"/>
          <w:sz w:val="20"/>
        </w:rPr>
        <w:t>Artículo 54.</w:t>
      </w:r>
      <w:r w:rsidRPr="007A6775">
        <w:rPr>
          <w:rFonts w:eastAsia="Calibri" w:cs="Arial"/>
          <w:i/>
          <w:color w:val="000000"/>
          <w:sz w:val="20"/>
        </w:rPr>
        <w:t xml:space="preserve"> El espectro radioeléctrico y los recursos orbitales son bienes del dominio público de la Nación, cuya titularidad y adminis</w:t>
      </w:r>
      <w:r w:rsidRPr="005A1D79">
        <w:rPr>
          <w:rFonts w:eastAsia="Calibri" w:cs="Arial"/>
          <w:i/>
          <w:color w:val="000000"/>
          <w:sz w:val="20"/>
        </w:rPr>
        <w:t>tración corresponden al Estado.</w:t>
      </w:r>
    </w:p>
    <w:p w14:paraId="6BD3F1A6" w14:textId="77777777" w:rsidR="00D833BF" w:rsidRPr="00194C82" w:rsidRDefault="00D833BF" w:rsidP="00D833BF">
      <w:pPr>
        <w:spacing w:after="0" w:line="23" w:lineRule="atLeast"/>
        <w:ind w:left="1134" w:right="1253"/>
        <w:jc w:val="both"/>
        <w:rPr>
          <w:rFonts w:eastAsia="Calibri" w:cs="Arial"/>
          <w:i/>
          <w:color w:val="000000"/>
          <w:sz w:val="20"/>
        </w:rPr>
      </w:pPr>
    </w:p>
    <w:p w14:paraId="3CEA4E30" w14:textId="77777777" w:rsidR="00D833BF" w:rsidRPr="007A6775" w:rsidRDefault="00D833BF" w:rsidP="00D833BF">
      <w:pPr>
        <w:spacing w:after="0" w:line="23" w:lineRule="atLeast"/>
        <w:ind w:left="1134" w:right="1253"/>
        <w:jc w:val="both"/>
        <w:rPr>
          <w:rFonts w:eastAsia="Calibri" w:cs="Arial"/>
          <w:i/>
          <w:color w:val="000000"/>
          <w:sz w:val="20"/>
        </w:rPr>
      </w:pPr>
      <w:r w:rsidRPr="00194C82">
        <w:rPr>
          <w:rFonts w:eastAsia="Calibri" w:cs="Arial"/>
          <w:i/>
          <w:color w:val="000000"/>
          <w:sz w:val="20"/>
        </w:rPr>
        <w:t xml:space="preserve">Dicha administración se ejercerá por el Instituto en el ejercicio de sus funciones según lo dispuesto por la Constitución, en esta Ley, en los tratados y acuerdos internacionales firmados por México y, en lo aplicable, </w:t>
      </w:r>
      <w:r w:rsidRPr="007A6775">
        <w:rPr>
          <w:rFonts w:eastAsia="Calibri" w:cs="Arial"/>
          <w:i/>
          <w:color w:val="000000"/>
          <w:sz w:val="20"/>
        </w:rPr>
        <w:t>siguiendo las recomendaciones de la Unión Internacional de Telecomunicaciones y otros organismos internacionales.</w:t>
      </w:r>
    </w:p>
    <w:p w14:paraId="03C65C09" w14:textId="77777777" w:rsidR="00D833BF" w:rsidRPr="007A6775" w:rsidRDefault="00D833BF" w:rsidP="00D833BF">
      <w:pPr>
        <w:spacing w:after="0" w:line="23" w:lineRule="atLeast"/>
        <w:ind w:left="1134" w:right="1253"/>
        <w:jc w:val="both"/>
        <w:rPr>
          <w:rFonts w:eastAsia="Calibri" w:cs="Arial"/>
          <w:i/>
          <w:color w:val="000000"/>
          <w:sz w:val="20"/>
        </w:rPr>
      </w:pPr>
    </w:p>
    <w:p w14:paraId="6BC57B84" w14:textId="77777777" w:rsidR="00D833BF" w:rsidRPr="007A6775" w:rsidRDefault="00D833BF" w:rsidP="00D833BF">
      <w:pPr>
        <w:spacing w:after="0" w:line="23" w:lineRule="atLeast"/>
        <w:ind w:left="1134" w:right="1253"/>
        <w:jc w:val="both"/>
        <w:rPr>
          <w:rFonts w:eastAsia="Calibri" w:cs="Arial"/>
          <w:i/>
          <w:color w:val="000000"/>
          <w:sz w:val="20"/>
        </w:rPr>
      </w:pPr>
      <w:r w:rsidRPr="007A6775">
        <w:rPr>
          <w:rFonts w:eastAsia="Calibri" w:cs="Arial"/>
          <w:i/>
          <w:color w:val="000000"/>
          <w:sz w:val="20"/>
        </w:rPr>
        <w:t>La administración incluye la elaboración y aprobación de planes y programas de uso, el establecimiento de las condiciones para la atribución de una banda de frecuencias, el otorgamiento de las concesiones, la supervisión de las emisiones radioeléctricas y la aplicación del régimen de sanciones sin menoscabo de las atribuciones que corresponden al Ejecutivo Federal.</w:t>
      </w:r>
    </w:p>
    <w:p w14:paraId="12206447" w14:textId="77777777" w:rsidR="00D833BF" w:rsidRPr="007A6775" w:rsidRDefault="00D833BF" w:rsidP="00D833BF">
      <w:pPr>
        <w:spacing w:after="0" w:line="23" w:lineRule="atLeast"/>
        <w:ind w:left="1134" w:right="1253"/>
        <w:jc w:val="both"/>
        <w:rPr>
          <w:rFonts w:eastAsia="Calibri" w:cs="Arial"/>
          <w:i/>
          <w:color w:val="000000"/>
        </w:rPr>
      </w:pPr>
    </w:p>
    <w:p w14:paraId="7FB3ABDD" w14:textId="77777777" w:rsidR="00D833BF" w:rsidRPr="007A6775" w:rsidRDefault="00D833BF" w:rsidP="00D833BF">
      <w:pPr>
        <w:spacing w:after="0" w:line="23" w:lineRule="atLeast"/>
        <w:ind w:left="1134" w:right="1253"/>
        <w:jc w:val="both"/>
        <w:rPr>
          <w:rFonts w:eastAsia="Calibri" w:cs="Arial"/>
          <w:i/>
          <w:color w:val="000000"/>
          <w:sz w:val="20"/>
        </w:rPr>
      </w:pPr>
      <w:r w:rsidRPr="007A6775">
        <w:rPr>
          <w:rFonts w:eastAsia="Calibri" w:cs="Arial"/>
          <w:i/>
          <w:color w:val="000000"/>
          <w:sz w:val="20"/>
        </w:rPr>
        <w:t>Al administrar el espectro, el Instituto perseguirá los siguientes objetivos generales en beneficio de los usuarios:</w:t>
      </w:r>
    </w:p>
    <w:p w14:paraId="2AD546B5" w14:textId="77777777" w:rsidR="00D833BF" w:rsidRPr="007A6775" w:rsidRDefault="00D833BF" w:rsidP="00D833BF">
      <w:pPr>
        <w:spacing w:after="0" w:line="23" w:lineRule="atLeast"/>
        <w:ind w:left="1134" w:right="1253"/>
        <w:jc w:val="both"/>
        <w:rPr>
          <w:rFonts w:eastAsia="Calibri" w:cs="Arial"/>
          <w:i/>
          <w:color w:val="000000"/>
          <w:sz w:val="20"/>
        </w:rPr>
      </w:pPr>
    </w:p>
    <w:p w14:paraId="53064653" w14:textId="77777777" w:rsidR="00D833BF" w:rsidRPr="007A6775" w:rsidRDefault="00D833BF" w:rsidP="00872355">
      <w:pPr>
        <w:numPr>
          <w:ilvl w:val="0"/>
          <w:numId w:val="3"/>
        </w:numPr>
        <w:spacing w:after="0" w:line="23" w:lineRule="atLeast"/>
        <w:ind w:left="1843" w:right="1253" w:hanging="425"/>
        <w:contextualSpacing/>
        <w:jc w:val="both"/>
        <w:rPr>
          <w:rFonts w:eastAsia="Calibri" w:cs="Arial"/>
          <w:i/>
          <w:color w:val="000000"/>
          <w:sz w:val="20"/>
        </w:rPr>
      </w:pPr>
      <w:r w:rsidRPr="007A6775">
        <w:rPr>
          <w:rFonts w:eastAsia="Calibri" w:cs="Arial"/>
          <w:i/>
          <w:color w:val="000000"/>
          <w:sz w:val="20"/>
        </w:rPr>
        <w:t>La seguridad de la vida;</w:t>
      </w:r>
    </w:p>
    <w:p w14:paraId="409F73C3" w14:textId="77777777" w:rsidR="00D833BF" w:rsidRPr="007A6775" w:rsidRDefault="00D833BF" w:rsidP="00872355">
      <w:pPr>
        <w:numPr>
          <w:ilvl w:val="0"/>
          <w:numId w:val="3"/>
        </w:numPr>
        <w:spacing w:after="0" w:line="23" w:lineRule="atLeast"/>
        <w:ind w:left="1843" w:right="1253" w:hanging="425"/>
        <w:contextualSpacing/>
        <w:jc w:val="both"/>
        <w:rPr>
          <w:rFonts w:eastAsia="Calibri" w:cs="Arial"/>
          <w:i/>
          <w:color w:val="000000"/>
          <w:sz w:val="20"/>
        </w:rPr>
      </w:pPr>
      <w:r w:rsidRPr="007A6775">
        <w:rPr>
          <w:rFonts w:eastAsia="Calibri" w:cs="Arial"/>
          <w:i/>
          <w:color w:val="000000"/>
          <w:sz w:val="20"/>
        </w:rPr>
        <w:t>La promoción de la cohesión social, regional o territorial;</w:t>
      </w:r>
    </w:p>
    <w:p w14:paraId="7C4781F4" w14:textId="77777777" w:rsidR="00D833BF" w:rsidRPr="007A6775" w:rsidRDefault="00D833BF" w:rsidP="00872355">
      <w:pPr>
        <w:numPr>
          <w:ilvl w:val="0"/>
          <w:numId w:val="3"/>
        </w:numPr>
        <w:spacing w:after="0" w:line="23" w:lineRule="atLeast"/>
        <w:ind w:left="1843" w:right="1253" w:hanging="425"/>
        <w:contextualSpacing/>
        <w:jc w:val="both"/>
        <w:rPr>
          <w:rFonts w:eastAsia="Calibri" w:cs="Arial"/>
          <w:i/>
          <w:color w:val="000000"/>
          <w:sz w:val="20"/>
        </w:rPr>
      </w:pPr>
      <w:r w:rsidRPr="007A6775">
        <w:rPr>
          <w:rFonts w:eastAsia="Calibri" w:cs="Arial"/>
          <w:i/>
          <w:color w:val="000000"/>
          <w:sz w:val="20"/>
        </w:rPr>
        <w:lastRenderedPageBreak/>
        <w:t>La competencia efectiva en los mercados convergentes de los sectores de telecomunicaciones y radiodifusión;</w:t>
      </w:r>
    </w:p>
    <w:p w14:paraId="759961A8" w14:textId="77777777" w:rsidR="00D833BF" w:rsidRPr="007A6775" w:rsidRDefault="00D833BF" w:rsidP="00872355">
      <w:pPr>
        <w:numPr>
          <w:ilvl w:val="0"/>
          <w:numId w:val="3"/>
        </w:numPr>
        <w:spacing w:after="0" w:line="23" w:lineRule="atLeast"/>
        <w:ind w:left="1843" w:right="1253" w:hanging="425"/>
        <w:contextualSpacing/>
        <w:jc w:val="both"/>
        <w:rPr>
          <w:rFonts w:eastAsia="Calibri" w:cs="Arial"/>
          <w:i/>
          <w:color w:val="000000"/>
          <w:sz w:val="20"/>
        </w:rPr>
      </w:pPr>
      <w:r w:rsidRPr="007A6775">
        <w:rPr>
          <w:rFonts w:eastAsia="Calibri" w:cs="Arial"/>
          <w:i/>
          <w:color w:val="000000"/>
          <w:sz w:val="20"/>
        </w:rPr>
        <w:t>El uso eficaz del espectro y su protección;</w:t>
      </w:r>
    </w:p>
    <w:p w14:paraId="13C070B7" w14:textId="77777777" w:rsidR="00D833BF" w:rsidRPr="007A6775" w:rsidRDefault="00D833BF" w:rsidP="00872355">
      <w:pPr>
        <w:numPr>
          <w:ilvl w:val="0"/>
          <w:numId w:val="3"/>
        </w:numPr>
        <w:spacing w:after="0" w:line="23" w:lineRule="atLeast"/>
        <w:ind w:left="1843" w:right="1253" w:hanging="425"/>
        <w:contextualSpacing/>
        <w:jc w:val="both"/>
        <w:rPr>
          <w:rFonts w:eastAsia="Calibri" w:cs="Arial"/>
          <w:i/>
          <w:color w:val="000000"/>
          <w:sz w:val="20"/>
        </w:rPr>
      </w:pPr>
      <w:r w:rsidRPr="007A6775">
        <w:rPr>
          <w:rFonts w:eastAsia="Calibri" w:cs="Arial"/>
          <w:i/>
          <w:color w:val="000000"/>
          <w:sz w:val="20"/>
        </w:rPr>
        <w:t>La garantía del espectro necesario para los fines y funciones del Ejecutivo Federal;</w:t>
      </w:r>
    </w:p>
    <w:p w14:paraId="159933FA" w14:textId="77777777" w:rsidR="00D833BF" w:rsidRPr="007A6775" w:rsidRDefault="00D833BF" w:rsidP="00872355">
      <w:pPr>
        <w:numPr>
          <w:ilvl w:val="0"/>
          <w:numId w:val="3"/>
        </w:numPr>
        <w:spacing w:after="0" w:line="23" w:lineRule="atLeast"/>
        <w:ind w:left="1843" w:right="1253" w:hanging="425"/>
        <w:contextualSpacing/>
        <w:jc w:val="both"/>
        <w:rPr>
          <w:rFonts w:eastAsia="Calibri" w:cs="Arial"/>
          <w:i/>
          <w:color w:val="000000"/>
          <w:sz w:val="20"/>
        </w:rPr>
      </w:pPr>
      <w:r w:rsidRPr="007A6775">
        <w:rPr>
          <w:rFonts w:eastAsia="Calibri" w:cs="Arial"/>
          <w:i/>
          <w:color w:val="000000"/>
          <w:sz w:val="20"/>
        </w:rPr>
        <w:t>La inversión eficiente en infraestructuras, la innovación y el desarrollo de la industria de productos y servicios convergentes;</w:t>
      </w:r>
    </w:p>
    <w:p w14:paraId="0B8BE1A3" w14:textId="77777777" w:rsidR="00D833BF" w:rsidRPr="007A6775" w:rsidRDefault="00D833BF" w:rsidP="00872355">
      <w:pPr>
        <w:numPr>
          <w:ilvl w:val="0"/>
          <w:numId w:val="3"/>
        </w:numPr>
        <w:tabs>
          <w:tab w:val="left" w:pos="1560"/>
        </w:tabs>
        <w:spacing w:after="0" w:line="23" w:lineRule="atLeast"/>
        <w:ind w:left="1843" w:right="1253" w:hanging="425"/>
        <w:contextualSpacing/>
        <w:jc w:val="both"/>
        <w:rPr>
          <w:rFonts w:eastAsia="Calibri" w:cs="Arial"/>
          <w:i/>
          <w:color w:val="000000"/>
          <w:sz w:val="20"/>
        </w:rPr>
      </w:pPr>
      <w:r w:rsidRPr="007A6775">
        <w:rPr>
          <w:rFonts w:eastAsia="Calibri" w:cs="Arial"/>
          <w:i/>
          <w:color w:val="000000"/>
          <w:sz w:val="20"/>
        </w:rPr>
        <w:t xml:space="preserve">El fomento de la neutralidad tecnológica, y </w:t>
      </w:r>
    </w:p>
    <w:p w14:paraId="31ECA319" w14:textId="77777777" w:rsidR="00D833BF" w:rsidRPr="00872355" w:rsidRDefault="00D833BF" w:rsidP="00872355">
      <w:pPr>
        <w:numPr>
          <w:ilvl w:val="0"/>
          <w:numId w:val="3"/>
        </w:numPr>
        <w:tabs>
          <w:tab w:val="left" w:pos="1560"/>
        </w:tabs>
        <w:spacing w:after="0" w:line="23" w:lineRule="atLeast"/>
        <w:ind w:left="1843" w:right="1253" w:hanging="425"/>
        <w:contextualSpacing/>
        <w:jc w:val="both"/>
        <w:rPr>
          <w:rFonts w:eastAsia="Calibri" w:cs="Arial"/>
          <w:i/>
          <w:color w:val="000000"/>
          <w:sz w:val="20"/>
        </w:rPr>
      </w:pPr>
      <w:r w:rsidRPr="007A6775">
        <w:rPr>
          <w:rFonts w:eastAsia="Calibri" w:cs="Arial"/>
          <w:i/>
          <w:color w:val="000000"/>
          <w:sz w:val="20"/>
        </w:rPr>
        <w:t xml:space="preserve">El cumplimiento de lo dispuesto por </w:t>
      </w:r>
      <w:r w:rsidR="00872355">
        <w:rPr>
          <w:rFonts w:eastAsia="Calibri" w:cs="Arial"/>
          <w:i/>
          <w:color w:val="000000"/>
          <w:sz w:val="20"/>
        </w:rPr>
        <w:t xml:space="preserve">los artículos 2o, 6o, 7o y 28 </w:t>
      </w:r>
      <w:r w:rsidRPr="00872355">
        <w:rPr>
          <w:rFonts w:eastAsia="Calibri" w:cs="Arial"/>
          <w:i/>
          <w:color w:val="000000"/>
          <w:sz w:val="20"/>
        </w:rPr>
        <w:t>de la Constitución,</w:t>
      </w:r>
    </w:p>
    <w:p w14:paraId="5E39D697" w14:textId="77777777" w:rsidR="00D833BF" w:rsidRPr="00872355" w:rsidRDefault="00D833BF" w:rsidP="00872355">
      <w:pPr>
        <w:spacing w:after="0"/>
        <w:ind w:left="1134" w:right="1183"/>
        <w:jc w:val="both"/>
        <w:rPr>
          <w:rFonts w:cstheme="minorHAnsi"/>
          <w:i/>
        </w:rPr>
      </w:pPr>
    </w:p>
    <w:p w14:paraId="6BEA36E5" w14:textId="77777777" w:rsidR="00D833BF" w:rsidRPr="00872355" w:rsidRDefault="00D833BF" w:rsidP="00872355">
      <w:pPr>
        <w:spacing w:after="0"/>
        <w:ind w:left="1134" w:right="1183"/>
        <w:jc w:val="both"/>
        <w:rPr>
          <w:rFonts w:cstheme="minorHAnsi"/>
          <w:i/>
        </w:rPr>
      </w:pPr>
      <w:r w:rsidRPr="00872355">
        <w:rPr>
          <w:rFonts w:eastAsia="Calibri" w:cs="Arial"/>
          <w:i/>
          <w:color w:val="000000"/>
          <w:sz w:val="20"/>
        </w:rPr>
        <w:t>Para la atribución de una banda de frecuencias y la concesión del espectro y recursos orbitales, el Instituto se basará en criterios objetivos, transparentes, no discriminatorios y proporcionales.</w:t>
      </w:r>
    </w:p>
    <w:p w14:paraId="1348D971" w14:textId="77777777" w:rsidR="00D833BF" w:rsidRPr="00872355" w:rsidRDefault="00D833BF" w:rsidP="00872355">
      <w:pPr>
        <w:spacing w:after="0"/>
        <w:ind w:left="1134" w:right="1183"/>
        <w:jc w:val="both"/>
        <w:rPr>
          <w:rFonts w:cstheme="minorHAnsi"/>
          <w:i/>
        </w:rPr>
      </w:pPr>
    </w:p>
    <w:p w14:paraId="6CCA8D67" w14:textId="77777777" w:rsidR="00872355" w:rsidRPr="00872355" w:rsidRDefault="00872355" w:rsidP="00872355">
      <w:pPr>
        <w:spacing w:after="0"/>
        <w:ind w:left="1134" w:right="1183"/>
        <w:jc w:val="both"/>
        <w:rPr>
          <w:rFonts w:cstheme="minorHAnsi"/>
          <w:i/>
        </w:rPr>
      </w:pPr>
      <w:r w:rsidRPr="00872355">
        <w:rPr>
          <w:rFonts w:cstheme="minorHAnsi"/>
          <w:b/>
          <w:i/>
        </w:rPr>
        <w:t>Artículo 55.</w:t>
      </w:r>
      <w:r w:rsidRPr="00872355">
        <w:rPr>
          <w:rFonts w:cstheme="minorHAnsi"/>
          <w:i/>
        </w:rPr>
        <w:t xml:space="preserve"> Las bandas de frecuencia del espectro radioeléctrico se clasificarán de acuerdo con lo siguiente:</w:t>
      </w:r>
    </w:p>
    <w:p w14:paraId="319FA1F4" w14:textId="77777777" w:rsidR="00872355" w:rsidRPr="00872355" w:rsidRDefault="00872355" w:rsidP="00872355">
      <w:pPr>
        <w:spacing w:after="0"/>
        <w:ind w:left="1134" w:right="1183"/>
        <w:jc w:val="both"/>
        <w:rPr>
          <w:rFonts w:cstheme="minorHAnsi"/>
          <w:i/>
        </w:rPr>
      </w:pPr>
    </w:p>
    <w:p w14:paraId="5414D918" w14:textId="77777777" w:rsidR="00872355" w:rsidRPr="00872355" w:rsidRDefault="00872355" w:rsidP="00872355">
      <w:pPr>
        <w:spacing w:after="0"/>
        <w:ind w:left="1134" w:right="1183"/>
        <w:jc w:val="both"/>
        <w:rPr>
          <w:rFonts w:cstheme="minorHAnsi"/>
          <w:i/>
        </w:rPr>
      </w:pPr>
      <w:r w:rsidRPr="00872355">
        <w:rPr>
          <w:rFonts w:cstheme="minorHAnsi"/>
          <w:b/>
          <w:i/>
        </w:rPr>
        <w:t>I.</w:t>
      </w:r>
      <w:r w:rsidRPr="00872355">
        <w:rPr>
          <w:rFonts w:cstheme="minorHAnsi"/>
          <w:b/>
          <w:i/>
        </w:rPr>
        <w:tab/>
        <w:t>Espectro determinado</w:t>
      </w:r>
      <w:r w:rsidRPr="00872355">
        <w:rPr>
          <w:rFonts w:cstheme="minorHAnsi"/>
          <w:i/>
        </w:rPr>
        <w:t>: Son aquellas bandas de frecuencia que pueden ser utilizadas para los servicios atribuidos en el Cuadro Nacional de Atribución de Frecuencias; a través de concesiones para uso comercial, social, privado y público, definidas en el artículo 67;</w:t>
      </w:r>
    </w:p>
    <w:p w14:paraId="3ED94430" w14:textId="77777777" w:rsidR="00872355" w:rsidRPr="00872355" w:rsidRDefault="00872355" w:rsidP="00872355">
      <w:pPr>
        <w:spacing w:after="0"/>
        <w:ind w:left="1134" w:right="1183"/>
        <w:jc w:val="both"/>
        <w:rPr>
          <w:rFonts w:cstheme="minorHAnsi"/>
          <w:i/>
        </w:rPr>
      </w:pPr>
    </w:p>
    <w:p w14:paraId="3019B071" w14:textId="77777777" w:rsidR="00872355" w:rsidRPr="00872355" w:rsidRDefault="00872355" w:rsidP="00872355">
      <w:pPr>
        <w:spacing w:after="0"/>
        <w:ind w:left="1134" w:right="1183"/>
        <w:jc w:val="both"/>
        <w:rPr>
          <w:rFonts w:cstheme="minorHAnsi"/>
          <w:i/>
        </w:rPr>
      </w:pPr>
      <w:r w:rsidRPr="00872355">
        <w:rPr>
          <w:rFonts w:cstheme="minorHAnsi"/>
          <w:b/>
          <w:i/>
        </w:rPr>
        <w:t>II.</w:t>
      </w:r>
      <w:r w:rsidRPr="00872355">
        <w:rPr>
          <w:rFonts w:cstheme="minorHAnsi"/>
          <w:b/>
          <w:i/>
        </w:rPr>
        <w:tab/>
        <w:t>Espectro libre</w:t>
      </w:r>
      <w:r w:rsidRPr="00872355">
        <w:rPr>
          <w:rFonts w:cstheme="minorHAnsi"/>
          <w:i/>
        </w:rPr>
        <w:t>: Son aquellas bandas de frecuencia de acceso libre, que pueden ser utilizadas por el público en general, bajo los lineamientos o especificaciones que establezca el Instituto, sin necesidad de concesión o autorización;</w:t>
      </w:r>
    </w:p>
    <w:p w14:paraId="6492B212" w14:textId="77777777" w:rsidR="00872355" w:rsidRPr="00872355" w:rsidRDefault="00872355" w:rsidP="00872355">
      <w:pPr>
        <w:spacing w:after="0"/>
        <w:ind w:left="1134" w:right="1183"/>
        <w:jc w:val="both"/>
        <w:rPr>
          <w:rFonts w:cstheme="minorHAnsi"/>
          <w:i/>
        </w:rPr>
      </w:pPr>
    </w:p>
    <w:p w14:paraId="6AC64044" w14:textId="77777777" w:rsidR="00872355" w:rsidRDefault="00872355" w:rsidP="00872355">
      <w:pPr>
        <w:spacing w:after="0"/>
        <w:ind w:left="1134" w:right="1183"/>
        <w:jc w:val="both"/>
        <w:rPr>
          <w:rFonts w:cstheme="minorHAnsi"/>
          <w:i/>
        </w:rPr>
      </w:pPr>
      <w:r w:rsidRPr="00872355">
        <w:rPr>
          <w:rFonts w:cstheme="minorHAnsi"/>
          <w:i/>
        </w:rPr>
        <w:t>(…)</w:t>
      </w:r>
    </w:p>
    <w:p w14:paraId="529C67D7" w14:textId="77777777" w:rsidR="00872355" w:rsidRPr="00872355" w:rsidRDefault="00872355" w:rsidP="00872355">
      <w:pPr>
        <w:spacing w:after="0"/>
        <w:ind w:left="1134" w:right="1183"/>
        <w:jc w:val="both"/>
        <w:rPr>
          <w:rFonts w:cstheme="minorHAnsi"/>
          <w:i/>
        </w:rPr>
      </w:pPr>
    </w:p>
    <w:p w14:paraId="554875C0" w14:textId="77777777" w:rsidR="00D833BF" w:rsidRPr="007A6775" w:rsidRDefault="00D833BF" w:rsidP="00D833BF">
      <w:pPr>
        <w:spacing w:after="0" w:line="23" w:lineRule="atLeast"/>
        <w:ind w:left="1134" w:right="1253"/>
        <w:jc w:val="center"/>
        <w:rPr>
          <w:rFonts w:eastAsia="Calibri" w:cs="Arial"/>
          <w:b/>
          <w:i/>
          <w:color w:val="000000"/>
          <w:sz w:val="20"/>
        </w:rPr>
      </w:pPr>
      <w:r w:rsidRPr="007A6775">
        <w:rPr>
          <w:rFonts w:eastAsia="Calibri" w:cs="Arial"/>
          <w:b/>
          <w:i/>
          <w:color w:val="000000"/>
          <w:sz w:val="20"/>
        </w:rPr>
        <w:t>Sección II</w:t>
      </w:r>
    </w:p>
    <w:p w14:paraId="57DA2E00" w14:textId="77777777" w:rsidR="00D833BF" w:rsidRPr="007A6775" w:rsidRDefault="00D833BF" w:rsidP="00D833BF">
      <w:pPr>
        <w:spacing w:after="0" w:line="23" w:lineRule="atLeast"/>
        <w:ind w:left="1134" w:right="1253"/>
        <w:jc w:val="center"/>
        <w:rPr>
          <w:rFonts w:eastAsia="Calibri" w:cs="Arial"/>
          <w:b/>
          <w:i/>
          <w:color w:val="000000"/>
          <w:sz w:val="20"/>
        </w:rPr>
      </w:pPr>
      <w:r w:rsidRPr="007A6775">
        <w:rPr>
          <w:rFonts w:eastAsia="Calibri" w:cs="Arial"/>
          <w:b/>
          <w:i/>
          <w:color w:val="000000"/>
          <w:sz w:val="20"/>
        </w:rPr>
        <w:t>De la Administración del Espectro Radioeléctrico</w:t>
      </w:r>
    </w:p>
    <w:p w14:paraId="68239B60" w14:textId="77777777" w:rsidR="00D833BF" w:rsidRPr="007A6775" w:rsidRDefault="00D833BF" w:rsidP="00D833BF">
      <w:pPr>
        <w:spacing w:after="0" w:line="23" w:lineRule="atLeast"/>
        <w:ind w:left="1134" w:right="1253"/>
        <w:jc w:val="center"/>
        <w:rPr>
          <w:rFonts w:eastAsia="Calibri" w:cs="Arial"/>
          <w:i/>
          <w:color w:val="000000"/>
          <w:sz w:val="20"/>
        </w:rPr>
      </w:pPr>
    </w:p>
    <w:p w14:paraId="390CA8DD" w14:textId="77777777" w:rsidR="00D833BF" w:rsidRPr="007A6775" w:rsidRDefault="00D833BF" w:rsidP="00872355">
      <w:pPr>
        <w:spacing w:after="0"/>
        <w:ind w:left="1134" w:right="1183"/>
        <w:jc w:val="both"/>
        <w:rPr>
          <w:rFonts w:eastAsia="Calibri" w:cs="Arial"/>
          <w:i/>
          <w:color w:val="000000"/>
          <w:sz w:val="20"/>
        </w:rPr>
      </w:pPr>
      <w:r w:rsidRPr="00872355">
        <w:rPr>
          <w:rFonts w:eastAsia="Calibri" w:cs="Arial"/>
          <w:b/>
          <w:i/>
          <w:color w:val="000000"/>
          <w:sz w:val="20"/>
        </w:rPr>
        <w:t>Artículo 56.</w:t>
      </w:r>
      <w:r w:rsidRPr="007A6775">
        <w:rPr>
          <w:rFonts w:eastAsia="Calibri" w:cs="Arial"/>
          <w:i/>
          <w:color w:val="000000"/>
          <w:sz w:val="20"/>
        </w:rPr>
        <w:t xml:space="preserv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p>
    <w:p w14:paraId="35B6EAD8" w14:textId="77777777" w:rsidR="00D833BF" w:rsidRPr="00872355" w:rsidRDefault="00D833BF" w:rsidP="00872355">
      <w:pPr>
        <w:spacing w:after="0"/>
        <w:ind w:left="1134" w:right="1183"/>
        <w:jc w:val="both"/>
        <w:rPr>
          <w:rFonts w:eastAsia="Calibri" w:cs="Arial"/>
          <w:i/>
          <w:color w:val="000000"/>
          <w:sz w:val="20"/>
        </w:rPr>
      </w:pPr>
    </w:p>
    <w:p w14:paraId="455C4206" w14:textId="77777777" w:rsidR="00D833BF" w:rsidRPr="007A6775" w:rsidRDefault="00D833BF" w:rsidP="00872355">
      <w:pPr>
        <w:spacing w:after="0"/>
        <w:ind w:left="1134" w:right="1183"/>
        <w:jc w:val="both"/>
        <w:rPr>
          <w:rFonts w:eastAsia="Calibri" w:cs="Arial"/>
          <w:i/>
          <w:color w:val="000000"/>
          <w:sz w:val="20"/>
        </w:rPr>
      </w:pPr>
      <w:r w:rsidRPr="007A6775">
        <w:rPr>
          <w:rFonts w:eastAsia="Calibri" w:cs="Arial"/>
          <w:i/>
          <w:color w:val="000000"/>
          <w:sz w:val="20"/>
        </w:rPr>
        <w:t>(…)</w:t>
      </w:r>
    </w:p>
    <w:p w14:paraId="7F5DCD0C" w14:textId="77777777" w:rsidR="00D833BF" w:rsidRPr="00872355" w:rsidRDefault="00D833BF" w:rsidP="00872355">
      <w:pPr>
        <w:spacing w:after="0"/>
        <w:ind w:left="1134" w:right="1183"/>
        <w:jc w:val="both"/>
        <w:rPr>
          <w:rFonts w:eastAsia="Calibri" w:cs="Arial"/>
          <w:i/>
          <w:color w:val="000000"/>
          <w:sz w:val="20"/>
        </w:rPr>
      </w:pPr>
    </w:p>
    <w:p w14:paraId="4C9042A4" w14:textId="77777777" w:rsidR="00D833BF" w:rsidRPr="007A6775" w:rsidRDefault="00D833BF" w:rsidP="00872355">
      <w:pPr>
        <w:spacing w:after="0"/>
        <w:ind w:left="1134" w:right="1183"/>
        <w:jc w:val="both"/>
        <w:rPr>
          <w:rFonts w:eastAsia="Calibri" w:cs="Arial"/>
          <w:i/>
          <w:color w:val="000000"/>
          <w:sz w:val="20"/>
        </w:rPr>
      </w:pPr>
      <w:r w:rsidRPr="007A6775">
        <w:rPr>
          <w:rFonts w:eastAsia="Calibri" w:cs="Arial"/>
          <w:i/>
          <w:color w:val="000000"/>
          <w:sz w:val="20"/>
        </w:rPr>
        <w:t>Todo uso, aprovechamiento o explotación de bandas de frecuencias deberá realizarse de conformidad con lo establecido en el Cuadro Nacional de Atribución de Frecuencias y demás disposiciones aplicables."</w:t>
      </w:r>
    </w:p>
    <w:p w14:paraId="55595C07" w14:textId="77777777" w:rsidR="00D833BF" w:rsidRPr="007A6775" w:rsidRDefault="00D833BF" w:rsidP="00D833BF">
      <w:pPr>
        <w:spacing w:after="0" w:line="23" w:lineRule="atLeast"/>
        <w:ind w:left="1134" w:right="1253"/>
        <w:jc w:val="both"/>
        <w:rPr>
          <w:rFonts w:eastAsia="Calibri" w:cs="Arial"/>
          <w:color w:val="000000"/>
        </w:rPr>
      </w:pPr>
    </w:p>
    <w:p w14:paraId="602C5933" w14:textId="77777777" w:rsidR="00D833BF" w:rsidRPr="007A6775" w:rsidRDefault="00D833BF" w:rsidP="00D833BF">
      <w:pPr>
        <w:spacing w:after="0" w:line="23" w:lineRule="atLeast"/>
        <w:jc w:val="both"/>
        <w:rPr>
          <w:rFonts w:eastAsia="Calibri" w:cs="Arial"/>
          <w:color w:val="000000"/>
        </w:rPr>
      </w:pPr>
      <w:r w:rsidRPr="007A6775">
        <w:rPr>
          <w:rFonts w:eastAsia="Calibri" w:cs="Arial"/>
          <w:color w:val="000000"/>
        </w:rPr>
        <w:t>De lo anterior se advierte lo siguiente:</w:t>
      </w:r>
    </w:p>
    <w:p w14:paraId="2066DF82" w14:textId="77777777" w:rsidR="00D833BF" w:rsidRPr="007A6775" w:rsidRDefault="00D833BF" w:rsidP="00D833BF">
      <w:pPr>
        <w:spacing w:after="0" w:line="23" w:lineRule="atLeast"/>
        <w:jc w:val="both"/>
        <w:rPr>
          <w:rFonts w:eastAsia="Calibri" w:cs="Arial"/>
          <w:color w:val="000000"/>
        </w:rPr>
      </w:pPr>
    </w:p>
    <w:p w14:paraId="259939DF" w14:textId="77777777" w:rsidR="00D833BF" w:rsidRPr="007A6775" w:rsidRDefault="00D833BF" w:rsidP="00D833BF">
      <w:pPr>
        <w:numPr>
          <w:ilvl w:val="0"/>
          <w:numId w:val="4"/>
        </w:numPr>
        <w:spacing w:after="0" w:line="23" w:lineRule="atLeast"/>
        <w:contextualSpacing/>
        <w:jc w:val="both"/>
        <w:rPr>
          <w:rFonts w:eastAsia="Calibri" w:cs="Arial"/>
          <w:color w:val="000000"/>
        </w:rPr>
      </w:pPr>
      <w:r w:rsidRPr="007A6775">
        <w:rPr>
          <w:rFonts w:eastAsia="Calibri" w:cs="Arial"/>
          <w:color w:val="000000"/>
        </w:rPr>
        <w:t>La administración del espectro radioeléctrico como bien de dominio público de la Nación se ejercerá por el Instituto, según lo dispuesto por la Constitución, la Ley, los tratados y acuerdos internacionales firmados por México y, en lo aplicable, siguiendo las recomendaciones de la UIT y otros organismos internacionales.</w:t>
      </w:r>
    </w:p>
    <w:p w14:paraId="024DE9F8" w14:textId="77777777" w:rsidR="00D833BF" w:rsidRPr="007A6775" w:rsidRDefault="00D833BF" w:rsidP="00D833BF">
      <w:pPr>
        <w:spacing w:after="0" w:line="23" w:lineRule="atLeast"/>
        <w:ind w:left="720"/>
        <w:contextualSpacing/>
        <w:jc w:val="both"/>
        <w:rPr>
          <w:rFonts w:eastAsia="Calibri" w:cs="Arial"/>
          <w:color w:val="000000"/>
        </w:rPr>
      </w:pPr>
    </w:p>
    <w:p w14:paraId="02158D4A" w14:textId="77777777" w:rsidR="00D833BF" w:rsidRPr="007A6775" w:rsidRDefault="00D833BF" w:rsidP="00D833BF">
      <w:pPr>
        <w:numPr>
          <w:ilvl w:val="0"/>
          <w:numId w:val="4"/>
        </w:numPr>
        <w:spacing w:after="0" w:line="23" w:lineRule="atLeast"/>
        <w:contextualSpacing/>
        <w:jc w:val="both"/>
        <w:rPr>
          <w:rFonts w:eastAsia="Calibri" w:cs="Arial"/>
          <w:color w:val="000000"/>
        </w:rPr>
      </w:pPr>
      <w:r w:rsidRPr="007A6775">
        <w:rPr>
          <w:rFonts w:eastAsia="Calibri" w:cs="Arial"/>
          <w:color w:val="000000"/>
        </w:rPr>
        <w:t xml:space="preserve">Dicha administración comprende la elaboración y aprobación de planes y programas de su uso, el establecimiento de las condiciones para la atribución de una banda de frecuencias, otorgamiento de concesiones, supervisión de emisiones radioeléctricas y la aplicación del régimen de sanciones, sin menoscabo de las atribuciones que corresponden al Ejecutivo Federal. </w:t>
      </w:r>
    </w:p>
    <w:p w14:paraId="0FD9FA39" w14:textId="77777777" w:rsidR="00D833BF" w:rsidRPr="007A6775" w:rsidRDefault="00D833BF" w:rsidP="00D833BF">
      <w:pPr>
        <w:spacing w:after="0" w:line="23" w:lineRule="atLeast"/>
        <w:ind w:left="720"/>
        <w:contextualSpacing/>
        <w:rPr>
          <w:rFonts w:eastAsia="Calibri" w:cs="Arial"/>
          <w:color w:val="000000"/>
        </w:rPr>
      </w:pPr>
    </w:p>
    <w:p w14:paraId="386118DF" w14:textId="6A25FAA2" w:rsidR="00D833BF" w:rsidRPr="007A6775" w:rsidRDefault="00D833BF" w:rsidP="00D833BF">
      <w:pPr>
        <w:numPr>
          <w:ilvl w:val="0"/>
          <w:numId w:val="4"/>
        </w:numPr>
        <w:spacing w:after="0" w:line="23" w:lineRule="atLeast"/>
        <w:contextualSpacing/>
        <w:jc w:val="both"/>
        <w:rPr>
          <w:rFonts w:eastAsia="Calibri" w:cs="Arial"/>
          <w:color w:val="000000"/>
        </w:rPr>
      </w:pPr>
      <w:r w:rsidRPr="007A6775">
        <w:rPr>
          <w:rFonts w:eastAsia="Calibri" w:cs="Arial"/>
          <w:color w:val="000000"/>
        </w:rPr>
        <w:t>El Instituto debe perseguir diversos objetivos generales en beneficio de los usuarios de servicios de telecomunicaciones. Para la clasificación de bandas de frecuencias del espectro radioeléctrico como espectro libre y sus condiciones técnicas de operación asociadas resultan aplicables: el uso eficaz del espectro radioeléctrico y su protección y el cumplimiento de lo dispuesto por los artículos 2</w:t>
      </w:r>
      <w:r w:rsidR="00FD742C">
        <w:rPr>
          <w:rFonts w:eastAsia="Calibri" w:cs="Arial"/>
          <w:color w:val="000000"/>
        </w:rPr>
        <w:t>o</w:t>
      </w:r>
      <w:r w:rsidR="007C19A1">
        <w:rPr>
          <w:rFonts w:eastAsia="Calibri" w:cs="Arial"/>
          <w:color w:val="000000"/>
        </w:rPr>
        <w:t>.</w:t>
      </w:r>
      <w:r w:rsidRPr="007A6775">
        <w:rPr>
          <w:rFonts w:eastAsia="Calibri" w:cs="Arial"/>
          <w:color w:val="000000"/>
        </w:rPr>
        <w:t>, 6</w:t>
      </w:r>
      <w:r w:rsidR="00FD742C">
        <w:rPr>
          <w:rFonts w:eastAsia="Calibri" w:cs="Arial"/>
          <w:color w:val="000000"/>
        </w:rPr>
        <w:t>o</w:t>
      </w:r>
      <w:r w:rsidR="007C19A1">
        <w:rPr>
          <w:rFonts w:eastAsia="Calibri" w:cs="Arial"/>
          <w:color w:val="000000"/>
        </w:rPr>
        <w:t>.</w:t>
      </w:r>
      <w:r w:rsidRPr="007A6775">
        <w:rPr>
          <w:rFonts w:eastAsia="Calibri" w:cs="Arial"/>
          <w:color w:val="000000"/>
        </w:rPr>
        <w:t>, 7</w:t>
      </w:r>
      <w:r w:rsidR="007C19A1">
        <w:rPr>
          <w:rFonts w:eastAsia="Calibri" w:cs="Arial"/>
          <w:color w:val="000000"/>
        </w:rPr>
        <w:t>o.</w:t>
      </w:r>
      <w:r w:rsidRPr="007A6775">
        <w:rPr>
          <w:rFonts w:eastAsia="Calibri" w:cs="Arial"/>
          <w:color w:val="000000"/>
        </w:rPr>
        <w:t>, y 28 de la Constitución.</w:t>
      </w:r>
    </w:p>
    <w:p w14:paraId="0003EFC3" w14:textId="77777777" w:rsidR="00D833BF" w:rsidRPr="007A6775" w:rsidRDefault="00D833BF" w:rsidP="00D833BF">
      <w:pPr>
        <w:spacing w:after="0" w:line="23" w:lineRule="atLeast"/>
        <w:ind w:left="720"/>
        <w:contextualSpacing/>
        <w:jc w:val="both"/>
        <w:rPr>
          <w:rFonts w:eastAsia="Calibri" w:cs="Arial"/>
          <w:color w:val="000000"/>
        </w:rPr>
      </w:pPr>
    </w:p>
    <w:p w14:paraId="3211B773" w14:textId="77777777" w:rsidR="00D833BF" w:rsidRPr="007A6775" w:rsidRDefault="00D833BF" w:rsidP="00D833BF">
      <w:pPr>
        <w:numPr>
          <w:ilvl w:val="0"/>
          <w:numId w:val="4"/>
        </w:numPr>
        <w:spacing w:after="0" w:line="23" w:lineRule="atLeast"/>
        <w:contextualSpacing/>
        <w:jc w:val="both"/>
        <w:rPr>
          <w:rFonts w:eastAsia="Calibri" w:cs="Arial"/>
          <w:color w:val="000000"/>
        </w:rPr>
      </w:pPr>
      <w:r w:rsidRPr="007A6775">
        <w:rPr>
          <w:rFonts w:eastAsia="Calibri" w:cs="Arial"/>
          <w:color w:val="000000"/>
        </w:rPr>
        <w:t>Para una mejor administración y aprovechamiento del uso del espectro radioeléctrico, las bandas de frecuencias, atenderán la clasificación establecida en la Ley, ya sea como espectro determinado, espectro libre, espectro protegido o espectro reservado; y</w:t>
      </w:r>
    </w:p>
    <w:p w14:paraId="6CB785AD" w14:textId="77777777" w:rsidR="00D833BF" w:rsidRPr="007A6775" w:rsidRDefault="00D833BF" w:rsidP="00D833BF">
      <w:pPr>
        <w:spacing w:after="0" w:line="23" w:lineRule="atLeast"/>
        <w:ind w:left="720"/>
        <w:contextualSpacing/>
        <w:jc w:val="both"/>
        <w:rPr>
          <w:rFonts w:eastAsia="Calibri" w:cs="Arial"/>
          <w:color w:val="000000"/>
        </w:rPr>
      </w:pPr>
    </w:p>
    <w:p w14:paraId="57902FC6" w14:textId="77777777" w:rsidR="00D833BF" w:rsidRPr="007A6775" w:rsidRDefault="00D833BF" w:rsidP="00D833BF">
      <w:pPr>
        <w:numPr>
          <w:ilvl w:val="0"/>
          <w:numId w:val="4"/>
        </w:numPr>
        <w:spacing w:after="0" w:line="23" w:lineRule="atLeast"/>
        <w:contextualSpacing/>
        <w:jc w:val="both"/>
        <w:rPr>
          <w:rFonts w:eastAsia="Calibri" w:cs="Arial"/>
          <w:color w:val="000000"/>
        </w:rPr>
      </w:pPr>
      <w:r w:rsidRPr="007A6775">
        <w:rPr>
          <w:rFonts w:eastAsia="Calibri" w:cs="Arial"/>
          <w:color w:val="000000"/>
        </w:rPr>
        <w:t>Las bandas de frecuencias clasificadas como espectro libre son aquellas bandas de frecuencias que pueden ser empleadas por cualquier persona, siempre y cuando se atiendan las condiciones establecidas por el Instituto para el uso de la misma.</w:t>
      </w:r>
    </w:p>
    <w:p w14:paraId="5185B325" w14:textId="77777777" w:rsidR="00D833BF" w:rsidRPr="007A6775" w:rsidRDefault="00D833BF" w:rsidP="00D833BF">
      <w:pPr>
        <w:spacing w:after="0" w:line="23" w:lineRule="atLeast"/>
        <w:jc w:val="both"/>
        <w:rPr>
          <w:rFonts w:eastAsia="Calibri" w:cs="Arial"/>
          <w:color w:val="000000"/>
        </w:rPr>
      </w:pPr>
    </w:p>
    <w:p w14:paraId="113661B8" w14:textId="77777777" w:rsidR="00D833BF" w:rsidRPr="007A6775" w:rsidRDefault="00D833BF" w:rsidP="00D833BF">
      <w:pPr>
        <w:spacing w:after="0" w:line="23" w:lineRule="atLeast"/>
        <w:jc w:val="both"/>
        <w:rPr>
          <w:rFonts w:eastAsia="Calibri" w:cs="Arial"/>
          <w:color w:val="000000"/>
        </w:rPr>
      </w:pPr>
      <w:r w:rsidRPr="007A6775">
        <w:rPr>
          <w:rFonts w:eastAsia="Calibri" w:cs="Arial"/>
          <w:color w:val="000000"/>
        </w:rPr>
        <w:t>De ahí que el Instituto como rector del desarrollo nacional de las telecomunicaciones y radiodifusión, al observar los elementos vertidos con anterioridad, instituirá una regulación eficiente y ordenada que tenga como finalidad la seguridad de la vida humana y el aprovechamiento máximo del espectro radioeléctrico considerando su naturaleza de recurso finito.</w:t>
      </w:r>
    </w:p>
    <w:p w14:paraId="6E4F8A0F" w14:textId="77777777" w:rsidR="00D833BF" w:rsidRPr="00AF5F09" w:rsidRDefault="00D833BF" w:rsidP="00AF5F09">
      <w:pPr>
        <w:spacing w:after="0"/>
        <w:jc w:val="both"/>
        <w:rPr>
          <w:rFonts w:cstheme="minorHAnsi"/>
        </w:rPr>
      </w:pPr>
    </w:p>
    <w:p w14:paraId="7C7066D1" w14:textId="77777777" w:rsidR="00872CB5" w:rsidRPr="00E1164E" w:rsidRDefault="003D3FF4" w:rsidP="00E1164E">
      <w:pPr>
        <w:pStyle w:val="Ttulo1"/>
      </w:pPr>
      <w:bookmarkStart w:id="68" w:name="_Toc71194793"/>
      <w:bookmarkStart w:id="69" w:name="_Toc79501210"/>
      <w:r w:rsidRPr="00E1164E">
        <w:lastRenderedPageBreak/>
        <w:t>Estado actual</w:t>
      </w:r>
      <w:r w:rsidR="00872CB5" w:rsidRPr="00E1164E">
        <w:t xml:space="preserve"> de la banda de frecuencias 5850-5925 MHz.</w:t>
      </w:r>
      <w:bookmarkEnd w:id="68"/>
      <w:bookmarkEnd w:id="69"/>
    </w:p>
    <w:p w14:paraId="7F256C6A" w14:textId="06080AE2" w:rsidR="00E1164E" w:rsidRPr="00F97A8D" w:rsidRDefault="00E1164E" w:rsidP="00E1164E">
      <w:bookmarkStart w:id="70" w:name="_Toc71194794"/>
      <w:r>
        <w:t>En esta sección</w:t>
      </w:r>
      <w:r w:rsidRPr="00F97A8D">
        <w:t xml:space="preserve"> se </w:t>
      </w:r>
      <w:r>
        <w:t>muestra</w:t>
      </w:r>
      <w:r w:rsidRPr="00F97A8D">
        <w:t xml:space="preserve"> </w:t>
      </w:r>
      <w:r>
        <w:t>la situación</w:t>
      </w:r>
      <w:r w:rsidRPr="00F97A8D">
        <w:t xml:space="preserve"> actual de la </w:t>
      </w:r>
      <w:r>
        <w:t xml:space="preserve">banda de frecuencias </w:t>
      </w:r>
      <w:r w:rsidRPr="00E1164E">
        <w:t xml:space="preserve">5850-5925 </w:t>
      </w:r>
      <w:r w:rsidR="002D6453">
        <w:t xml:space="preserve">MHz </w:t>
      </w:r>
      <w:r w:rsidRPr="00F97A8D">
        <w:t>en los entornos nacional e internacional</w:t>
      </w:r>
      <w:r>
        <w:t>.</w:t>
      </w:r>
    </w:p>
    <w:p w14:paraId="59BD0E86" w14:textId="77777777" w:rsidR="00E1164E" w:rsidRPr="00E1164E" w:rsidRDefault="00E1164E" w:rsidP="00E1164E">
      <w:pPr>
        <w:pStyle w:val="Ttulo2"/>
      </w:pPr>
      <w:bookmarkStart w:id="71" w:name="_Toc45051947"/>
      <w:bookmarkStart w:id="72" w:name="_Toc45052201"/>
      <w:bookmarkStart w:id="73" w:name="_Toc48578269"/>
      <w:bookmarkStart w:id="74" w:name="_Toc48645407"/>
      <w:bookmarkStart w:id="75" w:name="_Toc48658021"/>
      <w:bookmarkStart w:id="76" w:name="_Toc48662343"/>
      <w:bookmarkStart w:id="77" w:name="_Toc48672059"/>
      <w:bookmarkStart w:id="78" w:name="_Toc48672703"/>
      <w:bookmarkStart w:id="79" w:name="_Toc48674103"/>
      <w:bookmarkStart w:id="80" w:name="_Toc48821234"/>
      <w:bookmarkStart w:id="81" w:name="_Toc48836813"/>
      <w:bookmarkStart w:id="82" w:name="_Toc48841508"/>
      <w:bookmarkStart w:id="83" w:name="_Toc50407713"/>
      <w:bookmarkStart w:id="84" w:name="_Toc50408276"/>
      <w:bookmarkStart w:id="85" w:name="_Toc54623574"/>
      <w:bookmarkStart w:id="86" w:name="_Toc54624150"/>
      <w:bookmarkStart w:id="87" w:name="_Toc79501211"/>
      <w:r w:rsidRPr="00E1164E">
        <w:t>Entorno nacional</w:t>
      </w:r>
      <w:bookmarkEnd w:id="71"/>
      <w:bookmarkEnd w:id="72"/>
      <w:r w:rsidRPr="00E1164E">
        <w:t xml:space="preserve"> relativo a la </w:t>
      </w:r>
      <w:bookmarkEnd w:id="73"/>
      <w:bookmarkEnd w:id="74"/>
      <w:bookmarkEnd w:id="75"/>
      <w:bookmarkEnd w:id="76"/>
      <w:r w:rsidRPr="00E1164E">
        <w:t xml:space="preserve">banda de frecuencias </w:t>
      </w:r>
      <w:r w:rsidR="00EB1BDD" w:rsidRPr="00EB1BDD">
        <w:t>5850-</w:t>
      </w:r>
      <w:r w:rsidRPr="00E1164E">
        <w:t>5925 MHz</w:t>
      </w:r>
      <w:bookmarkEnd w:id="77"/>
      <w:bookmarkEnd w:id="78"/>
      <w:bookmarkEnd w:id="79"/>
      <w:bookmarkEnd w:id="80"/>
      <w:bookmarkEnd w:id="81"/>
      <w:bookmarkEnd w:id="82"/>
      <w:bookmarkEnd w:id="83"/>
      <w:bookmarkEnd w:id="84"/>
      <w:bookmarkEnd w:id="85"/>
      <w:bookmarkEnd w:id="86"/>
      <w:bookmarkEnd w:id="87"/>
    </w:p>
    <w:p w14:paraId="44E319CC" w14:textId="77777777" w:rsidR="00E1164E" w:rsidRPr="00E1164E" w:rsidRDefault="00E1164E" w:rsidP="00E1164E">
      <w:pPr>
        <w:spacing w:after="0"/>
        <w:jc w:val="both"/>
        <w:rPr>
          <w:rFonts w:cstheme="minorHAnsi"/>
        </w:rPr>
      </w:pPr>
    </w:p>
    <w:p w14:paraId="57618F42" w14:textId="77777777" w:rsidR="00872CB5" w:rsidRPr="00E1164E" w:rsidRDefault="00D62651" w:rsidP="00E1164E">
      <w:pPr>
        <w:pStyle w:val="Ttulo3"/>
      </w:pPr>
      <w:bookmarkStart w:id="88" w:name="_Toc79501212"/>
      <w:r w:rsidRPr="00E1164E">
        <w:t>A</w:t>
      </w:r>
      <w:r w:rsidR="00872CB5" w:rsidRPr="00E1164E">
        <w:t>tribución</w:t>
      </w:r>
      <w:r w:rsidRPr="00E1164E">
        <w:t xml:space="preserve"> </w:t>
      </w:r>
      <w:r w:rsidR="00E1164E" w:rsidRPr="00E1164E">
        <w:t xml:space="preserve">nacional </w:t>
      </w:r>
      <w:r w:rsidRPr="00E1164E">
        <w:t>de la banda de frecuencias 5850-5925 MHz</w:t>
      </w:r>
      <w:r w:rsidR="00872CB5" w:rsidRPr="00E1164E">
        <w:t>.</w:t>
      </w:r>
      <w:bookmarkEnd w:id="70"/>
      <w:bookmarkEnd w:id="88"/>
    </w:p>
    <w:p w14:paraId="54C1C33F" w14:textId="77777777" w:rsidR="00E90019" w:rsidRDefault="00E90019" w:rsidP="00335D78">
      <w:pPr>
        <w:spacing w:after="0"/>
        <w:jc w:val="both"/>
        <w:rPr>
          <w:rFonts w:cstheme="minorHAnsi"/>
        </w:rPr>
      </w:pPr>
    </w:p>
    <w:p w14:paraId="286C33C9" w14:textId="3D5E7D32" w:rsidR="00E04398" w:rsidRDefault="002D6453" w:rsidP="007F677B">
      <w:pPr>
        <w:spacing w:after="0"/>
        <w:jc w:val="both"/>
        <w:rPr>
          <w:rFonts w:cstheme="minorHAnsi"/>
          <w:b/>
        </w:rPr>
      </w:pPr>
      <w:r>
        <w:rPr>
          <w:rFonts w:cstheme="minorHAnsi"/>
        </w:rPr>
        <w:t>C</w:t>
      </w:r>
      <w:r w:rsidR="007F677B">
        <w:rPr>
          <w:rFonts w:cstheme="minorHAnsi"/>
        </w:rPr>
        <w:t xml:space="preserve">on base en el Cuadro Nacional de Atribución de Frecuencias </w:t>
      </w:r>
      <w:r w:rsidR="00ED251B">
        <w:rPr>
          <w:rFonts w:cstheme="minorHAnsi"/>
        </w:rPr>
        <w:t xml:space="preserve">(CNAF) </w:t>
      </w:r>
      <w:r w:rsidR="007F677B">
        <w:rPr>
          <w:rFonts w:cstheme="minorHAnsi"/>
        </w:rPr>
        <w:t>de nuestro país, la banda de frecuencias 5850-5925 MHz se encuentra atribuida a los servicios Fijo, Fijo por satélite (Tierra-espacio) y Móvil a título primario y a</w:t>
      </w:r>
      <w:r w:rsidR="000A1E2A">
        <w:rPr>
          <w:rFonts w:cstheme="minorHAnsi"/>
        </w:rPr>
        <w:t>l</w:t>
      </w:r>
      <w:r w:rsidR="007F677B">
        <w:rPr>
          <w:rFonts w:cstheme="minorHAnsi"/>
        </w:rPr>
        <w:t xml:space="preserve"> servicio de Aficionados a título secundario, como se muestra en la siguiente Ilustración:</w:t>
      </w:r>
    </w:p>
    <w:p w14:paraId="5A0B6F13" w14:textId="77777777" w:rsidR="00AC1013" w:rsidRDefault="00AC1013" w:rsidP="00AC1013">
      <w:pPr>
        <w:keepNext/>
        <w:spacing w:after="0"/>
        <w:jc w:val="center"/>
      </w:pPr>
    </w:p>
    <w:p w14:paraId="03B10991" w14:textId="77777777" w:rsidR="004B4E71" w:rsidRDefault="004B4E71" w:rsidP="00AC1013">
      <w:pPr>
        <w:keepNext/>
        <w:spacing w:after="0"/>
        <w:jc w:val="center"/>
      </w:pPr>
      <w:r>
        <w:rPr>
          <w:noProof/>
          <w:lang w:eastAsia="es-MX"/>
        </w:rPr>
        <w:drawing>
          <wp:inline distT="0" distB="0" distL="0" distR="0" wp14:anchorId="2BA40ACB" wp14:editId="1B5D5684">
            <wp:extent cx="4680000" cy="2611488"/>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0000" cy="2611488"/>
                    </a:xfrm>
                    <a:prstGeom prst="rect">
                      <a:avLst/>
                    </a:prstGeom>
                    <a:noFill/>
                  </pic:spPr>
                </pic:pic>
              </a:graphicData>
            </a:graphic>
          </wp:inline>
        </w:drawing>
      </w:r>
    </w:p>
    <w:p w14:paraId="39C8B51A" w14:textId="2F783C09" w:rsidR="00AC1013" w:rsidRDefault="00E840A1" w:rsidP="00E840A1">
      <w:pPr>
        <w:pStyle w:val="Descripcin"/>
        <w:jc w:val="center"/>
      </w:pPr>
      <w:bookmarkStart w:id="89" w:name="_Ref71839310"/>
      <w:bookmarkStart w:id="90" w:name="_Toc79424545"/>
      <w:r>
        <w:t xml:space="preserve">Ilustración </w:t>
      </w:r>
      <w:r w:rsidR="00F679CA">
        <w:fldChar w:fldCharType="begin"/>
      </w:r>
      <w:r w:rsidR="00F679CA">
        <w:instrText xml:space="preserve"> SEQ Ilustración \* ARABIC </w:instrText>
      </w:r>
      <w:r w:rsidR="00F679CA">
        <w:fldChar w:fldCharType="separate"/>
      </w:r>
      <w:r w:rsidR="00A77086">
        <w:rPr>
          <w:noProof/>
        </w:rPr>
        <w:t>1</w:t>
      </w:r>
      <w:r w:rsidR="00F679CA">
        <w:rPr>
          <w:noProof/>
        </w:rPr>
        <w:fldChar w:fldCharType="end"/>
      </w:r>
      <w:r w:rsidR="00A45A94">
        <w:t>. Atribución nacional de la banda 5850–5925 MHz conforme al CNAF (elaboración propia)</w:t>
      </w:r>
      <w:bookmarkEnd w:id="89"/>
      <w:bookmarkEnd w:id="90"/>
    </w:p>
    <w:p w14:paraId="63D86D7A" w14:textId="77777777" w:rsidR="00A47A85" w:rsidRPr="004D0407" w:rsidRDefault="00A47A85" w:rsidP="004D0407">
      <w:pPr>
        <w:spacing w:after="0"/>
        <w:jc w:val="both"/>
        <w:rPr>
          <w:rFonts w:cstheme="minorHAnsi"/>
        </w:rPr>
      </w:pPr>
    </w:p>
    <w:p w14:paraId="00ECC2A8" w14:textId="77777777" w:rsidR="00A7131B" w:rsidRPr="00335D78" w:rsidRDefault="00A7131B" w:rsidP="00A7131B">
      <w:pPr>
        <w:spacing w:after="0"/>
        <w:jc w:val="both"/>
        <w:rPr>
          <w:rFonts w:cstheme="minorHAnsi"/>
          <w:b/>
        </w:rPr>
      </w:pPr>
      <w:r w:rsidRPr="00335D78">
        <w:rPr>
          <w:rFonts w:cstheme="minorHAnsi"/>
          <w:b/>
        </w:rPr>
        <w:t xml:space="preserve">Notas relevantes del </w:t>
      </w:r>
      <w:r>
        <w:rPr>
          <w:rFonts w:cstheme="minorHAnsi"/>
          <w:b/>
        </w:rPr>
        <w:t>CNAF</w:t>
      </w:r>
    </w:p>
    <w:p w14:paraId="15F458A3" w14:textId="0BEF6F3C" w:rsidR="00012D90" w:rsidRPr="002C4D33" w:rsidRDefault="0088433B" w:rsidP="00A7131B">
      <w:pPr>
        <w:spacing w:after="0"/>
        <w:jc w:val="both"/>
        <w:rPr>
          <w:rFonts w:cstheme="minorHAnsi"/>
        </w:rPr>
      </w:pPr>
      <w:r>
        <w:rPr>
          <w:rFonts w:cstheme="minorHAnsi"/>
        </w:rPr>
        <w:t>L</w:t>
      </w:r>
      <w:r w:rsidR="002C4D33">
        <w:rPr>
          <w:rFonts w:cstheme="minorHAnsi"/>
        </w:rPr>
        <w:t>a</w:t>
      </w:r>
      <w:r w:rsidR="002C4D33" w:rsidRPr="002C4D33">
        <w:rPr>
          <w:rFonts w:cstheme="minorHAnsi"/>
        </w:rPr>
        <w:t xml:space="preserve"> única nota </w:t>
      </w:r>
      <w:r w:rsidR="00261688">
        <w:rPr>
          <w:rFonts w:cstheme="minorHAnsi"/>
        </w:rPr>
        <w:t xml:space="preserve">nacional </w:t>
      </w:r>
      <w:r w:rsidR="002C4D33" w:rsidRPr="002C4D33">
        <w:rPr>
          <w:rFonts w:cstheme="minorHAnsi"/>
        </w:rPr>
        <w:t xml:space="preserve">incluida en el </w:t>
      </w:r>
      <w:r w:rsidR="002C4D33">
        <w:rPr>
          <w:rFonts w:cstheme="minorHAnsi"/>
        </w:rPr>
        <w:t xml:space="preserve">CNAF </w:t>
      </w:r>
      <w:r w:rsidR="006A351F">
        <w:rPr>
          <w:rFonts w:cstheme="minorHAnsi"/>
        </w:rPr>
        <w:t xml:space="preserve">relacionada con esta banda de frecuencias </w:t>
      </w:r>
      <w:r w:rsidR="002C4D33" w:rsidRPr="002C4D33">
        <w:rPr>
          <w:rFonts w:cstheme="minorHAnsi"/>
        </w:rPr>
        <w:t xml:space="preserve">es la </w:t>
      </w:r>
      <w:r w:rsidR="00D77965">
        <w:rPr>
          <w:rFonts w:cstheme="minorHAnsi"/>
        </w:rPr>
        <w:t xml:space="preserve">nota </w:t>
      </w:r>
      <w:r w:rsidR="002C4D33">
        <w:rPr>
          <w:rFonts w:cstheme="minorHAnsi"/>
        </w:rPr>
        <w:t>MX68</w:t>
      </w:r>
      <w:r w:rsidR="00D77965">
        <w:rPr>
          <w:rFonts w:cstheme="minorHAnsi"/>
        </w:rPr>
        <w:t xml:space="preserve">, la cual </w:t>
      </w:r>
      <w:r w:rsidR="00BB3E85">
        <w:rPr>
          <w:rFonts w:cstheme="minorHAnsi"/>
        </w:rPr>
        <w:t>considera</w:t>
      </w:r>
      <w:r w:rsidR="006A351F">
        <w:rPr>
          <w:rFonts w:cstheme="minorHAnsi"/>
        </w:rPr>
        <w:t xml:space="preserve"> </w:t>
      </w:r>
      <w:r w:rsidR="00BB3E85">
        <w:rPr>
          <w:rFonts w:cstheme="minorHAnsi"/>
        </w:rPr>
        <w:t xml:space="preserve">solo </w:t>
      </w:r>
      <w:r w:rsidR="00F475E4">
        <w:rPr>
          <w:rFonts w:cstheme="minorHAnsi"/>
        </w:rPr>
        <w:t>una porción de 25 MHz</w:t>
      </w:r>
      <w:r w:rsidR="00BB3E85">
        <w:rPr>
          <w:rFonts w:cstheme="minorHAnsi"/>
        </w:rPr>
        <w:t>,</w:t>
      </w:r>
      <w:r w:rsidR="00F475E4">
        <w:rPr>
          <w:rFonts w:cstheme="minorHAnsi"/>
        </w:rPr>
        <w:t xml:space="preserve"> </w:t>
      </w:r>
      <w:r w:rsidR="00BB3E85">
        <w:rPr>
          <w:rFonts w:cstheme="minorHAnsi"/>
        </w:rPr>
        <w:t xml:space="preserve">esto es </w:t>
      </w:r>
      <w:r w:rsidR="00884F32">
        <w:rPr>
          <w:rFonts w:cstheme="minorHAnsi"/>
        </w:rPr>
        <w:t>585</w:t>
      </w:r>
      <w:r w:rsidR="007C5D1D">
        <w:rPr>
          <w:rFonts w:cstheme="minorHAnsi"/>
        </w:rPr>
        <w:t>0</w:t>
      </w:r>
      <w:r w:rsidR="00884F32">
        <w:rPr>
          <w:rFonts w:cstheme="minorHAnsi"/>
        </w:rPr>
        <w:t xml:space="preserve">-5875 </w:t>
      </w:r>
      <w:r w:rsidR="007C5D1D">
        <w:rPr>
          <w:rFonts w:cstheme="minorHAnsi"/>
        </w:rPr>
        <w:t>M</w:t>
      </w:r>
      <w:r w:rsidR="00884F32">
        <w:rPr>
          <w:rFonts w:cstheme="minorHAnsi"/>
        </w:rPr>
        <w:t xml:space="preserve">Hz </w:t>
      </w:r>
      <w:r w:rsidR="00F475E4">
        <w:rPr>
          <w:rFonts w:cstheme="minorHAnsi"/>
        </w:rPr>
        <w:t>de</w:t>
      </w:r>
      <w:r w:rsidR="00D77965">
        <w:rPr>
          <w:rFonts w:cstheme="minorHAnsi"/>
        </w:rPr>
        <w:t xml:space="preserve"> la banda en cuestión, </w:t>
      </w:r>
      <w:r w:rsidR="00F475E4">
        <w:rPr>
          <w:rFonts w:cstheme="minorHAnsi"/>
        </w:rPr>
        <w:t xml:space="preserve">tal </w:t>
      </w:r>
      <w:r w:rsidR="00D77965">
        <w:rPr>
          <w:rFonts w:cstheme="minorHAnsi"/>
        </w:rPr>
        <w:t>como se describe a continuación:</w:t>
      </w:r>
    </w:p>
    <w:p w14:paraId="59F92222" w14:textId="77777777" w:rsidR="002C4D33" w:rsidRPr="002C4D33" w:rsidRDefault="002C4D33" w:rsidP="00A7131B">
      <w:pPr>
        <w:spacing w:after="0"/>
        <w:jc w:val="both"/>
        <w:rPr>
          <w:rFonts w:cstheme="minorHAnsi"/>
        </w:rPr>
      </w:pPr>
    </w:p>
    <w:p w14:paraId="459F4B2E" w14:textId="77777777" w:rsidR="00A7131B" w:rsidRPr="002C4D33" w:rsidRDefault="002C4D33" w:rsidP="002C4D33">
      <w:pPr>
        <w:spacing w:after="0"/>
        <w:ind w:left="567"/>
        <w:jc w:val="both"/>
        <w:rPr>
          <w:rFonts w:cstheme="minorHAnsi"/>
          <w:i/>
        </w:rPr>
      </w:pPr>
      <w:r w:rsidRPr="002C4D33">
        <w:rPr>
          <w:rFonts w:cstheme="minorHAnsi"/>
          <w:i/>
        </w:rPr>
        <w:t>“</w:t>
      </w:r>
      <w:r w:rsidR="00A7131B" w:rsidRPr="002C4D33">
        <w:rPr>
          <w:rFonts w:cstheme="minorHAnsi"/>
          <w:b/>
          <w:i/>
        </w:rPr>
        <w:t>MX68</w:t>
      </w:r>
      <w:r w:rsidR="00A7131B" w:rsidRPr="002C4D33">
        <w:rPr>
          <w:rFonts w:cstheme="minorHAnsi"/>
          <w:i/>
        </w:rPr>
        <w:t xml:space="preserve"> Las bandas de frecuencias que se enlistan a continuación se encuentran designadas para aplicaciones industriales, científicas y médicas (ICM):</w:t>
      </w:r>
    </w:p>
    <w:p w14:paraId="0B13F72F" w14:textId="77777777" w:rsidR="00A7131B" w:rsidRPr="002C4D33" w:rsidRDefault="00A7131B" w:rsidP="002C4D33">
      <w:pPr>
        <w:spacing w:after="0"/>
        <w:ind w:left="567"/>
        <w:jc w:val="both"/>
        <w:rPr>
          <w:rFonts w:cstheme="minorHAnsi"/>
          <w:i/>
        </w:rPr>
      </w:pPr>
    </w:p>
    <w:tbl>
      <w:tblPr>
        <w:tblW w:w="8428" w:type="dxa"/>
        <w:tblInd w:w="284" w:type="dxa"/>
        <w:tblLayout w:type="fixed"/>
        <w:tblCellMar>
          <w:left w:w="72" w:type="dxa"/>
          <w:right w:w="72" w:type="dxa"/>
        </w:tblCellMar>
        <w:tblLook w:val="04A0" w:firstRow="1" w:lastRow="0" w:firstColumn="1" w:lastColumn="0" w:noHBand="0" w:noVBand="1"/>
      </w:tblPr>
      <w:tblGrid>
        <w:gridCol w:w="2977"/>
        <w:gridCol w:w="2835"/>
        <w:gridCol w:w="2616"/>
      </w:tblGrid>
      <w:tr w:rsidR="00A7131B" w:rsidRPr="002C4D33" w14:paraId="342E9326" w14:textId="77777777" w:rsidTr="00F0254E">
        <w:trPr>
          <w:trHeight w:val="20"/>
        </w:trPr>
        <w:tc>
          <w:tcPr>
            <w:tcW w:w="2977" w:type="dxa"/>
            <w:shd w:val="clear" w:color="auto" w:fill="auto"/>
            <w:noWrap/>
          </w:tcPr>
          <w:p w14:paraId="17FE86E4" w14:textId="218389D8" w:rsidR="00A7131B" w:rsidRPr="002C4D33" w:rsidRDefault="00A7131B" w:rsidP="002C4D33">
            <w:pPr>
              <w:spacing w:after="0"/>
              <w:ind w:left="567"/>
              <w:jc w:val="both"/>
              <w:rPr>
                <w:rFonts w:cstheme="minorHAnsi"/>
                <w:i/>
              </w:rPr>
            </w:pPr>
            <w:r w:rsidRPr="002C4D33">
              <w:rPr>
                <w:rFonts w:cstheme="minorHAnsi"/>
                <w:i/>
              </w:rPr>
              <w:lastRenderedPageBreak/>
              <w:t xml:space="preserve">13.553 </w:t>
            </w:r>
            <w:r w:rsidR="00261688">
              <w:rPr>
                <w:rFonts w:cstheme="minorHAnsi"/>
                <w:i/>
              </w:rPr>
              <w:t>–</w:t>
            </w:r>
            <w:r w:rsidRPr="002C4D33">
              <w:rPr>
                <w:rFonts w:cstheme="minorHAnsi"/>
                <w:i/>
              </w:rPr>
              <w:t xml:space="preserve"> 13.567 MHz</w:t>
            </w:r>
          </w:p>
          <w:p w14:paraId="1A8990E1" w14:textId="66DE6542" w:rsidR="00A7131B" w:rsidRPr="002C4D33" w:rsidRDefault="00A7131B" w:rsidP="002C4D33">
            <w:pPr>
              <w:spacing w:after="0"/>
              <w:ind w:left="567"/>
              <w:jc w:val="both"/>
              <w:rPr>
                <w:rFonts w:cstheme="minorHAnsi"/>
                <w:i/>
              </w:rPr>
            </w:pPr>
            <w:r w:rsidRPr="002C4D33">
              <w:rPr>
                <w:rFonts w:cstheme="minorHAnsi"/>
                <w:i/>
              </w:rPr>
              <w:t xml:space="preserve">26.957 </w:t>
            </w:r>
            <w:r w:rsidR="00261688">
              <w:rPr>
                <w:rFonts w:cstheme="minorHAnsi"/>
                <w:i/>
              </w:rPr>
              <w:t>–</w:t>
            </w:r>
            <w:r w:rsidRPr="002C4D33">
              <w:rPr>
                <w:rFonts w:cstheme="minorHAnsi"/>
                <w:i/>
              </w:rPr>
              <w:t xml:space="preserve"> 27.283 MHz</w:t>
            </w:r>
          </w:p>
          <w:p w14:paraId="2A87B61F" w14:textId="3538D683" w:rsidR="00A7131B" w:rsidRPr="002C4D33" w:rsidRDefault="00A7131B" w:rsidP="002C4D33">
            <w:pPr>
              <w:spacing w:after="0"/>
              <w:ind w:left="567"/>
              <w:jc w:val="both"/>
              <w:rPr>
                <w:rFonts w:cstheme="minorHAnsi"/>
                <w:i/>
              </w:rPr>
            </w:pPr>
            <w:r w:rsidRPr="002C4D33">
              <w:rPr>
                <w:rFonts w:cstheme="minorHAnsi"/>
                <w:i/>
              </w:rPr>
              <w:t xml:space="preserve">40.66 </w:t>
            </w:r>
            <w:r w:rsidR="00261688">
              <w:rPr>
                <w:rFonts w:cstheme="minorHAnsi"/>
                <w:i/>
              </w:rPr>
              <w:t>–</w:t>
            </w:r>
            <w:r w:rsidRPr="002C4D33">
              <w:rPr>
                <w:rFonts w:cstheme="minorHAnsi"/>
                <w:i/>
              </w:rPr>
              <w:t xml:space="preserve"> 40.70 MHz</w:t>
            </w:r>
          </w:p>
        </w:tc>
        <w:tc>
          <w:tcPr>
            <w:tcW w:w="2835" w:type="dxa"/>
            <w:shd w:val="clear" w:color="auto" w:fill="auto"/>
          </w:tcPr>
          <w:p w14:paraId="33628773" w14:textId="224C7438" w:rsidR="00A7131B" w:rsidRPr="002C4D33" w:rsidRDefault="00A7131B" w:rsidP="002C4D33">
            <w:pPr>
              <w:spacing w:after="0"/>
              <w:ind w:left="567"/>
              <w:jc w:val="both"/>
              <w:rPr>
                <w:rFonts w:cstheme="minorHAnsi"/>
                <w:i/>
              </w:rPr>
            </w:pPr>
            <w:r w:rsidRPr="002C4D33">
              <w:rPr>
                <w:rFonts w:cstheme="minorHAnsi"/>
                <w:i/>
              </w:rPr>
              <w:t xml:space="preserve">902 </w:t>
            </w:r>
            <w:r w:rsidR="00261688">
              <w:rPr>
                <w:rFonts w:cstheme="minorHAnsi"/>
                <w:i/>
              </w:rPr>
              <w:t>–</w:t>
            </w:r>
            <w:r w:rsidRPr="002C4D33">
              <w:rPr>
                <w:rFonts w:cstheme="minorHAnsi"/>
                <w:i/>
              </w:rPr>
              <w:t xml:space="preserve"> 928 MHz</w:t>
            </w:r>
          </w:p>
          <w:p w14:paraId="65F3057E" w14:textId="5B8456F3" w:rsidR="00A7131B" w:rsidRPr="002C4D33" w:rsidRDefault="00A7131B" w:rsidP="002C4D33">
            <w:pPr>
              <w:spacing w:after="0"/>
              <w:ind w:left="567"/>
              <w:jc w:val="both"/>
              <w:rPr>
                <w:rFonts w:cstheme="minorHAnsi"/>
                <w:i/>
              </w:rPr>
            </w:pPr>
            <w:r w:rsidRPr="002C4D33">
              <w:rPr>
                <w:rFonts w:cstheme="minorHAnsi"/>
                <w:i/>
              </w:rPr>
              <w:t xml:space="preserve">2400 </w:t>
            </w:r>
            <w:r w:rsidR="00261688">
              <w:rPr>
                <w:rFonts w:cstheme="minorHAnsi"/>
                <w:i/>
              </w:rPr>
              <w:t>–</w:t>
            </w:r>
            <w:r w:rsidRPr="002C4D33">
              <w:rPr>
                <w:rFonts w:cstheme="minorHAnsi"/>
                <w:i/>
              </w:rPr>
              <w:t xml:space="preserve"> 2500 MHz</w:t>
            </w:r>
          </w:p>
          <w:p w14:paraId="37268DE3" w14:textId="013925C7" w:rsidR="00A7131B" w:rsidRPr="00BC3E05" w:rsidRDefault="00A7131B" w:rsidP="002C4D33">
            <w:pPr>
              <w:spacing w:after="0"/>
              <w:ind w:left="567"/>
              <w:jc w:val="both"/>
              <w:rPr>
                <w:rFonts w:cstheme="minorHAnsi"/>
                <w:bCs/>
                <w:i/>
              </w:rPr>
            </w:pPr>
            <w:r w:rsidRPr="00BC3E05">
              <w:rPr>
                <w:rFonts w:cstheme="minorHAnsi"/>
                <w:bCs/>
                <w:i/>
              </w:rPr>
              <w:t xml:space="preserve">5.725 </w:t>
            </w:r>
            <w:r w:rsidR="00261688" w:rsidRPr="00BC3E05">
              <w:rPr>
                <w:rFonts w:cstheme="minorHAnsi"/>
                <w:bCs/>
                <w:i/>
              </w:rPr>
              <w:t>–</w:t>
            </w:r>
            <w:r w:rsidRPr="00BC3E05">
              <w:rPr>
                <w:rFonts w:cstheme="minorHAnsi"/>
                <w:bCs/>
                <w:i/>
              </w:rPr>
              <w:t xml:space="preserve"> 5.875 GHz</w:t>
            </w:r>
          </w:p>
        </w:tc>
        <w:tc>
          <w:tcPr>
            <w:tcW w:w="2616" w:type="dxa"/>
            <w:shd w:val="clear" w:color="auto" w:fill="auto"/>
          </w:tcPr>
          <w:p w14:paraId="5D1E1282" w14:textId="4C94DD35" w:rsidR="00A7131B" w:rsidRPr="002C4D33" w:rsidRDefault="00A7131B" w:rsidP="002C4D33">
            <w:pPr>
              <w:spacing w:after="0"/>
              <w:ind w:left="567"/>
              <w:jc w:val="both"/>
              <w:rPr>
                <w:rFonts w:cstheme="minorHAnsi"/>
                <w:i/>
              </w:rPr>
            </w:pPr>
            <w:r w:rsidRPr="002C4D33">
              <w:rPr>
                <w:rFonts w:cstheme="minorHAnsi"/>
                <w:i/>
              </w:rPr>
              <w:t xml:space="preserve">24 </w:t>
            </w:r>
            <w:r w:rsidR="00261688">
              <w:rPr>
                <w:rFonts w:cstheme="minorHAnsi"/>
                <w:i/>
              </w:rPr>
              <w:t>–</w:t>
            </w:r>
            <w:r w:rsidRPr="002C4D33">
              <w:rPr>
                <w:rFonts w:cstheme="minorHAnsi"/>
                <w:i/>
              </w:rPr>
              <w:t xml:space="preserve"> 24.25 GHz</w:t>
            </w:r>
          </w:p>
          <w:p w14:paraId="65B8E548" w14:textId="77777777" w:rsidR="002807B3" w:rsidRPr="002C4D33" w:rsidRDefault="002807B3" w:rsidP="002C4D33">
            <w:pPr>
              <w:spacing w:after="0"/>
              <w:ind w:left="567"/>
              <w:jc w:val="both"/>
              <w:rPr>
                <w:rFonts w:cstheme="minorHAnsi"/>
                <w:i/>
              </w:rPr>
            </w:pPr>
          </w:p>
          <w:p w14:paraId="0140F61E" w14:textId="77777777" w:rsidR="00A7131B" w:rsidRPr="002C4D33" w:rsidRDefault="002807B3" w:rsidP="002C4D33">
            <w:pPr>
              <w:tabs>
                <w:tab w:val="left" w:pos="1716"/>
              </w:tabs>
              <w:ind w:left="567"/>
              <w:rPr>
                <w:rFonts w:cstheme="minorHAnsi"/>
                <w:i/>
              </w:rPr>
            </w:pPr>
            <w:r w:rsidRPr="002C4D33">
              <w:rPr>
                <w:rFonts w:cstheme="minorHAnsi"/>
                <w:i/>
              </w:rPr>
              <w:tab/>
            </w:r>
          </w:p>
        </w:tc>
      </w:tr>
    </w:tbl>
    <w:p w14:paraId="79CFDFC2" w14:textId="77777777" w:rsidR="005D7255" w:rsidRDefault="00A7131B" w:rsidP="002C4D33">
      <w:pPr>
        <w:spacing w:after="0"/>
        <w:ind w:left="567"/>
        <w:jc w:val="both"/>
        <w:rPr>
          <w:rFonts w:cstheme="minorHAnsi"/>
        </w:rPr>
      </w:pPr>
      <w:r w:rsidRPr="002C4D33">
        <w:rPr>
          <w:rFonts w:cstheme="minorHAnsi"/>
          <w:i/>
        </w:rPr>
        <w:t>Los servicios de radiocomunicación que funcionan en estas bandas deben aceptar la interferencia perjudicial resultante de estas aplicaciones. Los equipos ICM que funcionen en estas bandas estarán sujetos a las disposiciones del número 15.13 del RR.</w:t>
      </w:r>
      <w:r w:rsidR="002C4D33" w:rsidRPr="002C4D33">
        <w:rPr>
          <w:rFonts w:cstheme="minorHAnsi"/>
          <w:i/>
        </w:rPr>
        <w:t>”</w:t>
      </w:r>
    </w:p>
    <w:p w14:paraId="36C821B5" w14:textId="77777777" w:rsidR="002C4D33" w:rsidRPr="002C4D33" w:rsidRDefault="002C4D33" w:rsidP="002C4D33">
      <w:pPr>
        <w:spacing w:after="0"/>
        <w:ind w:left="567"/>
        <w:jc w:val="both"/>
        <w:rPr>
          <w:i/>
        </w:rPr>
      </w:pPr>
    </w:p>
    <w:p w14:paraId="36C1E12A" w14:textId="77777777" w:rsidR="00872CB5" w:rsidRPr="004278BE" w:rsidRDefault="003D3FF4" w:rsidP="00E1164E">
      <w:pPr>
        <w:pStyle w:val="Ttulo3"/>
      </w:pPr>
      <w:bookmarkStart w:id="91" w:name="_Toc71194795"/>
      <w:bookmarkStart w:id="92" w:name="_Toc79501213"/>
      <w:r>
        <w:t xml:space="preserve">Uso de la banda de frecuencias </w:t>
      </w:r>
      <w:r w:rsidRPr="003D3FF4">
        <w:t>5850-5925 MHz</w:t>
      </w:r>
      <w:r w:rsidR="00872CB5" w:rsidRPr="004278BE">
        <w:t xml:space="preserve"> </w:t>
      </w:r>
      <w:r w:rsidR="00712A65" w:rsidRPr="004278BE">
        <w:t>en</w:t>
      </w:r>
      <w:r w:rsidR="00872CB5" w:rsidRPr="004278BE">
        <w:t xml:space="preserve"> </w:t>
      </w:r>
      <w:r w:rsidR="00101239" w:rsidRPr="004278BE">
        <w:t>México</w:t>
      </w:r>
      <w:r w:rsidR="00872CB5" w:rsidRPr="004278BE">
        <w:t>.</w:t>
      </w:r>
      <w:bookmarkEnd w:id="91"/>
      <w:bookmarkEnd w:id="92"/>
    </w:p>
    <w:p w14:paraId="46E7DBE1" w14:textId="77777777" w:rsidR="003D3FF4" w:rsidRDefault="003D3FF4" w:rsidP="005D7255">
      <w:pPr>
        <w:spacing w:after="0" w:line="240" w:lineRule="auto"/>
        <w:ind w:right="136"/>
        <w:jc w:val="both"/>
        <w:rPr>
          <w:rFonts w:cstheme="minorHAnsi"/>
        </w:rPr>
      </w:pPr>
    </w:p>
    <w:p w14:paraId="56352D42" w14:textId="1E3E4DF8" w:rsidR="00C655DF" w:rsidRDefault="00636822" w:rsidP="00636822">
      <w:pPr>
        <w:spacing w:after="0" w:line="240" w:lineRule="auto"/>
        <w:ind w:right="136"/>
        <w:jc w:val="both"/>
        <w:rPr>
          <w:rFonts w:cstheme="minorHAnsi"/>
        </w:rPr>
      </w:pPr>
      <w:r w:rsidRPr="00884F32">
        <w:rPr>
          <w:rFonts w:cstheme="minorHAnsi"/>
        </w:rPr>
        <w:t>L</w:t>
      </w:r>
      <w:r w:rsidR="00E40EEC" w:rsidRPr="00636822">
        <w:rPr>
          <w:rFonts w:cstheme="minorHAnsi"/>
        </w:rPr>
        <w:t>a</w:t>
      </w:r>
      <w:r w:rsidR="00E40EEC" w:rsidRPr="005D7255">
        <w:rPr>
          <w:rFonts w:cstheme="minorHAnsi"/>
        </w:rPr>
        <w:t xml:space="preserve"> </w:t>
      </w:r>
      <w:r w:rsidR="005D7255" w:rsidRPr="005D7255">
        <w:rPr>
          <w:rFonts w:cstheme="minorHAnsi"/>
        </w:rPr>
        <w:t xml:space="preserve">banda de frecuencias 5850–5925 </w:t>
      </w:r>
      <w:r w:rsidR="004D0407">
        <w:rPr>
          <w:rFonts w:cstheme="minorHAnsi"/>
        </w:rPr>
        <w:t>M</w:t>
      </w:r>
      <w:r w:rsidR="005D7255" w:rsidRPr="005D7255">
        <w:rPr>
          <w:rFonts w:cstheme="minorHAnsi"/>
        </w:rPr>
        <w:t xml:space="preserve">Hz </w:t>
      </w:r>
      <w:r w:rsidRPr="00884F32">
        <w:rPr>
          <w:rFonts w:cstheme="minorHAnsi"/>
        </w:rPr>
        <w:t>cuenta con</w:t>
      </w:r>
      <w:r>
        <w:rPr>
          <w:rFonts w:cstheme="minorHAnsi"/>
        </w:rPr>
        <w:t xml:space="preserve"> </w:t>
      </w:r>
      <w:r w:rsidR="00C655DF">
        <w:rPr>
          <w:rFonts w:cstheme="minorHAnsi"/>
        </w:rPr>
        <w:t>tre</w:t>
      </w:r>
      <w:r w:rsidR="00EB546C" w:rsidRPr="00EB546C">
        <w:rPr>
          <w:rFonts w:cstheme="minorHAnsi"/>
        </w:rPr>
        <w:t>s tipos de usuarios</w:t>
      </w:r>
      <w:r w:rsidR="006C1D88">
        <w:rPr>
          <w:rFonts w:cstheme="minorHAnsi"/>
        </w:rPr>
        <w:t xml:space="preserve">: </w:t>
      </w:r>
      <w:r w:rsidR="00EB546C" w:rsidRPr="00EB546C">
        <w:rPr>
          <w:rFonts w:cstheme="minorHAnsi"/>
        </w:rPr>
        <w:t xml:space="preserve">el primero de ellos relacionado con la operación de sistemas de </w:t>
      </w:r>
      <w:r w:rsidR="001C4157">
        <w:rPr>
          <w:rFonts w:cstheme="minorHAnsi"/>
        </w:rPr>
        <w:t>radiocomunicación terrestre</w:t>
      </w:r>
      <w:r w:rsidR="00C655DF">
        <w:rPr>
          <w:rFonts w:cstheme="minorHAnsi"/>
        </w:rPr>
        <w:t>;</w:t>
      </w:r>
      <w:r w:rsidR="00EB546C" w:rsidRPr="00EB546C">
        <w:rPr>
          <w:rFonts w:cstheme="minorHAnsi"/>
        </w:rPr>
        <w:t xml:space="preserve"> el segundo, relacionado con la operación de sistemas satelitales del servicio fijo por satélite (en el sentido Tierra-espacio)</w:t>
      </w:r>
      <w:r w:rsidR="00C655DF">
        <w:rPr>
          <w:rFonts w:cstheme="minorHAnsi"/>
        </w:rPr>
        <w:t>; y el tercero aquellos usuarios con títulos habilitantes de uso privado con propósitos de radioaficionados.</w:t>
      </w:r>
    </w:p>
    <w:p w14:paraId="5116207B" w14:textId="77777777" w:rsidR="00C655DF" w:rsidRDefault="00C655DF" w:rsidP="00EB546C">
      <w:pPr>
        <w:spacing w:after="0" w:line="240" w:lineRule="auto"/>
        <w:ind w:right="136"/>
        <w:jc w:val="both"/>
        <w:rPr>
          <w:rFonts w:cstheme="minorHAnsi"/>
        </w:rPr>
      </w:pPr>
    </w:p>
    <w:p w14:paraId="58E8F0EA" w14:textId="5C87F9C8" w:rsidR="00C655DF" w:rsidRDefault="003267D8" w:rsidP="00EB546C">
      <w:pPr>
        <w:spacing w:after="0" w:line="240" w:lineRule="auto"/>
        <w:ind w:right="136"/>
        <w:jc w:val="both"/>
        <w:rPr>
          <w:rFonts w:cstheme="minorHAnsi"/>
        </w:rPr>
      </w:pPr>
      <w:r>
        <w:rPr>
          <w:rFonts w:cstheme="minorHAnsi"/>
        </w:rPr>
        <w:t xml:space="preserve">Cabe mencionar </w:t>
      </w:r>
      <w:r w:rsidR="00357020">
        <w:rPr>
          <w:rFonts w:cstheme="minorHAnsi"/>
        </w:rPr>
        <w:t>que, derivado de la revisión en</w:t>
      </w:r>
      <w:r w:rsidR="006C1D88">
        <w:rPr>
          <w:rFonts w:cstheme="minorHAnsi"/>
        </w:rPr>
        <w:t xml:space="preserve"> </w:t>
      </w:r>
      <w:r>
        <w:rPr>
          <w:rFonts w:cstheme="minorHAnsi"/>
        </w:rPr>
        <w:t xml:space="preserve">el </w:t>
      </w:r>
      <w:r w:rsidRPr="003267D8">
        <w:rPr>
          <w:rFonts w:cstheme="minorHAnsi"/>
        </w:rPr>
        <w:t>Sistema Integral de Administración del Espectro Radioeléctrico</w:t>
      </w:r>
      <w:r w:rsidR="007B432C">
        <w:rPr>
          <w:rFonts w:cstheme="minorHAnsi"/>
        </w:rPr>
        <w:t xml:space="preserve"> (SIAER)</w:t>
      </w:r>
      <w:r>
        <w:rPr>
          <w:rFonts w:cstheme="minorHAnsi"/>
        </w:rPr>
        <w:t>,</w:t>
      </w:r>
      <w:r w:rsidR="00C655DF">
        <w:rPr>
          <w:rFonts w:cstheme="minorHAnsi"/>
        </w:rPr>
        <w:t xml:space="preserve"> se encontr</w:t>
      </w:r>
      <w:r w:rsidR="004F3193">
        <w:rPr>
          <w:rFonts w:cstheme="minorHAnsi"/>
        </w:rPr>
        <w:t>aron</w:t>
      </w:r>
      <w:r w:rsidR="00C655DF">
        <w:rPr>
          <w:rFonts w:cstheme="minorHAnsi"/>
        </w:rPr>
        <w:t xml:space="preserve"> registro</w:t>
      </w:r>
      <w:r w:rsidR="004F3193">
        <w:rPr>
          <w:rFonts w:cstheme="minorHAnsi"/>
        </w:rPr>
        <w:t>s</w:t>
      </w:r>
      <w:r w:rsidR="00C655DF">
        <w:rPr>
          <w:rFonts w:cstheme="minorHAnsi"/>
        </w:rPr>
        <w:t xml:space="preserve"> de alrededor de </w:t>
      </w:r>
      <w:r w:rsidR="00F475E4">
        <w:rPr>
          <w:rFonts w:cstheme="minorHAnsi"/>
        </w:rPr>
        <w:t>13</w:t>
      </w:r>
      <w:r w:rsidR="00884F32">
        <w:rPr>
          <w:rFonts w:cstheme="minorHAnsi"/>
        </w:rPr>
        <w:t>5</w:t>
      </w:r>
      <w:r w:rsidR="00F475E4">
        <w:rPr>
          <w:rFonts w:cstheme="minorHAnsi"/>
        </w:rPr>
        <w:t xml:space="preserve"> </w:t>
      </w:r>
      <w:r w:rsidR="00C655DF">
        <w:rPr>
          <w:rFonts w:cstheme="minorHAnsi"/>
        </w:rPr>
        <w:t xml:space="preserve">usuarios del servicio fijo </w:t>
      </w:r>
      <w:r w:rsidR="00152E03">
        <w:rPr>
          <w:rFonts w:cstheme="minorHAnsi"/>
        </w:rPr>
        <w:t xml:space="preserve">en donde los canales </w:t>
      </w:r>
      <w:r w:rsidR="00AA0314">
        <w:rPr>
          <w:rFonts w:cstheme="minorHAnsi"/>
        </w:rPr>
        <w:t xml:space="preserve">de </w:t>
      </w:r>
      <w:r w:rsidR="00AA0314" w:rsidRPr="00CE60D4">
        <w:rPr>
          <w:rFonts w:cstheme="minorHAnsi"/>
        </w:rPr>
        <w:t xml:space="preserve">radiocomunicación </w:t>
      </w:r>
      <w:r w:rsidR="00884F32" w:rsidRPr="00CE60D4">
        <w:rPr>
          <w:rFonts w:cstheme="minorHAnsi"/>
        </w:rPr>
        <w:t xml:space="preserve">que </w:t>
      </w:r>
      <w:r w:rsidR="00AA0314" w:rsidRPr="00CE60D4">
        <w:rPr>
          <w:rFonts w:cstheme="minorHAnsi"/>
        </w:rPr>
        <w:t xml:space="preserve">cuentan </w:t>
      </w:r>
      <w:r w:rsidR="00152E03" w:rsidRPr="00CE60D4">
        <w:rPr>
          <w:rFonts w:cstheme="minorHAnsi"/>
        </w:rPr>
        <w:t>con ancho</w:t>
      </w:r>
      <w:r w:rsidR="00AA0314" w:rsidRPr="00CE60D4">
        <w:rPr>
          <w:rFonts w:cstheme="minorHAnsi"/>
        </w:rPr>
        <w:t>s</w:t>
      </w:r>
      <w:r w:rsidR="00152E03" w:rsidRPr="00CE60D4">
        <w:rPr>
          <w:rFonts w:cstheme="minorHAnsi"/>
        </w:rPr>
        <w:t xml:space="preserve"> de banda </w:t>
      </w:r>
      <w:r w:rsidR="004F3193" w:rsidRPr="00CE60D4">
        <w:rPr>
          <w:rFonts w:cstheme="minorHAnsi"/>
        </w:rPr>
        <w:t>de 11 MHz, 16 MHz y 24 MHz</w:t>
      </w:r>
      <w:r w:rsidR="00152E03" w:rsidRPr="00CE60D4">
        <w:rPr>
          <w:rFonts w:cstheme="minorHAnsi"/>
        </w:rPr>
        <w:t xml:space="preserve">, </w:t>
      </w:r>
      <w:r w:rsidR="00AA0314" w:rsidRPr="00CE60D4">
        <w:rPr>
          <w:rFonts w:cstheme="minorHAnsi"/>
        </w:rPr>
        <w:t xml:space="preserve">se encuentran </w:t>
      </w:r>
      <w:r w:rsidR="00CE60D4" w:rsidRPr="00CE60D4">
        <w:rPr>
          <w:rFonts w:cstheme="minorHAnsi"/>
        </w:rPr>
        <w:t xml:space="preserve">únicamente </w:t>
      </w:r>
      <w:r w:rsidR="00AA0314" w:rsidRPr="00CE60D4">
        <w:rPr>
          <w:rFonts w:cstheme="minorHAnsi"/>
        </w:rPr>
        <w:t>en</w:t>
      </w:r>
      <w:r w:rsidR="004F3193" w:rsidRPr="00CE60D4">
        <w:rPr>
          <w:rFonts w:cstheme="minorHAnsi"/>
        </w:rPr>
        <w:t xml:space="preserve"> la parte alta de la banda</w:t>
      </w:r>
      <w:r w:rsidR="00884F32" w:rsidRPr="00CE60D4">
        <w:rPr>
          <w:rFonts w:cstheme="minorHAnsi"/>
        </w:rPr>
        <w:t xml:space="preserve">, </w:t>
      </w:r>
      <w:r w:rsidR="00CE60D4" w:rsidRPr="00CE60D4">
        <w:rPr>
          <w:rFonts w:cstheme="minorHAnsi"/>
        </w:rPr>
        <w:t>específicamente</w:t>
      </w:r>
      <w:r w:rsidR="00884F32" w:rsidRPr="00CE60D4">
        <w:rPr>
          <w:rFonts w:cstheme="minorHAnsi"/>
        </w:rPr>
        <w:t xml:space="preserve"> </w:t>
      </w:r>
      <w:r w:rsidR="00CE60D4" w:rsidRPr="00CE60D4">
        <w:rPr>
          <w:rFonts w:cstheme="minorHAnsi"/>
        </w:rPr>
        <w:t xml:space="preserve">dentro del rango de frecuencias </w:t>
      </w:r>
      <w:r w:rsidR="004F3193" w:rsidRPr="00CE60D4">
        <w:rPr>
          <w:rFonts w:cstheme="minorHAnsi"/>
        </w:rPr>
        <w:t>5</w:t>
      </w:r>
      <w:r w:rsidR="00CE60D4" w:rsidRPr="00CE60D4">
        <w:rPr>
          <w:rFonts w:cstheme="minorHAnsi"/>
        </w:rPr>
        <w:t>90</w:t>
      </w:r>
      <w:r w:rsidR="004F3193" w:rsidRPr="00CE60D4">
        <w:rPr>
          <w:rFonts w:cstheme="minorHAnsi"/>
        </w:rPr>
        <w:t>0–5925 MHz.</w:t>
      </w:r>
    </w:p>
    <w:p w14:paraId="7B6F1FDD" w14:textId="77777777" w:rsidR="004F3193" w:rsidRDefault="004F3193" w:rsidP="00EB546C">
      <w:pPr>
        <w:spacing w:after="0" w:line="240" w:lineRule="auto"/>
        <w:ind w:right="136"/>
        <w:jc w:val="both"/>
        <w:rPr>
          <w:rFonts w:cstheme="minorHAnsi"/>
        </w:rPr>
      </w:pPr>
    </w:p>
    <w:p w14:paraId="71265FD6" w14:textId="0D3FCD2A" w:rsidR="005B061D" w:rsidRDefault="004F3193" w:rsidP="00EB546C">
      <w:pPr>
        <w:spacing w:after="0" w:line="240" w:lineRule="auto"/>
        <w:ind w:right="136"/>
        <w:jc w:val="both"/>
        <w:rPr>
          <w:rFonts w:cstheme="minorHAnsi"/>
        </w:rPr>
      </w:pPr>
      <w:r>
        <w:rPr>
          <w:rFonts w:cstheme="minorHAnsi"/>
        </w:rPr>
        <w:t>Por otro lado, en</w:t>
      </w:r>
      <w:r w:rsidR="003267D8">
        <w:rPr>
          <w:rFonts w:cstheme="minorHAnsi"/>
        </w:rPr>
        <w:t xml:space="preserve"> el Registro Público d</w:t>
      </w:r>
      <w:r w:rsidR="003267D8" w:rsidRPr="003267D8">
        <w:rPr>
          <w:rFonts w:cstheme="minorHAnsi"/>
        </w:rPr>
        <w:t>e Concesiones</w:t>
      </w:r>
      <w:r w:rsidR="00152E03">
        <w:rPr>
          <w:rFonts w:cstheme="minorHAnsi"/>
        </w:rPr>
        <w:t xml:space="preserve"> (RPC)</w:t>
      </w:r>
      <w:r w:rsidR="003267D8">
        <w:rPr>
          <w:rFonts w:cstheme="minorHAnsi"/>
        </w:rPr>
        <w:t xml:space="preserve"> del Instituto</w:t>
      </w:r>
      <w:r w:rsidR="00357020">
        <w:rPr>
          <w:rFonts w:cstheme="minorHAnsi"/>
        </w:rPr>
        <w:t xml:space="preserve"> se constató que</w:t>
      </w:r>
      <w:r w:rsidR="003267D8">
        <w:rPr>
          <w:rFonts w:cstheme="minorHAnsi"/>
        </w:rPr>
        <w:t xml:space="preserve"> </w:t>
      </w:r>
      <w:r w:rsidR="00357020">
        <w:rPr>
          <w:rFonts w:cstheme="minorHAnsi"/>
        </w:rPr>
        <w:t>se cuenta</w:t>
      </w:r>
      <w:r w:rsidR="00C149CF">
        <w:rPr>
          <w:rFonts w:cstheme="minorHAnsi"/>
        </w:rPr>
        <w:t>n con</w:t>
      </w:r>
      <w:r w:rsidR="003267D8">
        <w:rPr>
          <w:rFonts w:cstheme="minorHAnsi"/>
        </w:rPr>
        <w:t xml:space="preserve"> </w:t>
      </w:r>
      <w:r w:rsidR="005F5229">
        <w:rPr>
          <w:rFonts w:cstheme="minorHAnsi"/>
        </w:rPr>
        <w:t>5</w:t>
      </w:r>
      <w:r w:rsidR="000C1EA7">
        <w:rPr>
          <w:rFonts w:cstheme="minorHAnsi"/>
        </w:rPr>
        <w:t xml:space="preserve"> títulos habilitantes comprendidos </w:t>
      </w:r>
      <w:r w:rsidR="000C2477">
        <w:rPr>
          <w:rFonts w:cstheme="minorHAnsi"/>
        </w:rPr>
        <w:t xml:space="preserve">por </w:t>
      </w:r>
      <w:r w:rsidR="007D3BFB">
        <w:rPr>
          <w:rFonts w:cstheme="minorHAnsi"/>
        </w:rPr>
        <w:t xml:space="preserve">3 </w:t>
      </w:r>
      <w:r w:rsidR="000C2477">
        <w:rPr>
          <w:rFonts w:cstheme="minorHAnsi"/>
        </w:rPr>
        <w:t xml:space="preserve">autorizaciones y </w:t>
      </w:r>
      <w:r w:rsidR="007D3BFB">
        <w:rPr>
          <w:rFonts w:cstheme="minorHAnsi"/>
        </w:rPr>
        <w:t xml:space="preserve">2 </w:t>
      </w:r>
      <w:r w:rsidR="000C2477">
        <w:rPr>
          <w:rFonts w:cstheme="minorHAnsi"/>
        </w:rPr>
        <w:t>concesiones</w:t>
      </w:r>
      <w:r w:rsidR="005B061D">
        <w:rPr>
          <w:rFonts w:cstheme="minorHAnsi"/>
        </w:rPr>
        <w:t xml:space="preserve"> </w:t>
      </w:r>
      <w:r w:rsidR="005B061D" w:rsidRPr="00EB546C">
        <w:rPr>
          <w:rFonts w:cstheme="minorHAnsi"/>
        </w:rPr>
        <w:t xml:space="preserve">para </w:t>
      </w:r>
      <w:r w:rsidR="00CE60D4">
        <w:rPr>
          <w:rFonts w:cstheme="minorHAnsi"/>
        </w:rPr>
        <w:t>e</w:t>
      </w:r>
      <w:r w:rsidR="00261688">
        <w:rPr>
          <w:rFonts w:cstheme="minorHAnsi"/>
        </w:rPr>
        <w:t>xplota</w:t>
      </w:r>
      <w:r w:rsidR="0071727B">
        <w:rPr>
          <w:rFonts w:cstheme="minorHAnsi"/>
        </w:rPr>
        <w:t>r</w:t>
      </w:r>
      <w:r w:rsidR="005B061D" w:rsidRPr="00EB546C">
        <w:rPr>
          <w:rFonts w:cstheme="minorHAnsi"/>
        </w:rPr>
        <w:t xml:space="preserve"> los derechos de emisión y recepción de señales </w:t>
      </w:r>
      <w:r w:rsidR="0071727B">
        <w:rPr>
          <w:rFonts w:cstheme="minorHAnsi"/>
        </w:rPr>
        <w:t>y</w:t>
      </w:r>
      <w:r w:rsidR="005B061D" w:rsidRPr="00EB546C">
        <w:rPr>
          <w:rFonts w:cstheme="minorHAnsi"/>
        </w:rPr>
        <w:t xml:space="preserve"> bandas de frecuencias asociad</w:t>
      </w:r>
      <w:r w:rsidR="00AB75A4">
        <w:rPr>
          <w:rFonts w:cstheme="minorHAnsi"/>
        </w:rPr>
        <w:t>o</w:t>
      </w:r>
      <w:r w:rsidR="005B061D" w:rsidRPr="00EB546C">
        <w:rPr>
          <w:rFonts w:cstheme="minorHAnsi"/>
        </w:rPr>
        <w:t>s a sistemas satelital</w:t>
      </w:r>
      <w:r w:rsidR="005B061D">
        <w:rPr>
          <w:rFonts w:cstheme="minorHAnsi"/>
        </w:rPr>
        <w:t>es extranjeros</w:t>
      </w:r>
      <w:r w:rsidR="000C2477">
        <w:rPr>
          <w:rFonts w:cstheme="minorHAnsi"/>
        </w:rPr>
        <w:t xml:space="preserve"> que cubr</w:t>
      </w:r>
      <w:r w:rsidR="00AB75A4">
        <w:rPr>
          <w:rFonts w:cstheme="minorHAnsi"/>
        </w:rPr>
        <w:t>a</w:t>
      </w:r>
      <w:r w:rsidR="000C2477">
        <w:rPr>
          <w:rFonts w:cstheme="minorHAnsi"/>
        </w:rPr>
        <w:t>n y pued</w:t>
      </w:r>
      <w:r w:rsidR="00AB75A4">
        <w:rPr>
          <w:rFonts w:cstheme="minorHAnsi"/>
        </w:rPr>
        <w:t>a</w:t>
      </w:r>
      <w:r w:rsidR="000C2477">
        <w:rPr>
          <w:rFonts w:cstheme="minorHAnsi"/>
        </w:rPr>
        <w:t>n prestar servicios en el territorio nacional</w:t>
      </w:r>
      <w:r w:rsidR="005B061D">
        <w:rPr>
          <w:rFonts w:cstheme="minorHAnsi"/>
        </w:rPr>
        <w:t xml:space="preserve">, </w:t>
      </w:r>
      <w:r w:rsidR="000C2477">
        <w:rPr>
          <w:rFonts w:cstheme="minorHAnsi"/>
        </w:rPr>
        <w:t xml:space="preserve">mediante </w:t>
      </w:r>
      <w:r w:rsidR="005B061D">
        <w:rPr>
          <w:rFonts w:cstheme="minorHAnsi"/>
        </w:rPr>
        <w:t xml:space="preserve">enlaces </w:t>
      </w:r>
      <w:r w:rsidR="005B061D" w:rsidRPr="00EB546C">
        <w:rPr>
          <w:rFonts w:cstheme="minorHAnsi"/>
        </w:rPr>
        <w:t>ascendentes</w:t>
      </w:r>
      <w:r w:rsidR="005B061D">
        <w:rPr>
          <w:rFonts w:cstheme="minorHAnsi"/>
        </w:rPr>
        <w:t xml:space="preserve"> </w:t>
      </w:r>
      <w:r w:rsidR="00C149CF">
        <w:rPr>
          <w:rFonts w:cstheme="minorHAnsi"/>
        </w:rPr>
        <w:t xml:space="preserve">(sentido </w:t>
      </w:r>
      <w:r w:rsidR="000C2477">
        <w:rPr>
          <w:rFonts w:cstheme="minorHAnsi"/>
        </w:rPr>
        <w:t>Tierra-espacio</w:t>
      </w:r>
      <w:r w:rsidR="00C149CF">
        <w:rPr>
          <w:rFonts w:cstheme="minorHAnsi"/>
        </w:rPr>
        <w:t>)</w:t>
      </w:r>
      <w:r w:rsidR="000C2477">
        <w:rPr>
          <w:rFonts w:cstheme="minorHAnsi"/>
        </w:rPr>
        <w:t xml:space="preserve"> </w:t>
      </w:r>
      <w:r w:rsidR="005B061D">
        <w:rPr>
          <w:rFonts w:cstheme="minorHAnsi"/>
        </w:rPr>
        <w:t>del servicio fijo por satélite</w:t>
      </w:r>
      <w:r w:rsidR="004B2C42">
        <w:rPr>
          <w:rFonts w:cstheme="minorHAnsi"/>
        </w:rPr>
        <w:t>.</w:t>
      </w:r>
    </w:p>
    <w:p w14:paraId="71925E29" w14:textId="77777777" w:rsidR="00CF792A" w:rsidRDefault="00CF792A" w:rsidP="00EB546C">
      <w:pPr>
        <w:spacing w:after="0" w:line="240" w:lineRule="auto"/>
        <w:ind w:right="136"/>
        <w:jc w:val="both"/>
        <w:rPr>
          <w:rFonts w:cstheme="minorHAnsi"/>
        </w:rPr>
      </w:pPr>
    </w:p>
    <w:p w14:paraId="368830F3" w14:textId="7378CA2D" w:rsidR="000C2477" w:rsidRDefault="000C2477" w:rsidP="00EB546C">
      <w:pPr>
        <w:spacing w:after="0" w:line="240" w:lineRule="auto"/>
        <w:ind w:right="136"/>
        <w:jc w:val="both"/>
        <w:rPr>
          <w:rFonts w:cstheme="minorHAnsi"/>
        </w:rPr>
      </w:pPr>
      <w:r>
        <w:rPr>
          <w:rFonts w:cstheme="minorHAnsi"/>
        </w:rPr>
        <w:t xml:space="preserve">La información referente a los títulos habilitantes mencionados anteriormente, se puede observar en la </w:t>
      </w:r>
      <w:r w:rsidR="00526D98">
        <w:rPr>
          <w:rFonts w:cstheme="minorHAnsi"/>
        </w:rPr>
        <w:t xml:space="preserve">Tabla </w:t>
      </w:r>
      <w:r w:rsidR="00CF792A">
        <w:rPr>
          <w:rFonts w:cstheme="minorHAnsi"/>
        </w:rPr>
        <w:t>siguiente</w:t>
      </w:r>
      <w:r>
        <w:rPr>
          <w:rFonts w:cstheme="minorHAnsi"/>
        </w:rPr>
        <w:t>.</w:t>
      </w:r>
    </w:p>
    <w:p w14:paraId="78E56F23" w14:textId="77777777" w:rsidR="000C2477" w:rsidRDefault="000C2477" w:rsidP="00EB546C">
      <w:pPr>
        <w:spacing w:after="0" w:line="240" w:lineRule="auto"/>
        <w:ind w:right="136"/>
        <w:jc w:val="both"/>
        <w:rPr>
          <w:rFonts w:cstheme="minorHAnsi"/>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0"/>
        <w:gridCol w:w="3371"/>
        <w:gridCol w:w="1134"/>
        <w:gridCol w:w="850"/>
        <w:gridCol w:w="993"/>
        <w:gridCol w:w="992"/>
        <w:gridCol w:w="1134"/>
      </w:tblGrid>
      <w:tr w:rsidR="007D3BFB" w:rsidRPr="000C2477" w14:paraId="25707A31" w14:textId="77777777" w:rsidTr="007D3BFB">
        <w:trPr>
          <w:trHeight w:val="587"/>
          <w:tblHeader/>
          <w:jc w:val="right"/>
        </w:trPr>
        <w:tc>
          <w:tcPr>
            <w:tcW w:w="310" w:type="dxa"/>
            <w:shd w:val="clear" w:color="auto" w:fill="70AD47" w:themeFill="accent6"/>
            <w:vAlign w:val="center"/>
          </w:tcPr>
          <w:p w14:paraId="34D3AE4A" w14:textId="7AD19BA9" w:rsidR="000C2477" w:rsidRPr="000C2477" w:rsidRDefault="000C2477" w:rsidP="005325EE">
            <w:pPr>
              <w:spacing w:after="0"/>
              <w:jc w:val="center"/>
              <w:rPr>
                <w:b/>
                <w:color w:val="FFFFFF" w:themeColor="background1"/>
                <w:sz w:val="14"/>
                <w:szCs w:val="14"/>
              </w:rPr>
            </w:pPr>
            <w:r w:rsidRPr="000C2477">
              <w:rPr>
                <w:b/>
                <w:color w:val="FFFFFF" w:themeColor="background1"/>
                <w:sz w:val="14"/>
                <w:szCs w:val="14"/>
              </w:rPr>
              <w:t>No</w:t>
            </w:r>
          </w:p>
        </w:tc>
        <w:tc>
          <w:tcPr>
            <w:tcW w:w="3371" w:type="dxa"/>
            <w:shd w:val="clear" w:color="auto" w:fill="70AD47" w:themeFill="accent6"/>
            <w:vAlign w:val="center"/>
          </w:tcPr>
          <w:p w14:paraId="37D21ABC" w14:textId="77777777" w:rsidR="000C2477" w:rsidRPr="000C2477" w:rsidRDefault="000C2477" w:rsidP="005325EE">
            <w:pPr>
              <w:spacing w:after="0"/>
              <w:jc w:val="center"/>
              <w:rPr>
                <w:b/>
                <w:color w:val="FFFFFF" w:themeColor="background1"/>
                <w:sz w:val="14"/>
                <w:szCs w:val="14"/>
              </w:rPr>
            </w:pPr>
            <w:r w:rsidRPr="000C2477">
              <w:rPr>
                <w:b/>
                <w:color w:val="FFFFFF" w:themeColor="background1"/>
                <w:sz w:val="14"/>
                <w:szCs w:val="14"/>
              </w:rPr>
              <w:t>Titular</w:t>
            </w:r>
          </w:p>
        </w:tc>
        <w:tc>
          <w:tcPr>
            <w:tcW w:w="1134" w:type="dxa"/>
            <w:shd w:val="clear" w:color="auto" w:fill="70AD47" w:themeFill="accent6"/>
            <w:vAlign w:val="center"/>
          </w:tcPr>
          <w:p w14:paraId="12586D93" w14:textId="77777777" w:rsidR="000C2477" w:rsidRPr="000C2477" w:rsidRDefault="000C2477" w:rsidP="005325EE">
            <w:pPr>
              <w:spacing w:after="0"/>
              <w:jc w:val="center"/>
              <w:rPr>
                <w:b/>
                <w:color w:val="FFFFFF" w:themeColor="background1"/>
                <w:sz w:val="14"/>
                <w:szCs w:val="14"/>
              </w:rPr>
            </w:pPr>
            <w:r w:rsidRPr="000C2477">
              <w:rPr>
                <w:b/>
                <w:color w:val="FFFFFF" w:themeColor="background1"/>
                <w:sz w:val="14"/>
                <w:szCs w:val="14"/>
              </w:rPr>
              <w:t>Fecha de otorgamiento</w:t>
            </w:r>
          </w:p>
        </w:tc>
        <w:tc>
          <w:tcPr>
            <w:tcW w:w="850" w:type="dxa"/>
            <w:shd w:val="clear" w:color="auto" w:fill="70AD47" w:themeFill="accent6"/>
            <w:vAlign w:val="center"/>
          </w:tcPr>
          <w:p w14:paraId="65705A9F" w14:textId="77777777" w:rsidR="000C2477" w:rsidRPr="000C2477" w:rsidRDefault="000C2477" w:rsidP="005325EE">
            <w:pPr>
              <w:spacing w:after="0"/>
              <w:jc w:val="center"/>
              <w:rPr>
                <w:b/>
                <w:color w:val="FFFFFF" w:themeColor="background1"/>
                <w:sz w:val="14"/>
                <w:szCs w:val="14"/>
              </w:rPr>
            </w:pPr>
            <w:r w:rsidRPr="000C2477">
              <w:rPr>
                <w:b/>
                <w:color w:val="FFFFFF" w:themeColor="background1"/>
                <w:sz w:val="14"/>
                <w:szCs w:val="14"/>
              </w:rPr>
              <w:t>Vigencia</w:t>
            </w:r>
          </w:p>
          <w:p w14:paraId="225164C6" w14:textId="77777777" w:rsidR="000C2477" w:rsidRPr="000C2477" w:rsidRDefault="000C2477" w:rsidP="005325EE">
            <w:pPr>
              <w:spacing w:after="0"/>
              <w:jc w:val="center"/>
              <w:rPr>
                <w:b/>
                <w:color w:val="FFFFFF" w:themeColor="background1"/>
                <w:sz w:val="14"/>
                <w:szCs w:val="14"/>
              </w:rPr>
            </w:pPr>
            <w:r w:rsidRPr="000C2477">
              <w:rPr>
                <w:b/>
                <w:color w:val="FFFFFF" w:themeColor="background1"/>
                <w:sz w:val="14"/>
                <w:szCs w:val="14"/>
              </w:rPr>
              <w:t>(Años)</w:t>
            </w:r>
          </w:p>
        </w:tc>
        <w:tc>
          <w:tcPr>
            <w:tcW w:w="993" w:type="dxa"/>
            <w:shd w:val="clear" w:color="auto" w:fill="70AD47" w:themeFill="accent6"/>
            <w:vAlign w:val="center"/>
          </w:tcPr>
          <w:p w14:paraId="2793BFB2" w14:textId="77777777" w:rsidR="000C2477" w:rsidRPr="000C2477" w:rsidRDefault="000C2477" w:rsidP="005325EE">
            <w:pPr>
              <w:spacing w:after="0"/>
              <w:jc w:val="center"/>
              <w:rPr>
                <w:b/>
                <w:color w:val="FFFFFF" w:themeColor="background1"/>
                <w:sz w:val="14"/>
                <w:szCs w:val="14"/>
              </w:rPr>
            </w:pPr>
            <w:r w:rsidRPr="000C2477">
              <w:rPr>
                <w:b/>
                <w:color w:val="FFFFFF" w:themeColor="background1"/>
                <w:sz w:val="14"/>
                <w:szCs w:val="14"/>
              </w:rPr>
              <w:t>Título</w:t>
            </w:r>
          </w:p>
        </w:tc>
        <w:tc>
          <w:tcPr>
            <w:tcW w:w="992" w:type="dxa"/>
            <w:shd w:val="clear" w:color="auto" w:fill="70AD47" w:themeFill="accent6"/>
            <w:vAlign w:val="center"/>
          </w:tcPr>
          <w:p w14:paraId="6A2DD93E" w14:textId="335DFF30" w:rsidR="000C2477" w:rsidRPr="000C2477" w:rsidRDefault="00BE0827" w:rsidP="005325EE">
            <w:pPr>
              <w:spacing w:after="0"/>
              <w:jc w:val="center"/>
              <w:rPr>
                <w:b/>
                <w:color w:val="FFFFFF" w:themeColor="background1"/>
                <w:sz w:val="14"/>
                <w:szCs w:val="14"/>
              </w:rPr>
            </w:pPr>
            <w:r>
              <w:rPr>
                <w:b/>
                <w:color w:val="FFFFFF" w:themeColor="background1"/>
                <w:sz w:val="14"/>
                <w:szCs w:val="14"/>
              </w:rPr>
              <w:t>Cobertura</w:t>
            </w:r>
          </w:p>
        </w:tc>
        <w:tc>
          <w:tcPr>
            <w:tcW w:w="1134" w:type="dxa"/>
            <w:shd w:val="clear" w:color="auto" w:fill="70AD47" w:themeFill="accent6"/>
            <w:vAlign w:val="center"/>
          </w:tcPr>
          <w:p w14:paraId="7BF40798" w14:textId="77777777" w:rsidR="000C2477" w:rsidRPr="000C2477" w:rsidRDefault="000C2477" w:rsidP="005325EE">
            <w:pPr>
              <w:spacing w:after="0"/>
              <w:jc w:val="center"/>
              <w:rPr>
                <w:b/>
                <w:color w:val="FFFFFF" w:themeColor="background1"/>
                <w:sz w:val="14"/>
                <w:szCs w:val="14"/>
              </w:rPr>
            </w:pPr>
            <w:r w:rsidRPr="000C2477">
              <w:rPr>
                <w:b/>
                <w:color w:val="FFFFFF" w:themeColor="background1"/>
                <w:sz w:val="14"/>
                <w:szCs w:val="14"/>
              </w:rPr>
              <w:t>Folio en el RPC</w:t>
            </w:r>
          </w:p>
        </w:tc>
      </w:tr>
      <w:tr w:rsidR="007D3BFB" w:rsidRPr="000C2477" w14:paraId="09EA2F00" w14:textId="77777777" w:rsidTr="007D3BFB">
        <w:trPr>
          <w:jc w:val="right"/>
        </w:trPr>
        <w:tc>
          <w:tcPr>
            <w:tcW w:w="310" w:type="dxa"/>
            <w:shd w:val="clear" w:color="auto" w:fill="E2EFD9" w:themeFill="accent6" w:themeFillTint="33"/>
            <w:vAlign w:val="center"/>
          </w:tcPr>
          <w:p w14:paraId="7D22971E" w14:textId="77777777" w:rsidR="000C2477" w:rsidRPr="000C2477" w:rsidRDefault="000C2477" w:rsidP="005325EE">
            <w:pPr>
              <w:spacing w:after="0"/>
              <w:jc w:val="center"/>
              <w:rPr>
                <w:b/>
                <w:sz w:val="14"/>
                <w:szCs w:val="14"/>
              </w:rPr>
            </w:pPr>
            <w:r w:rsidRPr="000C2477">
              <w:rPr>
                <w:b/>
                <w:sz w:val="14"/>
                <w:szCs w:val="14"/>
              </w:rPr>
              <w:t>1</w:t>
            </w:r>
          </w:p>
        </w:tc>
        <w:tc>
          <w:tcPr>
            <w:tcW w:w="3371" w:type="dxa"/>
            <w:shd w:val="clear" w:color="auto" w:fill="FFFFFF" w:themeFill="background1"/>
            <w:vAlign w:val="center"/>
          </w:tcPr>
          <w:p w14:paraId="330C48F1" w14:textId="77777777" w:rsidR="000C2477" w:rsidRPr="000C2477" w:rsidRDefault="000C2477" w:rsidP="005325EE">
            <w:pPr>
              <w:spacing w:after="0"/>
              <w:jc w:val="both"/>
              <w:rPr>
                <w:sz w:val="14"/>
                <w:szCs w:val="14"/>
              </w:rPr>
            </w:pPr>
            <w:r w:rsidRPr="000C2477">
              <w:rPr>
                <w:sz w:val="14"/>
                <w:szCs w:val="14"/>
              </w:rPr>
              <w:t>HISPASAT MÉXICO, S.A. DE C.V.</w:t>
            </w:r>
          </w:p>
        </w:tc>
        <w:tc>
          <w:tcPr>
            <w:tcW w:w="1134" w:type="dxa"/>
            <w:shd w:val="clear" w:color="auto" w:fill="FFFFFF" w:themeFill="background1"/>
            <w:vAlign w:val="center"/>
          </w:tcPr>
          <w:p w14:paraId="795726E1" w14:textId="3C6D1974" w:rsidR="000C2477" w:rsidRPr="000C2477" w:rsidRDefault="00473608" w:rsidP="005325EE">
            <w:pPr>
              <w:spacing w:after="0"/>
              <w:jc w:val="center"/>
              <w:rPr>
                <w:sz w:val="14"/>
                <w:szCs w:val="14"/>
              </w:rPr>
            </w:pPr>
            <w:r>
              <w:rPr>
                <w:sz w:val="14"/>
                <w:szCs w:val="14"/>
              </w:rPr>
              <w:t>2017-08-24</w:t>
            </w:r>
          </w:p>
        </w:tc>
        <w:tc>
          <w:tcPr>
            <w:tcW w:w="850" w:type="dxa"/>
            <w:shd w:val="clear" w:color="auto" w:fill="FFFFFF" w:themeFill="background1"/>
            <w:vAlign w:val="center"/>
          </w:tcPr>
          <w:p w14:paraId="1F7B8412" w14:textId="77777777" w:rsidR="000C2477" w:rsidRPr="000C2477" w:rsidRDefault="000C2477" w:rsidP="005325EE">
            <w:pPr>
              <w:spacing w:after="0"/>
              <w:jc w:val="center"/>
              <w:rPr>
                <w:sz w:val="14"/>
                <w:szCs w:val="14"/>
              </w:rPr>
            </w:pPr>
            <w:r w:rsidRPr="000C2477">
              <w:rPr>
                <w:sz w:val="14"/>
                <w:szCs w:val="14"/>
              </w:rPr>
              <w:t>10</w:t>
            </w:r>
          </w:p>
        </w:tc>
        <w:tc>
          <w:tcPr>
            <w:tcW w:w="993" w:type="dxa"/>
            <w:shd w:val="clear" w:color="auto" w:fill="FFFFFF" w:themeFill="background1"/>
            <w:vAlign w:val="center"/>
          </w:tcPr>
          <w:p w14:paraId="6086639B" w14:textId="77777777" w:rsidR="000C2477" w:rsidRPr="000C2477" w:rsidRDefault="000C2477" w:rsidP="005325EE">
            <w:pPr>
              <w:spacing w:after="0"/>
              <w:jc w:val="center"/>
              <w:rPr>
                <w:sz w:val="14"/>
                <w:szCs w:val="14"/>
              </w:rPr>
            </w:pPr>
            <w:r w:rsidRPr="000C2477">
              <w:rPr>
                <w:sz w:val="14"/>
                <w:szCs w:val="14"/>
              </w:rPr>
              <w:t>Autorización</w:t>
            </w:r>
          </w:p>
        </w:tc>
        <w:tc>
          <w:tcPr>
            <w:tcW w:w="992" w:type="dxa"/>
            <w:shd w:val="clear" w:color="auto" w:fill="FFFFFF" w:themeFill="background1"/>
            <w:vAlign w:val="center"/>
          </w:tcPr>
          <w:p w14:paraId="1EA80C93" w14:textId="00FCD434" w:rsidR="000C2477" w:rsidRPr="000C2477" w:rsidRDefault="00BE0827" w:rsidP="005325EE">
            <w:pPr>
              <w:spacing w:after="0"/>
              <w:jc w:val="center"/>
              <w:rPr>
                <w:sz w:val="14"/>
                <w:szCs w:val="14"/>
              </w:rPr>
            </w:pPr>
            <w:r>
              <w:rPr>
                <w:sz w:val="14"/>
                <w:szCs w:val="14"/>
              </w:rPr>
              <w:t>Nacional</w:t>
            </w:r>
          </w:p>
        </w:tc>
        <w:tc>
          <w:tcPr>
            <w:tcW w:w="1134" w:type="dxa"/>
            <w:vAlign w:val="center"/>
          </w:tcPr>
          <w:p w14:paraId="2FF72005" w14:textId="3594CBEC" w:rsidR="000C2477" w:rsidRPr="000C2477" w:rsidRDefault="00542D47" w:rsidP="005325EE">
            <w:pPr>
              <w:spacing w:after="0"/>
              <w:jc w:val="center"/>
              <w:rPr>
                <w:sz w:val="14"/>
                <w:szCs w:val="14"/>
              </w:rPr>
            </w:pPr>
            <w:r w:rsidRPr="00542D47">
              <w:rPr>
                <w:sz w:val="14"/>
                <w:szCs w:val="14"/>
              </w:rPr>
              <w:t>FET096162AU-100678</w:t>
            </w:r>
          </w:p>
        </w:tc>
      </w:tr>
      <w:tr w:rsidR="007D3BFB" w:rsidRPr="000C2477" w14:paraId="27E5C04C" w14:textId="77777777" w:rsidTr="007D3BFB">
        <w:trPr>
          <w:jc w:val="right"/>
        </w:trPr>
        <w:tc>
          <w:tcPr>
            <w:tcW w:w="310" w:type="dxa"/>
            <w:shd w:val="clear" w:color="auto" w:fill="E2EFD9" w:themeFill="accent6" w:themeFillTint="33"/>
            <w:vAlign w:val="center"/>
          </w:tcPr>
          <w:p w14:paraId="6F271731" w14:textId="77777777" w:rsidR="000C2477" w:rsidRPr="000C2477" w:rsidRDefault="000C2477" w:rsidP="005325EE">
            <w:pPr>
              <w:spacing w:after="0"/>
              <w:jc w:val="center"/>
              <w:rPr>
                <w:b/>
                <w:sz w:val="14"/>
                <w:szCs w:val="14"/>
              </w:rPr>
            </w:pPr>
            <w:r w:rsidRPr="000C2477">
              <w:rPr>
                <w:b/>
                <w:sz w:val="14"/>
                <w:szCs w:val="14"/>
              </w:rPr>
              <w:t>2</w:t>
            </w:r>
          </w:p>
        </w:tc>
        <w:tc>
          <w:tcPr>
            <w:tcW w:w="3371" w:type="dxa"/>
            <w:shd w:val="clear" w:color="auto" w:fill="FFFFFF" w:themeFill="background1"/>
            <w:vAlign w:val="center"/>
          </w:tcPr>
          <w:p w14:paraId="49B1AEBB" w14:textId="77777777" w:rsidR="000C2477" w:rsidRPr="000C2477" w:rsidRDefault="000C2477" w:rsidP="000C2477">
            <w:pPr>
              <w:spacing w:after="0"/>
              <w:jc w:val="both"/>
              <w:rPr>
                <w:sz w:val="14"/>
                <w:szCs w:val="14"/>
              </w:rPr>
            </w:pPr>
            <w:r w:rsidRPr="000C2477">
              <w:rPr>
                <w:sz w:val="14"/>
                <w:szCs w:val="14"/>
              </w:rPr>
              <w:t>ORGTEC, S. DE R.L. DE C.V.</w:t>
            </w:r>
          </w:p>
        </w:tc>
        <w:tc>
          <w:tcPr>
            <w:tcW w:w="1134" w:type="dxa"/>
            <w:shd w:val="clear" w:color="auto" w:fill="FFFFFF" w:themeFill="background1"/>
            <w:vAlign w:val="center"/>
          </w:tcPr>
          <w:p w14:paraId="4089268F" w14:textId="0D8FC456" w:rsidR="000C2477" w:rsidRPr="000C2477" w:rsidRDefault="00473608" w:rsidP="005325EE">
            <w:pPr>
              <w:spacing w:after="0"/>
              <w:jc w:val="center"/>
              <w:rPr>
                <w:sz w:val="14"/>
                <w:szCs w:val="14"/>
              </w:rPr>
            </w:pPr>
            <w:r w:rsidRPr="00473608">
              <w:rPr>
                <w:sz w:val="14"/>
                <w:szCs w:val="14"/>
              </w:rPr>
              <w:t>2009-08-03</w:t>
            </w:r>
          </w:p>
        </w:tc>
        <w:tc>
          <w:tcPr>
            <w:tcW w:w="850" w:type="dxa"/>
            <w:shd w:val="clear" w:color="auto" w:fill="FFFFFF" w:themeFill="background1"/>
            <w:vAlign w:val="center"/>
          </w:tcPr>
          <w:p w14:paraId="689901A1" w14:textId="77777777" w:rsidR="000C2477" w:rsidRPr="000C2477" w:rsidRDefault="000C2477" w:rsidP="005325EE">
            <w:pPr>
              <w:spacing w:after="0"/>
              <w:jc w:val="center"/>
              <w:rPr>
                <w:sz w:val="14"/>
                <w:szCs w:val="14"/>
              </w:rPr>
            </w:pPr>
            <w:r w:rsidRPr="000C2477">
              <w:rPr>
                <w:sz w:val="14"/>
                <w:szCs w:val="14"/>
              </w:rPr>
              <w:t>10</w:t>
            </w:r>
          </w:p>
        </w:tc>
        <w:tc>
          <w:tcPr>
            <w:tcW w:w="993" w:type="dxa"/>
            <w:shd w:val="clear" w:color="auto" w:fill="FFFFFF" w:themeFill="background1"/>
            <w:vAlign w:val="center"/>
          </w:tcPr>
          <w:p w14:paraId="50E07AD8" w14:textId="77777777" w:rsidR="000C2477" w:rsidRPr="000C2477" w:rsidRDefault="000C2477" w:rsidP="005325EE">
            <w:pPr>
              <w:spacing w:after="0"/>
              <w:jc w:val="center"/>
              <w:rPr>
                <w:sz w:val="14"/>
                <w:szCs w:val="14"/>
              </w:rPr>
            </w:pPr>
            <w:r w:rsidRPr="000C2477">
              <w:rPr>
                <w:sz w:val="14"/>
                <w:szCs w:val="14"/>
              </w:rPr>
              <w:t>Concesión</w:t>
            </w:r>
          </w:p>
        </w:tc>
        <w:tc>
          <w:tcPr>
            <w:tcW w:w="992" w:type="dxa"/>
            <w:shd w:val="clear" w:color="auto" w:fill="FFFFFF" w:themeFill="background1"/>
            <w:vAlign w:val="center"/>
          </w:tcPr>
          <w:p w14:paraId="4ED585E3" w14:textId="76F11C49" w:rsidR="000C2477" w:rsidRPr="000C2477" w:rsidRDefault="00BE0827" w:rsidP="005325EE">
            <w:pPr>
              <w:spacing w:after="0"/>
              <w:jc w:val="center"/>
              <w:rPr>
                <w:sz w:val="14"/>
                <w:szCs w:val="14"/>
              </w:rPr>
            </w:pPr>
            <w:r>
              <w:rPr>
                <w:sz w:val="14"/>
                <w:szCs w:val="14"/>
              </w:rPr>
              <w:t>Nacional</w:t>
            </w:r>
          </w:p>
        </w:tc>
        <w:tc>
          <w:tcPr>
            <w:tcW w:w="1134" w:type="dxa"/>
            <w:vAlign w:val="center"/>
          </w:tcPr>
          <w:p w14:paraId="707E3200" w14:textId="57D083E6" w:rsidR="000C2477" w:rsidRPr="000C2477" w:rsidRDefault="00BE0827" w:rsidP="005325EE">
            <w:pPr>
              <w:spacing w:after="0"/>
              <w:jc w:val="center"/>
              <w:rPr>
                <w:sz w:val="14"/>
                <w:szCs w:val="14"/>
              </w:rPr>
            </w:pPr>
            <w:r w:rsidRPr="00BE0827">
              <w:rPr>
                <w:sz w:val="14"/>
                <w:szCs w:val="14"/>
              </w:rPr>
              <w:t>FET005552CO-104092</w:t>
            </w:r>
          </w:p>
        </w:tc>
      </w:tr>
      <w:tr w:rsidR="007D3BFB" w:rsidRPr="000C2477" w14:paraId="79955206" w14:textId="77777777" w:rsidTr="007D3BFB">
        <w:trPr>
          <w:jc w:val="right"/>
        </w:trPr>
        <w:tc>
          <w:tcPr>
            <w:tcW w:w="310" w:type="dxa"/>
            <w:shd w:val="clear" w:color="auto" w:fill="E2EFD9" w:themeFill="accent6" w:themeFillTint="33"/>
            <w:vAlign w:val="center"/>
          </w:tcPr>
          <w:p w14:paraId="24ED2B55" w14:textId="77777777" w:rsidR="000C2477" w:rsidRPr="000C2477" w:rsidRDefault="000C2477" w:rsidP="005325EE">
            <w:pPr>
              <w:spacing w:after="0"/>
              <w:jc w:val="center"/>
              <w:rPr>
                <w:b/>
                <w:sz w:val="14"/>
                <w:szCs w:val="14"/>
              </w:rPr>
            </w:pPr>
            <w:r w:rsidRPr="000C2477">
              <w:rPr>
                <w:b/>
                <w:sz w:val="14"/>
                <w:szCs w:val="14"/>
              </w:rPr>
              <w:t>3</w:t>
            </w:r>
          </w:p>
        </w:tc>
        <w:tc>
          <w:tcPr>
            <w:tcW w:w="3371" w:type="dxa"/>
            <w:shd w:val="clear" w:color="auto" w:fill="FFFFFF" w:themeFill="background1"/>
            <w:vAlign w:val="center"/>
          </w:tcPr>
          <w:p w14:paraId="39A41F2A" w14:textId="48D95624" w:rsidR="000C2477" w:rsidRPr="000C2477" w:rsidRDefault="000C2477" w:rsidP="000C2477">
            <w:pPr>
              <w:spacing w:after="0"/>
              <w:jc w:val="both"/>
              <w:rPr>
                <w:sz w:val="14"/>
                <w:szCs w:val="14"/>
              </w:rPr>
            </w:pPr>
            <w:r w:rsidRPr="000C2477">
              <w:rPr>
                <w:sz w:val="14"/>
                <w:szCs w:val="14"/>
              </w:rPr>
              <w:t>PANAMSAT DE MEXICO, S. DE R.L. DE C.V.</w:t>
            </w:r>
          </w:p>
        </w:tc>
        <w:tc>
          <w:tcPr>
            <w:tcW w:w="1134" w:type="dxa"/>
            <w:shd w:val="clear" w:color="auto" w:fill="FFFFFF" w:themeFill="background1"/>
            <w:vAlign w:val="center"/>
          </w:tcPr>
          <w:p w14:paraId="684C6C71" w14:textId="77777777" w:rsidR="000C2477" w:rsidRPr="000C2477" w:rsidRDefault="000C2477" w:rsidP="005325EE">
            <w:pPr>
              <w:spacing w:after="0"/>
              <w:jc w:val="center"/>
              <w:rPr>
                <w:sz w:val="14"/>
                <w:szCs w:val="14"/>
              </w:rPr>
            </w:pPr>
            <w:r w:rsidRPr="000C2477">
              <w:rPr>
                <w:sz w:val="14"/>
                <w:szCs w:val="14"/>
              </w:rPr>
              <w:t>2011-09-23</w:t>
            </w:r>
          </w:p>
        </w:tc>
        <w:tc>
          <w:tcPr>
            <w:tcW w:w="850" w:type="dxa"/>
            <w:shd w:val="clear" w:color="auto" w:fill="FFFFFF" w:themeFill="background1"/>
            <w:vAlign w:val="center"/>
          </w:tcPr>
          <w:p w14:paraId="56E91140" w14:textId="77777777" w:rsidR="000C2477" w:rsidRPr="000C2477" w:rsidRDefault="000C2477" w:rsidP="005325EE">
            <w:pPr>
              <w:spacing w:after="0"/>
              <w:jc w:val="center"/>
              <w:rPr>
                <w:sz w:val="14"/>
                <w:szCs w:val="14"/>
              </w:rPr>
            </w:pPr>
            <w:r w:rsidRPr="000C2477">
              <w:rPr>
                <w:sz w:val="14"/>
                <w:szCs w:val="14"/>
              </w:rPr>
              <w:t>10</w:t>
            </w:r>
          </w:p>
        </w:tc>
        <w:tc>
          <w:tcPr>
            <w:tcW w:w="993" w:type="dxa"/>
            <w:shd w:val="clear" w:color="auto" w:fill="FFFFFF" w:themeFill="background1"/>
            <w:vAlign w:val="center"/>
          </w:tcPr>
          <w:p w14:paraId="4647BB29" w14:textId="77777777" w:rsidR="000C2477" w:rsidRPr="000C2477" w:rsidRDefault="000C2477" w:rsidP="005325EE">
            <w:pPr>
              <w:spacing w:after="0"/>
              <w:jc w:val="center"/>
              <w:rPr>
                <w:sz w:val="14"/>
                <w:szCs w:val="14"/>
              </w:rPr>
            </w:pPr>
            <w:r w:rsidRPr="000C2477">
              <w:rPr>
                <w:sz w:val="14"/>
                <w:szCs w:val="14"/>
              </w:rPr>
              <w:t>Concesión</w:t>
            </w:r>
          </w:p>
        </w:tc>
        <w:tc>
          <w:tcPr>
            <w:tcW w:w="992" w:type="dxa"/>
            <w:shd w:val="clear" w:color="auto" w:fill="FFFFFF" w:themeFill="background1"/>
            <w:vAlign w:val="center"/>
          </w:tcPr>
          <w:p w14:paraId="48E3F7D9" w14:textId="64A0E2D7" w:rsidR="000C2477" w:rsidRPr="000C2477" w:rsidRDefault="00575708" w:rsidP="005325EE">
            <w:pPr>
              <w:spacing w:after="0"/>
              <w:jc w:val="center"/>
              <w:rPr>
                <w:sz w:val="14"/>
                <w:szCs w:val="14"/>
              </w:rPr>
            </w:pPr>
            <w:r>
              <w:rPr>
                <w:sz w:val="14"/>
                <w:szCs w:val="14"/>
              </w:rPr>
              <w:t>Nacional</w:t>
            </w:r>
          </w:p>
        </w:tc>
        <w:tc>
          <w:tcPr>
            <w:tcW w:w="1134" w:type="dxa"/>
            <w:vAlign w:val="center"/>
          </w:tcPr>
          <w:p w14:paraId="6CA82582" w14:textId="6C07DF09" w:rsidR="000C2477" w:rsidRPr="000C2477" w:rsidRDefault="00575708" w:rsidP="005325EE">
            <w:pPr>
              <w:spacing w:after="0"/>
              <w:jc w:val="center"/>
              <w:rPr>
                <w:sz w:val="14"/>
                <w:szCs w:val="14"/>
              </w:rPr>
            </w:pPr>
            <w:r w:rsidRPr="00575708">
              <w:rPr>
                <w:sz w:val="14"/>
                <w:szCs w:val="14"/>
              </w:rPr>
              <w:t>FET005432CO-100722</w:t>
            </w:r>
          </w:p>
        </w:tc>
      </w:tr>
      <w:tr w:rsidR="007D3BFB" w:rsidRPr="000C2477" w14:paraId="5BC69ACB" w14:textId="77777777" w:rsidTr="007D3BFB">
        <w:trPr>
          <w:jc w:val="right"/>
        </w:trPr>
        <w:tc>
          <w:tcPr>
            <w:tcW w:w="310" w:type="dxa"/>
            <w:shd w:val="clear" w:color="auto" w:fill="E2EFD9" w:themeFill="accent6" w:themeFillTint="33"/>
            <w:vAlign w:val="center"/>
          </w:tcPr>
          <w:p w14:paraId="596AEE9A" w14:textId="2BCDB0BB" w:rsidR="000C2477" w:rsidRPr="000C2477" w:rsidRDefault="00A2147E" w:rsidP="005325EE">
            <w:pPr>
              <w:spacing w:after="0"/>
              <w:jc w:val="center"/>
              <w:rPr>
                <w:b/>
                <w:sz w:val="14"/>
                <w:szCs w:val="14"/>
              </w:rPr>
            </w:pPr>
            <w:r>
              <w:rPr>
                <w:b/>
                <w:sz w:val="14"/>
                <w:szCs w:val="14"/>
              </w:rPr>
              <w:t>4</w:t>
            </w:r>
          </w:p>
        </w:tc>
        <w:tc>
          <w:tcPr>
            <w:tcW w:w="3371" w:type="dxa"/>
            <w:shd w:val="clear" w:color="auto" w:fill="FFFFFF" w:themeFill="background1"/>
            <w:vAlign w:val="center"/>
          </w:tcPr>
          <w:p w14:paraId="76507F94" w14:textId="77777777" w:rsidR="000C2477" w:rsidRPr="000C2477" w:rsidRDefault="000C2477" w:rsidP="000C2477">
            <w:pPr>
              <w:spacing w:after="0"/>
              <w:jc w:val="both"/>
              <w:rPr>
                <w:sz w:val="14"/>
                <w:szCs w:val="14"/>
              </w:rPr>
            </w:pPr>
            <w:r w:rsidRPr="000C2477">
              <w:rPr>
                <w:sz w:val="14"/>
                <w:szCs w:val="14"/>
              </w:rPr>
              <w:t>ORGTEC, S. DE R.L. DE C.V.</w:t>
            </w:r>
          </w:p>
        </w:tc>
        <w:tc>
          <w:tcPr>
            <w:tcW w:w="1134" w:type="dxa"/>
            <w:shd w:val="clear" w:color="auto" w:fill="FFFFFF" w:themeFill="background1"/>
            <w:vAlign w:val="center"/>
          </w:tcPr>
          <w:p w14:paraId="093B57B7" w14:textId="4F8AB779" w:rsidR="000C2477" w:rsidRPr="000C2477" w:rsidRDefault="00575708" w:rsidP="005325EE">
            <w:pPr>
              <w:spacing w:after="0"/>
              <w:jc w:val="center"/>
              <w:rPr>
                <w:sz w:val="14"/>
                <w:szCs w:val="14"/>
              </w:rPr>
            </w:pPr>
            <w:r w:rsidRPr="00575708">
              <w:rPr>
                <w:sz w:val="14"/>
                <w:szCs w:val="14"/>
              </w:rPr>
              <w:t>2016</w:t>
            </w:r>
            <w:r w:rsidR="000C2477" w:rsidRPr="000C2477">
              <w:rPr>
                <w:sz w:val="14"/>
                <w:szCs w:val="14"/>
              </w:rPr>
              <w:t>-01-</w:t>
            </w:r>
            <w:r w:rsidRPr="00575708">
              <w:rPr>
                <w:sz w:val="14"/>
                <w:szCs w:val="14"/>
              </w:rPr>
              <w:t>29</w:t>
            </w:r>
          </w:p>
        </w:tc>
        <w:tc>
          <w:tcPr>
            <w:tcW w:w="850" w:type="dxa"/>
            <w:shd w:val="clear" w:color="auto" w:fill="FFFFFF" w:themeFill="background1"/>
            <w:vAlign w:val="center"/>
          </w:tcPr>
          <w:p w14:paraId="44A0C034" w14:textId="77777777" w:rsidR="000C2477" w:rsidRPr="000C2477" w:rsidRDefault="000C2477" w:rsidP="005325EE">
            <w:pPr>
              <w:spacing w:after="0"/>
              <w:jc w:val="center"/>
              <w:rPr>
                <w:sz w:val="14"/>
                <w:szCs w:val="14"/>
              </w:rPr>
            </w:pPr>
            <w:r w:rsidRPr="000C2477">
              <w:rPr>
                <w:sz w:val="14"/>
                <w:szCs w:val="14"/>
              </w:rPr>
              <w:t>10</w:t>
            </w:r>
          </w:p>
        </w:tc>
        <w:tc>
          <w:tcPr>
            <w:tcW w:w="993" w:type="dxa"/>
            <w:shd w:val="clear" w:color="auto" w:fill="FFFFFF" w:themeFill="background1"/>
            <w:vAlign w:val="center"/>
          </w:tcPr>
          <w:p w14:paraId="65FA519F" w14:textId="77777777" w:rsidR="000C2477" w:rsidRPr="000C2477" w:rsidRDefault="000C2477" w:rsidP="005325EE">
            <w:pPr>
              <w:spacing w:after="0"/>
              <w:jc w:val="center"/>
              <w:rPr>
                <w:sz w:val="14"/>
                <w:szCs w:val="14"/>
              </w:rPr>
            </w:pPr>
            <w:r w:rsidRPr="000C2477">
              <w:rPr>
                <w:sz w:val="14"/>
                <w:szCs w:val="14"/>
              </w:rPr>
              <w:t>Autorización</w:t>
            </w:r>
          </w:p>
        </w:tc>
        <w:tc>
          <w:tcPr>
            <w:tcW w:w="992" w:type="dxa"/>
            <w:shd w:val="clear" w:color="auto" w:fill="FFFFFF" w:themeFill="background1"/>
            <w:vAlign w:val="center"/>
          </w:tcPr>
          <w:p w14:paraId="4F1A2C95" w14:textId="302F6FDD" w:rsidR="000C2477" w:rsidRPr="000C2477" w:rsidRDefault="00BE0827" w:rsidP="005325EE">
            <w:pPr>
              <w:spacing w:after="0"/>
              <w:jc w:val="center"/>
              <w:rPr>
                <w:sz w:val="14"/>
                <w:szCs w:val="14"/>
              </w:rPr>
            </w:pPr>
            <w:r>
              <w:rPr>
                <w:sz w:val="14"/>
                <w:szCs w:val="14"/>
              </w:rPr>
              <w:t>Nacional</w:t>
            </w:r>
          </w:p>
        </w:tc>
        <w:tc>
          <w:tcPr>
            <w:tcW w:w="1134" w:type="dxa"/>
            <w:vAlign w:val="center"/>
          </w:tcPr>
          <w:p w14:paraId="3A2D3894" w14:textId="3BAD0AD2" w:rsidR="000C2477" w:rsidRPr="000C2477" w:rsidRDefault="00BE0827" w:rsidP="005325EE">
            <w:pPr>
              <w:spacing w:after="0"/>
              <w:jc w:val="center"/>
              <w:rPr>
                <w:sz w:val="14"/>
                <w:szCs w:val="14"/>
              </w:rPr>
            </w:pPr>
            <w:r w:rsidRPr="00BE0827">
              <w:rPr>
                <w:sz w:val="14"/>
                <w:szCs w:val="14"/>
              </w:rPr>
              <w:t>FET085936AU-104092</w:t>
            </w:r>
          </w:p>
        </w:tc>
      </w:tr>
      <w:tr w:rsidR="007D3BFB" w:rsidRPr="000C2477" w14:paraId="580FD08A" w14:textId="77777777" w:rsidTr="007D3BFB">
        <w:trPr>
          <w:jc w:val="right"/>
        </w:trPr>
        <w:tc>
          <w:tcPr>
            <w:tcW w:w="310" w:type="dxa"/>
            <w:shd w:val="clear" w:color="auto" w:fill="E2EFD9" w:themeFill="accent6" w:themeFillTint="33"/>
            <w:vAlign w:val="center"/>
          </w:tcPr>
          <w:p w14:paraId="02F14147" w14:textId="455FDD56" w:rsidR="000C2477" w:rsidRPr="000C2477" w:rsidRDefault="00A2147E" w:rsidP="005325EE">
            <w:pPr>
              <w:spacing w:after="0"/>
              <w:jc w:val="center"/>
              <w:rPr>
                <w:b/>
                <w:sz w:val="14"/>
                <w:szCs w:val="14"/>
              </w:rPr>
            </w:pPr>
            <w:r>
              <w:rPr>
                <w:b/>
                <w:sz w:val="14"/>
                <w:szCs w:val="14"/>
              </w:rPr>
              <w:t>5</w:t>
            </w:r>
          </w:p>
        </w:tc>
        <w:tc>
          <w:tcPr>
            <w:tcW w:w="3371" w:type="dxa"/>
            <w:shd w:val="clear" w:color="auto" w:fill="FFFFFF" w:themeFill="background1"/>
            <w:vAlign w:val="center"/>
          </w:tcPr>
          <w:p w14:paraId="7C61E4FB" w14:textId="00B8EAA8" w:rsidR="000C2477" w:rsidRPr="000C2477" w:rsidRDefault="000C2477" w:rsidP="000C2477">
            <w:pPr>
              <w:spacing w:after="0"/>
              <w:jc w:val="both"/>
              <w:rPr>
                <w:sz w:val="14"/>
                <w:szCs w:val="14"/>
              </w:rPr>
            </w:pPr>
            <w:r w:rsidRPr="000C2477">
              <w:rPr>
                <w:sz w:val="14"/>
                <w:szCs w:val="14"/>
              </w:rPr>
              <w:t>SISTEMAS SATELITALES DE MÉXICO, S. DE R.L. DE C.V.</w:t>
            </w:r>
          </w:p>
        </w:tc>
        <w:tc>
          <w:tcPr>
            <w:tcW w:w="1134" w:type="dxa"/>
            <w:shd w:val="clear" w:color="auto" w:fill="FFFFFF" w:themeFill="background1"/>
            <w:vAlign w:val="center"/>
          </w:tcPr>
          <w:p w14:paraId="529A671F" w14:textId="77777777" w:rsidR="000C2477" w:rsidRPr="000C2477" w:rsidRDefault="000C2477" w:rsidP="005325EE">
            <w:pPr>
              <w:spacing w:after="0"/>
              <w:jc w:val="center"/>
              <w:rPr>
                <w:sz w:val="14"/>
                <w:szCs w:val="14"/>
              </w:rPr>
            </w:pPr>
            <w:r w:rsidRPr="000C2477">
              <w:rPr>
                <w:sz w:val="14"/>
                <w:szCs w:val="14"/>
              </w:rPr>
              <w:t>2019-01-24</w:t>
            </w:r>
          </w:p>
        </w:tc>
        <w:tc>
          <w:tcPr>
            <w:tcW w:w="850" w:type="dxa"/>
            <w:shd w:val="clear" w:color="auto" w:fill="FFFFFF" w:themeFill="background1"/>
            <w:vAlign w:val="center"/>
          </w:tcPr>
          <w:p w14:paraId="0872FD70" w14:textId="77777777" w:rsidR="000C2477" w:rsidRPr="000C2477" w:rsidRDefault="000C2477" w:rsidP="005325EE">
            <w:pPr>
              <w:spacing w:after="0"/>
              <w:jc w:val="center"/>
              <w:rPr>
                <w:sz w:val="14"/>
                <w:szCs w:val="14"/>
              </w:rPr>
            </w:pPr>
            <w:r w:rsidRPr="000C2477">
              <w:rPr>
                <w:sz w:val="14"/>
                <w:szCs w:val="14"/>
              </w:rPr>
              <w:t>10</w:t>
            </w:r>
          </w:p>
        </w:tc>
        <w:tc>
          <w:tcPr>
            <w:tcW w:w="993" w:type="dxa"/>
            <w:shd w:val="clear" w:color="auto" w:fill="FFFFFF" w:themeFill="background1"/>
            <w:vAlign w:val="center"/>
          </w:tcPr>
          <w:p w14:paraId="3E7157C0" w14:textId="77777777" w:rsidR="000C2477" w:rsidRPr="000C2477" w:rsidRDefault="000C2477" w:rsidP="005325EE">
            <w:pPr>
              <w:spacing w:after="0"/>
              <w:jc w:val="center"/>
              <w:rPr>
                <w:sz w:val="14"/>
                <w:szCs w:val="14"/>
              </w:rPr>
            </w:pPr>
            <w:r w:rsidRPr="000C2477">
              <w:rPr>
                <w:sz w:val="14"/>
                <w:szCs w:val="14"/>
              </w:rPr>
              <w:t>Autorización</w:t>
            </w:r>
          </w:p>
        </w:tc>
        <w:tc>
          <w:tcPr>
            <w:tcW w:w="992" w:type="dxa"/>
            <w:shd w:val="clear" w:color="auto" w:fill="FFFFFF" w:themeFill="background1"/>
            <w:vAlign w:val="center"/>
          </w:tcPr>
          <w:p w14:paraId="1D404515" w14:textId="6112502C" w:rsidR="000C2477" w:rsidRPr="000C2477" w:rsidRDefault="00575708" w:rsidP="005325EE">
            <w:pPr>
              <w:spacing w:after="0"/>
              <w:jc w:val="center"/>
              <w:rPr>
                <w:sz w:val="14"/>
                <w:szCs w:val="14"/>
              </w:rPr>
            </w:pPr>
            <w:r>
              <w:rPr>
                <w:sz w:val="14"/>
                <w:szCs w:val="14"/>
              </w:rPr>
              <w:t>Nacional</w:t>
            </w:r>
          </w:p>
        </w:tc>
        <w:tc>
          <w:tcPr>
            <w:tcW w:w="1134" w:type="dxa"/>
            <w:vAlign w:val="center"/>
          </w:tcPr>
          <w:p w14:paraId="45A6F26C" w14:textId="309D163D" w:rsidR="000C2477" w:rsidRPr="000C2477" w:rsidRDefault="00575708" w:rsidP="005325EE">
            <w:pPr>
              <w:spacing w:after="0"/>
              <w:jc w:val="center"/>
              <w:rPr>
                <w:sz w:val="14"/>
                <w:szCs w:val="14"/>
              </w:rPr>
            </w:pPr>
            <w:r w:rsidRPr="00575708">
              <w:rPr>
                <w:sz w:val="14"/>
                <w:szCs w:val="14"/>
              </w:rPr>
              <w:t>FET098029AU-100737</w:t>
            </w:r>
          </w:p>
        </w:tc>
      </w:tr>
    </w:tbl>
    <w:p w14:paraId="72134732" w14:textId="55426EAB" w:rsidR="000C1EA7" w:rsidRPr="004515D2" w:rsidRDefault="004515D2" w:rsidP="004515D2">
      <w:pPr>
        <w:spacing w:after="0" w:line="240" w:lineRule="auto"/>
        <w:ind w:right="136"/>
        <w:jc w:val="center"/>
        <w:rPr>
          <w:i/>
          <w:iCs/>
          <w:color w:val="44546A" w:themeColor="text2"/>
          <w:sz w:val="18"/>
          <w:szCs w:val="18"/>
        </w:rPr>
      </w:pPr>
      <w:r>
        <w:rPr>
          <w:i/>
          <w:iCs/>
          <w:color w:val="44546A" w:themeColor="text2"/>
          <w:sz w:val="18"/>
          <w:szCs w:val="18"/>
        </w:rPr>
        <w:t xml:space="preserve">Tabla 1. Concesionarios y autorizados de aterrizaje de señales en la </w:t>
      </w:r>
      <w:r w:rsidRPr="004515D2">
        <w:rPr>
          <w:i/>
          <w:iCs/>
          <w:color w:val="44546A" w:themeColor="text2"/>
          <w:sz w:val="18"/>
          <w:szCs w:val="18"/>
        </w:rPr>
        <w:t xml:space="preserve">banda 5850 – 5925 MHz conforme al </w:t>
      </w:r>
      <w:r>
        <w:rPr>
          <w:i/>
          <w:iCs/>
          <w:color w:val="44546A" w:themeColor="text2"/>
          <w:sz w:val="18"/>
          <w:szCs w:val="18"/>
        </w:rPr>
        <w:t>RPC</w:t>
      </w:r>
    </w:p>
    <w:p w14:paraId="4F545E9A" w14:textId="77777777" w:rsidR="004515D2" w:rsidRDefault="004515D2" w:rsidP="00EB546C">
      <w:pPr>
        <w:spacing w:after="0" w:line="240" w:lineRule="auto"/>
        <w:ind w:right="136"/>
        <w:jc w:val="both"/>
        <w:rPr>
          <w:rFonts w:cstheme="minorHAnsi"/>
        </w:rPr>
      </w:pPr>
    </w:p>
    <w:p w14:paraId="3629275F" w14:textId="63AE8F1C" w:rsidR="00152E03" w:rsidRDefault="00152E03" w:rsidP="00EB546C">
      <w:pPr>
        <w:spacing w:after="0" w:line="240" w:lineRule="auto"/>
        <w:ind w:right="136"/>
        <w:jc w:val="both"/>
        <w:rPr>
          <w:rFonts w:cstheme="minorHAnsi"/>
        </w:rPr>
      </w:pPr>
      <w:r>
        <w:rPr>
          <w:rFonts w:cstheme="minorHAnsi"/>
        </w:rPr>
        <w:lastRenderedPageBreak/>
        <w:t xml:space="preserve">Aunado a lo anterior, en el mismo RPC se cuenta con registro de más de 1,000 concesiones de uso privado con propósito de radioaficionados, los cuales amparan el uso de diversas bandas de frecuencias </w:t>
      </w:r>
      <w:r w:rsidR="001461FF">
        <w:rPr>
          <w:rFonts w:cstheme="minorHAnsi"/>
        </w:rPr>
        <w:t xml:space="preserve">atribuidas a los </w:t>
      </w:r>
      <w:r>
        <w:rPr>
          <w:rFonts w:cstheme="minorHAnsi"/>
        </w:rPr>
        <w:t>servicio</w:t>
      </w:r>
      <w:r w:rsidR="001461FF">
        <w:rPr>
          <w:rFonts w:cstheme="minorHAnsi"/>
        </w:rPr>
        <w:t>s</w:t>
      </w:r>
      <w:r>
        <w:rPr>
          <w:rFonts w:cstheme="minorHAnsi"/>
        </w:rPr>
        <w:t xml:space="preserve"> de aficionados y aficionados por satélite</w:t>
      </w:r>
      <w:r w:rsidR="00327F93">
        <w:rPr>
          <w:rFonts w:cstheme="minorHAnsi"/>
        </w:rPr>
        <w:t xml:space="preserve"> </w:t>
      </w:r>
      <w:r w:rsidR="001461FF">
        <w:rPr>
          <w:rFonts w:cstheme="minorHAnsi"/>
        </w:rPr>
        <w:t>d</w:t>
      </w:r>
      <w:r w:rsidR="00327F93">
        <w:rPr>
          <w:rFonts w:cstheme="minorHAnsi"/>
        </w:rPr>
        <w:t>el espectro radioeléctrico. No obstante, dicho servicio al estar atribuido a título secundario en la banda de frecuencias bajo análisis, no deberá causar interferencias perjudiciales a los servicios atribuidos a título primario.</w:t>
      </w:r>
    </w:p>
    <w:p w14:paraId="63D83057" w14:textId="77777777" w:rsidR="00D62651" w:rsidRDefault="00D62651" w:rsidP="00EB546C">
      <w:pPr>
        <w:spacing w:after="0" w:line="240" w:lineRule="auto"/>
        <w:ind w:right="136"/>
        <w:jc w:val="both"/>
        <w:rPr>
          <w:rFonts w:cstheme="minorHAnsi"/>
        </w:rPr>
      </w:pPr>
    </w:p>
    <w:p w14:paraId="77C368B9" w14:textId="77777777" w:rsidR="00872CB5" w:rsidRPr="00434FE9" w:rsidRDefault="003D3FF4" w:rsidP="00E1164E">
      <w:pPr>
        <w:pStyle w:val="Ttulo3"/>
      </w:pPr>
      <w:bookmarkStart w:id="93" w:name="_Toc71194797"/>
      <w:bookmarkStart w:id="94" w:name="_Toc79501214"/>
      <w:r>
        <w:t>Actividades en</w:t>
      </w:r>
      <w:r w:rsidRPr="00434FE9">
        <w:t xml:space="preserve"> </w:t>
      </w:r>
      <w:r w:rsidR="00A558B6" w:rsidRPr="00434FE9">
        <w:t>el CTER</w:t>
      </w:r>
      <w:r w:rsidR="00844AA4" w:rsidRPr="00434FE9">
        <w:t>.</w:t>
      </w:r>
      <w:bookmarkEnd w:id="93"/>
      <w:bookmarkEnd w:id="94"/>
    </w:p>
    <w:p w14:paraId="1E95695C" w14:textId="77777777" w:rsidR="00E1164E" w:rsidRDefault="00E1164E" w:rsidP="00C402CB">
      <w:pPr>
        <w:spacing w:after="0"/>
        <w:jc w:val="both"/>
        <w:rPr>
          <w:rFonts w:cstheme="minorHAnsi"/>
        </w:rPr>
      </w:pPr>
    </w:p>
    <w:p w14:paraId="64F7B47A" w14:textId="092F0905" w:rsidR="00584C6D" w:rsidRDefault="00584C6D" w:rsidP="00C402CB">
      <w:pPr>
        <w:spacing w:after="0"/>
        <w:jc w:val="both"/>
        <w:rPr>
          <w:rFonts w:cstheme="minorHAnsi"/>
        </w:rPr>
      </w:pPr>
      <w:r w:rsidRPr="00434FE9">
        <w:rPr>
          <w:rFonts w:cstheme="minorHAnsi"/>
        </w:rPr>
        <w:t xml:space="preserve">A la fecha de publicación del presente documento, se han presentado </w:t>
      </w:r>
      <w:r w:rsidR="00CE60D4">
        <w:rPr>
          <w:rFonts w:cstheme="minorHAnsi"/>
        </w:rPr>
        <w:t>diferentes</w:t>
      </w:r>
      <w:r w:rsidRPr="00434FE9">
        <w:rPr>
          <w:rFonts w:cstheme="minorHAnsi"/>
        </w:rPr>
        <w:t xml:space="preserve"> documentos de trabajo relacionados con </w:t>
      </w:r>
      <w:r w:rsidR="00D37A79">
        <w:rPr>
          <w:rFonts w:cstheme="minorHAnsi"/>
        </w:rPr>
        <w:t>STI</w:t>
      </w:r>
      <w:r w:rsidR="00807084" w:rsidRPr="00434FE9">
        <w:rPr>
          <w:rFonts w:cstheme="minorHAnsi"/>
        </w:rPr>
        <w:t xml:space="preserve"> en el C</w:t>
      </w:r>
      <w:r w:rsidR="0040521F">
        <w:rPr>
          <w:rFonts w:cstheme="minorHAnsi"/>
        </w:rPr>
        <w:t xml:space="preserve">omité </w:t>
      </w:r>
      <w:r w:rsidR="00807084" w:rsidRPr="00434FE9">
        <w:rPr>
          <w:rFonts w:cstheme="minorHAnsi"/>
        </w:rPr>
        <w:t>T</w:t>
      </w:r>
      <w:r w:rsidR="0040521F">
        <w:rPr>
          <w:rFonts w:cstheme="minorHAnsi"/>
        </w:rPr>
        <w:t>écnico en Materia de Espectro Radioeléctrico (CTER) del Instituto</w:t>
      </w:r>
      <w:r w:rsidR="004C5E03">
        <w:rPr>
          <w:rStyle w:val="Refdenotaalpie"/>
          <w:rFonts w:cstheme="minorHAnsi"/>
        </w:rPr>
        <w:footnoteReference w:id="3"/>
      </w:r>
      <w:r w:rsidR="00CE60D4">
        <w:rPr>
          <w:rFonts w:cstheme="minorHAnsi"/>
        </w:rPr>
        <w:t>, dichos trabajos se describen a continuación</w:t>
      </w:r>
      <w:r w:rsidR="00C73139">
        <w:rPr>
          <w:rFonts w:cstheme="minorHAnsi"/>
        </w:rPr>
        <w:t>:</w:t>
      </w:r>
    </w:p>
    <w:p w14:paraId="0DD3A628" w14:textId="77777777" w:rsidR="00584C6D" w:rsidRDefault="00584C6D" w:rsidP="00C402CB">
      <w:pPr>
        <w:spacing w:after="0"/>
        <w:jc w:val="both"/>
        <w:rPr>
          <w:rFonts w:cstheme="minorHAnsi"/>
        </w:rPr>
      </w:pPr>
    </w:p>
    <w:p w14:paraId="5CCB3582" w14:textId="2A454C18" w:rsidR="00636822" w:rsidRPr="00DB0563" w:rsidRDefault="00CE60D4" w:rsidP="006D7290">
      <w:pPr>
        <w:pStyle w:val="Prrafodelista"/>
        <w:numPr>
          <w:ilvl w:val="0"/>
          <w:numId w:val="9"/>
        </w:numPr>
        <w:spacing w:after="0"/>
        <w:jc w:val="both"/>
        <w:rPr>
          <w:rFonts w:cstheme="minorHAnsi"/>
        </w:rPr>
      </w:pPr>
      <w:r w:rsidRPr="004C5E03">
        <w:rPr>
          <w:rFonts w:cstheme="minorHAnsi"/>
        </w:rPr>
        <w:t>E</w:t>
      </w:r>
      <w:r w:rsidR="003269F2" w:rsidRPr="004C5E03">
        <w:rPr>
          <w:rFonts w:cstheme="minorHAnsi"/>
        </w:rPr>
        <w:t xml:space="preserve">n </w:t>
      </w:r>
      <w:r w:rsidR="00ED2FEC" w:rsidRPr="004C5E03">
        <w:rPr>
          <w:rFonts w:cstheme="minorHAnsi"/>
        </w:rPr>
        <w:t>la Reunión XXXIV del Grupo de Trabajo de Espectro para Servicios de Banda Ancha Móvil</w:t>
      </w:r>
      <w:r w:rsidR="00E105A9" w:rsidRPr="00DE0AAC">
        <w:rPr>
          <w:rFonts w:cstheme="minorHAnsi"/>
        </w:rPr>
        <w:t xml:space="preserve"> (GT BAM)</w:t>
      </w:r>
      <w:r w:rsidRPr="00DE0AAC">
        <w:rPr>
          <w:rFonts w:cstheme="minorHAnsi"/>
        </w:rPr>
        <w:t xml:space="preserve"> del CTER</w:t>
      </w:r>
      <w:r w:rsidR="00ED2FEC" w:rsidRPr="00DB0563">
        <w:rPr>
          <w:rFonts w:cstheme="minorHAnsi"/>
        </w:rPr>
        <w:t>, celebrada el día 28 de abril de 2021</w:t>
      </w:r>
      <w:r w:rsidR="00E105A9" w:rsidRPr="00DB0563">
        <w:rPr>
          <w:rFonts w:cstheme="minorHAnsi"/>
        </w:rPr>
        <w:t xml:space="preserve">, </w:t>
      </w:r>
      <w:r w:rsidRPr="00DB0563">
        <w:rPr>
          <w:rFonts w:cstheme="minorHAnsi"/>
        </w:rPr>
        <w:t xml:space="preserve">se presentó </w:t>
      </w:r>
      <w:r w:rsidR="00D27AB9" w:rsidRPr="00DB0563">
        <w:rPr>
          <w:rFonts w:cstheme="minorHAnsi"/>
        </w:rPr>
        <w:t>el</w:t>
      </w:r>
      <w:r w:rsidRPr="00DB0563">
        <w:rPr>
          <w:rFonts w:cstheme="minorHAnsi"/>
        </w:rPr>
        <w:t xml:space="preserve"> documento </w:t>
      </w:r>
      <w:r w:rsidR="0044505D" w:rsidRPr="00DB0563">
        <w:rPr>
          <w:rFonts w:cstheme="minorHAnsi"/>
        </w:rPr>
        <w:t>de trabajo</w:t>
      </w:r>
      <w:r w:rsidR="004C5E03">
        <w:rPr>
          <w:rStyle w:val="Refdenotaalpie"/>
          <w:rFonts w:cstheme="minorHAnsi"/>
        </w:rPr>
        <w:footnoteReference w:id="4"/>
      </w:r>
      <w:r w:rsidR="0044505D" w:rsidRPr="004C5E03">
        <w:rPr>
          <w:rFonts w:cstheme="minorHAnsi"/>
        </w:rPr>
        <w:t xml:space="preserve"> que resultó de</w:t>
      </w:r>
      <w:r w:rsidR="00636822" w:rsidRPr="004C5E03">
        <w:rPr>
          <w:rFonts w:cstheme="minorHAnsi"/>
        </w:rPr>
        <w:t xml:space="preserve"> la 36 Reunión del </w:t>
      </w:r>
      <w:r w:rsidR="000B5ECF" w:rsidRPr="00DE0AAC">
        <w:rPr>
          <w:rFonts w:cstheme="minorHAnsi"/>
        </w:rPr>
        <w:t>Comité Consultivo Permanente II: Radiocomunicaciones (</w:t>
      </w:r>
      <w:r w:rsidR="00636822" w:rsidRPr="00DE0AAC">
        <w:rPr>
          <w:rFonts w:cstheme="minorHAnsi"/>
        </w:rPr>
        <w:t>CCP.II</w:t>
      </w:r>
      <w:r w:rsidR="000B5ECF" w:rsidRPr="00DB0563">
        <w:rPr>
          <w:rFonts w:cstheme="minorHAnsi"/>
        </w:rPr>
        <w:t>)</w:t>
      </w:r>
      <w:r w:rsidR="00636822" w:rsidRPr="00DB0563">
        <w:rPr>
          <w:rFonts w:cstheme="minorHAnsi"/>
        </w:rPr>
        <w:t xml:space="preserve"> </w:t>
      </w:r>
      <w:r w:rsidR="000B5ECF" w:rsidRPr="00DB0563">
        <w:rPr>
          <w:rFonts w:cstheme="minorHAnsi"/>
        </w:rPr>
        <w:t>de la Comisión Interamericana de Telecomunicaciones (CITEL)</w:t>
      </w:r>
      <w:r w:rsidR="00636822" w:rsidRPr="00DB0563">
        <w:rPr>
          <w:rFonts w:cstheme="minorHAnsi"/>
        </w:rPr>
        <w:t xml:space="preserve">, </w:t>
      </w:r>
      <w:r w:rsidR="0044505D" w:rsidRPr="00DB0563">
        <w:rPr>
          <w:rFonts w:cstheme="minorHAnsi"/>
        </w:rPr>
        <w:t xml:space="preserve">el cual originalmente </w:t>
      </w:r>
      <w:r w:rsidR="002E2E49" w:rsidRPr="00DB0563">
        <w:rPr>
          <w:rFonts w:cstheme="minorHAnsi"/>
        </w:rPr>
        <w:t>envió</w:t>
      </w:r>
      <w:r w:rsidR="0044505D" w:rsidRPr="00DB0563">
        <w:rPr>
          <w:rFonts w:cstheme="minorHAnsi"/>
        </w:rPr>
        <w:t xml:space="preserve"> la administración de Brasil</w:t>
      </w:r>
      <w:r w:rsidR="00E105A9" w:rsidRPr="00DB0563">
        <w:rPr>
          <w:rFonts w:cstheme="minorHAnsi"/>
        </w:rPr>
        <w:t>.</w:t>
      </w:r>
      <w:r w:rsidR="004C5E03" w:rsidRPr="00DB0563">
        <w:rPr>
          <w:rFonts w:cstheme="minorHAnsi"/>
        </w:rPr>
        <w:t xml:space="preserve"> </w:t>
      </w:r>
      <w:r w:rsidR="00636822" w:rsidRPr="004C5E03">
        <w:rPr>
          <w:rFonts w:cstheme="minorHAnsi"/>
        </w:rPr>
        <w:t xml:space="preserve">En este documento </w:t>
      </w:r>
      <w:r w:rsidR="00D27AB9" w:rsidRPr="004C5E03">
        <w:rPr>
          <w:rFonts w:cstheme="minorHAnsi"/>
        </w:rPr>
        <w:t>se</w:t>
      </w:r>
      <w:r w:rsidR="00636822" w:rsidRPr="004C5E03">
        <w:rPr>
          <w:rFonts w:cstheme="minorHAnsi"/>
        </w:rPr>
        <w:t xml:space="preserve"> propone que el CCP.II de la CITEL inicie los diálogos para la preparación de un</w:t>
      </w:r>
      <w:r w:rsidR="000B5ECF" w:rsidRPr="00DE0AAC">
        <w:rPr>
          <w:rFonts w:cstheme="minorHAnsi"/>
        </w:rPr>
        <w:t>a</w:t>
      </w:r>
      <w:r w:rsidR="00636822" w:rsidRPr="00DE0AAC">
        <w:rPr>
          <w:rFonts w:cstheme="minorHAnsi"/>
        </w:rPr>
        <w:t xml:space="preserve"> Recomendación sobre el uso de las aplicaciones </w:t>
      </w:r>
      <w:r w:rsidR="00D37A79" w:rsidRPr="00DB0563">
        <w:rPr>
          <w:rFonts w:cstheme="minorHAnsi"/>
        </w:rPr>
        <w:t>STI</w:t>
      </w:r>
      <w:r w:rsidR="00636822" w:rsidRPr="00DB0563">
        <w:rPr>
          <w:rFonts w:cstheme="minorHAnsi"/>
        </w:rPr>
        <w:t xml:space="preserve"> en las Américas, especialmente </w:t>
      </w:r>
      <w:r w:rsidR="000B5ECF" w:rsidRPr="00DB0563">
        <w:rPr>
          <w:rFonts w:cstheme="minorHAnsi"/>
        </w:rPr>
        <w:t xml:space="preserve">buscando </w:t>
      </w:r>
      <w:r w:rsidR="00636822" w:rsidRPr="00DB0563">
        <w:rPr>
          <w:rFonts w:cstheme="minorHAnsi"/>
        </w:rPr>
        <w:t xml:space="preserve">la armonización del uso de la banda de frecuencias 5850–5925 MHz para los </w:t>
      </w:r>
      <w:r w:rsidR="00D37A79" w:rsidRPr="00DB0563">
        <w:rPr>
          <w:rFonts w:cstheme="minorHAnsi"/>
        </w:rPr>
        <w:t>STI</w:t>
      </w:r>
      <w:r w:rsidR="00636822" w:rsidRPr="00DB0563">
        <w:rPr>
          <w:rFonts w:cstheme="minorHAnsi"/>
        </w:rPr>
        <w:t>.</w:t>
      </w:r>
    </w:p>
    <w:p w14:paraId="2ABBB247" w14:textId="77777777" w:rsidR="00E105A9" w:rsidRDefault="00E105A9" w:rsidP="00B57A65">
      <w:pPr>
        <w:spacing w:after="0"/>
        <w:jc w:val="both"/>
        <w:rPr>
          <w:rFonts w:cstheme="minorHAnsi"/>
        </w:rPr>
      </w:pPr>
    </w:p>
    <w:p w14:paraId="7DB314BF" w14:textId="6FA2FA35" w:rsidR="00467AEA" w:rsidRPr="004C5E03" w:rsidRDefault="00E105A9" w:rsidP="006D7290">
      <w:pPr>
        <w:pStyle w:val="Prrafodelista"/>
        <w:numPr>
          <w:ilvl w:val="0"/>
          <w:numId w:val="9"/>
        </w:numPr>
        <w:spacing w:after="0"/>
        <w:jc w:val="both"/>
        <w:rPr>
          <w:rFonts w:cstheme="minorHAnsi"/>
        </w:rPr>
      </w:pPr>
      <w:r w:rsidRPr="004C5E03">
        <w:rPr>
          <w:rFonts w:cstheme="minorHAnsi"/>
        </w:rPr>
        <w:t>Posteriormente</w:t>
      </w:r>
      <w:r w:rsidR="00467AEA" w:rsidRPr="004C5E03">
        <w:rPr>
          <w:rFonts w:cstheme="minorHAnsi"/>
        </w:rPr>
        <w:t>,</w:t>
      </w:r>
      <w:r w:rsidRPr="004C5E03">
        <w:rPr>
          <w:rFonts w:cstheme="minorHAnsi"/>
        </w:rPr>
        <w:t xml:space="preserve"> en la Reunión XXXV del GT BAM, celebrada el día 26 de </w:t>
      </w:r>
      <w:r w:rsidRPr="00DE0AAC">
        <w:rPr>
          <w:rFonts w:cstheme="minorHAnsi"/>
        </w:rPr>
        <w:t>mayo de 2021</w:t>
      </w:r>
      <w:r w:rsidR="00467AEA" w:rsidRPr="00DE0AAC">
        <w:rPr>
          <w:rFonts w:cstheme="minorHAnsi"/>
        </w:rPr>
        <w:t xml:space="preserve">, se presentaron </w:t>
      </w:r>
      <w:r w:rsidR="00A166C6" w:rsidRPr="00DB0563">
        <w:rPr>
          <w:rFonts w:cstheme="minorHAnsi"/>
        </w:rPr>
        <w:t xml:space="preserve">dos documentos asociados </w:t>
      </w:r>
      <w:r w:rsidR="00B27A6A" w:rsidRPr="00DB0563">
        <w:rPr>
          <w:rFonts w:cstheme="minorHAnsi"/>
        </w:rPr>
        <w:t xml:space="preserve">con </w:t>
      </w:r>
      <w:r w:rsidR="00A166C6" w:rsidRPr="00DB0563">
        <w:rPr>
          <w:rFonts w:cstheme="minorHAnsi"/>
        </w:rPr>
        <w:t>la opinión de la industria, particularmente de la empresa Qualcomm México</w:t>
      </w:r>
      <w:r w:rsidR="004C5E03">
        <w:rPr>
          <w:rStyle w:val="Refdenotaalpie"/>
          <w:rFonts w:cstheme="minorHAnsi"/>
        </w:rPr>
        <w:footnoteReference w:id="5"/>
      </w:r>
      <w:r w:rsidR="00A166C6" w:rsidRPr="004C5E03">
        <w:rPr>
          <w:rFonts w:cstheme="minorHAnsi"/>
        </w:rPr>
        <w:t xml:space="preserve"> y </w:t>
      </w:r>
      <w:r w:rsidR="00261688" w:rsidRPr="004C5E03">
        <w:rPr>
          <w:rFonts w:cstheme="minorHAnsi"/>
        </w:rPr>
        <w:t xml:space="preserve">de </w:t>
      </w:r>
      <w:r w:rsidR="00A166C6" w:rsidRPr="004C5E03">
        <w:rPr>
          <w:rFonts w:cstheme="minorHAnsi"/>
        </w:rPr>
        <w:t>la e</w:t>
      </w:r>
      <w:r w:rsidR="00B27A6A" w:rsidRPr="004C5E03">
        <w:rPr>
          <w:rFonts w:cstheme="minorHAnsi"/>
        </w:rPr>
        <w:t xml:space="preserve">mpresa </w:t>
      </w:r>
      <w:r w:rsidR="00B27A6A" w:rsidRPr="004C5E03">
        <w:rPr>
          <w:rFonts w:cstheme="minorHAnsi"/>
          <w:i/>
        </w:rPr>
        <w:t xml:space="preserve">Dynamic </w:t>
      </w:r>
      <w:proofErr w:type="spellStart"/>
      <w:r w:rsidR="00B27A6A" w:rsidRPr="004C5E03">
        <w:rPr>
          <w:rFonts w:cstheme="minorHAnsi"/>
          <w:i/>
        </w:rPr>
        <w:t>Spectrum</w:t>
      </w:r>
      <w:proofErr w:type="spellEnd"/>
      <w:r w:rsidR="00B27A6A" w:rsidRPr="004C5E03">
        <w:rPr>
          <w:rFonts w:cstheme="minorHAnsi"/>
          <w:i/>
        </w:rPr>
        <w:t xml:space="preserve"> Alliance</w:t>
      </w:r>
      <w:r w:rsidR="002E2E49" w:rsidRPr="004C5E03">
        <w:rPr>
          <w:rFonts w:cstheme="minorHAnsi"/>
        </w:rPr>
        <w:t xml:space="preserve"> (DSA</w:t>
      </w:r>
      <w:r w:rsidR="00B27A6A" w:rsidRPr="004C5E03">
        <w:rPr>
          <w:rFonts w:cstheme="minorHAnsi"/>
        </w:rPr>
        <w:t>)</w:t>
      </w:r>
      <w:r w:rsidR="004C5E03">
        <w:rPr>
          <w:rStyle w:val="Refdenotaalpie"/>
          <w:rFonts w:cstheme="minorHAnsi"/>
        </w:rPr>
        <w:footnoteReference w:id="6"/>
      </w:r>
      <w:r w:rsidR="00B27A6A" w:rsidRPr="004C5E03">
        <w:rPr>
          <w:rFonts w:cstheme="minorHAnsi"/>
        </w:rPr>
        <w:t xml:space="preserve">, </w:t>
      </w:r>
      <w:r w:rsidR="00A166C6" w:rsidRPr="004C5E03">
        <w:rPr>
          <w:rFonts w:cstheme="minorHAnsi"/>
        </w:rPr>
        <w:t>en torno a</w:t>
      </w:r>
      <w:r w:rsidR="00467AEA" w:rsidRPr="004C5E03">
        <w:rPr>
          <w:rFonts w:cstheme="minorHAnsi"/>
        </w:rPr>
        <w:t xml:space="preserve"> la temática de </w:t>
      </w:r>
      <w:r w:rsidR="00D37A79" w:rsidRPr="004C5E03">
        <w:rPr>
          <w:rFonts w:cstheme="minorHAnsi"/>
        </w:rPr>
        <w:t>STI</w:t>
      </w:r>
      <w:r w:rsidR="00467AEA" w:rsidRPr="004C5E03">
        <w:rPr>
          <w:rFonts w:cstheme="minorHAnsi"/>
        </w:rPr>
        <w:t>.</w:t>
      </w:r>
    </w:p>
    <w:p w14:paraId="5A2FE41D" w14:textId="77777777" w:rsidR="00467AEA" w:rsidRDefault="00467AEA" w:rsidP="00B57A65">
      <w:pPr>
        <w:spacing w:after="0"/>
        <w:jc w:val="both"/>
        <w:rPr>
          <w:rFonts w:cstheme="minorHAnsi"/>
        </w:rPr>
      </w:pPr>
    </w:p>
    <w:p w14:paraId="7A4F08C5" w14:textId="012761EB" w:rsidR="00E105A9" w:rsidRPr="00DB0563" w:rsidRDefault="00467AEA" w:rsidP="006D7290">
      <w:pPr>
        <w:pStyle w:val="Prrafodelista"/>
        <w:numPr>
          <w:ilvl w:val="0"/>
          <w:numId w:val="10"/>
        </w:numPr>
        <w:spacing w:after="0"/>
        <w:ind w:left="1068"/>
        <w:jc w:val="both"/>
        <w:rPr>
          <w:rFonts w:cstheme="minorHAnsi"/>
        </w:rPr>
      </w:pPr>
      <w:r w:rsidRPr="004C5E03">
        <w:rPr>
          <w:rFonts w:cstheme="minorHAnsi"/>
        </w:rPr>
        <w:t xml:space="preserve">En el caso del documento </w:t>
      </w:r>
      <w:r w:rsidR="00B27A6A" w:rsidRPr="004C5E03">
        <w:rPr>
          <w:rFonts w:cstheme="minorHAnsi"/>
        </w:rPr>
        <w:t>de Qualcomm México</w:t>
      </w:r>
      <w:r w:rsidRPr="004C5E03">
        <w:rPr>
          <w:rFonts w:cstheme="minorHAnsi"/>
        </w:rPr>
        <w:t xml:space="preserve">, se invita al GT BAM a apoyar el </w:t>
      </w:r>
      <w:r w:rsidR="00B27A6A" w:rsidRPr="00DE0AAC">
        <w:rPr>
          <w:rFonts w:cstheme="minorHAnsi"/>
        </w:rPr>
        <w:t>Proyecto de Recomendación para STI</w:t>
      </w:r>
      <w:r w:rsidR="004B13FF" w:rsidRPr="00DE0AAC">
        <w:rPr>
          <w:rFonts w:cstheme="minorHAnsi"/>
        </w:rPr>
        <w:t xml:space="preserve">, </w:t>
      </w:r>
      <w:r w:rsidRPr="00DB0563">
        <w:rPr>
          <w:rFonts w:cstheme="minorHAnsi"/>
        </w:rPr>
        <w:t xml:space="preserve">con el fin de que sirva como </w:t>
      </w:r>
      <w:r w:rsidR="00D62651" w:rsidRPr="00DB0563">
        <w:rPr>
          <w:rFonts w:cstheme="minorHAnsi"/>
        </w:rPr>
        <w:t xml:space="preserve">insumo </w:t>
      </w:r>
      <w:r w:rsidRPr="00DB0563">
        <w:rPr>
          <w:rFonts w:cstheme="minorHAnsi"/>
        </w:rPr>
        <w:t xml:space="preserve">para que la Administración </w:t>
      </w:r>
      <w:r w:rsidR="00CF792A" w:rsidRPr="00DB0563">
        <w:rPr>
          <w:rFonts w:cstheme="minorHAnsi"/>
        </w:rPr>
        <w:t xml:space="preserve">de </w:t>
      </w:r>
      <w:r w:rsidRPr="00DB0563">
        <w:rPr>
          <w:rFonts w:cstheme="minorHAnsi"/>
        </w:rPr>
        <w:t>M</w:t>
      </w:r>
      <w:r w:rsidR="00CF792A" w:rsidRPr="00DB0563">
        <w:rPr>
          <w:rFonts w:cstheme="minorHAnsi"/>
        </w:rPr>
        <w:t>éxico</w:t>
      </w:r>
      <w:r w:rsidRPr="00DB0563">
        <w:rPr>
          <w:rFonts w:cstheme="minorHAnsi"/>
        </w:rPr>
        <w:t xml:space="preserve"> participe en los trabajos sobre este tema, previos a la Reunión 38 del CCP.II programada para el mes de noviembre de 2021.</w:t>
      </w:r>
    </w:p>
    <w:p w14:paraId="45105E69" w14:textId="77777777" w:rsidR="00467AEA" w:rsidRDefault="00467AEA" w:rsidP="004C5E03">
      <w:pPr>
        <w:spacing w:after="0"/>
        <w:ind w:left="348"/>
        <w:jc w:val="both"/>
        <w:rPr>
          <w:rFonts w:cstheme="minorHAnsi"/>
        </w:rPr>
      </w:pPr>
    </w:p>
    <w:p w14:paraId="2002AAE7" w14:textId="25D92028" w:rsidR="00467AEA" w:rsidRPr="004C5E03" w:rsidRDefault="00467AEA" w:rsidP="00B871FE">
      <w:pPr>
        <w:pStyle w:val="Prrafodelista"/>
        <w:numPr>
          <w:ilvl w:val="0"/>
          <w:numId w:val="10"/>
        </w:numPr>
        <w:spacing w:after="0"/>
        <w:ind w:left="1068"/>
        <w:jc w:val="both"/>
        <w:rPr>
          <w:rFonts w:cstheme="minorHAnsi"/>
        </w:rPr>
      </w:pPr>
      <w:r w:rsidRPr="004C5E03">
        <w:rPr>
          <w:rFonts w:cstheme="minorHAnsi"/>
        </w:rPr>
        <w:t>En el caso de</w:t>
      </w:r>
      <w:r w:rsidR="004B13FF" w:rsidRPr="004C5E03">
        <w:rPr>
          <w:rFonts w:cstheme="minorHAnsi"/>
        </w:rPr>
        <w:t>l</w:t>
      </w:r>
      <w:r w:rsidRPr="004C5E03">
        <w:rPr>
          <w:rFonts w:cstheme="minorHAnsi"/>
        </w:rPr>
        <w:t xml:space="preserve"> documento</w:t>
      </w:r>
      <w:r w:rsidR="00CF792A" w:rsidRPr="004C5E03">
        <w:rPr>
          <w:rFonts w:cstheme="minorHAnsi"/>
        </w:rPr>
        <w:t xml:space="preserve"> </w:t>
      </w:r>
      <w:r w:rsidR="004B13FF" w:rsidRPr="004C5E03">
        <w:rPr>
          <w:rFonts w:cstheme="minorHAnsi"/>
        </w:rPr>
        <w:t>de la DSA</w:t>
      </w:r>
      <w:r w:rsidR="00FF2058" w:rsidRPr="004C5E03">
        <w:rPr>
          <w:rFonts w:cstheme="minorHAnsi"/>
        </w:rPr>
        <w:t xml:space="preserve">, </w:t>
      </w:r>
      <w:r w:rsidR="00E8125D" w:rsidRPr="004C5E03">
        <w:rPr>
          <w:rFonts w:cstheme="minorHAnsi"/>
        </w:rPr>
        <w:t xml:space="preserve">se indica lo siguiente: </w:t>
      </w:r>
      <w:r w:rsidR="00E8125D" w:rsidRPr="00B871FE">
        <w:rPr>
          <w:rFonts w:cstheme="minorHAnsi"/>
          <w:i/>
        </w:rPr>
        <w:t>“</w:t>
      </w:r>
      <w:r w:rsidR="00107510" w:rsidRPr="00B871FE">
        <w:rPr>
          <w:rFonts w:cstheme="minorHAnsi"/>
          <w:i/>
        </w:rPr>
        <w:t xml:space="preserve">La DSA quisiera </w:t>
      </w:r>
      <w:r w:rsidR="00FF2058" w:rsidRPr="00B871FE">
        <w:rPr>
          <w:rFonts w:cstheme="minorHAnsi"/>
          <w:i/>
        </w:rPr>
        <w:t>invita</w:t>
      </w:r>
      <w:r w:rsidR="00107510" w:rsidRPr="00B871FE">
        <w:rPr>
          <w:rFonts w:cstheme="minorHAnsi"/>
          <w:i/>
        </w:rPr>
        <w:t>r</w:t>
      </w:r>
      <w:r w:rsidR="00FF2058" w:rsidRPr="00B871FE">
        <w:rPr>
          <w:rFonts w:cstheme="minorHAnsi"/>
          <w:i/>
        </w:rPr>
        <w:t xml:space="preserve"> a que el GT BAM considere los requerimientos nacionales en México en materia de espectro </w:t>
      </w:r>
      <w:r w:rsidR="00D62651" w:rsidRPr="00B871FE">
        <w:rPr>
          <w:rFonts w:cstheme="minorHAnsi"/>
          <w:i/>
        </w:rPr>
        <w:t xml:space="preserve">para </w:t>
      </w:r>
      <w:r w:rsidR="00D37A79" w:rsidRPr="00B871FE">
        <w:rPr>
          <w:rFonts w:cstheme="minorHAnsi"/>
          <w:i/>
        </w:rPr>
        <w:t>STI</w:t>
      </w:r>
      <w:r w:rsidR="00424410" w:rsidRPr="00B871FE">
        <w:rPr>
          <w:rFonts w:cstheme="minorHAnsi"/>
          <w:i/>
        </w:rPr>
        <w:t>,</w:t>
      </w:r>
      <w:r w:rsidR="00FF2058" w:rsidRPr="00B871FE">
        <w:rPr>
          <w:rFonts w:cstheme="minorHAnsi"/>
          <w:i/>
        </w:rPr>
        <w:t xml:space="preserve"> y a que tome en cuenta la </w:t>
      </w:r>
      <w:r w:rsidR="00FF2058" w:rsidRPr="00B871FE">
        <w:rPr>
          <w:rFonts w:cstheme="minorHAnsi"/>
          <w:i/>
        </w:rPr>
        <w:lastRenderedPageBreak/>
        <w:t xml:space="preserve">importancia de la armonización en el uso de la banda de 5.9 GHz con los Estados Unidos de América (que designó para </w:t>
      </w:r>
      <w:r w:rsidR="00D37A79" w:rsidRPr="00B871FE">
        <w:rPr>
          <w:rFonts w:cstheme="minorHAnsi"/>
          <w:i/>
        </w:rPr>
        <w:t>STI</w:t>
      </w:r>
      <w:r w:rsidR="00FF2058" w:rsidRPr="00B871FE">
        <w:rPr>
          <w:rFonts w:cstheme="minorHAnsi"/>
          <w:i/>
        </w:rPr>
        <w:t xml:space="preserve"> solo 30 MHz de la parte alta de la banda entre 5895–5925 MHz), teniendo en cuenta la situación fronteriza y el significativo tráfico de vehículos entre los dos países</w:t>
      </w:r>
      <w:r w:rsidR="00107510" w:rsidRPr="00B871FE">
        <w:rPr>
          <w:rFonts w:cstheme="minorHAnsi"/>
          <w:i/>
        </w:rPr>
        <w:t>”</w:t>
      </w:r>
      <w:r w:rsidR="00FF2058" w:rsidRPr="004C5E03">
        <w:rPr>
          <w:rFonts w:cstheme="minorHAnsi"/>
        </w:rPr>
        <w:t>.</w:t>
      </w:r>
    </w:p>
    <w:p w14:paraId="216321B5" w14:textId="31CC1838" w:rsidR="006B3744" w:rsidRDefault="006B3744" w:rsidP="006B3744">
      <w:pPr>
        <w:spacing w:after="0"/>
        <w:jc w:val="both"/>
        <w:rPr>
          <w:rFonts w:cstheme="minorHAnsi"/>
          <w:sz w:val="24"/>
        </w:rPr>
      </w:pPr>
    </w:p>
    <w:p w14:paraId="7310E2A9" w14:textId="77777777" w:rsidR="00E1164E" w:rsidRPr="00E1164E" w:rsidRDefault="00E1164E" w:rsidP="00E1164E">
      <w:pPr>
        <w:pStyle w:val="Ttulo2"/>
      </w:pPr>
      <w:bookmarkStart w:id="95" w:name="_Toc79501215"/>
      <w:r w:rsidRPr="00E1164E">
        <w:t xml:space="preserve">Entorno </w:t>
      </w:r>
      <w:r>
        <w:t>inter</w:t>
      </w:r>
      <w:r w:rsidRPr="00E1164E">
        <w:t xml:space="preserve">nacional </w:t>
      </w:r>
      <w:r>
        <w:t>de</w:t>
      </w:r>
      <w:r w:rsidRPr="00E1164E">
        <w:t xml:space="preserve"> la banda de frecuencias 5850-5925 MHz</w:t>
      </w:r>
      <w:bookmarkEnd w:id="95"/>
    </w:p>
    <w:p w14:paraId="69D4594A" w14:textId="77777777" w:rsidR="00E1164E" w:rsidRPr="00E1164E" w:rsidRDefault="00E1164E" w:rsidP="00E1164E">
      <w:pPr>
        <w:spacing w:after="0"/>
        <w:jc w:val="both"/>
        <w:rPr>
          <w:rFonts w:cstheme="minorHAnsi"/>
        </w:rPr>
      </w:pPr>
    </w:p>
    <w:p w14:paraId="12725B4E" w14:textId="77777777" w:rsidR="00E1164E" w:rsidRPr="00E1164E" w:rsidRDefault="00E1164E" w:rsidP="00E1164E">
      <w:pPr>
        <w:pStyle w:val="Ttulo3"/>
      </w:pPr>
      <w:bookmarkStart w:id="96" w:name="_Toc79501216"/>
      <w:r w:rsidRPr="00E1164E">
        <w:t xml:space="preserve">Atribución </w:t>
      </w:r>
      <w:r w:rsidR="00EB1BDD">
        <w:t>inter</w:t>
      </w:r>
      <w:r w:rsidRPr="00E1164E">
        <w:t>nacional de la banda de frecuencias 5850-5925 MHz.</w:t>
      </w:r>
      <w:bookmarkEnd w:id="96"/>
    </w:p>
    <w:p w14:paraId="482576A2" w14:textId="77777777" w:rsidR="00E1164E" w:rsidRDefault="00E1164E" w:rsidP="00E1164E">
      <w:pPr>
        <w:spacing w:after="0"/>
        <w:jc w:val="both"/>
        <w:rPr>
          <w:rFonts w:cstheme="minorHAnsi"/>
          <w:b/>
        </w:rPr>
      </w:pPr>
    </w:p>
    <w:p w14:paraId="604500A3" w14:textId="7252D922" w:rsidR="00E1164E" w:rsidRPr="008E72FD" w:rsidRDefault="00E1164E" w:rsidP="00E1164E">
      <w:pPr>
        <w:spacing w:after="0"/>
        <w:jc w:val="both"/>
        <w:rPr>
          <w:rFonts w:cstheme="minorHAnsi"/>
        </w:rPr>
      </w:pPr>
      <w:r>
        <w:rPr>
          <w:rFonts w:cstheme="minorHAnsi"/>
        </w:rPr>
        <w:t>De acuerdo con</w:t>
      </w:r>
      <w:r w:rsidRPr="008E72FD">
        <w:rPr>
          <w:rFonts w:cstheme="minorHAnsi"/>
        </w:rPr>
        <w:t xml:space="preserve"> el</w:t>
      </w:r>
      <w:r>
        <w:rPr>
          <w:rFonts w:cstheme="minorHAnsi"/>
        </w:rPr>
        <w:t xml:space="preserve"> Reglamento de Radiocomunicaciones </w:t>
      </w:r>
      <w:r w:rsidR="00AA0314">
        <w:rPr>
          <w:rFonts w:cstheme="minorHAnsi"/>
        </w:rPr>
        <w:t xml:space="preserve">(RR) </w:t>
      </w:r>
      <w:r>
        <w:rPr>
          <w:rFonts w:cstheme="minorHAnsi"/>
        </w:rPr>
        <w:t>de la UIT, en la Región 2, a la cual México pertenece, la banda de frecuencias objeto del presente documento</w:t>
      </w:r>
      <w:r w:rsidR="00424410">
        <w:rPr>
          <w:rFonts w:cstheme="minorHAnsi"/>
        </w:rPr>
        <w:t>,</w:t>
      </w:r>
      <w:r>
        <w:rPr>
          <w:rFonts w:cstheme="minorHAnsi"/>
        </w:rPr>
        <w:t xml:space="preserve"> se encuentra atribuida a los servicios Fijo, Fijo por satélite (Tierra-espacio) y Móvil a título primario y a los servicios de Aficionados y Radiolocalización a título secundario, como se muestra en la siguiente Ilustración:</w:t>
      </w:r>
    </w:p>
    <w:p w14:paraId="52365A9C" w14:textId="77777777" w:rsidR="00E1164E" w:rsidRDefault="00E1164E" w:rsidP="00E1164E">
      <w:pPr>
        <w:keepNext/>
        <w:spacing w:after="0"/>
        <w:jc w:val="center"/>
      </w:pPr>
      <w:r>
        <w:rPr>
          <w:rFonts w:cstheme="minorHAnsi"/>
          <w:b/>
          <w:noProof/>
          <w:lang w:eastAsia="es-MX"/>
        </w:rPr>
        <w:drawing>
          <wp:inline distT="0" distB="0" distL="0" distR="0" wp14:anchorId="3AABFE26" wp14:editId="5CAD1553">
            <wp:extent cx="4915011" cy="32625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41861" cy="3280402"/>
                    </a:xfrm>
                    <a:prstGeom prst="rect">
                      <a:avLst/>
                    </a:prstGeom>
                    <a:noFill/>
                  </pic:spPr>
                </pic:pic>
              </a:graphicData>
            </a:graphic>
          </wp:inline>
        </w:drawing>
      </w:r>
    </w:p>
    <w:p w14:paraId="0A3EF402" w14:textId="06772DA2" w:rsidR="00E1164E" w:rsidRDefault="00E840A1" w:rsidP="00E840A1">
      <w:pPr>
        <w:pStyle w:val="Descripcin"/>
        <w:jc w:val="center"/>
        <w:rPr>
          <w:rFonts w:cstheme="minorHAnsi"/>
          <w:b/>
        </w:rPr>
      </w:pPr>
      <w:bookmarkStart w:id="97" w:name="_Ref71839334"/>
      <w:bookmarkStart w:id="98" w:name="_Ref71839299"/>
      <w:bookmarkStart w:id="99" w:name="_Toc79424546"/>
      <w:r>
        <w:t xml:space="preserve">Ilustración </w:t>
      </w:r>
      <w:r w:rsidR="00F679CA">
        <w:fldChar w:fldCharType="begin"/>
      </w:r>
      <w:r w:rsidR="00F679CA">
        <w:instrText xml:space="preserve"> SEQ Ilustración \* ARABIC </w:instrText>
      </w:r>
      <w:r w:rsidR="00F679CA">
        <w:fldChar w:fldCharType="separate"/>
      </w:r>
      <w:r w:rsidR="00A77086">
        <w:rPr>
          <w:noProof/>
        </w:rPr>
        <w:t>2</w:t>
      </w:r>
      <w:r w:rsidR="00F679CA">
        <w:rPr>
          <w:noProof/>
        </w:rPr>
        <w:fldChar w:fldCharType="end"/>
      </w:r>
      <w:bookmarkEnd w:id="97"/>
      <w:r w:rsidR="00E1164E">
        <w:t xml:space="preserve">. </w:t>
      </w:r>
      <w:bookmarkStart w:id="100" w:name="_Ref71839339"/>
      <w:r w:rsidR="00E1164E">
        <w:t>Atribución internacional de la banda 5850–5925 MHz conforme al RR (elaboración propia)</w:t>
      </w:r>
      <w:bookmarkEnd w:id="98"/>
      <w:bookmarkEnd w:id="99"/>
      <w:bookmarkEnd w:id="100"/>
    </w:p>
    <w:p w14:paraId="0FF68670" w14:textId="77777777" w:rsidR="00E1164E" w:rsidRPr="00377776" w:rsidRDefault="00E1164E" w:rsidP="00E1164E">
      <w:pPr>
        <w:spacing w:after="0"/>
        <w:jc w:val="both"/>
        <w:rPr>
          <w:rFonts w:cstheme="minorHAnsi"/>
        </w:rPr>
      </w:pPr>
    </w:p>
    <w:p w14:paraId="7F903B8B" w14:textId="77777777" w:rsidR="00E1164E" w:rsidRPr="00335D78" w:rsidRDefault="00E1164E" w:rsidP="00E1164E">
      <w:pPr>
        <w:spacing w:after="0"/>
        <w:jc w:val="both"/>
        <w:rPr>
          <w:rFonts w:cstheme="minorHAnsi"/>
          <w:b/>
        </w:rPr>
      </w:pPr>
      <w:r w:rsidRPr="00335D78">
        <w:rPr>
          <w:rFonts w:cstheme="minorHAnsi"/>
          <w:b/>
        </w:rPr>
        <w:t>Notas relevantes del RR</w:t>
      </w:r>
    </w:p>
    <w:p w14:paraId="2E46EBE5" w14:textId="1C76502C" w:rsidR="00D94FA7" w:rsidRDefault="00E1164E" w:rsidP="00E1164E">
      <w:pPr>
        <w:spacing w:after="0"/>
        <w:jc w:val="both"/>
        <w:rPr>
          <w:rFonts w:cstheme="minorHAnsi"/>
        </w:rPr>
      </w:pPr>
      <w:r>
        <w:rPr>
          <w:rFonts w:cstheme="minorHAnsi"/>
        </w:rPr>
        <w:t>La únic</w:t>
      </w:r>
      <w:r w:rsidRPr="00D94FA7">
        <w:rPr>
          <w:rFonts w:cstheme="minorHAnsi"/>
        </w:rPr>
        <w:t xml:space="preserve">a nota </w:t>
      </w:r>
      <w:r w:rsidR="00261688">
        <w:rPr>
          <w:rFonts w:cstheme="minorHAnsi"/>
        </w:rPr>
        <w:t xml:space="preserve">internacional </w:t>
      </w:r>
      <w:r w:rsidRPr="00D94FA7">
        <w:rPr>
          <w:rFonts w:cstheme="minorHAnsi"/>
        </w:rPr>
        <w:t xml:space="preserve">incluida en el RR para la Región 2 </w:t>
      </w:r>
      <w:r w:rsidR="00261688">
        <w:rPr>
          <w:rFonts w:cstheme="minorHAnsi"/>
        </w:rPr>
        <w:t xml:space="preserve">relacionada con esta banda de frecuencias </w:t>
      </w:r>
      <w:r w:rsidRPr="00D94FA7">
        <w:rPr>
          <w:rFonts w:cstheme="minorHAnsi"/>
        </w:rPr>
        <w:t xml:space="preserve">es </w:t>
      </w:r>
      <w:r w:rsidR="00BD5DAA">
        <w:rPr>
          <w:rFonts w:cstheme="minorHAnsi"/>
        </w:rPr>
        <w:t>la nota</w:t>
      </w:r>
      <w:r w:rsidR="00261688">
        <w:rPr>
          <w:rFonts w:cstheme="minorHAnsi"/>
        </w:rPr>
        <w:t xml:space="preserve"> </w:t>
      </w:r>
      <w:r w:rsidRPr="00D94FA7">
        <w:rPr>
          <w:rFonts w:cstheme="minorHAnsi"/>
        </w:rPr>
        <w:t>5.150</w:t>
      </w:r>
      <w:r w:rsidR="00D94FA7" w:rsidRPr="00D94FA7">
        <w:rPr>
          <w:rFonts w:cstheme="minorHAnsi"/>
        </w:rPr>
        <w:t xml:space="preserve">, la cual </w:t>
      </w:r>
      <w:r w:rsidR="00261688">
        <w:rPr>
          <w:rFonts w:cstheme="minorHAnsi"/>
        </w:rPr>
        <w:t>refiere a una porción de 25 MHz</w:t>
      </w:r>
      <w:r w:rsidR="00BD5DAA">
        <w:rPr>
          <w:rFonts w:cstheme="minorHAnsi"/>
        </w:rPr>
        <w:t>,</w:t>
      </w:r>
      <w:r w:rsidR="00261688">
        <w:rPr>
          <w:rFonts w:cstheme="minorHAnsi"/>
        </w:rPr>
        <w:t xml:space="preserve"> </w:t>
      </w:r>
      <w:r w:rsidR="00BD5DAA">
        <w:rPr>
          <w:rFonts w:cstheme="minorHAnsi"/>
        </w:rPr>
        <w:t>esto es 5850-5875 MHz</w:t>
      </w:r>
      <w:r w:rsidR="00261688">
        <w:rPr>
          <w:rFonts w:cstheme="minorHAnsi"/>
        </w:rPr>
        <w:t xml:space="preserve"> </w:t>
      </w:r>
      <w:r w:rsidR="00DA2DB1">
        <w:rPr>
          <w:rFonts w:cstheme="minorHAnsi"/>
        </w:rPr>
        <w:t xml:space="preserve">de </w:t>
      </w:r>
      <w:r w:rsidR="00D94FA7" w:rsidRPr="00D94FA7">
        <w:rPr>
          <w:rFonts w:cstheme="minorHAnsi"/>
        </w:rPr>
        <w:t xml:space="preserve">la banda en cuestión, </w:t>
      </w:r>
      <w:r w:rsidR="00261688">
        <w:rPr>
          <w:rFonts w:cstheme="minorHAnsi"/>
        </w:rPr>
        <w:t xml:space="preserve">tal </w:t>
      </w:r>
      <w:r w:rsidR="00D94FA7" w:rsidRPr="00D94FA7">
        <w:rPr>
          <w:rFonts w:cstheme="minorHAnsi"/>
        </w:rPr>
        <w:t>como se describe a continuación</w:t>
      </w:r>
      <w:r w:rsidR="005A2D09">
        <w:rPr>
          <w:rFonts w:cstheme="minorHAnsi"/>
        </w:rPr>
        <w:t>:</w:t>
      </w:r>
    </w:p>
    <w:p w14:paraId="1BF11159" w14:textId="77777777" w:rsidR="00E173D4" w:rsidRDefault="00E173D4" w:rsidP="00E1164E">
      <w:pPr>
        <w:spacing w:after="0"/>
        <w:jc w:val="both"/>
        <w:rPr>
          <w:rFonts w:cstheme="minorHAnsi"/>
        </w:rPr>
      </w:pPr>
    </w:p>
    <w:p w14:paraId="7DCF33F8" w14:textId="77777777" w:rsidR="00D94FA7" w:rsidRDefault="00D94FA7" w:rsidP="00E1164E">
      <w:pPr>
        <w:spacing w:after="0"/>
        <w:jc w:val="both"/>
        <w:rPr>
          <w:rFonts w:cstheme="minorHAnsi"/>
        </w:rPr>
      </w:pPr>
    </w:p>
    <w:p w14:paraId="2ABB4D35" w14:textId="77777777" w:rsidR="00E1164E" w:rsidRPr="00A05149" w:rsidRDefault="00E1164E" w:rsidP="00DA2DB1">
      <w:pPr>
        <w:spacing w:after="0"/>
        <w:ind w:left="567"/>
        <w:jc w:val="both"/>
        <w:rPr>
          <w:rFonts w:cstheme="minorHAnsi"/>
          <w:i/>
        </w:rPr>
      </w:pPr>
      <w:r>
        <w:rPr>
          <w:rFonts w:cstheme="minorHAnsi"/>
          <w:b/>
          <w:i/>
        </w:rPr>
        <w:t>“</w:t>
      </w:r>
      <w:r w:rsidRPr="00A05149">
        <w:rPr>
          <w:rFonts w:cstheme="minorHAnsi"/>
          <w:b/>
          <w:i/>
        </w:rPr>
        <w:t>5.150</w:t>
      </w:r>
      <w:r w:rsidRPr="00A05149">
        <w:rPr>
          <w:rFonts w:cstheme="minorHAnsi"/>
          <w:i/>
        </w:rPr>
        <w:t xml:space="preserve"> Las bandas:</w:t>
      </w:r>
    </w:p>
    <w:p w14:paraId="4A9B1896" w14:textId="77777777" w:rsidR="00E1164E" w:rsidRPr="00A05149" w:rsidRDefault="00E1164E" w:rsidP="00E1164E">
      <w:pPr>
        <w:spacing w:after="0"/>
        <w:ind w:left="851"/>
        <w:rPr>
          <w:rFonts w:cstheme="minorHAnsi"/>
          <w:i/>
        </w:rPr>
      </w:pPr>
      <w:r w:rsidRPr="00A05149">
        <w:rPr>
          <w:rFonts w:cstheme="minorHAnsi"/>
          <w:i/>
        </w:rPr>
        <w:t>13 553-13 567 kHz (frecuencia central 13 560 kHz),</w:t>
      </w:r>
    </w:p>
    <w:p w14:paraId="3B0B18EB" w14:textId="77777777" w:rsidR="00E1164E" w:rsidRPr="00A05149" w:rsidRDefault="00E1164E" w:rsidP="00E1164E">
      <w:pPr>
        <w:spacing w:after="0"/>
        <w:ind w:left="851"/>
        <w:rPr>
          <w:rFonts w:cstheme="minorHAnsi"/>
          <w:i/>
        </w:rPr>
      </w:pPr>
      <w:r w:rsidRPr="00A05149">
        <w:rPr>
          <w:rFonts w:cstheme="minorHAnsi"/>
          <w:i/>
        </w:rPr>
        <w:t>26 957-27 283 kHz (frecuencia central 27 120 kHz),</w:t>
      </w:r>
    </w:p>
    <w:p w14:paraId="33C7D4D3" w14:textId="77777777" w:rsidR="00E1164E" w:rsidRPr="00A05149" w:rsidRDefault="00E1164E" w:rsidP="00E1164E">
      <w:pPr>
        <w:spacing w:after="0"/>
        <w:ind w:left="851"/>
        <w:rPr>
          <w:rFonts w:cstheme="minorHAnsi"/>
          <w:i/>
        </w:rPr>
      </w:pPr>
      <w:r w:rsidRPr="00A05149">
        <w:rPr>
          <w:rFonts w:cstheme="minorHAnsi"/>
          <w:i/>
        </w:rPr>
        <w:t>40,66-40,70 MHz (frecuencia central 40,68 MHz),</w:t>
      </w:r>
    </w:p>
    <w:p w14:paraId="143C7A3F" w14:textId="77777777" w:rsidR="00E1164E" w:rsidRPr="00A05149" w:rsidRDefault="00E1164E" w:rsidP="00E1164E">
      <w:pPr>
        <w:spacing w:after="0"/>
        <w:ind w:left="851"/>
        <w:rPr>
          <w:rFonts w:cstheme="minorHAnsi"/>
          <w:i/>
        </w:rPr>
      </w:pPr>
      <w:r w:rsidRPr="00A05149">
        <w:rPr>
          <w:rFonts w:cstheme="minorHAnsi"/>
          <w:i/>
        </w:rPr>
        <w:t>902-928 MHz en la Región 2 (frecuencia central 915 MHz),</w:t>
      </w:r>
    </w:p>
    <w:p w14:paraId="6F2A8353" w14:textId="77777777" w:rsidR="00E1164E" w:rsidRPr="00A05149" w:rsidRDefault="00E1164E" w:rsidP="00E1164E">
      <w:pPr>
        <w:spacing w:after="0"/>
        <w:ind w:left="851"/>
        <w:rPr>
          <w:rFonts w:cstheme="minorHAnsi"/>
          <w:i/>
        </w:rPr>
      </w:pPr>
      <w:r w:rsidRPr="00A05149">
        <w:rPr>
          <w:rFonts w:cstheme="minorHAnsi"/>
          <w:i/>
        </w:rPr>
        <w:t>2 400-2 500 MHz (frecuencia central 2 450 MHz),</w:t>
      </w:r>
    </w:p>
    <w:p w14:paraId="4CFCE915" w14:textId="77777777" w:rsidR="00E1164E" w:rsidRPr="00A05149" w:rsidRDefault="00E1164E" w:rsidP="00E1164E">
      <w:pPr>
        <w:spacing w:after="0"/>
        <w:ind w:left="851"/>
        <w:rPr>
          <w:rFonts w:cstheme="minorHAnsi"/>
          <w:i/>
        </w:rPr>
      </w:pPr>
      <w:r w:rsidRPr="009D3B58">
        <w:rPr>
          <w:rFonts w:cstheme="minorHAnsi"/>
          <w:i/>
        </w:rPr>
        <w:t>5 725-5 875 MHz (frecuencia central 5 800 MHz)</w:t>
      </w:r>
      <w:r w:rsidRPr="00A05149">
        <w:rPr>
          <w:rFonts w:cstheme="minorHAnsi"/>
          <w:i/>
        </w:rPr>
        <w:t xml:space="preserve"> y</w:t>
      </w:r>
    </w:p>
    <w:p w14:paraId="1D86B40E" w14:textId="77777777" w:rsidR="00E1164E" w:rsidRPr="00A05149" w:rsidRDefault="00E1164E" w:rsidP="00E1164E">
      <w:pPr>
        <w:spacing w:after="0"/>
        <w:ind w:left="851"/>
        <w:rPr>
          <w:rFonts w:cstheme="minorHAnsi"/>
          <w:i/>
        </w:rPr>
      </w:pPr>
      <w:r w:rsidRPr="00A05149">
        <w:rPr>
          <w:rFonts w:cstheme="minorHAnsi"/>
          <w:i/>
        </w:rPr>
        <w:t>24-24,25 GHz (frecuencia central 24,125 GHz)</w:t>
      </w:r>
    </w:p>
    <w:p w14:paraId="53B6465D" w14:textId="77777777" w:rsidR="0085118C" w:rsidRDefault="0085118C" w:rsidP="00E1164E">
      <w:pPr>
        <w:spacing w:after="0"/>
        <w:ind w:left="567"/>
        <w:jc w:val="both"/>
        <w:rPr>
          <w:rFonts w:cstheme="minorHAnsi"/>
          <w:i/>
        </w:rPr>
      </w:pPr>
    </w:p>
    <w:p w14:paraId="12B6505B" w14:textId="77777777" w:rsidR="00E1164E" w:rsidRPr="00A05149" w:rsidRDefault="00E1164E" w:rsidP="00E1164E">
      <w:pPr>
        <w:spacing w:after="0"/>
        <w:ind w:left="567"/>
        <w:jc w:val="both"/>
        <w:rPr>
          <w:rFonts w:cstheme="minorHAnsi"/>
          <w:i/>
        </w:rPr>
      </w:pPr>
      <w:r w:rsidRPr="00A05149">
        <w:rPr>
          <w:rFonts w:cstheme="minorHAnsi"/>
          <w:i/>
        </w:rPr>
        <w:t>están designadas para aplicaciones industriales, científicas y médicas (ICM). Los servicios de radiocomunicación que funcionan en estas bandas deben aceptar la interferencia perjudicial resultante de estas aplicaciones. Los equipos ICM que funcionen en estas bandas estarán sujetos a las disposiciones del número 15.13.</w:t>
      </w:r>
      <w:r>
        <w:rPr>
          <w:rFonts w:cstheme="minorHAnsi"/>
          <w:i/>
        </w:rPr>
        <w:t>”</w:t>
      </w:r>
    </w:p>
    <w:p w14:paraId="77355C1E" w14:textId="77777777" w:rsidR="000760E8" w:rsidRDefault="000760E8" w:rsidP="00C402CB">
      <w:pPr>
        <w:spacing w:after="0"/>
        <w:jc w:val="both"/>
        <w:rPr>
          <w:rFonts w:cstheme="minorHAnsi"/>
        </w:rPr>
      </w:pPr>
    </w:p>
    <w:p w14:paraId="551BD96B" w14:textId="77777777" w:rsidR="00EB1BDD" w:rsidRPr="00E1164E" w:rsidRDefault="00EB1BDD" w:rsidP="00EB1BDD">
      <w:pPr>
        <w:pStyle w:val="Ttulo3"/>
      </w:pPr>
      <w:bookmarkStart w:id="101" w:name="_Toc79501217"/>
      <w:r>
        <w:t>Regulación en otros países</w:t>
      </w:r>
      <w:r w:rsidRPr="00E1164E">
        <w:t xml:space="preserve"> </w:t>
      </w:r>
      <w:r>
        <w:t xml:space="preserve">para </w:t>
      </w:r>
      <w:r w:rsidRPr="00E1164E">
        <w:t>la banda de frecuencias 5850-5925 MHz.</w:t>
      </w:r>
      <w:bookmarkEnd w:id="101"/>
    </w:p>
    <w:p w14:paraId="2870B4B7" w14:textId="77777777" w:rsidR="00E1164E" w:rsidRDefault="00E1164E" w:rsidP="00D7449D">
      <w:pPr>
        <w:spacing w:after="0" w:line="240" w:lineRule="auto"/>
        <w:jc w:val="both"/>
        <w:rPr>
          <w:rFonts w:cstheme="minorHAnsi"/>
        </w:rPr>
      </w:pPr>
    </w:p>
    <w:p w14:paraId="06D197F7" w14:textId="77777777" w:rsidR="00E2658F" w:rsidRDefault="00E2658F" w:rsidP="00D7449D">
      <w:pPr>
        <w:spacing w:after="0" w:line="240" w:lineRule="auto"/>
        <w:jc w:val="both"/>
      </w:pPr>
      <w:r w:rsidRPr="00B6564F">
        <w:t xml:space="preserve">La banda de frecuencias 5850-5925 MHz </w:t>
      </w:r>
      <w:r w:rsidRPr="00D7449D">
        <w:t xml:space="preserve">es </w:t>
      </w:r>
      <w:r w:rsidRPr="00B6564F">
        <w:t xml:space="preserve">utilizada alrededor del mundo por </w:t>
      </w:r>
      <w:r w:rsidR="00B6564F" w:rsidRPr="00D7449D">
        <w:t>diferentes servicios y aplicaciones</w:t>
      </w:r>
      <w:r w:rsidRPr="00B6564F">
        <w:t xml:space="preserve">, </w:t>
      </w:r>
      <w:r w:rsidR="00B6564F" w:rsidRPr="00D7449D">
        <w:t xml:space="preserve">entre los que se encuentran </w:t>
      </w:r>
      <w:r w:rsidRPr="00B6564F">
        <w:t xml:space="preserve">sistemas satelitales </w:t>
      </w:r>
      <w:r w:rsidR="00D7449D">
        <w:t xml:space="preserve">del </w:t>
      </w:r>
      <w:r w:rsidR="00D7449D" w:rsidRPr="00D7449D">
        <w:t>servicio fijo</w:t>
      </w:r>
      <w:r w:rsidRPr="00D7449D">
        <w:t xml:space="preserve"> en el sentido Tierra-espacio (ascendente), </w:t>
      </w:r>
      <w:r w:rsidR="00D7449D" w:rsidRPr="00D7449D">
        <w:t xml:space="preserve">sistemas de radiocomunicación del servicio fijo, dispositivos de radiocomunicación de corto alcance, </w:t>
      </w:r>
      <w:r w:rsidRPr="00D7449D">
        <w:t xml:space="preserve">sistemas de transporte inteligente, </w:t>
      </w:r>
      <w:r w:rsidRPr="00D7449D">
        <w:rPr>
          <w:szCs w:val="20"/>
        </w:rPr>
        <w:t xml:space="preserve">entre otros. </w:t>
      </w:r>
      <w:r w:rsidRPr="00D7449D">
        <w:rPr>
          <w:rFonts w:cs="Arial"/>
        </w:rPr>
        <w:t>Por tanto, existen diferentes esquemas de licenciamiento, atribuciones</w:t>
      </w:r>
      <w:r w:rsidRPr="00F97A8D">
        <w:rPr>
          <w:rFonts w:cs="Arial"/>
        </w:rPr>
        <w:t xml:space="preserve"> de servicios o aplicaciones </w:t>
      </w:r>
      <w:r>
        <w:rPr>
          <w:rFonts w:cs="Arial"/>
        </w:rPr>
        <w:t xml:space="preserve">en cada país </w:t>
      </w:r>
      <w:r w:rsidRPr="00F97A8D">
        <w:rPr>
          <w:rFonts w:cs="Arial"/>
        </w:rPr>
        <w:t xml:space="preserve">dentro de la </w:t>
      </w:r>
      <w:r>
        <w:rPr>
          <w:rFonts w:cs="Arial"/>
        </w:rPr>
        <w:t xml:space="preserve">banda de frecuencias </w:t>
      </w:r>
      <w:r w:rsidRPr="00E1164E">
        <w:t>5850-5925 MHz</w:t>
      </w:r>
      <w:r>
        <w:rPr>
          <w:rFonts w:cs="Arial"/>
        </w:rPr>
        <w:t>.</w:t>
      </w:r>
    </w:p>
    <w:p w14:paraId="31BF9D26" w14:textId="77777777" w:rsidR="00D7449D" w:rsidRDefault="00D7449D" w:rsidP="00D7449D">
      <w:pPr>
        <w:spacing w:after="0" w:line="240" w:lineRule="auto"/>
        <w:jc w:val="both"/>
      </w:pPr>
    </w:p>
    <w:p w14:paraId="1EFC7A0C" w14:textId="77777777" w:rsidR="00E2658F" w:rsidRDefault="00E2658F" w:rsidP="0085118C">
      <w:pPr>
        <w:spacing w:after="0" w:line="240" w:lineRule="auto"/>
        <w:jc w:val="both"/>
      </w:pPr>
      <w:r w:rsidRPr="00D7449D">
        <w:t xml:space="preserve">En este orden de ideas, esta sección expone y analiza diversas acciones que han implementado algunos reguladores a nivel internacional respecto del uso de la banda de frecuencias </w:t>
      </w:r>
      <w:r w:rsidR="00DD1C0F" w:rsidRPr="00D7449D">
        <w:t>5850-</w:t>
      </w:r>
      <w:r w:rsidRPr="00D7449D">
        <w:t xml:space="preserve">5925 MHz. Se analiza el caso de la FCC, en EUA; ISED, en Canadá; ANATEL, en Brasil; </w:t>
      </w:r>
      <w:proofErr w:type="spellStart"/>
      <w:r w:rsidRPr="00D7449D">
        <w:t>Ofcom</w:t>
      </w:r>
      <w:proofErr w:type="spellEnd"/>
      <w:r w:rsidRPr="00D7449D">
        <w:t xml:space="preserve">, en Reino </w:t>
      </w:r>
      <w:r w:rsidRPr="00B22DEE">
        <w:t>Unido; y CEPT, en la Unión Europea.</w:t>
      </w:r>
    </w:p>
    <w:p w14:paraId="58593C3D" w14:textId="77777777" w:rsidR="00D7449D" w:rsidRPr="00D7449D" w:rsidRDefault="00D7449D" w:rsidP="0085118C">
      <w:pPr>
        <w:spacing w:after="0" w:line="240" w:lineRule="auto"/>
        <w:jc w:val="both"/>
      </w:pPr>
    </w:p>
    <w:p w14:paraId="7268D2D7" w14:textId="77777777" w:rsidR="00E2658F" w:rsidRDefault="00E2658F" w:rsidP="0085118C">
      <w:pPr>
        <w:spacing w:after="0" w:line="240" w:lineRule="auto"/>
        <w:ind w:left="567"/>
        <w:jc w:val="both"/>
        <w:rPr>
          <w:color w:val="70AD47" w:themeColor="accent6"/>
          <w:u w:val="single"/>
        </w:rPr>
      </w:pPr>
      <w:r w:rsidRPr="00DD1C0F">
        <w:rPr>
          <w:color w:val="70AD47" w:themeColor="accent6"/>
          <w:u w:val="single"/>
        </w:rPr>
        <w:t>Estados Unidos de América - Comisión Federal de Comunicaciones</w:t>
      </w:r>
    </w:p>
    <w:p w14:paraId="3A6D6469" w14:textId="77777777" w:rsidR="00A7532C" w:rsidRPr="00DD1C0F" w:rsidRDefault="00A7532C" w:rsidP="0085118C">
      <w:pPr>
        <w:spacing w:after="0" w:line="240" w:lineRule="auto"/>
        <w:ind w:left="567"/>
        <w:jc w:val="both"/>
        <w:rPr>
          <w:color w:val="70AD47" w:themeColor="accent6"/>
          <w:u w:val="single"/>
        </w:rPr>
      </w:pPr>
    </w:p>
    <w:p w14:paraId="11B1F5FA" w14:textId="27B1CD3D" w:rsidR="00717D3B" w:rsidRDefault="00717D3B" w:rsidP="0085118C">
      <w:pPr>
        <w:spacing w:after="0" w:line="240" w:lineRule="auto"/>
        <w:ind w:left="567"/>
        <w:jc w:val="both"/>
        <w:rPr>
          <w:rFonts w:cs="Arial"/>
        </w:rPr>
      </w:pPr>
      <w:r>
        <w:rPr>
          <w:rFonts w:cs="Arial"/>
        </w:rPr>
        <w:t>El 21 de octubre de 1999 la FCC emitió Reglas</w:t>
      </w:r>
      <w:r>
        <w:rPr>
          <w:rStyle w:val="Refdenotaalpie"/>
          <w:rFonts w:cs="Arial"/>
        </w:rPr>
        <w:footnoteReference w:id="7"/>
      </w:r>
      <w:r>
        <w:rPr>
          <w:rFonts w:cs="Arial"/>
        </w:rPr>
        <w:t xml:space="preserve"> </w:t>
      </w:r>
      <w:r w:rsidRPr="00717D3B">
        <w:rPr>
          <w:rFonts w:cs="Arial"/>
        </w:rPr>
        <w:t xml:space="preserve">para </w:t>
      </w:r>
      <w:r>
        <w:rPr>
          <w:rFonts w:cs="Arial"/>
        </w:rPr>
        <w:t>atribuir</w:t>
      </w:r>
      <w:r w:rsidRPr="00717D3B">
        <w:rPr>
          <w:rFonts w:cs="Arial"/>
        </w:rPr>
        <w:t xml:space="preserve"> la banda de </w:t>
      </w:r>
      <w:r>
        <w:rPr>
          <w:rFonts w:cs="Arial"/>
        </w:rPr>
        <w:t>frecuencias 5.850-5.925 GHz a</w:t>
      </w:r>
      <w:r w:rsidRPr="00717D3B">
        <w:rPr>
          <w:rFonts w:cs="Arial"/>
        </w:rPr>
        <w:t>l</w:t>
      </w:r>
      <w:r>
        <w:rPr>
          <w:rFonts w:cs="Arial"/>
        </w:rPr>
        <w:t xml:space="preserve"> s</w:t>
      </w:r>
      <w:r w:rsidRPr="00717D3B">
        <w:rPr>
          <w:rFonts w:cs="Arial"/>
        </w:rPr>
        <w:t xml:space="preserve">ervicio móvil para </w:t>
      </w:r>
      <w:r>
        <w:rPr>
          <w:rFonts w:cs="Arial"/>
        </w:rPr>
        <w:t xml:space="preserve">que pudiera ser empleada por </w:t>
      </w:r>
      <w:r w:rsidR="008B2C50">
        <w:rPr>
          <w:rFonts w:cs="Arial"/>
        </w:rPr>
        <w:t xml:space="preserve">sistemas de </w:t>
      </w:r>
      <w:r>
        <w:rPr>
          <w:rFonts w:cs="Arial"/>
        </w:rPr>
        <w:t>C</w:t>
      </w:r>
      <w:r w:rsidRPr="00717D3B">
        <w:rPr>
          <w:rFonts w:cs="Arial"/>
        </w:rPr>
        <w:t xml:space="preserve">omunicaciones </w:t>
      </w:r>
      <w:r w:rsidR="008B2C50">
        <w:rPr>
          <w:rFonts w:cs="Arial"/>
        </w:rPr>
        <w:t>Especializadas</w:t>
      </w:r>
      <w:r w:rsidRPr="00717D3B">
        <w:rPr>
          <w:rFonts w:cs="Arial"/>
        </w:rPr>
        <w:t xml:space="preserve"> de </w:t>
      </w:r>
      <w:r>
        <w:rPr>
          <w:rFonts w:cs="Arial"/>
        </w:rPr>
        <w:t>C</w:t>
      </w:r>
      <w:r w:rsidRPr="00717D3B">
        <w:rPr>
          <w:rFonts w:cs="Arial"/>
        </w:rPr>
        <w:t xml:space="preserve">orto </w:t>
      </w:r>
      <w:r>
        <w:rPr>
          <w:rFonts w:cs="Arial"/>
        </w:rPr>
        <w:t>A</w:t>
      </w:r>
      <w:r w:rsidRPr="00717D3B">
        <w:rPr>
          <w:rFonts w:cs="Arial"/>
        </w:rPr>
        <w:t xml:space="preserve">lcance </w:t>
      </w:r>
      <w:r>
        <w:rPr>
          <w:rFonts w:cs="Arial"/>
        </w:rPr>
        <w:t xml:space="preserve">(DSRC, por sus siglas en inglés) </w:t>
      </w:r>
      <w:r w:rsidR="008B2C50">
        <w:rPr>
          <w:rFonts w:cs="Arial"/>
        </w:rPr>
        <w:t>para la operación de</w:t>
      </w:r>
      <w:r w:rsidRPr="00717D3B">
        <w:rPr>
          <w:rFonts w:cs="Arial"/>
        </w:rPr>
        <w:t xml:space="preserve"> </w:t>
      </w:r>
      <w:r w:rsidR="008B2C50">
        <w:rPr>
          <w:rFonts w:cs="Arial"/>
        </w:rPr>
        <w:t>Sistemas</w:t>
      </w:r>
      <w:r w:rsidRPr="00717D3B">
        <w:rPr>
          <w:rFonts w:cs="Arial"/>
        </w:rPr>
        <w:t xml:space="preserve"> de </w:t>
      </w:r>
      <w:r w:rsidR="008B2C50">
        <w:rPr>
          <w:rFonts w:cs="Arial"/>
        </w:rPr>
        <w:t>T</w:t>
      </w:r>
      <w:r w:rsidRPr="00717D3B">
        <w:rPr>
          <w:rFonts w:cs="Arial"/>
        </w:rPr>
        <w:t xml:space="preserve">ransporte </w:t>
      </w:r>
      <w:r w:rsidR="008B2C50">
        <w:rPr>
          <w:rFonts w:cs="Arial"/>
        </w:rPr>
        <w:t>I</w:t>
      </w:r>
      <w:r w:rsidRPr="00717D3B">
        <w:rPr>
          <w:rFonts w:cs="Arial"/>
        </w:rPr>
        <w:t>nteligente</w:t>
      </w:r>
      <w:r>
        <w:rPr>
          <w:rFonts w:cs="Arial"/>
        </w:rPr>
        <w:t xml:space="preserve">. </w:t>
      </w:r>
      <w:r w:rsidR="008B2C50">
        <w:rPr>
          <w:rFonts w:cs="Arial"/>
        </w:rPr>
        <w:t xml:space="preserve">En donde se </w:t>
      </w:r>
      <w:r w:rsidR="00EF6D62">
        <w:rPr>
          <w:rFonts w:cs="Arial"/>
        </w:rPr>
        <w:t xml:space="preserve">designaron </w:t>
      </w:r>
      <w:r w:rsidR="008B2C50">
        <w:rPr>
          <w:rFonts w:cs="Arial"/>
        </w:rPr>
        <w:t xml:space="preserve">75 MHz para este tipo de aplicaciones, así </w:t>
      </w:r>
      <w:r w:rsidR="003269F2">
        <w:rPr>
          <w:rFonts w:cs="Arial"/>
        </w:rPr>
        <w:t xml:space="preserve">como las </w:t>
      </w:r>
      <w:r w:rsidR="008B2C50">
        <w:rPr>
          <w:rFonts w:cs="Arial"/>
        </w:rPr>
        <w:t>condiciones técnicas de operación para los mismos. Posteriormente, en 2003 adoptaron reglas para la operación de DSRC bajo un estándar tecnológico que permitiera la interoperabilidad de los vehículos.</w:t>
      </w:r>
    </w:p>
    <w:p w14:paraId="73362586" w14:textId="77777777" w:rsidR="0085118C" w:rsidRDefault="0085118C" w:rsidP="0085118C">
      <w:pPr>
        <w:spacing w:after="0" w:line="240" w:lineRule="auto"/>
        <w:ind w:left="567"/>
        <w:jc w:val="both"/>
        <w:rPr>
          <w:rFonts w:cs="Arial"/>
        </w:rPr>
      </w:pPr>
    </w:p>
    <w:p w14:paraId="7F4A7E3C" w14:textId="7534BD74" w:rsidR="00314B02" w:rsidRDefault="008B2C50" w:rsidP="0085118C">
      <w:pPr>
        <w:spacing w:after="0" w:line="240" w:lineRule="auto"/>
        <w:ind w:left="567"/>
        <w:jc w:val="both"/>
        <w:rPr>
          <w:rFonts w:cs="Arial"/>
        </w:rPr>
      </w:pPr>
      <w:r>
        <w:rPr>
          <w:rFonts w:cs="Arial"/>
        </w:rPr>
        <w:t>Sin embargo, de acuerdo a la información de la misma FCC, el desarrollo para estos sistemas DSRC no fue el esperado, por lo que e</w:t>
      </w:r>
      <w:r w:rsidR="00E2658F" w:rsidRPr="009774B5">
        <w:rPr>
          <w:rFonts w:cs="Arial"/>
        </w:rPr>
        <w:t xml:space="preserve">l </w:t>
      </w:r>
      <w:r w:rsidR="00E7380F" w:rsidRPr="00D7449D">
        <w:rPr>
          <w:rFonts w:cs="Arial"/>
        </w:rPr>
        <w:t>20</w:t>
      </w:r>
      <w:r w:rsidR="00E2658F" w:rsidRPr="00D7449D">
        <w:rPr>
          <w:rFonts w:cs="Arial"/>
        </w:rPr>
        <w:t xml:space="preserve"> de </w:t>
      </w:r>
      <w:r w:rsidR="00E7380F" w:rsidRPr="00D7449D">
        <w:rPr>
          <w:rFonts w:cs="Arial"/>
        </w:rPr>
        <w:t>noviembre</w:t>
      </w:r>
      <w:r w:rsidR="00E2658F" w:rsidRPr="00D7449D">
        <w:rPr>
          <w:rFonts w:cs="Arial"/>
        </w:rPr>
        <w:t xml:space="preserve"> de </w:t>
      </w:r>
      <w:r w:rsidR="000B6F89" w:rsidRPr="009774B5">
        <w:rPr>
          <w:rFonts w:cs="Arial"/>
        </w:rPr>
        <w:t>202</w:t>
      </w:r>
      <w:r w:rsidR="00E7380F" w:rsidRPr="00015B47">
        <w:rPr>
          <w:rFonts w:cs="Arial"/>
        </w:rPr>
        <w:t>0</w:t>
      </w:r>
      <w:r w:rsidR="00E2658F" w:rsidRPr="00015B47">
        <w:rPr>
          <w:rFonts w:cs="Arial"/>
        </w:rPr>
        <w:t xml:space="preserve"> la FCC emitió</w:t>
      </w:r>
      <w:r>
        <w:rPr>
          <w:rFonts w:cs="Arial"/>
        </w:rPr>
        <w:t xml:space="preserve"> nuevas Reglas y una consulta pública</w:t>
      </w:r>
      <w:r w:rsidR="00E2658F" w:rsidRPr="009774B5">
        <w:rPr>
          <w:rStyle w:val="Refdenotaalpie"/>
          <w:rFonts w:cs="Arial"/>
          <w:sz w:val="16"/>
          <w:szCs w:val="20"/>
        </w:rPr>
        <w:footnoteReference w:id="8"/>
      </w:r>
      <w:r w:rsidR="00E2658F" w:rsidRPr="009774B5">
        <w:rPr>
          <w:rFonts w:cs="Arial"/>
        </w:rPr>
        <w:t xml:space="preserve"> relacionad</w:t>
      </w:r>
      <w:r w:rsidR="0085118C">
        <w:rPr>
          <w:rFonts w:cs="Arial"/>
        </w:rPr>
        <w:t>as</w:t>
      </w:r>
      <w:r w:rsidR="00E2658F" w:rsidRPr="009774B5">
        <w:rPr>
          <w:rFonts w:cs="Arial"/>
        </w:rPr>
        <w:t xml:space="preserve"> con el uso </w:t>
      </w:r>
      <w:r w:rsidR="00DD1C0F" w:rsidRPr="009774B5">
        <w:rPr>
          <w:rFonts w:cs="Arial"/>
        </w:rPr>
        <w:t>de</w:t>
      </w:r>
      <w:r w:rsidR="00E2658F" w:rsidRPr="00015B47">
        <w:rPr>
          <w:rFonts w:cs="Arial"/>
        </w:rPr>
        <w:t xml:space="preserve"> la banda de frecuencias </w:t>
      </w:r>
      <w:r w:rsidR="00DD1C0F" w:rsidRPr="00015B47">
        <w:t>5850-</w:t>
      </w:r>
      <w:r w:rsidR="00E2658F" w:rsidRPr="00015B47">
        <w:rPr>
          <w:rFonts w:cs="Arial"/>
        </w:rPr>
        <w:t>5925 MHz</w:t>
      </w:r>
      <w:r w:rsidR="00314B02">
        <w:rPr>
          <w:rFonts w:cs="Arial"/>
        </w:rPr>
        <w:t>,</w:t>
      </w:r>
      <w:r w:rsidR="00E2658F" w:rsidRPr="00015B47">
        <w:rPr>
          <w:rFonts w:cs="Arial"/>
        </w:rPr>
        <w:t xml:space="preserve"> en la </w:t>
      </w:r>
      <w:r w:rsidR="00A828B1">
        <w:rPr>
          <w:rFonts w:cs="Arial"/>
        </w:rPr>
        <w:t xml:space="preserve">que </w:t>
      </w:r>
      <w:r w:rsidR="00E7380F" w:rsidRPr="003349BA">
        <w:rPr>
          <w:rFonts w:cs="Arial"/>
        </w:rPr>
        <w:t xml:space="preserve">se </w:t>
      </w:r>
      <w:r>
        <w:rPr>
          <w:rFonts w:cs="Arial"/>
        </w:rPr>
        <w:t>determinó</w:t>
      </w:r>
      <w:r w:rsidR="00E7380F" w:rsidRPr="00ED4452">
        <w:rPr>
          <w:rFonts w:cs="Arial"/>
        </w:rPr>
        <w:t xml:space="preserve"> </w:t>
      </w:r>
      <w:r w:rsidR="00314B02">
        <w:rPr>
          <w:rFonts w:cs="Arial"/>
        </w:rPr>
        <w:t xml:space="preserve">que los </w:t>
      </w:r>
      <w:r w:rsidR="00E7380F" w:rsidRPr="00ED4452">
        <w:rPr>
          <w:rFonts w:cs="Arial"/>
        </w:rPr>
        <w:t xml:space="preserve">45 </w:t>
      </w:r>
      <w:r w:rsidR="00A828B1">
        <w:rPr>
          <w:rFonts w:cs="Arial"/>
        </w:rPr>
        <w:t>MHz</w:t>
      </w:r>
      <w:r w:rsidR="00E7380F" w:rsidRPr="00ED4452">
        <w:rPr>
          <w:rFonts w:cs="Arial"/>
        </w:rPr>
        <w:t xml:space="preserve"> </w:t>
      </w:r>
      <w:r w:rsidR="00314B02">
        <w:rPr>
          <w:rFonts w:cs="Arial"/>
        </w:rPr>
        <w:t xml:space="preserve">(5850-5895 </w:t>
      </w:r>
      <w:r w:rsidR="00EF6D62">
        <w:rPr>
          <w:rFonts w:cs="Arial"/>
        </w:rPr>
        <w:t>M</w:t>
      </w:r>
      <w:r w:rsidR="00314B02">
        <w:rPr>
          <w:rFonts w:cs="Arial"/>
        </w:rPr>
        <w:t xml:space="preserve">Hz) </w:t>
      </w:r>
      <w:r w:rsidR="00E7380F" w:rsidRPr="00ED4452">
        <w:rPr>
          <w:rFonts w:cs="Arial"/>
        </w:rPr>
        <w:t xml:space="preserve">de la </w:t>
      </w:r>
      <w:r w:rsidR="00314B02">
        <w:rPr>
          <w:rFonts w:cs="Arial"/>
        </w:rPr>
        <w:t xml:space="preserve">parte inferior de la </w:t>
      </w:r>
      <w:r w:rsidR="00E7380F" w:rsidRPr="00ED4452">
        <w:rPr>
          <w:rFonts w:cs="Arial"/>
        </w:rPr>
        <w:t xml:space="preserve">banda 5.9 GHz </w:t>
      </w:r>
      <w:r w:rsidR="00314B02">
        <w:rPr>
          <w:rFonts w:cs="Arial"/>
        </w:rPr>
        <w:t>serían empleados para</w:t>
      </w:r>
      <w:r w:rsidR="00E7380F" w:rsidRPr="00ED4452">
        <w:rPr>
          <w:rFonts w:cs="Arial"/>
        </w:rPr>
        <w:t xml:space="preserve"> </w:t>
      </w:r>
      <w:r w:rsidR="0085118C">
        <w:rPr>
          <w:rFonts w:cs="Arial"/>
        </w:rPr>
        <w:t>aplicaciones</w:t>
      </w:r>
      <w:r w:rsidR="00314B02">
        <w:rPr>
          <w:rFonts w:cs="Arial"/>
        </w:rPr>
        <w:t xml:space="preserve"> sin licencia</w:t>
      </w:r>
      <w:r w:rsidR="00E7380F" w:rsidRPr="00ED4452">
        <w:rPr>
          <w:rFonts w:cs="Arial"/>
        </w:rPr>
        <w:t xml:space="preserve">, mientras </w:t>
      </w:r>
      <w:r w:rsidR="00314B02">
        <w:rPr>
          <w:rFonts w:cs="Arial"/>
        </w:rPr>
        <w:t>que</w:t>
      </w:r>
      <w:r w:rsidR="00E7380F" w:rsidRPr="00ED4452">
        <w:rPr>
          <w:rFonts w:cs="Arial"/>
        </w:rPr>
        <w:t xml:space="preserve"> los 30 </w:t>
      </w:r>
      <w:r w:rsidR="007D5C04">
        <w:rPr>
          <w:rFonts w:cs="Arial"/>
        </w:rPr>
        <w:t>MHz</w:t>
      </w:r>
      <w:r w:rsidR="00E7380F" w:rsidRPr="00ED4452">
        <w:rPr>
          <w:rFonts w:cs="Arial"/>
        </w:rPr>
        <w:t xml:space="preserve"> </w:t>
      </w:r>
      <w:r w:rsidR="00314B02">
        <w:rPr>
          <w:rFonts w:cs="Arial"/>
        </w:rPr>
        <w:t xml:space="preserve">restantes </w:t>
      </w:r>
      <w:r w:rsidR="00314B02" w:rsidRPr="00314B02">
        <w:rPr>
          <w:rFonts w:cs="Arial"/>
        </w:rPr>
        <w:t xml:space="preserve">(5895-5925 </w:t>
      </w:r>
      <w:r w:rsidR="00EF6D62">
        <w:rPr>
          <w:rFonts w:cs="Arial"/>
        </w:rPr>
        <w:t>M</w:t>
      </w:r>
      <w:r w:rsidR="00314B02" w:rsidRPr="00314B02">
        <w:rPr>
          <w:rFonts w:cs="Arial"/>
        </w:rPr>
        <w:t xml:space="preserve">Hz) </w:t>
      </w:r>
      <w:r w:rsidR="00314B02">
        <w:rPr>
          <w:rFonts w:cs="Arial"/>
        </w:rPr>
        <w:t>en la parte superior</w:t>
      </w:r>
      <w:r w:rsidR="00E7380F" w:rsidRPr="00ED4452">
        <w:rPr>
          <w:rFonts w:cs="Arial"/>
        </w:rPr>
        <w:t xml:space="preserve"> de la banda 5.9 GHz </w:t>
      </w:r>
      <w:r w:rsidR="00314B02">
        <w:rPr>
          <w:rFonts w:cs="Arial"/>
        </w:rPr>
        <w:t xml:space="preserve">se mantendrían </w:t>
      </w:r>
      <w:r w:rsidR="00E7380F" w:rsidRPr="00ED4452">
        <w:rPr>
          <w:rFonts w:cs="Arial"/>
        </w:rPr>
        <w:t xml:space="preserve">para el </w:t>
      </w:r>
      <w:r w:rsidR="00314B02">
        <w:rPr>
          <w:rFonts w:cs="Arial"/>
        </w:rPr>
        <w:t xml:space="preserve">uso de </w:t>
      </w:r>
      <w:r w:rsidR="00D37A79">
        <w:rPr>
          <w:rFonts w:cs="Arial"/>
        </w:rPr>
        <w:t>STI</w:t>
      </w:r>
      <w:r w:rsidR="00192316">
        <w:rPr>
          <w:rFonts w:cs="Arial"/>
        </w:rPr>
        <w:t xml:space="preserve"> mediante asignación compartida</w:t>
      </w:r>
      <w:r w:rsidR="00314B02">
        <w:rPr>
          <w:rFonts w:cs="Arial"/>
        </w:rPr>
        <w:t>.</w:t>
      </w:r>
    </w:p>
    <w:p w14:paraId="67D9CE0A" w14:textId="77777777" w:rsidR="0085118C" w:rsidRDefault="0085118C" w:rsidP="0085118C">
      <w:pPr>
        <w:spacing w:after="0" w:line="240" w:lineRule="auto"/>
        <w:ind w:left="567"/>
        <w:jc w:val="both"/>
        <w:rPr>
          <w:rFonts w:cs="Arial"/>
        </w:rPr>
      </w:pPr>
    </w:p>
    <w:p w14:paraId="29C2346B" w14:textId="7109B2B0" w:rsidR="00314B02" w:rsidRPr="008C0BC1" w:rsidRDefault="00314B02" w:rsidP="008C0BC1">
      <w:pPr>
        <w:spacing w:after="0" w:line="240" w:lineRule="auto"/>
        <w:ind w:left="567"/>
        <w:jc w:val="both"/>
        <w:rPr>
          <w:rFonts w:cs="Arial"/>
        </w:rPr>
      </w:pPr>
      <w:r w:rsidRPr="00906888">
        <w:rPr>
          <w:rFonts w:cs="Arial"/>
        </w:rPr>
        <w:t xml:space="preserve">Adicionalmente, </w:t>
      </w:r>
      <w:r w:rsidR="0085118C" w:rsidRPr="00906888">
        <w:rPr>
          <w:rFonts w:cs="Arial"/>
        </w:rPr>
        <w:t xml:space="preserve">la FCC </w:t>
      </w:r>
      <w:r w:rsidRPr="00906888">
        <w:rPr>
          <w:rFonts w:cs="Arial"/>
        </w:rPr>
        <w:t xml:space="preserve">estableció que </w:t>
      </w:r>
      <w:r w:rsidR="0070480B">
        <w:rPr>
          <w:rFonts w:cs="Arial"/>
        </w:rPr>
        <w:t xml:space="preserve">en los 30 MHz de </w:t>
      </w:r>
      <w:r w:rsidRPr="00906888">
        <w:rPr>
          <w:rFonts w:cs="Arial"/>
        </w:rPr>
        <w:t xml:space="preserve">la banda 5.9 GHz </w:t>
      </w:r>
      <w:r w:rsidR="0085118C" w:rsidRPr="00906888">
        <w:rPr>
          <w:rFonts w:cs="Arial"/>
        </w:rPr>
        <w:t>que continuaría</w:t>
      </w:r>
      <w:r w:rsidRPr="00906888">
        <w:rPr>
          <w:rFonts w:cs="Arial"/>
        </w:rPr>
        <w:t xml:space="preserve"> siendo utilizado para </w:t>
      </w:r>
      <w:r w:rsidR="00DF7328">
        <w:rPr>
          <w:rFonts w:cs="Arial"/>
        </w:rPr>
        <w:t>STI</w:t>
      </w:r>
      <w:r w:rsidRPr="00906888">
        <w:rPr>
          <w:rFonts w:cs="Arial"/>
        </w:rPr>
        <w:t xml:space="preserve">, </w:t>
      </w:r>
      <w:r w:rsidR="0085118C" w:rsidRPr="00906888">
        <w:rPr>
          <w:rFonts w:cs="Arial"/>
        </w:rPr>
        <w:t xml:space="preserve">se </w:t>
      </w:r>
      <w:r w:rsidRPr="00906888">
        <w:rPr>
          <w:rFonts w:cs="Arial"/>
        </w:rPr>
        <w:t>consider</w:t>
      </w:r>
      <w:r w:rsidR="0085118C" w:rsidRPr="00906888">
        <w:rPr>
          <w:rFonts w:cs="Arial"/>
        </w:rPr>
        <w:t>aba</w:t>
      </w:r>
      <w:r w:rsidRPr="00906888">
        <w:rPr>
          <w:rFonts w:cs="Arial"/>
        </w:rPr>
        <w:t xml:space="preserve"> apropiado que una sola tecnología </w:t>
      </w:r>
      <w:r w:rsidR="0085118C" w:rsidRPr="00906888">
        <w:rPr>
          <w:rFonts w:cs="Arial"/>
        </w:rPr>
        <w:t>fuera</w:t>
      </w:r>
      <w:r w:rsidRPr="00906888">
        <w:rPr>
          <w:rFonts w:cs="Arial"/>
        </w:rPr>
        <w:t xml:space="preserve"> la empleada</w:t>
      </w:r>
      <w:r w:rsidR="0085118C" w:rsidRPr="00906888">
        <w:rPr>
          <w:rFonts w:cs="Arial"/>
        </w:rPr>
        <w:t xml:space="preserve"> en dicha porción de espectro</w:t>
      </w:r>
      <w:r w:rsidRPr="00906888">
        <w:rPr>
          <w:rFonts w:cs="Arial"/>
        </w:rPr>
        <w:t>, resultando así</w:t>
      </w:r>
      <w:r w:rsidR="0085118C" w:rsidRPr="00906888">
        <w:rPr>
          <w:rFonts w:cs="Arial"/>
        </w:rPr>
        <w:t>,</w:t>
      </w:r>
      <w:r w:rsidRPr="00906888">
        <w:rPr>
          <w:rFonts w:cs="Arial"/>
        </w:rPr>
        <w:t xml:space="preserve"> el uso de la tecnología </w:t>
      </w:r>
      <w:r w:rsidR="0070480B">
        <w:rPr>
          <w:rFonts w:cs="Arial"/>
        </w:rPr>
        <w:t>c</w:t>
      </w:r>
      <w:r w:rsidR="0071489D">
        <w:rPr>
          <w:rFonts w:cs="Arial"/>
        </w:rPr>
        <w:t xml:space="preserve">elular vehículo a cualquier cosa </w:t>
      </w:r>
      <w:r w:rsidR="008C0BC1">
        <w:rPr>
          <w:rFonts w:cs="Arial"/>
        </w:rPr>
        <w:t>(</w:t>
      </w:r>
      <w:r w:rsidRPr="00906888">
        <w:rPr>
          <w:rFonts w:cs="Arial"/>
        </w:rPr>
        <w:t>C-V2X</w:t>
      </w:r>
      <w:r w:rsidR="008C0BC1">
        <w:rPr>
          <w:rFonts w:cs="Arial"/>
        </w:rPr>
        <w:t>, por sus siglas en inglés</w:t>
      </w:r>
      <w:r w:rsidR="008C0BC1" w:rsidRPr="008C0BC1">
        <w:t xml:space="preserve"> </w:t>
      </w:r>
      <w:proofErr w:type="spellStart"/>
      <w:r w:rsidR="008C0BC1" w:rsidRPr="008C0BC1">
        <w:rPr>
          <w:rFonts w:cs="Arial"/>
          <w:i/>
        </w:rPr>
        <w:t>Cellular</w:t>
      </w:r>
      <w:proofErr w:type="spellEnd"/>
      <w:r w:rsidR="008C0BC1" w:rsidRPr="008C0BC1">
        <w:rPr>
          <w:rFonts w:cs="Arial"/>
          <w:i/>
        </w:rPr>
        <w:t xml:space="preserve"> </w:t>
      </w:r>
      <w:proofErr w:type="spellStart"/>
      <w:r w:rsidR="008C0BC1" w:rsidRPr="008C0BC1">
        <w:rPr>
          <w:rFonts w:cs="Arial"/>
          <w:i/>
        </w:rPr>
        <w:t>Vehicle</w:t>
      </w:r>
      <w:proofErr w:type="spellEnd"/>
      <w:r w:rsidR="008C0BC1" w:rsidRPr="008C0BC1">
        <w:rPr>
          <w:rFonts w:cs="Arial"/>
          <w:i/>
        </w:rPr>
        <w:t xml:space="preserve"> </w:t>
      </w:r>
      <w:proofErr w:type="spellStart"/>
      <w:r w:rsidR="008C0BC1" w:rsidRPr="008C0BC1">
        <w:rPr>
          <w:rFonts w:cs="Arial"/>
          <w:i/>
        </w:rPr>
        <w:t>to</w:t>
      </w:r>
      <w:proofErr w:type="spellEnd"/>
      <w:r w:rsidR="008C0BC1" w:rsidRPr="008C0BC1">
        <w:rPr>
          <w:rFonts w:cs="Arial"/>
          <w:i/>
        </w:rPr>
        <w:t xml:space="preserve"> </w:t>
      </w:r>
      <w:proofErr w:type="spellStart"/>
      <w:r w:rsidR="008C0BC1" w:rsidRPr="008C0BC1">
        <w:rPr>
          <w:rFonts w:cs="Arial"/>
          <w:i/>
        </w:rPr>
        <w:t>Everything</w:t>
      </w:r>
      <w:proofErr w:type="spellEnd"/>
      <w:r w:rsidR="008C0BC1" w:rsidRPr="008C0BC1">
        <w:rPr>
          <w:rFonts w:cs="Arial"/>
        </w:rPr>
        <w:t>)</w:t>
      </w:r>
      <w:r w:rsidRPr="008C0BC1">
        <w:rPr>
          <w:rFonts w:cs="Arial"/>
        </w:rPr>
        <w:t xml:space="preserve"> para </w:t>
      </w:r>
      <w:r w:rsidR="00DF7328" w:rsidRPr="008C0BC1">
        <w:rPr>
          <w:rFonts w:cs="Arial"/>
        </w:rPr>
        <w:t>STI</w:t>
      </w:r>
      <w:r w:rsidR="0085118C" w:rsidRPr="008C0BC1">
        <w:rPr>
          <w:rFonts w:cs="Arial"/>
        </w:rPr>
        <w:t xml:space="preserve"> en </w:t>
      </w:r>
      <w:r w:rsidR="00266C40">
        <w:rPr>
          <w:rFonts w:cs="Arial"/>
        </w:rPr>
        <w:t xml:space="preserve">la banda de frecuencias </w:t>
      </w:r>
      <w:r w:rsidR="0085118C" w:rsidRPr="008C0BC1">
        <w:rPr>
          <w:rFonts w:cs="Arial"/>
        </w:rPr>
        <w:t>5.895-5.925 GHz</w:t>
      </w:r>
      <w:r w:rsidRPr="008C0BC1">
        <w:rPr>
          <w:rFonts w:cs="Arial"/>
        </w:rPr>
        <w:t>.</w:t>
      </w:r>
      <w:r w:rsidR="0071489D">
        <w:rPr>
          <w:rStyle w:val="Refdenotaalpie"/>
          <w:rFonts w:cs="Arial"/>
        </w:rPr>
        <w:footnoteReference w:id="9"/>
      </w:r>
    </w:p>
    <w:p w14:paraId="1A61BE19" w14:textId="77777777" w:rsidR="0085118C" w:rsidRPr="008C0BC1" w:rsidRDefault="0085118C" w:rsidP="0085118C">
      <w:pPr>
        <w:spacing w:after="0" w:line="240" w:lineRule="auto"/>
        <w:ind w:left="567"/>
        <w:jc w:val="both"/>
        <w:rPr>
          <w:rFonts w:cs="Arial"/>
        </w:rPr>
      </w:pPr>
    </w:p>
    <w:p w14:paraId="32C674AA" w14:textId="2C3B6F0E" w:rsidR="00E2658F" w:rsidRDefault="00314B02" w:rsidP="0085118C">
      <w:pPr>
        <w:spacing w:after="0" w:line="240" w:lineRule="auto"/>
        <w:ind w:left="567"/>
        <w:jc w:val="both"/>
        <w:rPr>
          <w:rFonts w:cs="Arial"/>
        </w:rPr>
      </w:pPr>
      <w:r>
        <w:rPr>
          <w:rFonts w:cs="Arial"/>
        </w:rPr>
        <w:t>Posteriormente, l</w:t>
      </w:r>
      <w:r w:rsidR="00E7380F" w:rsidRPr="00E7380F">
        <w:rPr>
          <w:rFonts w:cs="Arial"/>
        </w:rPr>
        <w:t xml:space="preserve">a </w:t>
      </w:r>
      <w:r w:rsidR="00E7380F">
        <w:rPr>
          <w:rFonts w:cs="Arial"/>
        </w:rPr>
        <w:t>FCC</w:t>
      </w:r>
      <w:r w:rsidR="00E7380F" w:rsidRPr="00E7380F">
        <w:rPr>
          <w:rFonts w:cs="Arial"/>
        </w:rPr>
        <w:t xml:space="preserve"> modificó </w:t>
      </w:r>
      <w:r>
        <w:rPr>
          <w:rFonts w:cs="Arial"/>
        </w:rPr>
        <w:t>las reglas por algunas erratas</w:t>
      </w:r>
      <w:r w:rsidR="00E7380F" w:rsidRPr="00E7380F">
        <w:rPr>
          <w:rFonts w:cs="Arial"/>
        </w:rPr>
        <w:t xml:space="preserve"> el 11 de diciembre de 2020</w:t>
      </w:r>
      <w:r>
        <w:rPr>
          <w:rFonts w:cs="Arial"/>
        </w:rPr>
        <w:t xml:space="preserve"> y el</w:t>
      </w:r>
      <w:r w:rsidR="00E7380F" w:rsidRPr="00E7380F">
        <w:rPr>
          <w:rFonts w:cs="Arial"/>
        </w:rPr>
        <w:t xml:space="preserve"> 9 de febrero de 2021.</w:t>
      </w:r>
      <w:r>
        <w:rPr>
          <w:rFonts w:cs="Arial"/>
        </w:rPr>
        <w:t xml:space="preserve"> </w:t>
      </w:r>
      <w:r w:rsidR="00EE4E30">
        <w:rPr>
          <w:rFonts w:cs="Arial"/>
        </w:rPr>
        <w:t>La</w:t>
      </w:r>
      <w:r w:rsidR="000356C0">
        <w:rPr>
          <w:rFonts w:cs="Arial"/>
        </w:rPr>
        <w:t>s</w:t>
      </w:r>
      <w:r w:rsidR="00EE4E30">
        <w:rPr>
          <w:rFonts w:cs="Arial"/>
        </w:rPr>
        <w:t xml:space="preserve"> regla</w:t>
      </w:r>
      <w:r w:rsidR="000356C0">
        <w:rPr>
          <w:rFonts w:cs="Arial"/>
        </w:rPr>
        <w:t>s</w:t>
      </w:r>
      <w:r w:rsidR="00EE4E30">
        <w:rPr>
          <w:rFonts w:cs="Arial"/>
        </w:rPr>
        <w:t xml:space="preserve"> vigente</w:t>
      </w:r>
      <w:r w:rsidR="000356C0">
        <w:rPr>
          <w:rFonts w:cs="Arial"/>
        </w:rPr>
        <w:t>s para la banda 5.9 GHz</w:t>
      </w:r>
      <w:r w:rsidR="00EE4E30">
        <w:rPr>
          <w:rFonts w:cs="Arial"/>
        </w:rPr>
        <w:t xml:space="preserve"> fue</w:t>
      </w:r>
      <w:r w:rsidR="000356C0">
        <w:rPr>
          <w:rFonts w:cs="Arial"/>
        </w:rPr>
        <w:t>ron</w:t>
      </w:r>
      <w:r w:rsidR="00EE4E30">
        <w:rPr>
          <w:rFonts w:cs="Arial"/>
        </w:rPr>
        <w:t xml:space="preserve"> publicada</w:t>
      </w:r>
      <w:r w:rsidR="000356C0">
        <w:rPr>
          <w:rFonts w:cs="Arial"/>
        </w:rPr>
        <w:t>s</w:t>
      </w:r>
      <w:r w:rsidR="00EE4E30">
        <w:rPr>
          <w:rFonts w:cs="Arial"/>
        </w:rPr>
        <w:t xml:space="preserve"> en el Registro Federal </w:t>
      </w:r>
      <w:r w:rsidR="0085118C">
        <w:rPr>
          <w:rFonts w:cs="Arial"/>
        </w:rPr>
        <w:t xml:space="preserve">de Estados Unidos de América </w:t>
      </w:r>
      <w:r w:rsidR="00EE4E30">
        <w:rPr>
          <w:rFonts w:cs="Arial"/>
        </w:rPr>
        <w:t>el 3 de mayo de 2021</w:t>
      </w:r>
      <w:r w:rsidR="000356C0">
        <w:rPr>
          <w:rStyle w:val="Refdenotaalpie"/>
          <w:rFonts w:cs="Arial"/>
        </w:rPr>
        <w:footnoteReference w:id="10"/>
      </w:r>
      <w:r w:rsidR="000356C0">
        <w:rPr>
          <w:rFonts w:cs="Arial"/>
        </w:rPr>
        <w:t>,</w:t>
      </w:r>
      <w:r w:rsidR="00EE4E30">
        <w:rPr>
          <w:rFonts w:cs="Arial"/>
        </w:rPr>
        <w:t xml:space="preserve"> </w:t>
      </w:r>
      <w:r w:rsidR="000356C0">
        <w:rPr>
          <w:rFonts w:cs="Arial"/>
        </w:rPr>
        <w:t>en donde se establecen los</w:t>
      </w:r>
      <w:r w:rsidR="00E2658F">
        <w:rPr>
          <w:rFonts w:cs="Arial"/>
        </w:rPr>
        <w:t xml:space="preserve"> parámetros técnicos y condiciones de operación para </w:t>
      </w:r>
      <w:r w:rsidR="000356C0">
        <w:rPr>
          <w:rFonts w:cs="Arial"/>
        </w:rPr>
        <w:t>que los dispositivos sin licencia</w:t>
      </w:r>
      <w:r w:rsidR="00EF6D62">
        <w:rPr>
          <w:rFonts w:cs="Arial"/>
        </w:rPr>
        <w:t xml:space="preserve">, como Wifi, </w:t>
      </w:r>
      <w:r w:rsidR="000356C0">
        <w:rPr>
          <w:rFonts w:cs="Arial"/>
        </w:rPr>
        <w:t xml:space="preserve">operen en </w:t>
      </w:r>
      <w:r w:rsidR="00EF6D62">
        <w:rPr>
          <w:rFonts w:cs="Arial"/>
        </w:rPr>
        <w:t xml:space="preserve">el segmento </w:t>
      </w:r>
      <w:r w:rsidR="000356C0">
        <w:rPr>
          <w:rFonts w:cs="Arial"/>
        </w:rPr>
        <w:t>585</w:t>
      </w:r>
      <w:r w:rsidR="00EF6D62">
        <w:rPr>
          <w:rFonts w:cs="Arial"/>
        </w:rPr>
        <w:t>0</w:t>
      </w:r>
      <w:r w:rsidR="000356C0">
        <w:rPr>
          <w:rFonts w:cs="Arial"/>
        </w:rPr>
        <w:t>-</w:t>
      </w:r>
      <w:r w:rsidR="000356C0" w:rsidRPr="000356C0">
        <w:t xml:space="preserve"> </w:t>
      </w:r>
      <w:r w:rsidR="000356C0" w:rsidRPr="000356C0">
        <w:rPr>
          <w:rFonts w:cs="Arial"/>
        </w:rPr>
        <w:t xml:space="preserve">5895 </w:t>
      </w:r>
      <w:r w:rsidR="00EF6D62">
        <w:rPr>
          <w:rFonts w:cs="Arial"/>
        </w:rPr>
        <w:t>M</w:t>
      </w:r>
      <w:r w:rsidR="000356C0">
        <w:rPr>
          <w:rFonts w:cs="Arial"/>
        </w:rPr>
        <w:t xml:space="preserve">Hz </w:t>
      </w:r>
      <w:r w:rsidR="00E7380F">
        <w:rPr>
          <w:rFonts w:cs="Arial"/>
        </w:rPr>
        <w:t xml:space="preserve">y </w:t>
      </w:r>
      <w:r w:rsidR="0085118C">
        <w:rPr>
          <w:rFonts w:cs="Arial"/>
        </w:rPr>
        <w:t xml:space="preserve">que </w:t>
      </w:r>
      <w:r w:rsidR="000356C0">
        <w:rPr>
          <w:rFonts w:cs="Arial"/>
        </w:rPr>
        <w:t xml:space="preserve">los </w:t>
      </w:r>
      <w:r w:rsidR="00D37A79">
        <w:rPr>
          <w:rFonts w:cs="Arial"/>
        </w:rPr>
        <w:t>STI</w:t>
      </w:r>
      <w:r w:rsidR="000356C0">
        <w:rPr>
          <w:rFonts w:cs="Arial"/>
        </w:rPr>
        <w:t xml:space="preserve"> </w:t>
      </w:r>
      <w:r w:rsidR="0070480B">
        <w:rPr>
          <w:rFonts w:cs="Arial"/>
        </w:rPr>
        <w:t>hagan</w:t>
      </w:r>
      <w:r w:rsidR="00E2658F">
        <w:rPr>
          <w:rFonts w:cs="Arial"/>
        </w:rPr>
        <w:t xml:space="preserve"> uso </w:t>
      </w:r>
      <w:r w:rsidR="00DD1C0F">
        <w:rPr>
          <w:rFonts w:cs="Arial"/>
        </w:rPr>
        <w:t>de</w:t>
      </w:r>
      <w:r w:rsidR="000356C0">
        <w:rPr>
          <w:rFonts w:cs="Arial"/>
        </w:rPr>
        <w:t xml:space="preserve">l segmento 5895-5925 </w:t>
      </w:r>
      <w:r w:rsidR="00EF6D62">
        <w:rPr>
          <w:rFonts w:cs="Arial"/>
        </w:rPr>
        <w:t>M</w:t>
      </w:r>
      <w:r w:rsidR="000356C0">
        <w:rPr>
          <w:rFonts w:cs="Arial"/>
        </w:rPr>
        <w:t>Hz</w:t>
      </w:r>
      <w:r w:rsidR="00526D98">
        <w:rPr>
          <w:rFonts w:cs="Arial"/>
        </w:rPr>
        <w:t xml:space="preserve"> bajo</w:t>
      </w:r>
      <w:r w:rsidR="00266C40">
        <w:rPr>
          <w:rFonts w:cs="Arial"/>
        </w:rPr>
        <w:t xml:space="preserve"> bases de compartición</w:t>
      </w:r>
      <w:r w:rsidR="0085118C" w:rsidRPr="00785E06">
        <w:rPr>
          <w:rFonts w:cs="Arial"/>
        </w:rPr>
        <w:t>.</w:t>
      </w:r>
    </w:p>
    <w:p w14:paraId="489A03DA" w14:textId="77777777" w:rsidR="003E7373" w:rsidRPr="0085118C" w:rsidRDefault="003E7373" w:rsidP="0085118C">
      <w:pPr>
        <w:spacing w:after="0" w:line="240" w:lineRule="auto"/>
        <w:ind w:left="567"/>
        <w:jc w:val="both"/>
        <w:rPr>
          <w:rFonts w:cs="Arial"/>
        </w:rPr>
      </w:pPr>
    </w:p>
    <w:p w14:paraId="57929C42" w14:textId="77777777" w:rsidR="00FB33F6" w:rsidRPr="00F55D70" w:rsidRDefault="00FB33F6" w:rsidP="0085118C">
      <w:pPr>
        <w:spacing w:after="0" w:line="240" w:lineRule="auto"/>
        <w:ind w:left="567"/>
        <w:jc w:val="both"/>
        <w:rPr>
          <w:rFonts w:cs="Arial"/>
          <w:color w:val="70AD47" w:themeColor="accent6"/>
        </w:rPr>
      </w:pPr>
      <w:r w:rsidRPr="00F55D70">
        <w:rPr>
          <w:rFonts w:cs="Arial"/>
          <w:color w:val="70AD47" w:themeColor="accent6"/>
        </w:rPr>
        <w:t>Canadá - Ministerio de Innovación, Ciencia y Desarrollo Económico</w:t>
      </w:r>
      <w:r w:rsidR="00720EB3">
        <w:rPr>
          <w:rFonts w:cs="Arial"/>
          <w:color w:val="70AD47" w:themeColor="accent6"/>
        </w:rPr>
        <w:t xml:space="preserve"> (ISED)</w:t>
      </w:r>
    </w:p>
    <w:p w14:paraId="2E81768E" w14:textId="77777777" w:rsidR="0085118C" w:rsidRDefault="0085118C" w:rsidP="0085118C">
      <w:pPr>
        <w:spacing w:after="0" w:line="240" w:lineRule="auto"/>
        <w:ind w:left="567"/>
        <w:jc w:val="both"/>
        <w:rPr>
          <w:rFonts w:cs="Arial"/>
        </w:rPr>
      </w:pPr>
    </w:p>
    <w:p w14:paraId="37ADF29D" w14:textId="4FD7FE16" w:rsidR="000345F2" w:rsidRPr="000345F2" w:rsidRDefault="0085118C" w:rsidP="0085118C">
      <w:pPr>
        <w:spacing w:after="0" w:line="240" w:lineRule="auto"/>
        <w:ind w:left="567"/>
        <w:jc w:val="both"/>
        <w:rPr>
          <w:rFonts w:cs="Arial"/>
        </w:rPr>
      </w:pPr>
      <w:r>
        <w:rPr>
          <w:rFonts w:cs="Arial"/>
        </w:rPr>
        <w:t>En marzo de 20</w:t>
      </w:r>
      <w:r w:rsidR="00B26E3D">
        <w:rPr>
          <w:rFonts w:cs="Arial"/>
        </w:rPr>
        <w:t>0</w:t>
      </w:r>
      <w:r>
        <w:rPr>
          <w:rFonts w:cs="Arial"/>
        </w:rPr>
        <w:t>7, e</w:t>
      </w:r>
      <w:r w:rsidR="00FB33F6" w:rsidRPr="00F97A8D">
        <w:rPr>
          <w:rFonts w:cs="Arial"/>
        </w:rPr>
        <w:t xml:space="preserve">l ISED de Canadá realizó </w:t>
      </w:r>
      <w:r>
        <w:rPr>
          <w:rFonts w:cs="Arial"/>
        </w:rPr>
        <w:t xml:space="preserve">una consulta pública respecto de una propuesta de uso de la banda </w:t>
      </w:r>
      <w:r w:rsidRPr="0085118C">
        <w:rPr>
          <w:rFonts w:cs="Arial"/>
        </w:rPr>
        <w:t>5850–5925 MHz</w:t>
      </w:r>
      <w:r w:rsidR="00B26E3D">
        <w:rPr>
          <w:rFonts w:cs="Arial"/>
        </w:rPr>
        <w:t xml:space="preserve"> por C</w:t>
      </w:r>
      <w:r w:rsidR="00B26E3D" w:rsidRPr="00717D3B">
        <w:rPr>
          <w:rFonts w:cs="Arial"/>
        </w:rPr>
        <w:t xml:space="preserve">omunicaciones </w:t>
      </w:r>
      <w:r w:rsidR="00B26E3D">
        <w:rPr>
          <w:rFonts w:cs="Arial"/>
        </w:rPr>
        <w:t>Especializadas</w:t>
      </w:r>
      <w:r w:rsidR="00B26E3D" w:rsidRPr="00717D3B">
        <w:rPr>
          <w:rFonts w:cs="Arial"/>
        </w:rPr>
        <w:t xml:space="preserve"> de </w:t>
      </w:r>
      <w:r w:rsidR="00B26E3D">
        <w:rPr>
          <w:rFonts w:cs="Arial"/>
        </w:rPr>
        <w:t>C</w:t>
      </w:r>
      <w:r w:rsidR="00B26E3D" w:rsidRPr="00717D3B">
        <w:rPr>
          <w:rFonts w:cs="Arial"/>
        </w:rPr>
        <w:t xml:space="preserve">orto </w:t>
      </w:r>
      <w:r w:rsidR="00B26E3D">
        <w:rPr>
          <w:rFonts w:cs="Arial"/>
        </w:rPr>
        <w:t>A</w:t>
      </w:r>
      <w:r w:rsidR="00B26E3D" w:rsidRPr="00717D3B">
        <w:rPr>
          <w:rFonts w:cs="Arial"/>
        </w:rPr>
        <w:t xml:space="preserve">lcance </w:t>
      </w:r>
      <w:r w:rsidR="00EF6D62">
        <w:rPr>
          <w:rFonts w:cs="Arial"/>
        </w:rPr>
        <w:t xml:space="preserve">(DSRC) </w:t>
      </w:r>
      <w:r w:rsidR="00B26E3D">
        <w:rPr>
          <w:rFonts w:cs="Arial"/>
        </w:rPr>
        <w:t>para la operación de</w:t>
      </w:r>
      <w:r w:rsidR="00B26E3D" w:rsidRPr="00717D3B">
        <w:rPr>
          <w:rFonts w:cs="Arial"/>
        </w:rPr>
        <w:t xml:space="preserve"> </w:t>
      </w:r>
      <w:r w:rsidR="00B26E3D">
        <w:rPr>
          <w:rFonts w:cs="Arial"/>
        </w:rPr>
        <w:t>Sistemas</w:t>
      </w:r>
      <w:r w:rsidR="00B26E3D" w:rsidRPr="00717D3B">
        <w:rPr>
          <w:rFonts w:cs="Arial"/>
        </w:rPr>
        <w:t xml:space="preserve"> de </w:t>
      </w:r>
      <w:r w:rsidR="00B26E3D">
        <w:rPr>
          <w:rFonts w:cs="Arial"/>
        </w:rPr>
        <w:t>T</w:t>
      </w:r>
      <w:r w:rsidR="00B26E3D" w:rsidRPr="00717D3B">
        <w:rPr>
          <w:rFonts w:cs="Arial"/>
        </w:rPr>
        <w:t xml:space="preserve">ransporte </w:t>
      </w:r>
      <w:r w:rsidR="00B26E3D">
        <w:rPr>
          <w:rFonts w:cs="Arial"/>
        </w:rPr>
        <w:t>I</w:t>
      </w:r>
      <w:r w:rsidR="00B26E3D" w:rsidRPr="00717D3B">
        <w:rPr>
          <w:rFonts w:cs="Arial"/>
        </w:rPr>
        <w:t>nteligente</w:t>
      </w:r>
      <w:r w:rsidR="00720EB3">
        <w:rPr>
          <w:rStyle w:val="Refdenotaalpie"/>
          <w:rFonts w:cs="Arial"/>
        </w:rPr>
        <w:footnoteReference w:id="11"/>
      </w:r>
      <w:r w:rsidR="00B26E3D">
        <w:rPr>
          <w:rFonts w:cs="Arial"/>
        </w:rPr>
        <w:t>. En dicha propuesta se estableció un Plan de Banda, la coexistencia con otros servicios y aplicaciones, cuestiones para el licenciamiento y las condiciones técnicas de operación de dichos dispositivos.</w:t>
      </w:r>
    </w:p>
    <w:p w14:paraId="27414063" w14:textId="77777777" w:rsidR="000345F2" w:rsidRDefault="000345F2" w:rsidP="0085118C">
      <w:pPr>
        <w:spacing w:after="0" w:line="240" w:lineRule="auto"/>
        <w:ind w:left="567"/>
        <w:jc w:val="both"/>
        <w:rPr>
          <w:rFonts w:cs="Arial"/>
        </w:rPr>
      </w:pPr>
    </w:p>
    <w:p w14:paraId="0D4FD728" w14:textId="30F1FF5C" w:rsidR="00A606F7" w:rsidRDefault="00A606F7" w:rsidP="0085118C">
      <w:pPr>
        <w:spacing w:after="0" w:line="240" w:lineRule="auto"/>
        <w:ind w:left="567"/>
        <w:jc w:val="both"/>
        <w:rPr>
          <w:rFonts w:cs="Arial"/>
        </w:rPr>
      </w:pPr>
      <w:r>
        <w:rPr>
          <w:rFonts w:cs="Arial"/>
        </w:rPr>
        <w:t>En septiembre de 2017, Canadá emitió el estándar</w:t>
      </w:r>
      <w:r w:rsidRPr="00A606F7">
        <w:rPr>
          <w:rFonts w:cs="Arial"/>
        </w:rPr>
        <w:t xml:space="preserve"> de radio RSS-2</w:t>
      </w:r>
      <w:r>
        <w:rPr>
          <w:rFonts w:cs="Arial"/>
        </w:rPr>
        <w:t>52</w:t>
      </w:r>
      <w:r w:rsidR="008B597F">
        <w:rPr>
          <w:rFonts w:cs="Arial"/>
        </w:rPr>
        <w:t xml:space="preserve"> denominado </w:t>
      </w:r>
      <w:proofErr w:type="spellStart"/>
      <w:r w:rsidR="008B597F" w:rsidRPr="008B597F">
        <w:rPr>
          <w:rFonts w:cs="Arial"/>
          <w:i/>
        </w:rPr>
        <w:t>Intelligent</w:t>
      </w:r>
      <w:proofErr w:type="spellEnd"/>
      <w:r w:rsidR="008B597F" w:rsidRPr="008B597F">
        <w:rPr>
          <w:rFonts w:cs="Arial"/>
          <w:i/>
        </w:rPr>
        <w:t xml:space="preserve"> </w:t>
      </w:r>
      <w:proofErr w:type="spellStart"/>
      <w:r w:rsidR="008B597F" w:rsidRPr="008B597F">
        <w:rPr>
          <w:rFonts w:cs="Arial"/>
          <w:i/>
        </w:rPr>
        <w:t>Transportation</w:t>
      </w:r>
      <w:proofErr w:type="spellEnd"/>
      <w:r w:rsidR="008B597F" w:rsidRPr="008B597F">
        <w:rPr>
          <w:rFonts w:cs="Arial"/>
          <w:i/>
        </w:rPr>
        <w:t xml:space="preserve"> </w:t>
      </w:r>
      <w:proofErr w:type="spellStart"/>
      <w:r w:rsidR="008B597F" w:rsidRPr="008B597F">
        <w:rPr>
          <w:rFonts w:cs="Arial"/>
          <w:i/>
        </w:rPr>
        <w:t>Systems</w:t>
      </w:r>
      <w:proofErr w:type="spellEnd"/>
      <w:r w:rsidR="008B597F" w:rsidRPr="008B597F">
        <w:rPr>
          <w:rFonts w:cs="Arial"/>
          <w:i/>
        </w:rPr>
        <w:t xml:space="preserve"> – </w:t>
      </w:r>
      <w:proofErr w:type="spellStart"/>
      <w:r w:rsidR="008B597F" w:rsidRPr="008B597F">
        <w:rPr>
          <w:rFonts w:cs="Arial"/>
          <w:i/>
        </w:rPr>
        <w:t>Dedicated</w:t>
      </w:r>
      <w:proofErr w:type="spellEnd"/>
      <w:r w:rsidR="008B597F" w:rsidRPr="008B597F">
        <w:rPr>
          <w:rFonts w:cs="Arial"/>
          <w:i/>
        </w:rPr>
        <w:t xml:space="preserve"> Short </w:t>
      </w:r>
      <w:proofErr w:type="spellStart"/>
      <w:r w:rsidR="008B597F" w:rsidRPr="008B597F">
        <w:rPr>
          <w:rFonts w:cs="Arial"/>
          <w:i/>
        </w:rPr>
        <w:t>Range</w:t>
      </w:r>
      <w:proofErr w:type="spellEnd"/>
      <w:r w:rsidR="008B597F" w:rsidRPr="008B597F">
        <w:rPr>
          <w:rFonts w:cs="Arial"/>
          <w:i/>
        </w:rPr>
        <w:t xml:space="preserve"> </w:t>
      </w:r>
      <w:proofErr w:type="spellStart"/>
      <w:r w:rsidR="008B597F" w:rsidRPr="008B597F">
        <w:rPr>
          <w:rFonts w:cs="Arial"/>
          <w:i/>
        </w:rPr>
        <w:t>Communications</w:t>
      </w:r>
      <w:proofErr w:type="spellEnd"/>
      <w:r w:rsidR="008B597F" w:rsidRPr="008B597F">
        <w:rPr>
          <w:rFonts w:cs="Arial"/>
          <w:i/>
        </w:rPr>
        <w:t xml:space="preserve"> (DSRC) – </w:t>
      </w:r>
      <w:proofErr w:type="spellStart"/>
      <w:r w:rsidR="008B597F" w:rsidRPr="008B597F">
        <w:rPr>
          <w:rFonts w:cs="Arial"/>
          <w:i/>
        </w:rPr>
        <w:t>On-Board</w:t>
      </w:r>
      <w:proofErr w:type="spellEnd"/>
      <w:r w:rsidR="008B597F" w:rsidRPr="008B597F">
        <w:rPr>
          <w:rFonts w:cs="Arial"/>
          <w:i/>
        </w:rPr>
        <w:t xml:space="preserve"> </w:t>
      </w:r>
      <w:proofErr w:type="spellStart"/>
      <w:r w:rsidR="008B597F" w:rsidRPr="008B597F">
        <w:rPr>
          <w:rFonts w:cs="Arial"/>
          <w:i/>
        </w:rPr>
        <w:t>Unit</w:t>
      </w:r>
      <w:proofErr w:type="spellEnd"/>
      <w:r w:rsidR="008B597F" w:rsidRPr="008B597F">
        <w:rPr>
          <w:rFonts w:cs="Arial"/>
          <w:i/>
        </w:rPr>
        <w:t xml:space="preserve"> (OBU)</w:t>
      </w:r>
      <w:r>
        <w:rPr>
          <w:rStyle w:val="Refdenotaalpie"/>
          <w:rFonts w:cs="Arial"/>
        </w:rPr>
        <w:footnoteReference w:id="12"/>
      </w:r>
      <w:r>
        <w:rPr>
          <w:rFonts w:cs="Arial"/>
        </w:rPr>
        <w:t>, en donde</w:t>
      </w:r>
      <w:r w:rsidR="008B597F">
        <w:rPr>
          <w:rFonts w:cs="Arial"/>
        </w:rPr>
        <w:t xml:space="preserve"> se establecen los requerimientos para que los DSRC puedan operar sin licencia en el rango de frecuencias 585</w:t>
      </w:r>
      <w:r w:rsidR="00C17A5E">
        <w:rPr>
          <w:rFonts w:cs="Arial"/>
        </w:rPr>
        <w:t>0</w:t>
      </w:r>
      <w:r w:rsidR="008B597F">
        <w:rPr>
          <w:rFonts w:cs="Arial"/>
        </w:rPr>
        <w:t xml:space="preserve">-5925 </w:t>
      </w:r>
      <w:r w:rsidR="00C17A5E">
        <w:rPr>
          <w:rFonts w:cs="Arial"/>
        </w:rPr>
        <w:t>M</w:t>
      </w:r>
      <w:r w:rsidR="008B597F">
        <w:rPr>
          <w:rFonts w:cs="Arial"/>
        </w:rPr>
        <w:t xml:space="preserve">Hz. En este estándar se reconoce el uso de </w:t>
      </w:r>
      <w:r w:rsidR="00D37A79">
        <w:rPr>
          <w:rFonts w:cs="Arial"/>
        </w:rPr>
        <w:t>STI</w:t>
      </w:r>
      <w:r w:rsidR="008B597F">
        <w:rPr>
          <w:rFonts w:cs="Arial"/>
        </w:rPr>
        <w:t xml:space="preserve"> para la </w:t>
      </w:r>
      <w:r w:rsidR="008B597F">
        <w:rPr>
          <w:rFonts w:cs="Arial"/>
        </w:rPr>
        <w:lastRenderedPageBreak/>
        <w:t>comunicación de vehículos con unidades al costado del camino, otros vehículos o unidades portátiles.</w:t>
      </w:r>
    </w:p>
    <w:p w14:paraId="4AFDCE0E" w14:textId="77777777" w:rsidR="00981D96" w:rsidRDefault="00981D96" w:rsidP="0085118C">
      <w:pPr>
        <w:spacing w:after="0" w:line="240" w:lineRule="auto"/>
        <w:ind w:left="567"/>
        <w:jc w:val="both"/>
        <w:rPr>
          <w:rFonts w:cs="Arial"/>
        </w:rPr>
      </w:pPr>
    </w:p>
    <w:p w14:paraId="05D6D597" w14:textId="077E0153" w:rsidR="00981D96" w:rsidRPr="00C835BF" w:rsidRDefault="00981D96" w:rsidP="0085118C">
      <w:pPr>
        <w:spacing w:after="0" w:line="240" w:lineRule="auto"/>
        <w:ind w:left="567"/>
        <w:jc w:val="both"/>
        <w:rPr>
          <w:rFonts w:cs="Arial"/>
        </w:rPr>
      </w:pPr>
      <w:r>
        <w:rPr>
          <w:rFonts w:cs="Arial"/>
        </w:rPr>
        <w:t xml:space="preserve">Asimismo, se establece la designación de canales, niveles de potencia de transmisión, así como consideraciones para la coexistencia con otros servicios, en apego con el estándar </w:t>
      </w:r>
      <w:r w:rsidRPr="00981D96">
        <w:rPr>
          <w:rFonts w:cs="Arial"/>
        </w:rPr>
        <w:t xml:space="preserve">ASTM E2213-03 </w:t>
      </w:r>
      <w:r w:rsidRPr="00981D96">
        <w:rPr>
          <w:rFonts w:cs="Arial"/>
          <w:i/>
        </w:rPr>
        <w:t xml:space="preserve">Standard </w:t>
      </w:r>
      <w:proofErr w:type="spellStart"/>
      <w:r w:rsidRPr="00981D96">
        <w:rPr>
          <w:rFonts w:cs="Arial"/>
          <w:i/>
        </w:rPr>
        <w:t>Specification</w:t>
      </w:r>
      <w:proofErr w:type="spellEnd"/>
      <w:r w:rsidRPr="00981D96">
        <w:rPr>
          <w:rFonts w:cs="Arial"/>
          <w:i/>
        </w:rPr>
        <w:t xml:space="preserve"> </w:t>
      </w:r>
      <w:proofErr w:type="spellStart"/>
      <w:r w:rsidRPr="00981D96">
        <w:rPr>
          <w:rFonts w:cs="Arial"/>
          <w:i/>
        </w:rPr>
        <w:t>for</w:t>
      </w:r>
      <w:proofErr w:type="spellEnd"/>
      <w:r w:rsidRPr="00981D96">
        <w:rPr>
          <w:rFonts w:cs="Arial"/>
          <w:i/>
        </w:rPr>
        <w:t xml:space="preserve"> </w:t>
      </w:r>
      <w:proofErr w:type="spellStart"/>
      <w:r w:rsidRPr="00981D96">
        <w:rPr>
          <w:rFonts w:cs="Arial"/>
          <w:i/>
        </w:rPr>
        <w:t>Telecommunications</w:t>
      </w:r>
      <w:proofErr w:type="spellEnd"/>
      <w:r w:rsidRPr="00981D96">
        <w:rPr>
          <w:rFonts w:cs="Arial"/>
          <w:i/>
        </w:rPr>
        <w:t xml:space="preserve"> and </w:t>
      </w:r>
      <w:proofErr w:type="spellStart"/>
      <w:r w:rsidRPr="00981D96">
        <w:rPr>
          <w:rFonts w:cs="Arial"/>
          <w:i/>
        </w:rPr>
        <w:t>Information</w:t>
      </w:r>
      <w:proofErr w:type="spellEnd"/>
      <w:r w:rsidRPr="00981D96">
        <w:rPr>
          <w:rFonts w:cs="Arial"/>
          <w:i/>
        </w:rPr>
        <w:t xml:space="preserve"> Exchange Between </w:t>
      </w:r>
      <w:proofErr w:type="spellStart"/>
      <w:r w:rsidRPr="00981D96">
        <w:rPr>
          <w:rFonts w:cs="Arial"/>
          <w:i/>
        </w:rPr>
        <w:t>Roadside</w:t>
      </w:r>
      <w:proofErr w:type="spellEnd"/>
      <w:r w:rsidRPr="00981D96">
        <w:rPr>
          <w:rFonts w:cs="Arial"/>
          <w:i/>
        </w:rPr>
        <w:t xml:space="preserve"> and </w:t>
      </w:r>
      <w:proofErr w:type="spellStart"/>
      <w:r w:rsidRPr="00981D96">
        <w:rPr>
          <w:rFonts w:cs="Arial"/>
          <w:i/>
        </w:rPr>
        <w:t>Vehicle</w:t>
      </w:r>
      <w:proofErr w:type="spellEnd"/>
      <w:r w:rsidRPr="00981D96">
        <w:rPr>
          <w:rFonts w:cs="Arial"/>
          <w:i/>
        </w:rPr>
        <w:t xml:space="preserve"> </w:t>
      </w:r>
      <w:proofErr w:type="spellStart"/>
      <w:r w:rsidRPr="00981D96">
        <w:rPr>
          <w:rFonts w:cs="Arial"/>
          <w:i/>
        </w:rPr>
        <w:t>Systems</w:t>
      </w:r>
      <w:proofErr w:type="spellEnd"/>
      <w:r w:rsidRPr="00981D96">
        <w:rPr>
          <w:rFonts w:cs="Arial"/>
          <w:i/>
        </w:rPr>
        <w:t xml:space="preserve"> — 5 GHz Band </w:t>
      </w:r>
      <w:proofErr w:type="spellStart"/>
      <w:r w:rsidRPr="00981D96">
        <w:rPr>
          <w:rFonts w:cs="Arial"/>
          <w:i/>
        </w:rPr>
        <w:t>Dedicated</w:t>
      </w:r>
      <w:proofErr w:type="spellEnd"/>
      <w:r w:rsidRPr="00981D96">
        <w:rPr>
          <w:rFonts w:cs="Arial"/>
          <w:i/>
        </w:rPr>
        <w:t xml:space="preserve"> Short </w:t>
      </w:r>
      <w:proofErr w:type="spellStart"/>
      <w:r w:rsidRPr="00981D96">
        <w:rPr>
          <w:rFonts w:cs="Arial"/>
          <w:i/>
        </w:rPr>
        <w:t>Range</w:t>
      </w:r>
      <w:proofErr w:type="spellEnd"/>
      <w:r w:rsidRPr="00981D96">
        <w:rPr>
          <w:rFonts w:cs="Arial"/>
          <w:i/>
        </w:rPr>
        <w:t xml:space="preserve"> </w:t>
      </w:r>
      <w:proofErr w:type="spellStart"/>
      <w:r w:rsidRPr="00981D96">
        <w:rPr>
          <w:rFonts w:cs="Arial"/>
          <w:i/>
        </w:rPr>
        <w:t>Communications</w:t>
      </w:r>
      <w:proofErr w:type="spellEnd"/>
      <w:r w:rsidRPr="00981D96">
        <w:rPr>
          <w:rFonts w:cs="Arial"/>
          <w:i/>
        </w:rPr>
        <w:t xml:space="preserve"> </w:t>
      </w:r>
      <w:r w:rsidRPr="00C835BF">
        <w:rPr>
          <w:rFonts w:cs="Arial"/>
          <w:i/>
        </w:rPr>
        <w:t>(DSRC)</w:t>
      </w:r>
      <w:r w:rsidR="00C5473B" w:rsidRPr="00E248C2">
        <w:rPr>
          <w:rFonts w:cs="Arial"/>
          <w:i/>
        </w:rPr>
        <w:t>,</w:t>
      </w:r>
      <w:r w:rsidRPr="00C835BF">
        <w:rPr>
          <w:rFonts w:cs="Arial"/>
          <w:i/>
        </w:rPr>
        <w:t xml:space="preserve"> Medium Access Control (MAC) and </w:t>
      </w:r>
      <w:proofErr w:type="spellStart"/>
      <w:r w:rsidRPr="00C835BF">
        <w:rPr>
          <w:rFonts w:cs="Arial"/>
          <w:i/>
        </w:rPr>
        <w:t>Physical</w:t>
      </w:r>
      <w:proofErr w:type="spellEnd"/>
      <w:r w:rsidRPr="00C835BF">
        <w:rPr>
          <w:rFonts w:cs="Arial"/>
          <w:i/>
        </w:rPr>
        <w:t xml:space="preserve"> </w:t>
      </w:r>
      <w:proofErr w:type="spellStart"/>
      <w:r w:rsidRPr="00C835BF">
        <w:rPr>
          <w:rFonts w:cs="Arial"/>
          <w:i/>
        </w:rPr>
        <w:t>Layer</w:t>
      </w:r>
      <w:proofErr w:type="spellEnd"/>
      <w:r w:rsidRPr="00C835BF">
        <w:rPr>
          <w:rFonts w:cs="Arial"/>
          <w:i/>
        </w:rPr>
        <w:t xml:space="preserve"> (PHY) </w:t>
      </w:r>
      <w:proofErr w:type="spellStart"/>
      <w:r w:rsidRPr="00C835BF">
        <w:rPr>
          <w:rFonts w:cs="Arial"/>
          <w:i/>
        </w:rPr>
        <w:t>Specifications</w:t>
      </w:r>
      <w:proofErr w:type="spellEnd"/>
      <w:r w:rsidRPr="00C835BF">
        <w:rPr>
          <w:rStyle w:val="Refdenotaalpie"/>
          <w:rFonts w:cs="Arial"/>
          <w:i/>
        </w:rPr>
        <w:footnoteReference w:id="13"/>
      </w:r>
      <w:r w:rsidRPr="00C835BF">
        <w:rPr>
          <w:rFonts w:cs="Arial"/>
        </w:rPr>
        <w:t>, cuya última aprobación se realizó en el 2018.</w:t>
      </w:r>
    </w:p>
    <w:p w14:paraId="1DCCC7EA" w14:textId="77777777" w:rsidR="00981D96" w:rsidRPr="00C835BF" w:rsidRDefault="00981D96" w:rsidP="0085118C">
      <w:pPr>
        <w:spacing w:after="0" w:line="240" w:lineRule="auto"/>
        <w:ind w:left="567"/>
        <w:jc w:val="both"/>
        <w:rPr>
          <w:rFonts w:cs="Arial"/>
        </w:rPr>
      </w:pPr>
    </w:p>
    <w:p w14:paraId="541E2F7A" w14:textId="6DE54242" w:rsidR="00981D96" w:rsidRPr="000345F2" w:rsidRDefault="00981D96" w:rsidP="0085118C">
      <w:pPr>
        <w:spacing w:after="0" w:line="240" w:lineRule="auto"/>
        <w:ind w:left="567"/>
        <w:jc w:val="both"/>
        <w:rPr>
          <w:rFonts w:cs="Arial"/>
        </w:rPr>
      </w:pPr>
      <w:r w:rsidRPr="00C835BF">
        <w:rPr>
          <w:rFonts w:cs="Arial"/>
        </w:rPr>
        <w:t>Finalmente, en enero de</w:t>
      </w:r>
      <w:r>
        <w:rPr>
          <w:rFonts w:cs="Arial"/>
        </w:rPr>
        <w:t xml:space="preserve"> 2018, ISED de Canadá emitió su documento </w:t>
      </w:r>
      <w:proofErr w:type="spellStart"/>
      <w:r w:rsidRPr="00981D96">
        <w:rPr>
          <w:rFonts w:cs="Arial"/>
          <w:i/>
        </w:rPr>
        <w:t>Spectrum</w:t>
      </w:r>
      <w:proofErr w:type="spellEnd"/>
      <w:r w:rsidRPr="00981D96">
        <w:rPr>
          <w:rFonts w:cs="Arial"/>
          <w:i/>
        </w:rPr>
        <w:t xml:space="preserve"> Outlook 2018 </w:t>
      </w:r>
      <w:proofErr w:type="spellStart"/>
      <w:r w:rsidRPr="00981D96">
        <w:rPr>
          <w:rFonts w:cs="Arial"/>
          <w:i/>
        </w:rPr>
        <w:t>to</w:t>
      </w:r>
      <w:proofErr w:type="spellEnd"/>
      <w:r w:rsidRPr="00981D96">
        <w:rPr>
          <w:rFonts w:cs="Arial"/>
          <w:i/>
        </w:rPr>
        <w:t xml:space="preserve"> 2022</w:t>
      </w:r>
      <w:r>
        <w:rPr>
          <w:rStyle w:val="Refdenotaalpie"/>
          <w:rFonts w:cs="Arial"/>
          <w:i/>
        </w:rPr>
        <w:footnoteReference w:id="14"/>
      </w:r>
      <w:r>
        <w:rPr>
          <w:rFonts w:cs="Arial"/>
        </w:rPr>
        <w:t>, en donde indica que la banda 585</w:t>
      </w:r>
      <w:r w:rsidR="00C17A5E">
        <w:rPr>
          <w:rFonts w:cs="Arial"/>
        </w:rPr>
        <w:t>0</w:t>
      </w:r>
      <w:r>
        <w:rPr>
          <w:rFonts w:cs="Arial"/>
        </w:rPr>
        <w:t xml:space="preserve">-5925 </w:t>
      </w:r>
      <w:r w:rsidR="00C17A5E">
        <w:rPr>
          <w:rFonts w:cs="Arial"/>
        </w:rPr>
        <w:t>M</w:t>
      </w:r>
      <w:r>
        <w:rPr>
          <w:rFonts w:cs="Arial"/>
        </w:rPr>
        <w:t xml:space="preserve">Hz continuará siendo utilizada para DSRC por </w:t>
      </w:r>
      <w:r w:rsidR="00D37A79">
        <w:rPr>
          <w:rFonts w:cs="Arial"/>
        </w:rPr>
        <w:t>STI</w:t>
      </w:r>
      <w:r>
        <w:rPr>
          <w:rFonts w:cs="Arial"/>
        </w:rPr>
        <w:t>, en ta</w:t>
      </w:r>
      <w:r w:rsidR="009065E1">
        <w:rPr>
          <w:rFonts w:cs="Arial"/>
        </w:rPr>
        <w:t>n</w:t>
      </w:r>
      <w:r>
        <w:rPr>
          <w:rFonts w:cs="Arial"/>
        </w:rPr>
        <w:t>to no se tenga certeza de la coexistencia con otros nuevos servicios o aplicaciones en dicha banda de frecuencias. Lo anterior, sigue vigente hasta la fecha de la emisión del presente documento.</w:t>
      </w:r>
    </w:p>
    <w:p w14:paraId="25104280" w14:textId="77777777" w:rsidR="00FB33F6" w:rsidRDefault="00FB33F6" w:rsidP="00DD4BD7">
      <w:pPr>
        <w:spacing w:after="0" w:line="240" w:lineRule="auto"/>
        <w:jc w:val="both"/>
        <w:rPr>
          <w:rFonts w:cstheme="minorHAnsi"/>
        </w:rPr>
      </w:pPr>
    </w:p>
    <w:p w14:paraId="7BD3E08B" w14:textId="77777777" w:rsidR="00FB33F6" w:rsidRPr="00715F2A" w:rsidRDefault="00FB33F6" w:rsidP="00DD4BD7">
      <w:pPr>
        <w:spacing w:after="0" w:line="240" w:lineRule="auto"/>
        <w:ind w:left="567"/>
        <w:jc w:val="both"/>
        <w:rPr>
          <w:rFonts w:cs="Arial"/>
          <w:color w:val="70AD47" w:themeColor="accent6"/>
        </w:rPr>
      </w:pPr>
      <w:r w:rsidRPr="00715F2A">
        <w:rPr>
          <w:rFonts w:cs="Arial"/>
          <w:color w:val="70AD47" w:themeColor="accent6"/>
        </w:rPr>
        <w:t>Brasil - Agencia Nacional de Telecomunicaciones</w:t>
      </w:r>
    </w:p>
    <w:p w14:paraId="0A5A2F9B" w14:textId="77777777" w:rsidR="00DD4BD7" w:rsidRDefault="00DD4BD7" w:rsidP="00DD4BD7">
      <w:pPr>
        <w:spacing w:after="0" w:line="240" w:lineRule="auto"/>
        <w:ind w:left="567"/>
        <w:jc w:val="both"/>
        <w:rPr>
          <w:rFonts w:cs="Arial"/>
        </w:rPr>
      </w:pPr>
    </w:p>
    <w:p w14:paraId="40E11192" w14:textId="3FD137F4" w:rsidR="001A2F25" w:rsidRDefault="00FB33F6" w:rsidP="00DD4BD7">
      <w:pPr>
        <w:spacing w:after="0" w:line="240" w:lineRule="auto"/>
        <w:ind w:left="567"/>
        <w:jc w:val="both"/>
        <w:rPr>
          <w:rFonts w:cs="Arial"/>
        </w:rPr>
      </w:pPr>
      <w:r w:rsidRPr="00290BF2">
        <w:rPr>
          <w:rFonts w:cs="Arial"/>
        </w:rPr>
        <w:t xml:space="preserve">Brasil es otro de los países que se ha pronunciado en torno a la banda de frecuencias </w:t>
      </w:r>
      <w:r w:rsidRPr="00E1164E">
        <w:t>5850-</w:t>
      </w:r>
      <w:r>
        <w:rPr>
          <w:rFonts w:cs="Arial"/>
        </w:rPr>
        <w:t>5925 MHz</w:t>
      </w:r>
      <w:r w:rsidRPr="00290BF2">
        <w:rPr>
          <w:rFonts w:cs="Arial"/>
        </w:rPr>
        <w:t xml:space="preserve">, pues </w:t>
      </w:r>
      <w:r w:rsidR="00015B47">
        <w:rPr>
          <w:rFonts w:cs="Arial"/>
        </w:rPr>
        <w:t xml:space="preserve">el </w:t>
      </w:r>
      <w:r w:rsidR="00347099">
        <w:rPr>
          <w:rFonts w:cs="Arial"/>
        </w:rPr>
        <w:t>1 de septiembre de 2020</w:t>
      </w:r>
      <w:r w:rsidR="00673915">
        <w:rPr>
          <w:rFonts w:cs="Arial"/>
        </w:rPr>
        <w:t>,</w:t>
      </w:r>
      <w:r w:rsidR="00347099">
        <w:rPr>
          <w:rFonts w:cs="Arial"/>
        </w:rPr>
        <w:t xml:space="preserve"> la AN</w:t>
      </w:r>
      <w:r w:rsidR="001A2F25">
        <w:rPr>
          <w:rFonts w:cs="Arial"/>
        </w:rPr>
        <w:t>AT</w:t>
      </w:r>
      <w:r w:rsidR="00347099">
        <w:rPr>
          <w:rFonts w:cs="Arial"/>
        </w:rPr>
        <w:t>E</w:t>
      </w:r>
      <w:r w:rsidR="001A2F25">
        <w:rPr>
          <w:rFonts w:cs="Arial"/>
        </w:rPr>
        <w:t>L</w:t>
      </w:r>
      <w:r w:rsidR="00347099">
        <w:rPr>
          <w:rFonts w:cs="Arial"/>
        </w:rPr>
        <w:t xml:space="preserve"> de Brasil emitió el “</w:t>
      </w:r>
      <w:r w:rsidR="00347099" w:rsidRPr="00347099">
        <w:rPr>
          <w:rFonts w:cs="Arial"/>
        </w:rPr>
        <w:t xml:space="preserve">ATO </w:t>
      </w:r>
      <w:proofErr w:type="spellStart"/>
      <w:r w:rsidR="00347099" w:rsidRPr="00347099">
        <w:rPr>
          <w:rFonts w:cs="Arial"/>
        </w:rPr>
        <w:t>Nº</w:t>
      </w:r>
      <w:proofErr w:type="spellEnd"/>
      <w:r w:rsidR="00347099" w:rsidRPr="00347099">
        <w:rPr>
          <w:rFonts w:cs="Arial"/>
        </w:rPr>
        <w:t xml:space="preserve"> 4776</w:t>
      </w:r>
      <w:r w:rsidR="00347099">
        <w:rPr>
          <w:rFonts w:cs="Arial"/>
        </w:rPr>
        <w:t>”</w:t>
      </w:r>
      <w:r w:rsidR="00347099">
        <w:rPr>
          <w:rStyle w:val="Refdenotaalpie"/>
          <w:rFonts w:cs="Arial"/>
        </w:rPr>
        <w:footnoteReference w:id="15"/>
      </w:r>
      <w:r w:rsidR="00347099">
        <w:rPr>
          <w:rFonts w:cs="Arial"/>
        </w:rPr>
        <w:t>, en donde modifica</w:t>
      </w:r>
      <w:r w:rsidR="001A2F25">
        <w:rPr>
          <w:rFonts w:cs="Arial"/>
        </w:rPr>
        <w:t>n</w:t>
      </w:r>
      <w:r w:rsidR="00347099" w:rsidRPr="00347099">
        <w:rPr>
          <w:rFonts w:cs="Arial"/>
        </w:rPr>
        <w:t xml:space="preserve"> </w:t>
      </w:r>
      <w:r w:rsidR="00347099">
        <w:rPr>
          <w:rFonts w:cs="Arial"/>
        </w:rPr>
        <w:t>diversos</w:t>
      </w:r>
      <w:r w:rsidR="00347099" w:rsidRPr="00347099">
        <w:rPr>
          <w:rFonts w:cs="Arial"/>
        </w:rPr>
        <w:t xml:space="preserve"> incisos del Anexo</w:t>
      </w:r>
      <w:r w:rsidR="00347099">
        <w:rPr>
          <w:rFonts w:cs="Arial"/>
        </w:rPr>
        <w:t xml:space="preserve"> I de la Ley </w:t>
      </w:r>
      <w:proofErr w:type="spellStart"/>
      <w:r w:rsidR="00347099">
        <w:rPr>
          <w:rFonts w:cs="Arial"/>
        </w:rPr>
        <w:t>N</w:t>
      </w:r>
      <w:r w:rsidR="00347099" w:rsidRPr="00347099">
        <w:rPr>
          <w:rFonts w:cs="Arial"/>
        </w:rPr>
        <w:t>°</w:t>
      </w:r>
      <w:proofErr w:type="spellEnd"/>
      <w:r w:rsidR="00347099" w:rsidRPr="00347099">
        <w:rPr>
          <w:rFonts w:cs="Arial"/>
        </w:rPr>
        <w:t xml:space="preserve"> 14.448, de</w:t>
      </w:r>
      <w:r w:rsidR="001A2F25">
        <w:rPr>
          <w:rFonts w:cs="Arial"/>
        </w:rPr>
        <w:t>l</w:t>
      </w:r>
      <w:r w:rsidR="00347099" w:rsidRPr="00347099">
        <w:rPr>
          <w:rFonts w:cs="Arial"/>
        </w:rPr>
        <w:t xml:space="preserve"> 4 de diciembre de 2017, </w:t>
      </w:r>
      <w:r w:rsidR="00347099">
        <w:rPr>
          <w:rFonts w:cs="Arial"/>
        </w:rPr>
        <w:t>respecto</w:t>
      </w:r>
      <w:r w:rsidR="00347099" w:rsidRPr="00347099">
        <w:rPr>
          <w:rFonts w:cs="Arial"/>
        </w:rPr>
        <w:t xml:space="preserve"> los Requisitos Técnicos para la Evaluación de la Conformidad de Equipos de Radiocomunicaciones de Radiación Restringida</w:t>
      </w:r>
      <w:r w:rsidR="00347099">
        <w:rPr>
          <w:rFonts w:cs="Arial"/>
        </w:rPr>
        <w:t xml:space="preserve">, entre los que se encuentra la operación de </w:t>
      </w:r>
      <w:r w:rsidR="00D37A79">
        <w:rPr>
          <w:rFonts w:cs="Arial"/>
        </w:rPr>
        <w:t>STI</w:t>
      </w:r>
      <w:r w:rsidR="00347099">
        <w:rPr>
          <w:rFonts w:cs="Arial"/>
        </w:rPr>
        <w:t xml:space="preserve"> (</w:t>
      </w:r>
      <w:r w:rsidR="001A2F25">
        <w:rPr>
          <w:rFonts w:cs="Arial"/>
        </w:rPr>
        <w:t xml:space="preserve">denominados por la ANATEL como </w:t>
      </w:r>
      <w:r w:rsidR="00347099" w:rsidRPr="00347099">
        <w:rPr>
          <w:rFonts w:cs="Arial"/>
          <w:i/>
        </w:rPr>
        <w:t>SISTEMA DE COMUNICAÇÃO VEICULAR</w:t>
      </w:r>
      <w:r w:rsidR="00347099">
        <w:rPr>
          <w:rFonts w:cs="Arial"/>
        </w:rPr>
        <w:t xml:space="preserve">) </w:t>
      </w:r>
      <w:r w:rsidR="001A2F25">
        <w:rPr>
          <w:rFonts w:cs="Arial"/>
        </w:rPr>
        <w:t xml:space="preserve">y que se indican en </w:t>
      </w:r>
      <w:r w:rsidR="00347099">
        <w:rPr>
          <w:rFonts w:cs="Arial"/>
        </w:rPr>
        <w:t xml:space="preserve">el Numeral 22 del Anexo I de la Ley </w:t>
      </w:r>
      <w:proofErr w:type="spellStart"/>
      <w:r w:rsidR="00347099">
        <w:rPr>
          <w:rFonts w:cs="Arial"/>
        </w:rPr>
        <w:t>N°</w:t>
      </w:r>
      <w:proofErr w:type="spellEnd"/>
      <w:r w:rsidR="00347099">
        <w:rPr>
          <w:rFonts w:cs="Arial"/>
        </w:rPr>
        <w:t xml:space="preserve"> 14.448</w:t>
      </w:r>
      <w:r w:rsidR="001A2F25">
        <w:rPr>
          <w:rFonts w:cs="Arial"/>
        </w:rPr>
        <w:t>.</w:t>
      </w:r>
    </w:p>
    <w:p w14:paraId="156BD3BA" w14:textId="77777777" w:rsidR="001A2F25" w:rsidRDefault="001A2F25" w:rsidP="00DD4BD7">
      <w:pPr>
        <w:spacing w:after="0" w:line="240" w:lineRule="auto"/>
        <w:ind w:left="567"/>
        <w:jc w:val="both"/>
        <w:rPr>
          <w:rFonts w:cs="Arial"/>
        </w:rPr>
      </w:pPr>
    </w:p>
    <w:p w14:paraId="64A63732" w14:textId="4348B621" w:rsidR="00347099" w:rsidRDefault="001A2F25" w:rsidP="00DD4BD7">
      <w:pPr>
        <w:spacing w:after="0" w:line="240" w:lineRule="auto"/>
        <w:ind w:left="567"/>
        <w:jc w:val="both"/>
        <w:rPr>
          <w:rFonts w:cs="Arial"/>
        </w:rPr>
      </w:pPr>
      <w:r>
        <w:rPr>
          <w:rFonts w:cs="Arial"/>
        </w:rPr>
        <w:t>En esta modificación</w:t>
      </w:r>
      <w:r w:rsidR="00347099">
        <w:rPr>
          <w:rFonts w:cs="Arial"/>
        </w:rPr>
        <w:t>, se establecen las condiciones técnicas de operación</w:t>
      </w:r>
      <w:r>
        <w:rPr>
          <w:rFonts w:cs="Arial"/>
        </w:rPr>
        <w:t xml:space="preserve"> de los </w:t>
      </w:r>
      <w:r w:rsidR="00D37A79">
        <w:rPr>
          <w:rFonts w:cs="Arial"/>
        </w:rPr>
        <w:t>STI</w:t>
      </w:r>
      <w:r>
        <w:rPr>
          <w:rFonts w:cs="Arial"/>
        </w:rPr>
        <w:t xml:space="preserve"> para que puedan operar en la banda </w:t>
      </w:r>
      <w:r w:rsidRPr="00E1164E">
        <w:t>5850-</w:t>
      </w:r>
      <w:r>
        <w:rPr>
          <w:rFonts w:cs="Arial"/>
        </w:rPr>
        <w:t>5925 MHz</w:t>
      </w:r>
      <w:r w:rsidR="008717F6">
        <w:rPr>
          <w:rFonts w:cs="Arial"/>
        </w:rPr>
        <w:t xml:space="preserve"> sin necesidad de licencia o concesión</w:t>
      </w:r>
      <w:r w:rsidR="00347099">
        <w:rPr>
          <w:rFonts w:cs="Arial"/>
        </w:rPr>
        <w:t xml:space="preserve">, </w:t>
      </w:r>
      <w:r>
        <w:rPr>
          <w:rFonts w:cs="Arial"/>
        </w:rPr>
        <w:t xml:space="preserve">así como </w:t>
      </w:r>
      <w:r w:rsidR="00347099">
        <w:rPr>
          <w:rFonts w:cs="Arial"/>
        </w:rPr>
        <w:t>los canales que pueden ser empleados</w:t>
      </w:r>
      <w:r>
        <w:rPr>
          <w:rFonts w:cs="Arial"/>
        </w:rPr>
        <w:t xml:space="preserve"> dentro de la misma y </w:t>
      </w:r>
      <w:r w:rsidR="00347099">
        <w:rPr>
          <w:rFonts w:cs="Arial"/>
        </w:rPr>
        <w:t xml:space="preserve">los requisitos </w:t>
      </w:r>
      <w:r>
        <w:rPr>
          <w:rFonts w:cs="Arial"/>
        </w:rPr>
        <w:t xml:space="preserve">que deben de cumplir </w:t>
      </w:r>
      <w:r w:rsidR="00347099">
        <w:rPr>
          <w:rFonts w:cs="Arial"/>
        </w:rPr>
        <w:t>los dispositivos</w:t>
      </w:r>
      <w:r>
        <w:rPr>
          <w:rFonts w:cs="Arial"/>
        </w:rPr>
        <w:t>,</w:t>
      </w:r>
      <w:r w:rsidR="00347099">
        <w:rPr>
          <w:rFonts w:cs="Arial"/>
        </w:rPr>
        <w:t xml:space="preserve"> de conformidad con el estándar </w:t>
      </w:r>
      <w:bookmarkStart w:id="102" w:name="_Hlk78913209"/>
      <w:r w:rsidR="00347099" w:rsidRPr="00347099">
        <w:rPr>
          <w:rFonts w:cs="Arial"/>
        </w:rPr>
        <w:t>ETSI EN 302 571 V2.1.1</w:t>
      </w:r>
      <w:bookmarkEnd w:id="102"/>
      <w:r w:rsidR="00347099">
        <w:rPr>
          <w:rFonts w:cs="Arial"/>
        </w:rPr>
        <w:t>.</w:t>
      </w:r>
      <w:r>
        <w:rPr>
          <w:rStyle w:val="Refdenotaalpie"/>
          <w:rFonts w:cs="Arial"/>
        </w:rPr>
        <w:footnoteReference w:id="16"/>
      </w:r>
    </w:p>
    <w:p w14:paraId="539F3CD4" w14:textId="1EED7AD1" w:rsidR="003975E3" w:rsidRDefault="003975E3" w:rsidP="00DD4BD7">
      <w:pPr>
        <w:spacing w:after="0" w:line="240" w:lineRule="auto"/>
        <w:ind w:left="567"/>
        <w:jc w:val="both"/>
        <w:rPr>
          <w:rFonts w:cs="Arial"/>
        </w:rPr>
      </w:pPr>
    </w:p>
    <w:p w14:paraId="0B2D60C9" w14:textId="4DA22FC7" w:rsidR="003975E3" w:rsidRDefault="003975E3" w:rsidP="00DD4BD7">
      <w:pPr>
        <w:spacing w:after="0" w:line="240" w:lineRule="auto"/>
        <w:ind w:left="567"/>
        <w:jc w:val="both"/>
        <w:rPr>
          <w:rFonts w:cs="Arial"/>
        </w:rPr>
      </w:pPr>
      <w:r>
        <w:rPr>
          <w:rFonts w:cs="Arial"/>
        </w:rPr>
        <w:t>Como parte de las consideraciones técnicas se indica un ancho de banda de canal de 10 MHz, por lo que, en la banda 5850-5925 MHz se contaría con 7 canales con este ancho de banda</w:t>
      </w:r>
      <w:r w:rsidR="009D3B58">
        <w:rPr>
          <w:rFonts w:cs="Arial"/>
        </w:rPr>
        <w:t>. También</w:t>
      </w:r>
      <w:r>
        <w:rPr>
          <w:rFonts w:cs="Arial"/>
        </w:rPr>
        <w:t xml:space="preserve"> se </w:t>
      </w:r>
      <w:r w:rsidR="009D3B58">
        <w:rPr>
          <w:rFonts w:cs="Arial"/>
        </w:rPr>
        <w:t xml:space="preserve">indica que </w:t>
      </w:r>
      <w:r w:rsidR="00E64A73">
        <w:rPr>
          <w:rFonts w:cs="Arial"/>
        </w:rPr>
        <w:t xml:space="preserve">la </w:t>
      </w:r>
      <w:r>
        <w:rPr>
          <w:rFonts w:cs="Arial"/>
        </w:rPr>
        <w:t xml:space="preserve">PIRE </w:t>
      </w:r>
      <w:r w:rsidR="00E64A73">
        <w:rPr>
          <w:rFonts w:cs="Arial"/>
        </w:rPr>
        <w:t xml:space="preserve">máxima </w:t>
      </w:r>
      <w:r w:rsidR="009D3B58">
        <w:rPr>
          <w:rFonts w:cs="Arial"/>
        </w:rPr>
        <w:lastRenderedPageBreak/>
        <w:t xml:space="preserve">permitida </w:t>
      </w:r>
      <w:r w:rsidR="00BB0524">
        <w:rPr>
          <w:rFonts w:cs="Arial"/>
        </w:rPr>
        <w:t xml:space="preserve">para V2V </w:t>
      </w:r>
      <w:r w:rsidR="009D3B58">
        <w:rPr>
          <w:rFonts w:cs="Arial"/>
        </w:rPr>
        <w:t>y para</w:t>
      </w:r>
      <w:r w:rsidR="00BB0524">
        <w:rPr>
          <w:rFonts w:cs="Arial"/>
        </w:rPr>
        <w:t xml:space="preserve"> V2I</w:t>
      </w:r>
      <w:r w:rsidR="009D3B58">
        <w:rPr>
          <w:rFonts w:cs="Arial"/>
        </w:rPr>
        <w:t xml:space="preserve"> es de 23 dBm (200 </w:t>
      </w:r>
      <w:proofErr w:type="spellStart"/>
      <w:r w:rsidR="009D3B58">
        <w:rPr>
          <w:rFonts w:cs="Arial"/>
        </w:rPr>
        <w:t>mW</w:t>
      </w:r>
      <w:proofErr w:type="spellEnd"/>
      <w:r w:rsidR="009D3B58">
        <w:rPr>
          <w:rFonts w:cs="Arial"/>
        </w:rPr>
        <w:t>) y para</w:t>
      </w:r>
      <w:r w:rsidR="00BB0524">
        <w:rPr>
          <w:rFonts w:cs="Arial"/>
        </w:rPr>
        <w:t xml:space="preserve"> comunicaciones de alta potencia </w:t>
      </w:r>
      <w:r w:rsidR="009D3B58">
        <w:rPr>
          <w:rFonts w:cs="Arial"/>
        </w:rPr>
        <w:t>para</w:t>
      </w:r>
      <w:r w:rsidR="00BB0524">
        <w:rPr>
          <w:rFonts w:cs="Arial"/>
        </w:rPr>
        <w:t xml:space="preserve"> V2I </w:t>
      </w:r>
      <w:r w:rsidR="009D3B58">
        <w:rPr>
          <w:rFonts w:cs="Arial"/>
        </w:rPr>
        <w:t xml:space="preserve">se permite una </w:t>
      </w:r>
      <w:r w:rsidR="00BB0524">
        <w:rPr>
          <w:rFonts w:cs="Arial"/>
        </w:rPr>
        <w:t xml:space="preserve">PIRE </w:t>
      </w:r>
      <w:r w:rsidR="00E64A73">
        <w:rPr>
          <w:rFonts w:cs="Arial"/>
        </w:rPr>
        <w:t xml:space="preserve">máxima </w:t>
      </w:r>
      <w:r w:rsidR="00BB0524">
        <w:rPr>
          <w:rFonts w:cs="Arial"/>
        </w:rPr>
        <w:t xml:space="preserve">de 26 dBm (400 </w:t>
      </w:r>
      <w:proofErr w:type="spellStart"/>
      <w:r w:rsidR="00BB0524">
        <w:rPr>
          <w:rFonts w:cs="Arial"/>
        </w:rPr>
        <w:t>mW</w:t>
      </w:r>
      <w:proofErr w:type="spellEnd"/>
      <w:r w:rsidR="00BB0524">
        <w:rPr>
          <w:rFonts w:cs="Arial"/>
        </w:rPr>
        <w:t>).</w:t>
      </w:r>
    </w:p>
    <w:p w14:paraId="57A074F2" w14:textId="77777777" w:rsidR="00347099" w:rsidRDefault="00347099" w:rsidP="00DD4BD7">
      <w:pPr>
        <w:spacing w:after="0" w:line="240" w:lineRule="auto"/>
        <w:ind w:left="567"/>
        <w:jc w:val="both"/>
        <w:rPr>
          <w:rFonts w:cs="Arial"/>
        </w:rPr>
      </w:pPr>
    </w:p>
    <w:p w14:paraId="19048E7A" w14:textId="77777777" w:rsidR="00ED4452" w:rsidRPr="00B22DEE" w:rsidRDefault="00ED4452" w:rsidP="00B22DEE">
      <w:pPr>
        <w:spacing w:after="0" w:line="240" w:lineRule="auto"/>
        <w:ind w:left="567"/>
        <w:jc w:val="both"/>
        <w:rPr>
          <w:rFonts w:cs="Arial"/>
          <w:color w:val="70AD47" w:themeColor="accent6"/>
        </w:rPr>
      </w:pPr>
      <w:r w:rsidRPr="00B22DEE">
        <w:rPr>
          <w:rFonts w:cs="Arial"/>
          <w:color w:val="70AD47" w:themeColor="accent6"/>
        </w:rPr>
        <w:t>Reino Unido – OFCOM</w:t>
      </w:r>
    </w:p>
    <w:p w14:paraId="5EDA93AB" w14:textId="77777777" w:rsidR="00ED4452" w:rsidRDefault="00ED4452" w:rsidP="00B22DEE">
      <w:pPr>
        <w:spacing w:after="0" w:line="240" w:lineRule="auto"/>
        <w:ind w:left="567"/>
        <w:jc w:val="both"/>
        <w:rPr>
          <w:rFonts w:cs="Arial"/>
        </w:rPr>
      </w:pPr>
    </w:p>
    <w:p w14:paraId="025FED8D" w14:textId="6CB88D0E" w:rsidR="00177651" w:rsidRDefault="00B22DEE" w:rsidP="00177651">
      <w:pPr>
        <w:spacing w:after="0" w:line="240" w:lineRule="auto"/>
        <w:ind w:left="567"/>
        <w:jc w:val="both"/>
        <w:rPr>
          <w:rFonts w:cs="Arial"/>
        </w:rPr>
      </w:pPr>
      <w:r>
        <w:rPr>
          <w:rFonts w:cs="Arial"/>
        </w:rPr>
        <w:t>En noviembre de 2008</w:t>
      </w:r>
      <w:r w:rsidR="00235385">
        <w:rPr>
          <w:rFonts w:cs="Arial"/>
        </w:rPr>
        <w:t>,</w:t>
      </w:r>
      <w:r>
        <w:rPr>
          <w:rFonts w:cs="Arial"/>
        </w:rPr>
        <w:t xml:space="preserve"> </w:t>
      </w:r>
      <w:r w:rsidR="00ED4452">
        <w:rPr>
          <w:rFonts w:cs="Arial"/>
        </w:rPr>
        <w:t xml:space="preserve">OFCOM </w:t>
      </w:r>
      <w:r>
        <w:rPr>
          <w:rFonts w:cs="Arial"/>
        </w:rPr>
        <w:t xml:space="preserve">emitió una Consulta Pública respecto de la propuesta de regulación para permitir los </w:t>
      </w:r>
      <w:r w:rsidR="00D37A79">
        <w:rPr>
          <w:rFonts w:cs="Arial"/>
        </w:rPr>
        <w:t>STI</w:t>
      </w:r>
      <w:r w:rsidR="00C17A5E">
        <w:rPr>
          <w:rFonts w:cs="Arial"/>
        </w:rPr>
        <w:t xml:space="preserve"> </w:t>
      </w:r>
      <w:r>
        <w:rPr>
          <w:rFonts w:cs="Arial"/>
        </w:rPr>
        <w:t xml:space="preserve">en la banda </w:t>
      </w:r>
      <w:r w:rsidRPr="00B22DEE">
        <w:rPr>
          <w:rFonts w:cs="Arial"/>
        </w:rPr>
        <w:t>5875-5905 MHz</w:t>
      </w:r>
      <w:r w:rsidR="00ED4452">
        <w:rPr>
          <w:rStyle w:val="Refdenotaalpie"/>
          <w:rFonts w:cs="Arial"/>
        </w:rPr>
        <w:footnoteReference w:id="17"/>
      </w:r>
      <w:r w:rsidR="00235385">
        <w:rPr>
          <w:rFonts w:cs="Arial"/>
        </w:rPr>
        <w:t>.</w:t>
      </w:r>
      <w:r>
        <w:rPr>
          <w:rFonts w:cs="Arial"/>
        </w:rPr>
        <w:t xml:space="preserve"> </w:t>
      </w:r>
      <w:r w:rsidR="00235385">
        <w:rPr>
          <w:rFonts w:cs="Arial"/>
        </w:rPr>
        <w:t>C</w:t>
      </w:r>
      <w:r>
        <w:rPr>
          <w:rFonts w:cs="Arial"/>
        </w:rPr>
        <w:t>omo resultado, en febrero de 2009 entr</w:t>
      </w:r>
      <w:r w:rsidR="007238D0">
        <w:rPr>
          <w:rFonts w:cs="Arial"/>
        </w:rPr>
        <w:t>ó</w:t>
      </w:r>
      <w:r>
        <w:rPr>
          <w:rFonts w:cs="Arial"/>
        </w:rPr>
        <w:t xml:space="preserve"> en vigor la regulación </w:t>
      </w:r>
      <w:r w:rsidR="002600E4">
        <w:rPr>
          <w:rFonts w:cs="Arial"/>
        </w:rPr>
        <w:t xml:space="preserve">2009 No. 65 </w:t>
      </w:r>
      <w:r>
        <w:rPr>
          <w:rFonts w:cs="Arial"/>
        </w:rPr>
        <w:t>“</w:t>
      </w:r>
      <w:proofErr w:type="spellStart"/>
      <w:r w:rsidRPr="00B22DEE">
        <w:rPr>
          <w:rFonts w:cs="Arial"/>
          <w:i/>
        </w:rPr>
        <w:t>The</w:t>
      </w:r>
      <w:proofErr w:type="spellEnd"/>
      <w:r w:rsidRPr="00B22DEE">
        <w:rPr>
          <w:rFonts w:cs="Arial"/>
          <w:i/>
        </w:rPr>
        <w:t xml:space="preserve"> Wireless </w:t>
      </w:r>
      <w:proofErr w:type="spellStart"/>
      <w:r w:rsidRPr="00B22DEE">
        <w:rPr>
          <w:rFonts w:cs="Arial"/>
          <w:i/>
        </w:rPr>
        <w:t>Telegraphy</w:t>
      </w:r>
      <w:proofErr w:type="spellEnd"/>
      <w:r w:rsidRPr="00B22DEE">
        <w:rPr>
          <w:rFonts w:cs="Arial"/>
          <w:i/>
        </w:rPr>
        <w:t xml:space="preserve"> (</w:t>
      </w:r>
      <w:proofErr w:type="spellStart"/>
      <w:r w:rsidRPr="00B22DEE">
        <w:rPr>
          <w:rFonts w:cs="Arial"/>
          <w:i/>
        </w:rPr>
        <w:t>Vehicle</w:t>
      </w:r>
      <w:proofErr w:type="spellEnd"/>
      <w:r w:rsidRPr="00B22DEE">
        <w:rPr>
          <w:rFonts w:cs="Arial"/>
          <w:i/>
        </w:rPr>
        <w:t xml:space="preserve"> </w:t>
      </w:r>
      <w:proofErr w:type="spellStart"/>
      <w:r w:rsidRPr="00B22DEE">
        <w:rPr>
          <w:rFonts w:cs="Arial"/>
          <w:i/>
        </w:rPr>
        <w:t>Based</w:t>
      </w:r>
      <w:proofErr w:type="spellEnd"/>
      <w:r w:rsidRPr="00B22DEE">
        <w:rPr>
          <w:rFonts w:cs="Arial"/>
          <w:i/>
        </w:rPr>
        <w:t xml:space="preserve"> </w:t>
      </w:r>
      <w:proofErr w:type="spellStart"/>
      <w:r w:rsidRPr="00B22DEE">
        <w:rPr>
          <w:rFonts w:cs="Arial"/>
          <w:i/>
        </w:rPr>
        <w:t>Intelligent</w:t>
      </w:r>
      <w:proofErr w:type="spellEnd"/>
      <w:r w:rsidRPr="00B22DEE">
        <w:rPr>
          <w:rFonts w:cs="Arial"/>
          <w:i/>
        </w:rPr>
        <w:t xml:space="preserve"> </w:t>
      </w:r>
      <w:proofErr w:type="spellStart"/>
      <w:r w:rsidRPr="00B22DEE">
        <w:rPr>
          <w:rFonts w:cs="Arial"/>
          <w:i/>
        </w:rPr>
        <w:t>Transport</w:t>
      </w:r>
      <w:proofErr w:type="spellEnd"/>
      <w:r w:rsidRPr="00B22DEE">
        <w:rPr>
          <w:rFonts w:cs="Arial"/>
          <w:i/>
        </w:rPr>
        <w:t xml:space="preserve"> </w:t>
      </w:r>
      <w:proofErr w:type="spellStart"/>
      <w:r w:rsidRPr="00B22DEE">
        <w:rPr>
          <w:rFonts w:cs="Arial"/>
          <w:i/>
        </w:rPr>
        <w:t>Systems</w:t>
      </w:r>
      <w:proofErr w:type="spellEnd"/>
      <w:r w:rsidRPr="00B22DEE">
        <w:rPr>
          <w:rFonts w:cs="Arial"/>
          <w:i/>
        </w:rPr>
        <w:t>) (</w:t>
      </w:r>
      <w:proofErr w:type="spellStart"/>
      <w:r w:rsidRPr="00B22DEE">
        <w:rPr>
          <w:rFonts w:cs="Arial"/>
          <w:i/>
        </w:rPr>
        <w:t>Exemption</w:t>
      </w:r>
      <w:proofErr w:type="spellEnd"/>
      <w:r w:rsidRPr="00B22DEE">
        <w:rPr>
          <w:rFonts w:cs="Arial"/>
          <w:i/>
        </w:rPr>
        <w:t xml:space="preserve">) </w:t>
      </w:r>
      <w:proofErr w:type="spellStart"/>
      <w:r w:rsidRPr="00B22DEE">
        <w:rPr>
          <w:rFonts w:cs="Arial"/>
          <w:i/>
        </w:rPr>
        <w:t>Regulations</w:t>
      </w:r>
      <w:proofErr w:type="spellEnd"/>
      <w:r w:rsidRPr="00B22DEE">
        <w:rPr>
          <w:rFonts w:cs="Arial"/>
          <w:i/>
        </w:rPr>
        <w:t xml:space="preserve"> 2009</w:t>
      </w:r>
      <w:r>
        <w:rPr>
          <w:rFonts w:cs="Arial"/>
        </w:rPr>
        <w:t>”</w:t>
      </w:r>
      <w:r w:rsidR="002600E4">
        <w:rPr>
          <w:rStyle w:val="Refdenotaalpie"/>
          <w:rFonts w:cs="Arial"/>
        </w:rPr>
        <w:footnoteReference w:id="18"/>
      </w:r>
      <w:r w:rsidR="002600E4">
        <w:rPr>
          <w:rFonts w:cs="Arial"/>
        </w:rPr>
        <w:t>, en el que se habilita el uso de estos dispositivos con ciertas condiciones técnicas de operación.</w:t>
      </w:r>
      <w:r w:rsidR="00177651">
        <w:rPr>
          <w:rFonts w:cs="Arial"/>
        </w:rPr>
        <w:t xml:space="preserve"> Asimismo, se indica que se deberán utilizar técnicas para mitigar interferencias perjudícales equivalentes a las descritas en el estándar de ETSI E</w:t>
      </w:r>
      <w:r w:rsidR="00177651" w:rsidRPr="008117A8">
        <w:rPr>
          <w:rFonts w:cs="Arial"/>
        </w:rPr>
        <w:t>N302 571</w:t>
      </w:r>
      <w:r w:rsidR="00177651">
        <w:rPr>
          <w:rFonts w:cs="Arial"/>
        </w:rPr>
        <w:t>.</w:t>
      </w:r>
    </w:p>
    <w:p w14:paraId="3528F950" w14:textId="77777777" w:rsidR="002600E4" w:rsidRDefault="002600E4" w:rsidP="00B22DEE">
      <w:pPr>
        <w:spacing w:after="0" w:line="240" w:lineRule="auto"/>
        <w:ind w:left="567"/>
        <w:jc w:val="both"/>
        <w:rPr>
          <w:rFonts w:cs="Arial"/>
        </w:rPr>
      </w:pPr>
    </w:p>
    <w:p w14:paraId="7FF149A7" w14:textId="66E5BA77" w:rsidR="002600E4" w:rsidRDefault="002600E4" w:rsidP="00B22DEE">
      <w:pPr>
        <w:spacing w:after="0" w:line="240" w:lineRule="auto"/>
        <w:ind w:left="567"/>
        <w:jc w:val="both"/>
        <w:rPr>
          <w:rFonts w:cs="Arial"/>
        </w:rPr>
      </w:pPr>
      <w:r>
        <w:rPr>
          <w:rFonts w:cs="Arial"/>
        </w:rPr>
        <w:t>Posteriormente, en diciembre de 2011</w:t>
      </w:r>
      <w:r w:rsidR="00235385">
        <w:rPr>
          <w:rFonts w:cs="Arial"/>
        </w:rPr>
        <w:t>,</w:t>
      </w:r>
      <w:r>
        <w:rPr>
          <w:rFonts w:cs="Arial"/>
        </w:rPr>
        <w:t xml:space="preserve"> emitió </w:t>
      </w:r>
      <w:r w:rsidR="008420E9">
        <w:rPr>
          <w:rFonts w:cs="Arial"/>
        </w:rPr>
        <w:t>la regulación</w:t>
      </w:r>
      <w:r>
        <w:rPr>
          <w:rFonts w:cs="Arial"/>
        </w:rPr>
        <w:t xml:space="preserve"> 2011 No. 2949 “</w:t>
      </w:r>
      <w:proofErr w:type="spellStart"/>
      <w:r w:rsidRPr="002600E4">
        <w:rPr>
          <w:rFonts w:cs="Arial"/>
          <w:i/>
        </w:rPr>
        <w:t>The</w:t>
      </w:r>
      <w:proofErr w:type="spellEnd"/>
      <w:r w:rsidRPr="002600E4">
        <w:rPr>
          <w:rFonts w:cs="Arial"/>
          <w:i/>
        </w:rPr>
        <w:t xml:space="preserve"> Wireless </w:t>
      </w:r>
      <w:proofErr w:type="spellStart"/>
      <w:r w:rsidRPr="002600E4">
        <w:rPr>
          <w:rFonts w:cs="Arial"/>
          <w:i/>
        </w:rPr>
        <w:t>Telegraphy</w:t>
      </w:r>
      <w:proofErr w:type="spellEnd"/>
      <w:r w:rsidRPr="002600E4">
        <w:rPr>
          <w:rFonts w:cs="Arial"/>
          <w:i/>
        </w:rPr>
        <w:t xml:space="preserve"> (</w:t>
      </w:r>
      <w:proofErr w:type="spellStart"/>
      <w:r w:rsidRPr="002600E4">
        <w:rPr>
          <w:rFonts w:cs="Arial"/>
          <w:i/>
        </w:rPr>
        <w:t>Intelligent</w:t>
      </w:r>
      <w:proofErr w:type="spellEnd"/>
      <w:r w:rsidRPr="002600E4">
        <w:rPr>
          <w:rFonts w:cs="Arial"/>
          <w:i/>
        </w:rPr>
        <w:t xml:space="preserve"> </w:t>
      </w:r>
      <w:proofErr w:type="spellStart"/>
      <w:r w:rsidRPr="002600E4">
        <w:rPr>
          <w:rFonts w:cs="Arial"/>
          <w:i/>
        </w:rPr>
        <w:t>Transport</w:t>
      </w:r>
      <w:proofErr w:type="spellEnd"/>
      <w:r w:rsidRPr="002600E4">
        <w:rPr>
          <w:rFonts w:cs="Arial"/>
          <w:i/>
        </w:rPr>
        <w:t xml:space="preserve"> </w:t>
      </w:r>
      <w:proofErr w:type="spellStart"/>
      <w:r w:rsidRPr="002600E4">
        <w:rPr>
          <w:rFonts w:cs="Arial"/>
          <w:i/>
        </w:rPr>
        <w:t>Systems</w:t>
      </w:r>
      <w:proofErr w:type="spellEnd"/>
      <w:r w:rsidRPr="002600E4">
        <w:rPr>
          <w:rFonts w:cs="Arial"/>
          <w:i/>
        </w:rPr>
        <w:t>) (</w:t>
      </w:r>
      <w:proofErr w:type="spellStart"/>
      <w:r w:rsidRPr="002600E4">
        <w:rPr>
          <w:rFonts w:cs="Arial"/>
          <w:i/>
        </w:rPr>
        <w:t>Exemption</w:t>
      </w:r>
      <w:proofErr w:type="spellEnd"/>
      <w:r w:rsidRPr="002600E4">
        <w:rPr>
          <w:rFonts w:cs="Arial"/>
          <w:i/>
        </w:rPr>
        <w:t xml:space="preserve">) </w:t>
      </w:r>
      <w:proofErr w:type="spellStart"/>
      <w:r w:rsidRPr="002600E4">
        <w:rPr>
          <w:rFonts w:cs="Arial"/>
          <w:i/>
        </w:rPr>
        <w:t>Regulations</w:t>
      </w:r>
      <w:proofErr w:type="spellEnd"/>
      <w:r w:rsidRPr="002600E4">
        <w:rPr>
          <w:rFonts w:cs="Arial"/>
          <w:i/>
        </w:rPr>
        <w:t xml:space="preserve"> 2011</w:t>
      </w:r>
      <w:r>
        <w:rPr>
          <w:rFonts w:cs="Arial"/>
        </w:rPr>
        <w:t>”</w:t>
      </w:r>
      <w:r>
        <w:rPr>
          <w:rStyle w:val="Refdenotaalpie"/>
          <w:rFonts w:cs="Arial"/>
        </w:rPr>
        <w:footnoteReference w:id="19"/>
      </w:r>
      <w:r>
        <w:rPr>
          <w:rFonts w:cs="Arial"/>
        </w:rPr>
        <w:t xml:space="preserve">, la cual anula la emitida en 2009 y habilita el uso de estaciones y dispositivos en la banda de frecuencias para los </w:t>
      </w:r>
      <w:r w:rsidR="00D37A79">
        <w:rPr>
          <w:rFonts w:cs="Arial"/>
        </w:rPr>
        <w:t>STI</w:t>
      </w:r>
      <w:r>
        <w:rPr>
          <w:rFonts w:cs="Arial"/>
        </w:rPr>
        <w:t xml:space="preserve"> relacionados con seguridad.</w:t>
      </w:r>
    </w:p>
    <w:p w14:paraId="66A38978" w14:textId="77777777" w:rsidR="00B22DEE" w:rsidRDefault="00B22DEE" w:rsidP="00B22DEE">
      <w:pPr>
        <w:spacing w:after="0" w:line="240" w:lineRule="auto"/>
        <w:ind w:left="567"/>
        <w:jc w:val="both"/>
        <w:rPr>
          <w:rFonts w:cs="Arial"/>
        </w:rPr>
      </w:pPr>
    </w:p>
    <w:p w14:paraId="2ADDBFE6" w14:textId="235CCBBD" w:rsidR="00177651" w:rsidRPr="00ED4452" w:rsidRDefault="00177651" w:rsidP="00B22DEE">
      <w:pPr>
        <w:spacing w:after="0" w:line="240" w:lineRule="auto"/>
        <w:ind w:left="567"/>
        <w:jc w:val="both"/>
        <w:rPr>
          <w:rFonts w:cs="Arial"/>
        </w:rPr>
      </w:pPr>
      <w:r>
        <w:rPr>
          <w:rFonts w:cs="Arial"/>
        </w:rPr>
        <w:t xml:space="preserve">A la fecha del presente documento, esta regulación continúa vigente en Reino Unido, e incluso los </w:t>
      </w:r>
      <w:r w:rsidR="00D37A79">
        <w:rPr>
          <w:rFonts w:cs="Arial"/>
        </w:rPr>
        <w:t>STI</w:t>
      </w:r>
      <w:r>
        <w:rPr>
          <w:rFonts w:cs="Arial"/>
        </w:rPr>
        <w:t xml:space="preserve"> se han considerado para la coexistencia con otros servicios y aplicaciones que se han permitido en la banda de frecuencias </w:t>
      </w:r>
      <w:r w:rsidRPr="00E1164E">
        <w:t>5850-</w:t>
      </w:r>
      <w:r>
        <w:rPr>
          <w:rFonts w:cs="Arial"/>
        </w:rPr>
        <w:t>5925 MHz.</w:t>
      </w:r>
    </w:p>
    <w:p w14:paraId="1817A556" w14:textId="77777777" w:rsidR="00B22DEE" w:rsidRDefault="00B22DEE" w:rsidP="00B22DEE">
      <w:pPr>
        <w:spacing w:after="0" w:line="240" w:lineRule="auto"/>
        <w:ind w:left="567"/>
        <w:jc w:val="both"/>
        <w:rPr>
          <w:rFonts w:cs="Arial"/>
        </w:rPr>
      </w:pPr>
    </w:p>
    <w:p w14:paraId="5E2E925B" w14:textId="77777777" w:rsidR="00B22DEE" w:rsidRPr="00F748B7" w:rsidRDefault="00B22DEE" w:rsidP="00B22DEE">
      <w:pPr>
        <w:spacing w:after="0" w:line="240" w:lineRule="auto"/>
        <w:ind w:left="567"/>
        <w:jc w:val="both"/>
        <w:rPr>
          <w:rFonts w:cs="Arial"/>
          <w:color w:val="70AD47" w:themeColor="accent6"/>
        </w:rPr>
      </w:pPr>
      <w:r w:rsidRPr="00F748B7">
        <w:rPr>
          <w:rFonts w:cs="Arial"/>
          <w:color w:val="70AD47" w:themeColor="accent6"/>
        </w:rPr>
        <w:t>Unión Europea - Conferencia Europea de Administraciones de Correos y Telecomunicaciones</w:t>
      </w:r>
    </w:p>
    <w:p w14:paraId="3BB19D27" w14:textId="77777777" w:rsidR="00B22DEE" w:rsidRDefault="00B22DEE" w:rsidP="00B22DEE">
      <w:pPr>
        <w:spacing w:after="0" w:line="240" w:lineRule="auto"/>
        <w:ind w:left="567"/>
        <w:jc w:val="both"/>
        <w:rPr>
          <w:rFonts w:cs="Arial"/>
        </w:rPr>
      </w:pPr>
    </w:p>
    <w:p w14:paraId="27E6B0D2" w14:textId="375F27F9" w:rsidR="00B22DEE" w:rsidRDefault="00B22DEE" w:rsidP="00B22DEE">
      <w:pPr>
        <w:spacing w:after="0" w:line="240" w:lineRule="auto"/>
        <w:ind w:left="567"/>
        <w:jc w:val="both"/>
        <w:rPr>
          <w:rFonts w:cs="Arial"/>
        </w:rPr>
      </w:pPr>
      <w:r w:rsidRPr="00A07C6A">
        <w:rPr>
          <w:rFonts w:cs="Arial"/>
        </w:rPr>
        <w:t xml:space="preserve">La CEPT ha realizado estudios de compartición y compatibilidad entre </w:t>
      </w:r>
      <w:r>
        <w:rPr>
          <w:rFonts w:cs="Arial"/>
        </w:rPr>
        <w:t xml:space="preserve">diversos </w:t>
      </w:r>
      <w:r w:rsidRPr="00A07C6A">
        <w:rPr>
          <w:rFonts w:cs="Arial"/>
        </w:rPr>
        <w:t xml:space="preserve">servicios </w:t>
      </w:r>
      <w:r>
        <w:rPr>
          <w:rFonts w:cs="Arial"/>
        </w:rPr>
        <w:t>y</w:t>
      </w:r>
      <w:r w:rsidRPr="00A07C6A">
        <w:rPr>
          <w:rFonts w:cs="Arial"/>
        </w:rPr>
        <w:t xml:space="preserve"> aplicaciones </w:t>
      </w:r>
      <w:r>
        <w:rPr>
          <w:rFonts w:cs="Arial"/>
        </w:rPr>
        <w:t>inalámbricas</w:t>
      </w:r>
      <w:r w:rsidRPr="00A07C6A">
        <w:rPr>
          <w:rFonts w:cs="Arial"/>
        </w:rPr>
        <w:t xml:space="preserve"> que op</w:t>
      </w:r>
      <w:r>
        <w:rPr>
          <w:rFonts w:cs="Arial"/>
        </w:rPr>
        <w:t xml:space="preserve">eran en la banda 5850-5925 MHz. En estos estudios se reconoce la operación de </w:t>
      </w:r>
      <w:r w:rsidR="00D37A79">
        <w:rPr>
          <w:rFonts w:cs="Arial"/>
        </w:rPr>
        <w:t>STI</w:t>
      </w:r>
      <w:r>
        <w:rPr>
          <w:rFonts w:cs="Arial"/>
        </w:rPr>
        <w:t xml:space="preserve"> en esta banda de frecuencias y se exponen ciertas condiciones técnicas de operación que pudieran permitir la convivencia con los diferentes servicios y aplicaciones en la banda 5.9 GHz.</w:t>
      </w:r>
    </w:p>
    <w:p w14:paraId="581A1EFC" w14:textId="77777777" w:rsidR="00B22DEE" w:rsidRDefault="00B22DEE" w:rsidP="00B22DEE">
      <w:pPr>
        <w:spacing w:after="0" w:line="240" w:lineRule="auto"/>
        <w:ind w:left="567"/>
        <w:jc w:val="both"/>
        <w:rPr>
          <w:rFonts w:cs="Arial"/>
        </w:rPr>
      </w:pPr>
    </w:p>
    <w:p w14:paraId="33158BA1" w14:textId="32DD36AE" w:rsidR="00BB1518" w:rsidRDefault="00B22DEE" w:rsidP="00BB0524">
      <w:pPr>
        <w:spacing w:after="0" w:line="240" w:lineRule="auto"/>
        <w:ind w:left="567"/>
        <w:jc w:val="both"/>
        <w:rPr>
          <w:rFonts w:cs="Arial"/>
        </w:rPr>
      </w:pPr>
      <w:r>
        <w:rPr>
          <w:rFonts w:cs="Arial"/>
        </w:rPr>
        <w:t xml:space="preserve">Los resultados de algunos de los estudios pueden encontrarse en los Reportes </w:t>
      </w:r>
      <w:r w:rsidRPr="00BB0524">
        <w:rPr>
          <w:rFonts w:cs="Arial"/>
          <w:i/>
        </w:rPr>
        <w:t xml:space="preserve">CEPT </w:t>
      </w:r>
      <w:proofErr w:type="spellStart"/>
      <w:r w:rsidRPr="00BB0524">
        <w:rPr>
          <w:rFonts w:cs="Arial"/>
          <w:i/>
        </w:rPr>
        <w:t>Report</w:t>
      </w:r>
      <w:proofErr w:type="spellEnd"/>
      <w:r w:rsidRPr="00BB0524">
        <w:rPr>
          <w:rFonts w:cs="Arial"/>
          <w:i/>
        </w:rPr>
        <w:t xml:space="preserve"> 20</w:t>
      </w:r>
      <w:r>
        <w:rPr>
          <w:rFonts w:cs="Arial"/>
        </w:rPr>
        <w:t xml:space="preserve"> “E</w:t>
      </w:r>
      <w:r w:rsidRPr="00A12A8F">
        <w:rPr>
          <w:rFonts w:cs="Arial"/>
        </w:rPr>
        <w:t xml:space="preserve">l uso armonizado del espectro radioeléctrico para aplicaciones críticas de seguridad de Sistemas de transporte </w:t>
      </w:r>
      <w:r>
        <w:rPr>
          <w:rFonts w:cs="Arial"/>
        </w:rPr>
        <w:t>Inteligente</w:t>
      </w:r>
      <w:r w:rsidRPr="00A12A8F">
        <w:rPr>
          <w:rFonts w:cs="Arial"/>
        </w:rPr>
        <w:t xml:space="preserve"> en la Unión Europea</w:t>
      </w:r>
      <w:r>
        <w:rPr>
          <w:rFonts w:cs="Arial"/>
        </w:rPr>
        <w:t>”</w:t>
      </w:r>
      <w:r>
        <w:rPr>
          <w:rStyle w:val="Refdenotaalpie"/>
          <w:rFonts w:cs="Arial"/>
        </w:rPr>
        <w:footnoteReference w:id="20"/>
      </w:r>
      <w:r>
        <w:rPr>
          <w:rFonts w:cs="Arial"/>
        </w:rPr>
        <w:t xml:space="preserve">, publicado en diciembre de 2007; </w:t>
      </w:r>
      <w:r w:rsidRPr="00BB0524">
        <w:rPr>
          <w:rFonts w:cs="Arial"/>
          <w:i/>
        </w:rPr>
        <w:t xml:space="preserve">CEPT </w:t>
      </w:r>
      <w:proofErr w:type="spellStart"/>
      <w:r w:rsidRPr="00BB0524">
        <w:rPr>
          <w:rFonts w:cs="Arial"/>
          <w:i/>
        </w:rPr>
        <w:t>Report</w:t>
      </w:r>
      <w:proofErr w:type="spellEnd"/>
      <w:r w:rsidRPr="00BB0524">
        <w:rPr>
          <w:rFonts w:cs="Arial"/>
          <w:i/>
        </w:rPr>
        <w:t xml:space="preserve"> 57</w:t>
      </w:r>
      <w:r>
        <w:rPr>
          <w:rFonts w:cs="Arial"/>
        </w:rPr>
        <w:t xml:space="preserve"> “</w:t>
      </w:r>
      <w:r w:rsidRPr="00A12A8F">
        <w:rPr>
          <w:rFonts w:cs="Arial"/>
        </w:rPr>
        <w:t xml:space="preserve">Estudiar e identificar la compatibilidad y las condiciones de uso compartido para los sistemas de acceso inalámbrico, incluidas las redes </w:t>
      </w:r>
      <w:r>
        <w:rPr>
          <w:rFonts w:cs="Arial"/>
        </w:rPr>
        <w:t xml:space="preserve">inalámbricas </w:t>
      </w:r>
      <w:r w:rsidRPr="00A12A8F">
        <w:rPr>
          <w:rFonts w:cs="Arial"/>
        </w:rPr>
        <w:t xml:space="preserve">de área local en las bandas 5350-5470 MHz y 5725-5925 MHz ('bandas de extensión WAS / </w:t>
      </w:r>
      <w:r w:rsidRPr="00A12A8F">
        <w:rPr>
          <w:rFonts w:cs="Arial"/>
        </w:rPr>
        <w:lastRenderedPageBreak/>
        <w:t>RLAN') para la prestación de servic</w:t>
      </w:r>
      <w:r>
        <w:rPr>
          <w:rFonts w:cs="Arial"/>
        </w:rPr>
        <w:t>ios inalámbricos de banda ancha”</w:t>
      </w:r>
      <w:r>
        <w:rPr>
          <w:rStyle w:val="Refdenotaalpie"/>
          <w:rFonts w:cs="Arial"/>
        </w:rPr>
        <w:footnoteReference w:id="21"/>
      </w:r>
      <w:r>
        <w:rPr>
          <w:rFonts w:cs="Arial"/>
        </w:rPr>
        <w:t xml:space="preserve">, publicado en marzo de 2015; y </w:t>
      </w:r>
      <w:r w:rsidRPr="00BB0524">
        <w:rPr>
          <w:rFonts w:cs="Arial"/>
          <w:i/>
        </w:rPr>
        <w:t xml:space="preserve">CEPT </w:t>
      </w:r>
      <w:proofErr w:type="spellStart"/>
      <w:r w:rsidRPr="00BB0524">
        <w:rPr>
          <w:rFonts w:cs="Arial"/>
          <w:i/>
        </w:rPr>
        <w:t>Report</w:t>
      </w:r>
      <w:proofErr w:type="spellEnd"/>
      <w:r w:rsidRPr="00BB0524">
        <w:rPr>
          <w:rFonts w:cs="Arial"/>
          <w:i/>
        </w:rPr>
        <w:t xml:space="preserve"> 71</w:t>
      </w:r>
      <w:r>
        <w:rPr>
          <w:rFonts w:cs="Arial"/>
        </w:rPr>
        <w:t xml:space="preserve"> “E</w:t>
      </w:r>
      <w:r w:rsidRPr="005A5C02">
        <w:rPr>
          <w:rFonts w:cs="Arial"/>
        </w:rPr>
        <w:t xml:space="preserve">studiar la extensión de la banda 5,9 GHz </w:t>
      </w:r>
      <w:r>
        <w:rPr>
          <w:rFonts w:cs="Arial"/>
        </w:rPr>
        <w:t>para S</w:t>
      </w:r>
      <w:r w:rsidRPr="005A5C02">
        <w:rPr>
          <w:rFonts w:cs="Arial"/>
        </w:rPr>
        <w:t>istemas de</w:t>
      </w:r>
      <w:r>
        <w:rPr>
          <w:rFonts w:cs="Arial"/>
        </w:rPr>
        <w:t xml:space="preserve"> Transporte Inteligente (STI) </w:t>
      </w:r>
      <w:r w:rsidRPr="005A5C02">
        <w:rPr>
          <w:rFonts w:cs="Arial"/>
        </w:rPr>
        <w:t>relacionada con la seguridad</w:t>
      </w:r>
      <w:r>
        <w:rPr>
          <w:rFonts w:cs="Arial"/>
        </w:rPr>
        <w:t>”, publicado en marzo de 2019.</w:t>
      </w:r>
    </w:p>
    <w:p w14:paraId="59E3D710" w14:textId="77777777" w:rsidR="00B22DEE" w:rsidRDefault="00B22DEE" w:rsidP="00B22DEE">
      <w:pPr>
        <w:spacing w:after="0" w:line="240" w:lineRule="auto"/>
        <w:ind w:left="567"/>
        <w:jc w:val="both"/>
        <w:rPr>
          <w:rFonts w:cs="Arial"/>
        </w:rPr>
      </w:pPr>
    </w:p>
    <w:p w14:paraId="39F284DF" w14:textId="6FD2BDDD" w:rsidR="00BB0524" w:rsidRDefault="0008378E" w:rsidP="00B22DEE">
      <w:pPr>
        <w:spacing w:after="0" w:line="240" w:lineRule="auto"/>
        <w:ind w:left="567"/>
        <w:jc w:val="both"/>
        <w:rPr>
          <w:rFonts w:cs="Arial"/>
        </w:rPr>
      </w:pPr>
      <w:r>
        <w:rPr>
          <w:rFonts w:cs="Arial"/>
        </w:rPr>
        <w:t>Tomando en consideración estos estudios, l</w:t>
      </w:r>
      <w:r w:rsidR="003F31AA">
        <w:rPr>
          <w:rFonts w:cs="Arial"/>
        </w:rPr>
        <w:t xml:space="preserve">a CEPT ha emitido la Decisión </w:t>
      </w:r>
      <w:r w:rsidR="003F31AA" w:rsidRPr="003F31AA">
        <w:rPr>
          <w:rFonts w:cs="Arial"/>
          <w:i/>
        </w:rPr>
        <w:t xml:space="preserve">ECC </w:t>
      </w:r>
      <w:proofErr w:type="spellStart"/>
      <w:r w:rsidR="003F31AA" w:rsidRPr="003F31AA">
        <w:rPr>
          <w:rFonts w:cs="Arial"/>
          <w:i/>
        </w:rPr>
        <w:t>Decision</w:t>
      </w:r>
      <w:proofErr w:type="spellEnd"/>
      <w:r w:rsidR="003F31AA" w:rsidRPr="003F31AA">
        <w:rPr>
          <w:rFonts w:cs="Arial"/>
          <w:i/>
        </w:rPr>
        <w:t xml:space="preserve"> (08)</w:t>
      </w:r>
      <w:r>
        <w:rPr>
          <w:rFonts w:cs="Arial"/>
          <w:i/>
        </w:rPr>
        <w:t xml:space="preserve"> </w:t>
      </w:r>
      <w:r w:rsidR="003F31AA" w:rsidRPr="003F31AA">
        <w:rPr>
          <w:rFonts w:cs="Arial"/>
          <w:i/>
        </w:rPr>
        <w:t>01</w:t>
      </w:r>
      <w:r>
        <w:rPr>
          <w:rStyle w:val="Refdenotaalpie"/>
          <w:rFonts w:cs="Arial"/>
          <w:i/>
        </w:rPr>
        <w:footnoteReference w:id="22"/>
      </w:r>
      <w:r w:rsidR="003F31AA" w:rsidRPr="003F31AA">
        <w:rPr>
          <w:rFonts w:cs="Arial"/>
        </w:rPr>
        <w:t xml:space="preserve"> </w:t>
      </w:r>
      <w:r w:rsidR="003F31AA">
        <w:rPr>
          <w:rFonts w:cs="Arial"/>
        </w:rPr>
        <w:t xml:space="preserve">en dónde designa el uso armonizado </w:t>
      </w:r>
      <w:r>
        <w:rPr>
          <w:rFonts w:cs="Arial"/>
        </w:rPr>
        <w:t xml:space="preserve">en la Unión Europea </w:t>
      </w:r>
      <w:r w:rsidR="003F31AA">
        <w:rPr>
          <w:rFonts w:cs="Arial"/>
        </w:rPr>
        <w:t xml:space="preserve">de la banda 5875-5935 MHz para </w:t>
      </w:r>
      <w:r w:rsidR="0025572D">
        <w:rPr>
          <w:rFonts w:cs="Arial"/>
        </w:rPr>
        <w:t>sistemas</w:t>
      </w:r>
      <w:r w:rsidR="003F31AA">
        <w:rPr>
          <w:rFonts w:cs="Arial"/>
        </w:rPr>
        <w:t xml:space="preserve"> </w:t>
      </w:r>
      <w:r w:rsidR="0025572D">
        <w:rPr>
          <w:rFonts w:cs="Arial"/>
        </w:rPr>
        <w:t>de</w:t>
      </w:r>
      <w:r w:rsidR="003F31AA">
        <w:rPr>
          <w:rFonts w:cs="Arial"/>
        </w:rPr>
        <w:t xml:space="preserve"> seguridad </w:t>
      </w:r>
      <w:r w:rsidR="0025572D">
        <w:rPr>
          <w:rFonts w:cs="Arial"/>
        </w:rPr>
        <w:t xml:space="preserve">relacionados con STI y establece canales </w:t>
      </w:r>
      <w:r w:rsidR="003F31AA">
        <w:rPr>
          <w:rFonts w:cs="Arial"/>
        </w:rPr>
        <w:t>con anchos de banda de hasta 10 MHz</w:t>
      </w:r>
      <w:r>
        <w:rPr>
          <w:rFonts w:cs="Arial"/>
        </w:rPr>
        <w:t xml:space="preserve">. Posteriormente emitió la Recomendación </w:t>
      </w:r>
      <w:r w:rsidRPr="0008378E">
        <w:rPr>
          <w:rFonts w:cs="Arial"/>
          <w:i/>
        </w:rPr>
        <w:t xml:space="preserve">ECC </w:t>
      </w:r>
      <w:proofErr w:type="spellStart"/>
      <w:r w:rsidRPr="0008378E">
        <w:rPr>
          <w:rFonts w:cs="Arial"/>
          <w:i/>
        </w:rPr>
        <w:t>Recommendation</w:t>
      </w:r>
      <w:proofErr w:type="spellEnd"/>
      <w:r w:rsidRPr="0008378E">
        <w:rPr>
          <w:rFonts w:cs="Arial"/>
          <w:i/>
        </w:rPr>
        <w:t xml:space="preserve"> (08) 01</w:t>
      </w:r>
      <w:r>
        <w:rPr>
          <w:rStyle w:val="Refdenotaalpie"/>
          <w:rFonts w:cs="Arial"/>
        </w:rPr>
        <w:footnoteReference w:id="23"/>
      </w:r>
      <w:r>
        <w:rPr>
          <w:rFonts w:cs="Arial"/>
        </w:rPr>
        <w:t xml:space="preserve"> en donde </w:t>
      </w:r>
      <w:r w:rsidR="0025572D">
        <w:rPr>
          <w:rFonts w:cs="Arial"/>
        </w:rPr>
        <w:t xml:space="preserve">se </w:t>
      </w:r>
      <w:r>
        <w:rPr>
          <w:rFonts w:cs="Arial"/>
        </w:rPr>
        <w:t>incl</w:t>
      </w:r>
      <w:r w:rsidR="0025572D">
        <w:rPr>
          <w:rFonts w:cs="Arial"/>
        </w:rPr>
        <w:t>uyó</w:t>
      </w:r>
      <w:r>
        <w:rPr>
          <w:rFonts w:cs="Arial"/>
        </w:rPr>
        <w:t xml:space="preserve"> la banda 5855-5875 MHz para </w:t>
      </w:r>
      <w:r w:rsidR="0025572D">
        <w:rPr>
          <w:rFonts w:cs="Arial"/>
        </w:rPr>
        <w:t xml:space="preserve">sistemas </w:t>
      </w:r>
      <w:r>
        <w:rPr>
          <w:rFonts w:cs="Arial"/>
        </w:rPr>
        <w:t xml:space="preserve">que no estén relacionados con la seguridad </w:t>
      </w:r>
      <w:r w:rsidR="0025572D">
        <w:rPr>
          <w:rFonts w:cs="Arial"/>
        </w:rPr>
        <w:t xml:space="preserve">para STI </w:t>
      </w:r>
      <w:r>
        <w:rPr>
          <w:rFonts w:cs="Arial"/>
        </w:rPr>
        <w:t>y de igual manera identifica canales de hasta 10 MHz.</w:t>
      </w:r>
    </w:p>
    <w:p w14:paraId="606D6F4E" w14:textId="77777777" w:rsidR="00BB0524" w:rsidRDefault="00BB0524" w:rsidP="00B22DEE">
      <w:pPr>
        <w:spacing w:after="0" w:line="240" w:lineRule="auto"/>
        <w:ind w:left="567"/>
        <w:jc w:val="both"/>
        <w:rPr>
          <w:rFonts w:cs="Arial"/>
        </w:rPr>
      </w:pPr>
    </w:p>
    <w:p w14:paraId="14BE5F26" w14:textId="51BD21A0" w:rsidR="00EB1BDD" w:rsidRDefault="00734B64" w:rsidP="008420E9">
      <w:pPr>
        <w:spacing w:after="0"/>
        <w:jc w:val="both"/>
        <w:rPr>
          <w:rFonts w:cstheme="minorHAnsi"/>
        </w:rPr>
      </w:pPr>
      <w:r>
        <w:rPr>
          <w:rFonts w:cstheme="minorHAnsi"/>
        </w:rPr>
        <w:t>Como complemento a esta sección, se tie</w:t>
      </w:r>
      <w:r w:rsidR="009774B5">
        <w:rPr>
          <w:rFonts w:cstheme="minorHAnsi"/>
        </w:rPr>
        <w:t>ne conocimiento de que, a</w:t>
      </w:r>
      <w:r w:rsidR="009774B5" w:rsidRPr="009774B5">
        <w:rPr>
          <w:rFonts w:cstheme="minorHAnsi"/>
        </w:rPr>
        <w:t xml:space="preserve"> nivel internacional, </w:t>
      </w:r>
      <w:r w:rsidR="009774B5">
        <w:rPr>
          <w:rFonts w:cstheme="minorHAnsi"/>
        </w:rPr>
        <w:t>otros</w:t>
      </w:r>
      <w:r w:rsidR="009774B5" w:rsidRPr="009774B5">
        <w:rPr>
          <w:rFonts w:cstheme="minorHAnsi"/>
        </w:rPr>
        <w:t xml:space="preserve"> países han asignado espectro </w:t>
      </w:r>
      <w:r w:rsidR="00177651">
        <w:rPr>
          <w:rFonts w:cstheme="minorHAnsi"/>
        </w:rPr>
        <w:t>radioeléctrico</w:t>
      </w:r>
      <w:r w:rsidR="009774B5" w:rsidRPr="009774B5">
        <w:rPr>
          <w:rFonts w:cstheme="minorHAnsi"/>
        </w:rPr>
        <w:t xml:space="preserve"> de la banda </w:t>
      </w:r>
      <w:r w:rsidR="00177651">
        <w:rPr>
          <w:rFonts w:cstheme="minorHAnsi"/>
        </w:rPr>
        <w:t xml:space="preserve">de frecuencias </w:t>
      </w:r>
      <w:r w:rsidR="009774B5" w:rsidRPr="009774B5">
        <w:rPr>
          <w:rFonts w:cstheme="minorHAnsi"/>
        </w:rPr>
        <w:t>5</w:t>
      </w:r>
      <w:r w:rsidR="009774B5">
        <w:rPr>
          <w:rFonts w:cstheme="minorHAnsi"/>
        </w:rPr>
        <w:t>.</w:t>
      </w:r>
      <w:r w:rsidR="009774B5" w:rsidRPr="009774B5">
        <w:rPr>
          <w:rFonts w:cstheme="minorHAnsi"/>
        </w:rPr>
        <w:t xml:space="preserve">9 GHz para comunicaciones </w:t>
      </w:r>
      <w:r w:rsidR="00D37A79">
        <w:rPr>
          <w:rFonts w:cstheme="minorHAnsi"/>
        </w:rPr>
        <w:t>STI</w:t>
      </w:r>
      <w:r w:rsidR="009774B5" w:rsidRPr="009774B5">
        <w:rPr>
          <w:rFonts w:cstheme="minorHAnsi"/>
        </w:rPr>
        <w:t xml:space="preserve">, incluidos Australia (70 MHz), Corea </w:t>
      </w:r>
      <w:r w:rsidR="008420E9">
        <w:rPr>
          <w:rFonts w:cstheme="minorHAnsi"/>
        </w:rPr>
        <w:t xml:space="preserve">del Sur </w:t>
      </w:r>
      <w:r w:rsidR="009774B5" w:rsidRPr="009774B5">
        <w:rPr>
          <w:rFonts w:cstheme="minorHAnsi"/>
        </w:rPr>
        <w:t>(70 MHz) y Singapur (50 MHz). En la Unión Europea, 30 MHz de la banda de 5</w:t>
      </w:r>
      <w:r w:rsidR="009774B5">
        <w:rPr>
          <w:rFonts w:cstheme="minorHAnsi"/>
        </w:rPr>
        <w:t>.</w:t>
      </w:r>
      <w:r w:rsidR="009774B5" w:rsidRPr="009774B5">
        <w:rPr>
          <w:rFonts w:cstheme="minorHAnsi"/>
        </w:rPr>
        <w:t xml:space="preserve">9 GHz se han dedicado a las comunicaciones de seguridad en el transporte, y el </w:t>
      </w:r>
      <w:r w:rsidR="009774B5" w:rsidRPr="005C59DD">
        <w:rPr>
          <w:rFonts w:cstheme="minorHAnsi"/>
        </w:rPr>
        <w:t>Comité de Comunicaciones Electrónicas</w:t>
      </w:r>
      <w:r w:rsidR="009774B5" w:rsidRPr="009774B5">
        <w:rPr>
          <w:rFonts w:cstheme="minorHAnsi"/>
        </w:rPr>
        <w:t xml:space="preserve"> </w:t>
      </w:r>
      <w:r w:rsidR="005C59DD">
        <w:rPr>
          <w:rFonts w:cstheme="minorHAnsi"/>
        </w:rPr>
        <w:t xml:space="preserve">(ECC, por sus siglas en inglés) </w:t>
      </w:r>
      <w:r w:rsidR="009774B5" w:rsidRPr="009774B5">
        <w:rPr>
          <w:rFonts w:cstheme="minorHAnsi"/>
        </w:rPr>
        <w:t xml:space="preserve">ha propuesto ampliarlo a 50 MHz y, al mismo tiempo, proporcionar 20 MHz adicionales para aplicaciones que no son de seguridad. </w:t>
      </w:r>
      <w:r w:rsidR="00177651">
        <w:rPr>
          <w:rFonts w:cstheme="minorHAnsi"/>
        </w:rPr>
        <w:t xml:space="preserve">Por su parte, </w:t>
      </w:r>
      <w:r w:rsidR="009774B5">
        <w:rPr>
          <w:rFonts w:cstheme="minorHAnsi"/>
        </w:rPr>
        <w:t>Japón actualmente dedica 10 MHz</w:t>
      </w:r>
      <w:r w:rsidR="009774B5" w:rsidRPr="009774B5">
        <w:rPr>
          <w:rFonts w:cstheme="minorHAnsi"/>
        </w:rPr>
        <w:t xml:space="preserve"> de espectro exclusivamente para comunicaciones de seguridad en el transporte y 80 MHz para el cobro de peajes electrónicos, </w:t>
      </w:r>
      <w:r w:rsidR="00177651">
        <w:rPr>
          <w:rFonts w:cstheme="minorHAnsi"/>
        </w:rPr>
        <w:t>entre otros</w:t>
      </w:r>
      <w:r w:rsidR="009774B5" w:rsidRPr="009774B5">
        <w:rPr>
          <w:rFonts w:cstheme="minorHAnsi"/>
        </w:rPr>
        <w:t xml:space="preserve">. </w:t>
      </w:r>
      <w:r w:rsidR="00177651">
        <w:rPr>
          <w:rFonts w:cstheme="minorHAnsi"/>
        </w:rPr>
        <w:t>Adicionalmente, en</w:t>
      </w:r>
      <w:r w:rsidR="009774B5" w:rsidRPr="009774B5">
        <w:rPr>
          <w:rFonts w:cstheme="minorHAnsi"/>
        </w:rPr>
        <w:t xml:space="preserve"> China </w:t>
      </w:r>
      <w:r w:rsidR="00177651">
        <w:rPr>
          <w:rFonts w:cstheme="minorHAnsi"/>
        </w:rPr>
        <w:t xml:space="preserve">se </w:t>
      </w:r>
      <w:r w:rsidR="009774B5" w:rsidRPr="009774B5">
        <w:rPr>
          <w:rFonts w:cstheme="minorHAnsi"/>
        </w:rPr>
        <w:t>asign</w:t>
      </w:r>
      <w:r w:rsidR="00BB1518">
        <w:rPr>
          <w:rFonts w:cstheme="minorHAnsi"/>
        </w:rPr>
        <w:t>aron</w:t>
      </w:r>
      <w:r w:rsidR="009774B5" w:rsidRPr="009774B5">
        <w:rPr>
          <w:rFonts w:cstheme="minorHAnsi"/>
        </w:rPr>
        <w:t xml:space="preserve"> 20 MHz de la banda 5</w:t>
      </w:r>
      <w:r w:rsidR="009774B5">
        <w:rPr>
          <w:rFonts w:cstheme="minorHAnsi"/>
        </w:rPr>
        <w:t>.</w:t>
      </w:r>
      <w:r w:rsidR="009774B5" w:rsidRPr="009774B5">
        <w:rPr>
          <w:rFonts w:cstheme="minorHAnsi"/>
        </w:rPr>
        <w:t>9 GHz para el despliegue de la tecnología C</w:t>
      </w:r>
      <w:r w:rsidR="009774B5" w:rsidRPr="009774B5">
        <w:rPr>
          <w:rFonts w:ascii="Cambria Math" w:hAnsi="Cambria Math" w:cs="Cambria Math"/>
        </w:rPr>
        <w:t>‐</w:t>
      </w:r>
      <w:r w:rsidR="009774B5" w:rsidRPr="009774B5">
        <w:rPr>
          <w:rFonts w:cstheme="minorHAnsi"/>
        </w:rPr>
        <w:t>V2X.</w:t>
      </w:r>
      <w:r w:rsidR="009774B5">
        <w:rPr>
          <w:rStyle w:val="Refdenotaalpie"/>
          <w:rFonts w:cstheme="minorHAnsi"/>
        </w:rPr>
        <w:footnoteReference w:id="24"/>
      </w:r>
    </w:p>
    <w:p w14:paraId="66550294" w14:textId="77777777" w:rsidR="009774B5" w:rsidRDefault="009774B5" w:rsidP="00C402CB">
      <w:pPr>
        <w:spacing w:after="0"/>
        <w:jc w:val="both"/>
        <w:rPr>
          <w:rFonts w:cstheme="minorHAnsi"/>
        </w:rPr>
      </w:pPr>
    </w:p>
    <w:p w14:paraId="6650D66F" w14:textId="77777777" w:rsidR="00EB1BDD" w:rsidRPr="00EB1BDD" w:rsidRDefault="00EB1BDD" w:rsidP="00EB1BDD">
      <w:pPr>
        <w:pStyle w:val="Ttulo3"/>
      </w:pPr>
      <w:bookmarkStart w:id="103" w:name="_Toc50407720"/>
      <w:bookmarkStart w:id="104" w:name="_Toc50408283"/>
      <w:bookmarkStart w:id="105" w:name="_Toc54623580"/>
      <w:bookmarkStart w:id="106" w:name="_Toc54624156"/>
      <w:bookmarkStart w:id="107" w:name="_Toc79501218"/>
      <w:r w:rsidRPr="00EB1BDD">
        <w:t>Recomendaciones y estándares aplicables</w:t>
      </w:r>
      <w:bookmarkEnd w:id="103"/>
      <w:bookmarkEnd w:id="104"/>
      <w:bookmarkEnd w:id="105"/>
      <w:bookmarkEnd w:id="106"/>
      <w:bookmarkEnd w:id="107"/>
    </w:p>
    <w:p w14:paraId="463F4507" w14:textId="77777777" w:rsidR="00EB1BDD" w:rsidRDefault="00EB1BDD" w:rsidP="00C402CB">
      <w:pPr>
        <w:spacing w:after="0"/>
        <w:jc w:val="both"/>
        <w:rPr>
          <w:rFonts w:cstheme="minorHAnsi"/>
        </w:rPr>
      </w:pPr>
    </w:p>
    <w:p w14:paraId="0447FC2E" w14:textId="12F83791" w:rsidR="00C402CB" w:rsidRDefault="0065620B" w:rsidP="008420E9">
      <w:pPr>
        <w:spacing w:after="0"/>
        <w:jc w:val="both"/>
        <w:rPr>
          <w:rFonts w:cstheme="minorHAnsi"/>
        </w:rPr>
      </w:pPr>
      <w:r>
        <w:rPr>
          <w:rFonts w:cstheme="minorHAnsi"/>
        </w:rPr>
        <w:t xml:space="preserve">En la literatura de orden técnico a nivel mundial existen diversas </w:t>
      </w:r>
      <w:r w:rsidR="003E51C4">
        <w:rPr>
          <w:rFonts w:cstheme="minorHAnsi"/>
        </w:rPr>
        <w:t>R</w:t>
      </w:r>
      <w:r w:rsidR="003E51C4" w:rsidRPr="003E51C4">
        <w:rPr>
          <w:rFonts w:cstheme="minorHAnsi"/>
        </w:rPr>
        <w:t xml:space="preserve">ecomendaciones e </w:t>
      </w:r>
      <w:r w:rsidRPr="003E51C4">
        <w:rPr>
          <w:rFonts w:cstheme="minorHAnsi"/>
        </w:rPr>
        <w:t xml:space="preserve">Informes </w:t>
      </w:r>
      <w:r w:rsidR="003E51C4" w:rsidRPr="003E51C4">
        <w:rPr>
          <w:rFonts w:cstheme="minorHAnsi"/>
        </w:rPr>
        <w:t xml:space="preserve">emitidos por el Sector de Radiocomunicaciones de la UIT (UIT-R), </w:t>
      </w:r>
      <w:r w:rsidR="00515B61" w:rsidRPr="00515B61">
        <w:rPr>
          <w:rFonts w:cstheme="minorHAnsi"/>
        </w:rPr>
        <w:t>así como la Normativa y las Especificaciones Técnicas emitidas por organismos internacionales</w:t>
      </w:r>
      <w:r w:rsidR="00135D1E">
        <w:rPr>
          <w:rFonts w:cstheme="minorHAnsi"/>
        </w:rPr>
        <w:t xml:space="preserve"> </w:t>
      </w:r>
      <w:r w:rsidR="003E51C4" w:rsidRPr="003E51C4">
        <w:rPr>
          <w:rFonts w:cstheme="minorHAnsi"/>
        </w:rPr>
        <w:t xml:space="preserve">relacionados </w:t>
      </w:r>
      <w:r w:rsidR="00515B61">
        <w:rPr>
          <w:rFonts w:cstheme="minorHAnsi"/>
        </w:rPr>
        <w:t>con los</w:t>
      </w:r>
      <w:r w:rsidR="003E51C4" w:rsidRPr="003E51C4">
        <w:rPr>
          <w:rFonts w:cstheme="minorHAnsi"/>
        </w:rPr>
        <w:t xml:space="preserve"> sistemas de transporte inteligente</w:t>
      </w:r>
      <w:r w:rsidR="0025572D">
        <w:rPr>
          <w:rFonts w:cstheme="minorHAnsi"/>
        </w:rPr>
        <w:t xml:space="preserve">, </w:t>
      </w:r>
      <w:r w:rsidR="00135D1E">
        <w:rPr>
          <w:rFonts w:cstheme="minorHAnsi"/>
        </w:rPr>
        <w:t>algunos de ellos incluyen e</w:t>
      </w:r>
      <w:r w:rsidR="00135D1E" w:rsidRPr="003E51C4">
        <w:rPr>
          <w:rFonts w:cstheme="minorHAnsi"/>
        </w:rPr>
        <w:t>l uso de la banda de frecuencias 5850-5925 MHz</w:t>
      </w:r>
      <w:r w:rsidR="00135D1E">
        <w:rPr>
          <w:rFonts w:cstheme="minorHAnsi"/>
        </w:rPr>
        <w:t xml:space="preserve"> para dichos sistemas</w:t>
      </w:r>
      <w:r w:rsidR="003E51C4" w:rsidRPr="003E51C4">
        <w:rPr>
          <w:rFonts w:cstheme="minorHAnsi"/>
        </w:rPr>
        <w:t>.</w:t>
      </w:r>
      <w:r>
        <w:rPr>
          <w:rFonts w:cstheme="minorHAnsi"/>
        </w:rPr>
        <w:t xml:space="preserve"> </w:t>
      </w:r>
      <w:r w:rsidR="00FE09EF">
        <w:rPr>
          <w:rFonts w:cstheme="minorHAnsi"/>
        </w:rPr>
        <w:t xml:space="preserve">En esta sección se proporciona un compendio </w:t>
      </w:r>
      <w:r w:rsidR="008420E9">
        <w:rPr>
          <w:rFonts w:cstheme="minorHAnsi"/>
        </w:rPr>
        <w:t>de documentos</w:t>
      </w:r>
      <w:r w:rsidR="003F0401">
        <w:rPr>
          <w:rFonts w:cstheme="minorHAnsi"/>
        </w:rPr>
        <w:t xml:space="preserve"> relacionados con los </w:t>
      </w:r>
      <w:r w:rsidR="00D37A79">
        <w:rPr>
          <w:rFonts w:cstheme="minorHAnsi"/>
        </w:rPr>
        <w:t>STI</w:t>
      </w:r>
      <w:r w:rsidR="00FE09EF">
        <w:rPr>
          <w:rFonts w:cstheme="minorHAnsi"/>
        </w:rPr>
        <w:t>.</w:t>
      </w:r>
      <w:r w:rsidR="00FE09EF">
        <w:rPr>
          <w:rStyle w:val="Refdenotaalpie"/>
          <w:rFonts w:cstheme="minorHAnsi"/>
        </w:rPr>
        <w:footnoteReference w:id="25"/>
      </w:r>
    </w:p>
    <w:p w14:paraId="58A233FF" w14:textId="77777777" w:rsidR="00C264CE" w:rsidRDefault="00C264CE" w:rsidP="00C402CB">
      <w:pPr>
        <w:spacing w:after="0"/>
        <w:jc w:val="both"/>
        <w:rPr>
          <w:rFonts w:cstheme="minorHAnsi"/>
        </w:rPr>
      </w:pPr>
    </w:p>
    <w:p w14:paraId="61B19BD2" w14:textId="7BA44C93" w:rsidR="00C264CE" w:rsidRPr="00337DE7" w:rsidRDefault="00C264CE" w:rsidP="00C264CE">
      <w:pPr>
        <w:pStyle w:val="Prrafodelista"/>
        <w:numPr>
          <w:ilvl w:val="0"/>
          <w:numId w:val="1"/>
        </w:numPr>
        <w:spacing w:after="0"/>
        <w:jc w:val="both"/>
        <w:rPr>
          <w:rFonts w:cstheme="minorHAnsi"/>
          <w:b/>
        </w:rPr>
      </w:pPr>
      <w:r w:rsidRPr="00337DE7">
        <w:rPr>
          <w:rFonts w:cstheme="minorHAnsi"/>
          <w:b/>
        </w:rPr>
        <w:t>Recomendación UIT-R M.1890 Objetivos y requisitos operacionales de radiocomunicaciones para sistemas de transporte inteligente avanzados</w:t>
      </w:r>
    </w:p>
    <w:p w14:paraId="75B3AD7D" w14:textId="77777777" w:rsidR="00F1173E" w:rsidRDefault="00F1173E" w:rsidP="00F1173E">
      <w:pPr>
        <w:spacing w:after="0"/>
        <w:jc w:val="both"/>
      </w:pPr>
    </w:p>
    <w:p w14:paraId="09138B53" w14:textId="30D67274" w:rsidR="00763C57" w:rsidRDefault="005B75F0">
      <w:pPr>
        <w:spacing w:after="0"/>
        <w:jc w:val="both"/>
      </w:pPr>
      <w:r>
        <w:lastRenderedPageBreak/>
        <w:t xml:space="preserve">Esta Recomendación proporciona los objetivos y requisitos operacionales de las radiocomunicaciones para los sistemas de transporte inteligente, incluidos los </w:t>
      </w:r>
      <w:r w:rsidR="00D37A79">
        <w:t>STI</w:t>
      </w:r>
      <w:r>
        <w:t xml:space="preserve"> en evolución. </w:t>
      </w:r>
      <w:r w:rsidR="00D37A79">
        <w:t>STI</w:t>
      </w:r>
      <w:r>
        <w:t xml:space="preserve"> utiliza una combinación de tecnologías como computadoras, telecomunicaciones, posicionamiento y automatización para mejorar la seguridad, administración, eficiencia, usabilidad y sustentabilidad ambiental de los sistemas de transporte terrestre.</w:t>
      </w:r>
      <w:r w:rsidR="00ED3B67">
        <w:t xml:space="preserve"> </w:t>
      </w:r>
      <w:r w:rsidR="002871AF">
        <w:t xml:space="preserve">Esta recomendación se relaciona con </w:t>
      </w:r>
      <w:r w:rsidR="00D37A79">
        <w:t>STI</w:t>
      </w:r>
      <w:r w:rsidR="002871AF">
        <w:t xml:space="preserve"> al considerar directamente detalles respecto a los requisitos en términos de las radiocomunicaciones necesarias para </w:t>
      </w:r>
      <w:r w:rsidR="00D37A79">
        <w:t>STI</w:t>
      </w:r>
      <w:r w:rsidR="002871AF">
        <w:t>.</w:t>
      </w:r>
    </w:p>
    <w:p w14:paraId="4DD4ACD1" w14:textId="77777777" w:rsidR="005B75F0" w:rsidRPr="00F1173E" w:rsidRDefault="005B75F0" w:rsidP="00F1173E">
      <w:pPr>
        <w:spacing w:after="0"/>
        <w:jc w:val="both"/>
      </w:pPr>
    </w:p>
    <w:p w14:paraId="72F6BA92" w14:textId="77777777" w:rsidR="00C264CE" w:rsidRPr="00337DE7" w:rsidRDefault="00C264CE" w:rsidP="00C264CE">
      <w:pPr>
        <w:pStyle w:val="Prrafodelista"/>
        <w:numPr>
          <w:ilvl w:val="0"/>
          <w:numId w:val="1"/>
        </w:numPr>
        <w:spacing w:after="0"/>
        <w:jc w:val="both"/>
        <w:rPr>
          <w:rFonts w:cstheme="minorHAnsi"/>
          <w:b/>
        </w:rPr>
      </w:pPr>
      <w:r w:rsidRPr="00337DE7">
        <w:rPr>
          <w:rFonts w:cstheme="minorHAnsi"/>
          <w:b/>
        </w:rPr>
        <w:t xml:space="preserve">Recomendación UIT-R M.2083 </w:t>
      </w:r>
      <w:r w:rsidR="00CE77E5" w:rsidRPr="00337DE7">
        <w:rPr>
          <w:b/>
        </w:rPr>
        <w:t>Concepción de las IMT – Marco y objetivos generales del futuro desarrollo de las IMT para 2020 y en adelante.</w:t>
      </w:r>
    </w:p>
    <w:p w14:paraId="7E605B69" w14:textId="77777777" w:rsidR="00CE77E5" w:rsidRDefault="00CE77E5" w:rsidP="00CE77E5">
      <w:pPr>
        <w:spacing w:after="0"/>
        <w:jc w:val="both"/>
      </w:pPr>
    </w:p>
    <w:p w14:paraId="519FCC65" w14:textId="73E56C51" w:rsidR="00A54929" w:rsidRDefault="00AE7627" w:rsidP="00CE77E5">
      <w:pPr>
        <w:spacing w:after="0"/>
        <w:jc w:val="both"/>
      </w:pPr>
      <w:r>
        <w:t xml:space="preserve">En esta Recomendación se define el marco y los objetivos generales del futuro desarrollo de las Telecomunicaciones Móviles Internacionales (IMT) para 2020 y en adelante, habida </w:t>
      </w:r>
      <w:r w:rsidRPr="004F1E61">
        <w:t xml:space="preserve">cuenta del papel que las IMT podrán desempeñar para atender mejor las necesidades futuras de la sociedad interconectada, tanto en los países </w:t>
      </w:r>
      <w:r w:rsidR="001E739F" w:rsidRPr="004F1E61">
        <w:t>en desarrollo como en los desarrollados.</w:t>
      </w:r>
      <w:r w:rsidR="0061220C" w:rsidRPr="004F1E61">
        <w:t xml:space="preserve"> Esta recomendación se relaciona con </w:t>
      </w:r>
      <w:r w:rsidR="00D37A79">
        <w:t>STI</w:t>
      </w:r>
      <w:r w:rsidR="0061220C" w:rsidRPr="004F1E61">
        <w:t xml:space="preserve"> debido a que</w:t>
      </w:r>
      <w:r w:rsidR="000F6653" w:rsidRPr="004F1E61">
        <w:t xml:space="preserve"> las IMT-2020 prevén diferentes casos de uso, dentro de los cuales se contemplan los </w:t>
      </w:r>
      <w:r w:rsidR="00D37A79">
        <w:t>STI</w:t>
      </w:r>
      <w:r w:rsidR="000F6653" w:rsidRPr="004F1E61">
        <w:t>.</w:t>
      </w:r>
    </w:p>
    <w:p w14:paraId="7A712544" w14:textId="77777777" w:rsidR="001E739F" w:rsidRDefault="001E739F" w:rsidP="00CE77E5">
      <w:pPr>
        <w:spacing w:after="0"/>
        <w:jc w:val="both"/>
      </w:pPr>
    </w:p>
    <w:p w14:paraId="61AF9517" w14:textId="77777777" w:rsidR="00C264CE" w:rsidRDefault="00C264CE" w:rsidP="00C264CE">
      <w:pPr>
        <w:pStyle w:val="Prrafodelista"/>
        <w:numPr>
          <w:ilvl w:val="0"/>
          <w:numId w:val="1"/>
        </w:numPr>
        <w:spacing w:after="0"/>
        <w:jc w:val="both"/>
        <w:rPr>
          <w:rFonts w:cstheme="minorHAnsi"/>
        </w:rPr>
      </w:pPr>
      <w:r w:rsidRPr="00337DE7">
        <w:rPr>
          <w:rFonts w:cstheme="minorHAnsi"/>
          <w:b/>
        </w:rPr>
        <w:t xml:space="preserve">Recomendación UIT-R M.2084 </w:t>
      </w:r>
      <w:r w:rsidR="00CE77E5" w:rsidRPr="00337DE7">
        <w:rPr>
          <w:b/>
        </w:rPr>
        <w:t>Normas relativas a la interfaz radioeléctrica de las comunicaciones bidireccionales de vehículo a vehículo y de vehículo a infraestructura para aplicaciones de sistemas de transporte inteligentes</w:t>
      </w:r>
      <w:r w:rsidR="00CE77E5">
        <w:t>.</w:t>
      </w:r>
    </w:p>
    <w:p w14:paraId="27F78912" w14:textId="77777777" w:rsidR="00836ED7" w:rsidRDefault="00836ED7" w:rsidP="00836ED7">
      <w:pPr>
        <w:spacing w:after="0"/>
        <w:jc w:val="both"/>
      </w:pPr>
    </w:p>
    <w:p w14:paraId="066F980C" w14:textId="1756C938" w:rsidR="00F33058" w:rsidRDefault="008D5E1A" w:rsidP="00836ED7">
      <w:pPr>
        <w:spacing w:after="0"/>
        <w:jc w:val="both"/>
      </w:pPr>
      <w:r>
        <w:t xml:space="preserve">En esta Recomendación se identifican las normas específicas sobre la interfaz radioeléctrica de las comunicaciones de vehículo a vehículo y de vehículo a infraestructura (las comunicaciones de vehículo a infraestructura incluyen las comunicaciones bidireccionales entre el vehículo y la infraestructura). </w:t>
      </w:r>
      <w:r w:rsidR="00836ED7">
        <w:t xml:space="preserve">Las características técnicas descritas en esta Recomendación se basan en las aplicaciones actuales de </w:t>
      </w:r>
      <w:r w:rsidR="00836ED7" w:rsidRPr="004B346A">
        <w:t>los sistemas de transporte inteligentes en el marco del servicio móvil.</w:t>
      </w:r>
      <w:r w:rsidR="004C3A87" w:rsidRPr="004B346A">
        <w:t xml:space="preserve"> </w:t>
      </w:r>
      <w:r w:rsidR="004C3A87" w:rsidRPr="004F1E61">
        <w:t xml:space="preserve">Esta recomendación se relaciona con </w:t>
      </w:r>
      <w:r w:rsidR="00D37A79">
        <w:t>STI</w:t>
      </w:r>
      <w:r w:rsidR="00B70A85" w:rsidRPr="004B346A">
        <w:t xml:space="preserve"> porque</w:t>
      </w:r>
      <w:r w:rsidR="00B70A85">
        <w:t xml:space="preserve"> se incluyen las características técnicas para aplicaciones de </w:t>
      </w:r>
      <w:r w:rsidR="00D37A79">
        <w:t>STI</w:t>
      </w:r>
      <w:r w:rsidR="004B346A">
        <w:t>, desde los términos de interfaz de radio necesaria para ello.</w:t>
      </w:r>
      <w:r w:rsidR="002E2E49">
        <w:t xml:space="preserve"> </w:t>
      </w:r>
      <w:r w:rsidR="00F33058">
        <w:t xml:space="preserve">A continuación, se indican </w:t>
      </w:r>
      <w:r w:rsidR="002E4278">
        <w:t xml:space="preserve">algunas </w:t>
      </w:r>
      <w:r w:rsidR="00F33058">
        <w:t xml:space="preserve">características técnicas generales </w:t>
      </w:r>
      <w:r w:rsidR="002E4278">
        <w:t>relacionadas con las Normas asociadas con los STI</w:t>
      </w:r>
      <w:r w:rsidR="00E7320D">
        <w:t>.</w:t>
      </w:r>
    </w:p>
    <w:p w14:paraId="76D58CEB" w14:textId="70883A40" w:rsidR="00F33058" w:rsidRDefault="00F33058" w:rsidP="00836ED7">
      <w:pPr>
        <w:spacing w:after="0"/>
        <w:jc w:val="both"/>
      </w:pPr>
    </w:p>
    <w:tbl>
      <w:tblPr>
        <w:tblStyle w:val="Tablaconcuadrcula5oscura-nfasis6"/>
        <w:tblW w:w="0" w:type="auto"/>
        <w:tblLook w:val="04A0" w:firstRow="1" w:lastRow="0" w:firstColumn="1" w:lastColumn="0" w:noHBand="0" w:noVBand="1"/>
      </w:tblPr>
      <w:tblGrid>
        <w:gridCol w:w="2547"/>
        <w:gridCol w:w="1984"/>
        <w:gridCol w:w="2127"/>
        <w:gridCol w:w="2126"/>
      </w:tblGrid>
      <w:tr w:rsidR="00F33058" w:rsidRPr="002E2E49" w14:paraId="5704F338" w14:textId="77777777" w:rsidTr="002E2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298E7A6" w14:textId="77777777" w:rsidR="00F33058" w:rsidRPr="002E2E49" w:rsidRDefault="00F33058" w:rsidP="006B6C3F">
            <w:pPr>
              <w:jc w:val="center"/>
              <w:rPr>
                <w:rFonts w:cstheme="minorHAnsi"/>
                <w:b w:val="0"/>
                <w:bCs w:val="0"/>
                <w:sz w:val="14"/>
                <w:szCs w:val="14"/>
              </w:rPr>
            </w:pPr>
            <w:r w:rsidRPr="002E2E49">
              <w:rPr>
                <w:rFonts w:cstheme="minorHAnsi"/>
                <w:sz w:val="14"/>
                <w:szCs w:val="14"/>
              </w:rPr>
              <w:t>Parámetro</w:t>
            </w:r>
          </w:p>
        </w:tc>
        <w:tc>
          <w:tcPr>
            <w:tcW w:w="1984" w:type="dxa"/>
          </w:tcPr>
          <w:p w14:paraId="0EFB89CC" w14:textId="77777777" w:rsidR="00F33058" w:rsidRPr="002E2E49" w:rsidRDefault="00F33058" w:rsidP="006B6C3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4"/>
              </w:rPr>
            </w:pPr>
            <w:r w:rsidRPr="002E2E49">
              <w:rPr>
                <w:rFonts w:cstheme="minorHAnsi"/>
                <w:sz w:val="14"/>
                <w:szCs w:val="14"/>
              </w:rPr>
              <w:t>ETSI (Europa)</w:t>
            </w:r>
          </w:p>
        </w:tc>
        <w:tc>
          <w:tcPr>
            <w:tcW w:w="2127" w:type="dxa"/>
          </w:tcPr>
          <w:p w14:paraId="62E21D51" w14:textId="77777777" w:rsidR="00F33058" w:rsidRPr="002E2E49" w:rsidRDefault="00F33058" w:rsidP="006B6C3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4"/>
              </w:rPr>
            </w:pPr>
            <w:r w:rsidRPr="002E2E49">
              <w:rPr>
                <w:rFonts w:cstheme="minorHAnsi"/>
                <w:sz w:val="14"/>
                <w:szCs w:val="14"/>
              </w:rPr>
              <w:t>IEEE (Estados Unidos)</w:t>
            </w:r>
          </w:p>
        </w:tc>
        <w:tc>
          <w:tcPr>
            <w:tcW w:w="2126" w:type="dxa"/>
          </w:tcPr>
          <w:p w14:paraId="5FCD0350" w14:textId="77777777" w:rsidR="00F33058" w:rsidRPr="002E2E49" w:rsidRDefault="00F33058" w:rsidP="006B6C3F">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4"/>
                <w:szCs w:val="14"/>
              </w:rPr>
            </w:pPr>
            <w:r w:rsidRPr="002E2E49">
              <w:rPr>
                <w:rFonts w:cstheme="minorHAnsi"/>
                <w:sz w:val="14"/>
                <w:szCs w:val="14"/>
              </w:rPr>
              <w:t>TTA (Corea del Sur)</w:t>
            </w:r>
          </w:p>
        </w:tc>
      </w:tr>
      <w:tr w:rsidR="00F33058" w:rsidRPr="002E2E49" w14:paraId="7C5E3EC4" w14:textId="77777777" w:rsidTr="002E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3F39F68" w14:textId="77777777" w:rsidR="00F33058" w:rsidRPr="002E2E49" w:rsidRDefault="00F33058" w:rsidP="006B6C3F">
            <w:pPr>
              <w:jc w:val="center"/>
              <w:rPr>
                <w:rFonts w:cstheme="minorHAnsi"/>
                <w:sz w:val="14"/>
                <w:szCs w:val="14"/>
              </w:rPr>
            </w:pPr>
            <w:r w:rsidRPr="002E2E49">
              <w:rPr>
                <w:rFonts w:cstheme="minorHAnsi"/>
                <w:sz w:val="14"/>
                <w:szCs w:val="14"/>
              </w:rPr>
              <w:t>Rango de frecuencia de operación</w:t>
            </w:r>
          </w:p>
        </w:tc>
        <w:tc>
          <w:tcPr>
            <w:tcW w:w="1984" w:type="dxa"/>
          </w:tcPr>
          <w:p w14:paraId="6437407B" w14:textId="039C76C7" w:rsidR="00F33058" w:rsidRPr="002E2E49" w:rsidRDefault="00F33058" w:rsidP="006B6C3F">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E2E49">
              <w:rPr>
                <w:rFonts w:cstheme="minorHAnsi"/>
                <w:sz w:val="14"/>
                <w:szCs w:val="14"/>
              </w:rPr>
              <w:t>5855-5925 MHz</w:t>
            </w:r>
          </w:p>
        </w:tc>
        <w:tc>
          <w:tcPr>
            <w:tcW w:w="2127" w:type="dxa"/>
          </w:tcPr>
          <w:p w14:paraId="36B19782" w14:textId="56795EF7" w:rsidR="00F33058" w:rsidRPr="002E2E49" w:rsidRDefault="00F33058" w:rsidP="006B6C3F">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E2E49">
              <w:rPr>
                <w:rFonts w:cstheme="minorHAnsi"/>
                <w:sz w:val="14"/>
                <w:szCs w:val="14"/>
              </w:rPr>
              <w:t>5850-</w:t>
            </w:r>
            <w:r w:rsidR="00EF62A2" w:rsidRPr="002E2E49">
              <w:rPr>
                <w:rFonts w:cstheme="minorHAnsi"/>
                <w:sz w:val="14"/>
                <w:szCs w:val="14"/>
              </w:rPr>
              <w:t>5</w:t>
            </w:r>
            <w:r w:rsidRPr="002E2E49">
              <w:rPr>
                <w:rFonts w:cstheme="minorHAnsi"/>
                <w:sz w:val="14"/>
                <w:szCs w:val="14"/>
              </w:rPr>
              <w:t>925 MHz</w:t>
            </w:r>
          </w:p>
        </w:tc>
        <w:tc>
          <w:tcPr>
            <w:tcW w:w="2126" w:type="dxa"/>
          </w:tcPr>
          <w:p w14:paraId="7A006637" w14:textId="2B62B8F9" w:rsidR="00F33058" w:rsidRPr="002E2E49" w:rsidRDefault="00F33058" w:rsidP="006B6C3F">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E2E49">
              <w:rPr>
                <w:rFonts w:cstheme="minorHAnsi"/>
                <w:sz w:val="14"/>
                <w:szCs w:val="14"/>
              </w:rPr>
              <w:t>5855- 5925 MHz (Sistema piloto)</w:t>
            </w:r>
          </w:p>
        </w:tc>
      </w:tr>
      <w:tr w:rsidR="00F33058" w:rsidRPr="002E2E49" w14:paraId="6E78248E" w14:textId="77777777" w:rsidTr="002E2E49">
        <w:tc>
          <w:tcPr>
            <w:cnfStyle w:val="001000000000" w:firstRow="0" w:lastRow="0" w:firstColumn="1" w:lastColumn="0" w:oddVBand="0" w:evenVBand="0" w:oddHBand="0" w:evenHBand="0" w:firstRowFirstColumn="0" w:firstRowLastColumn="0" w:lastRowFirstColumn="0" w:lastRowLastColumn="0"/>
            <w:tcW w:w="2547" w:type="dxa"/>
          </w:tcPr>
          <w:p w14:paraId="469AEFE5" w14:textId="77777777" w:rsidR="00F33058" w:rsidRPr="002E2E49" w:rsidRDefault="00F33058" w:rsidP="006B6C3F">
            <w:pPr>
              <w:jc w:val="center"/>
              <w:rPr>
                <w:rFonts w:cstheme="minorHAnsi"/>
                <w:sz w:val="14"/>
                <w:szCs w:val="14"/>
              </w:rPr>
            </w:pPr>
            <w:r w:rsidRPr="002E2E49">
              <w:rPr>
                <w:rFonts w:cstheme="minorHAnsi"/>
                <w:sz w:val="14"/>
                <w:szCs w:val="14"/>
              </w:rPr>
              <w:t>Ancho de banda de canal de RF</w:t>
            </w:r>
          </w:p>
        </w:tc>
        <w:tc>
          <w:tcPr>
            <w:tcW w:w="1984" w:type="dxa"/>
          </w:tcPr>
          <w:p w14:paraId="40F2066C" w14:textId="77777777" w:rsidR="00F33058" w:rsidRPr="002E2E49" w:rsidRDefault="00F33058" w:rsidP="006B6C3F">
            <w:pPr>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2E2E49">
              <w:rPr>
                <w:rFonts w:cstheme="minorHAnsi"/>
                <w:sz w:val="14"/>
                <w:szCs w:val="14"/>
              </w:rPr>
              <w:t>10 MHz</w:t>
            </w:r>
          </w:p>
        </w:tc>
        <w:tc>
          <w:tcPr>
            <w:tcW w:w="2127" w:type="dxa"/>
          </w:tcPr>
          <w:p w14:paraId="1FED3C19" w14:textId="77777777" w:rsidR="00F33058" w:rsidRPr="002E2E49" w:rsidRDefault="00F33058" w:rsidP="006B6C3F">
            <w:pPr>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2E2E49">
              <w:rPr>
                <w:rFonts w:cstheme="minorHAnsi"/>
                <w:sz w:val="14"/>
                <w:szCs w:val="14"/>
              </w:rPr>
              <w:t>10 o 20 MHz</w:t>
            </w:r>
          </w:p>
        </w:tc>
        <w:tc>
          <w:tcPr>
            <w:tcW w:w="2126" w:type="dxa"/>
          </w:tcPr>
          <w:p w14:paraId="5B588877" w14:textId="77777777" w:rsidR="00F33058" w:rsidRPr="002E2E49" w:rsidRDefault="00F33058" w:rsidP="006B6C3F">
            <w:pPr>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2E2E49">
              <w:rPr>
                <w:rFonts w:cstheme="minorHAnsi"/>
                <w:sz w:val="14"/>
                <w:szCs w:val="14"/>
              </w:rPr>
              <w:t>Menos de 10 MHz</w:t>
            </w:r>
          </w:p>
        </w:tc>
      </w:tr>
      <w:tr w:rsidR="002E4278" w:rsidRPr="002E2E49" w14:paraId="11B1F0AC" w14:textId="77777777" w:rsidTr="002E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FE566E" w14:textId="39F37D44" w:rsidR="002E4278" w:rsidRPr="002E2E49" w:rsidRDefault="002E4278" w:rsidP="006B6C3F">
            <w:pPr>
              <w:jc w:val="center"/>
              <w:rPr>
                <w:rFonts w:cstheme="minorHAnsi"/>
                <w:sz w:val="14"/>
                <w:szCs w:val="14"/>
              </w:rPr>
            </w:pPr>
            <w:r w:rsidRPr="002E2E49">
              <w:rPr>
                <w:rFonts w:cstheme="minorHAnsi"/>
                <w:sz w:val="14"/>
                <w:szCs w:val="14"/>
              </w:rPr>
              <w:t>Potencia de transmisión / PIRE RF</w:t>
            </w:r>
          </w:p>
        </w:tc>
        <w:tc>
          <w:tcPr>
            <w:tcW w:w="1984" w:type="dxa"/>
          </w:tcPr>
          <w:p w14:paraId="1E467FDF" w14:textId="2EBF48F7" w:rsidR="002E4278" w:rsidRPr="002E2E49" w:rsidRDefault="002E4278" w:rsidP="006B6C3F">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E2E49">
              <w:rPr>
                <w:rFonts w:cstheme="minorHAnsi"/>
                <w:sz w:val="14"/>
                <w:szCs w:val="14"/>
              </w:rPr>
              <w:t>Máx. 33 dBm (PIRE)</w:t>
            </w:r>
          </w:p>
        </w:tc>
        <w:tc>
          <w:tcPr>
            <w:tcW w:w="2127" w:type="dxa"/>
          </w:tcPr>
          <w:p w14:paraId="11A4538C" w14:textId="4285338D" w:rsidR="002E4278" w:rsidRPr="002E2E49" w:rsidRDefault="002E4278" w:rsidP="00F46492">
            <w:pPr>
              <w:pStyle w:val="Prrafodelista"/>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E2E49">
              <w:rPr>
                <w:rFonts w:cstheme="minorHAnsi"/>
                <w:sz w:val="14"/>
                <w:szCs w:val="14"/>
              </w:rPr>
              <w:t>-</w:t>
            </w:r>
          </w:p>
        </w:tc>
        <w:tc>
          <w:tcPr>
            <w:tcW w:w="2126" w:type="dxa"/>
          </w:tcPr>
          <w:p w14:paraId="6825EAEA" w14:textId="31319F4A" w:rsidR="002E4278" w:rsidRPr="002E2E49" w:rsidRDefault="002E4278" w:rsidP="006B6C3F">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E2E49">
              <w:rPr>
                <w:rFonts w:cstheme="minorHAnsi"/>
                <w:sz w:val="14"/>
                <w:szCs w:val="14"/>
              </w:rPr>
              <w:t>23 dBm</w:t>
            </w:r>
          </w:p>
        </w:tc>
      </w:tr>
      <w:tr w:rsidR="002E4278" w:rsidRPr="002E2E49" w14:paraId="2D7D566D" w14:textId="77777777" w:rsidTr="002E2E49">
        <w:tc>
          <w:tcPr>
            <w:cnfStyle w:val="001000000000" w:firstRow="0" w:lastRow="0" w:firstColumn="1" w:lastColumn="0" w:oddVBand="0" w:evenVBand="0" w:oddHBand="0" w:evenHBand="0" w:firstRowFirstColumn="0" w:firstRowLastColumn="0" w:lastRowFirstColumn="0" w:lastRowLastColumn="0"/>
            <w:tcW w:w="2547" w:type="dxa"/>
          </w:tcPr>
          <w:p w14:paraId="3D861FD0" w14:textId="38B38450" w:rsidR="002E4278" w:rsidRPr="002E2E49" w:rsidRDefault="002E4278" w:rsidP="006B6C3F">
            <w:pPr>
              <w:jc w:val="center"/>
              <w:rPr>
                <w:rFonts w:cstheme="minorHAnsi"/>
                <w:sz w:val="14"/>
                <w:szCs w:val="14"/>
              </w:rPr>
            </w:pPr>
            <w:r w:rsidRPr="002E2E49">
              <w:rPr>
                <w:rFonts w:cstheme="minorHAnsi"/>
                <w:sz w:val="14"/>
                <w:szCs w:val="14"/>
              </w:rPr>
              <w:t>Modulación</w:t>
            </w:r>
          </w:p>
        </w:tc>
        <w:tc>
          <w:tcPr>
            <w:tcW w:w="1984" w:type="dxa"/>
          </w:tcPr>
          <w:p w14:paraId="5D7F518B" w14:textId="0DC898B2" w:rsidR="002E4278" w:rsidRPr="002E2E49" w:rsidRDefault="00F46492" w:rsidP="002E4278">
            <w:pPr>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2E2E49">
              <w:rPr>
                <w:sz w:val="14"/>
                <w:szCs w:val="14"/>
              </w:rPr>
              <w:t>BPSK OFDM, QPSK OFDM, 16QAM OFDM, 64QAM OFDM</w:t>
            </w:r>
          </w:p>
        </w:tc>
        <w:tc>
          <w:tcPr>
            <w:tcW w:w="2127" w:type="dxa"/>
          </w:tcPr>
          <w:p w14:paraId="7868194F" w14:textId="0E60FA5E" w:rsidR="002E4278" w:rsidRPr="002E2E49" w:rsidRDefault="00F46492" w:rsidP="00F46492">
            <w:pPr>
              <w:pStyle w:val="Prrafodelista"/>
              <w:ind w:left="29"/>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2E2E49">
              <w:rPr>
                <w:sz w:val="14"/>
                <w:szCs w:val="14"/>
              </w:rPr>
              <w:t>64-QAM-OFDM 16-QAM-OFDM QPSK-OFDM BPSK-OFDM</w:t>
            </w:r>
          </w:p>
        </w:tc>
        <w:tc>
          <w:tcPr>
            <w:tcW w:w="2126" w:type="dxa"/>
          </w:tcPr>
          <w:p w14:paraId="4C9FE768" w14:textId="43B4CFBF" w:rsidR="002E4278" w:rsidRPr="002E2E49" w:rsidRDefault="00F46492" w:rsidP="002E4278">
            <w:pPr>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2E2E49">
              <w:rPr>
                <w:sz w:val="14"/>
                <w:szCs w:val="14"/>
              </w:rPr>
              <w:t xml:space="preserve">BPSK OFDM, QPSK OFDM, 16QAM OFDM, </w:t>
            </w:r>
            <w:r w:rsidR="002E4278" w:rsidRPr="002E2E49">
              <w:rPr>
                <w:rFonts w:cstheme="minorHAnsi"/>
                <w:sz w:val="14"/>
                <w:szCs w:val="14"/>
              </w:rPr>
              <w:t>Opción: Q</w:t>
            </w:r>
            <w:r w:rsidRPr="002E2E49">
              <w:rPr>
                <w:rFonts w:cstheme="minorHAnsi"/>
                <w:sz w:val="14"/>
                <w:szCs w:val="14"/>
              </w:rPr>
              <w:t>AM</w:t>
            </w:r>
            <w:r w:rsidR="002E4278" w:rsidRPr="002E2E49">
              <w:rPr>
                <w:rFonts w:cstheme="minorHAnsi"/>
                <w:sz w:val="14"/>
                <w:szCs w:val="14"/>
              </w:rPr>
              <w:t>-64</w:t>
            </w:r>
          </w:p>
        </w:tc>
      </w:tr>
      <w:tr w:rsidR="002E4278" w:rsidRPr="00A77086" w14:paraId="69E0F597" w14:textId="77777777" w:rsidTr="002E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26AABE8" w14:textId="19099C9C" w:rsidR="002E4278" w:rsidRPr="002E2E49" w:rsidRDefault="00F46492" w:rsidP="006B6C3F">
            <w:pPr>
              <w:jc w:val="center"/>
              <w:rPr>
                <w:rFonts w:cstheme="minorHAnsi"/>
                <w:sz w:val="14"/>
                <w:szCs w:val="14"/>
              </w:rPr>
            </w:pPr>
            <w:r w:rsidRPr="002E2E49">
              <w:rPr>
                <w:rFonts w:cstheme="minorHAnsi"/>
                <w:sz w:val="14"/>
                <w:szCs w:val="14"/>
              </w:rPr>
              <w:t>Velocidades de transmisión</w:t>
            </w:r>
          </w:p>
        </w:tc>
        <w:tc>
          <w:tcPr>
            <w:tcW w:w="1984" w:type="dxa"/>
          </w:tcPr>
          <w:p w14:paraId="2B729F90" w14:textId="27C049F0" w:rsidR="00F46492"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3 Mbit/s,</w:t>
            </w:r>
            <w:r w:rsidR="002E2E49">
              <w:rPr>
                <w:rFonts w:cstheme="minorHAnsi"/>
                <w:sz w:val="14"/>
                <w:szCs w:val="14"/>
                <w:lang w:val="en-US"/>
              </w:rPr>
              <w:t xml:space="preserve"> </w:t>
            </w:r>
            <w:r w:rsidRPr="002E2E49">
              <w:rPr>
                <w:rFonts w:cstheme="minorHAnsi"/>
                <w:sz w:val="14"/>
                <w:szCs w:val="14"/>
                <w:lang w:val="en-US"/>
              </w:rPr>
              <w:t>4,5 Mbit/s,</w:t>
            </w:r>
            <w:r w:rsidR="002E2E49">
              <w:rPr>
                <w:rFonts w:cstheme="minorHAnsi"/>
                <w:sz w:val="14"/>
                <w:szCs w:val="14"/>
                <w:lang w:val="en-US"/>
              </w:rPr>
              <w:t xml:space="preserve"> </w:t>
            </w:r>
          </w:p>
          <w:p w14:paraId="6E02F117" w14:textId="60F07958" w:rsidR="00F46492"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6 Mbit/s,</w:t>
            </w:r>
            <w:r w:rsidR="002E2E49">
              <w:rPr>
                <w:rFonts w:cstheme="minorHAnsi"/>
                <w:sz w:val="14"/>
                <w:szCs w:val="14"/>
                <w:lang w:val="en-US"/>
              </w:rPr>
              <w:t xml:space="preserve"> </w:t>
            </w:r>
            <w:r w:rsidRPr="002E2E49">
              <w:rPr>
                <w:rFonts w:cstheme="minorHAnsi"/>
                <w:sz w:val="14"/>
                <w:szCs w:val="14"/>
                <w:lang w:val="en-US"/>
              </w:rPr>
              <w:t>9 Mbit/s,</w:t>
            </w:r>
          </w:p>
          <w:p w14:paraId="3B16105A" w14:textId="3FC1A9DC" w:rsidR="00F46492"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12 Mbit/s,</w:t>
            </w:r>
            <w:r w:rsidR="002E2E49">
              <w:rPr>
                <w:rFonts w:cstheme="minorHAnsi"/>
                <w:sz w:val="14"/>
                <w:szCs w:val="14"/>
                <w:lang w:val="en-US"/>
              </w:rPr>
              <w:t xml:space="preserve"> </w:t>
            </w:r>
            <w:r w:rsidRPr="002E2E49">
              <w:rPr>
                <w:rFonts w:cstheme="minorHAnsi"/>
                <w:sz w:val="14"/>
                <w:szCs w:val="14"/>
                <w:lang w:val="en-US"/>
              </w:rPr>
              <w:t>18 Mbit/s,</w:t>
            </w:r>
          </w:p>
          <w:p w14:paraId="0151D0AE" w14:textId="68C9FB73" w:rsidR="002E4278" w:rsidRPr="002E2E49" w:rsidRDefault="00F46492" w:rsidP="002E2E49">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24 Mbit/s,</w:t>
            </w:r>
            <w:r w:rsidR="002E2E49" w:rsidRPr="002E2E49">
              <w:rPr>
                <w:rFonts w:cstheme="minorHAnsi"/>
                <w:sz w:val="14"/>
                <w:szCs w:val="14"/>
                <w:lang w:val="en-US"/>
              </w:rPr>
              <w:t xml:space="preserve"> </w:t>
            </w:r>
            <w:r w:rsidRPr="002E2E49">
              <w:rPr>
                <w:rFonts w:cstheme="minorHAnsi"/>
                <w:sz w:val="14"/>
                <w:szCs w:val="14"/>
                <w:lang w:val="en-US"/>
              </w:rPr>
              <w:t>27 Mbit/s</w:t>
            </w:r>
          </w:p>
        </w:tc>
        <w:tc>
          <w:tcPr>
            <w:tcW w:w="2127" w:type="dxa"/>
          </w:tcPr>
          <w:p w14:paraId="3E34491D" w14:textId="77777777" w:rsidR="00F46492"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3, 4,5, 6, 9, 12, 18,</w:t>
            </w:r>
          </w:p>
          <w:p w14:paraId="3027F089" w14:textId="19641BF6" w:rsidR="00F46492"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24 y 27 Mbit/s (10 MHz)</w:t>
            </w:r>
          </w:p>
          <w:p w14:paraId="0743845A" w14:textId="77777777" w:rsidR="00F46492"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6, 9, 12, 18, 24, 36,</w:t>
            </w:r>
          </w:p>
          <w:p w14:paraId="3ABF5E2E" w14:textId="3A6C0113" w:rsidR="002E4278"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48 y 54 Mbit/s (20 MHz)</w:t>
            </w:r>
          </w:p>
        </w:tc>
        <w:tc>
          <w:tcPr>
            <w:tcW w:w="2126" w:type="dxa"/>
          </w:tcPr>
          <w:p w14:paraId="16D0BFCE" w14:textId="77777777" w:rsidR="00F46492"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3, 4,5, 6, 9, 12,</w:t>
            </w:r>
          </w:p>
          <w:p w14:paraId="615B0917" w14:textId="77777777" w:rsidR="00F46492"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18 Mbit/s,</w:t>
            </w:r>
          </w:p>
          <w:p w14:paraId="7C78AD97" w14:textId="77777777" w:rsidR="00F46492"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proofErr w:type="spellStart"/>
            <w:r w:rsidRPr="002E2E49">
              <w:rPr>
                <w:rFonts w:cstheme="minorHAnsi"/>
                <w:sz w:val="14"/>
                <w:szCs w:val="14"/>
                <w:lang w:val="en-US"/>
              </w:rPr>
              <w:t>Opción</w:t>
            </w:r>
            <w:proofErr w:type="spellEnd"/>
            <w:r w:rsidRPr="002E2E49">
              <w:rPr>
                <w:rFonts w:cstheme="minorHAnsi"/>
                <w:sz w:val="14"/>
                <w:szCs w:val="14"/>
                <w:lang w:val="en-US"/>
              </w:rPr>
              <w:t>: 24,</w:t>
            </w:r>
          </w:p>
          <w:p w14:paraId="5A8CE2AD" w14:textId="3CA86BD2" w:rsidR="002E4278" w:rsidRPr="002E2E49" w:rsidRDefault="00F46492" w:rsidP="00F46492">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lang w:val="en-US"/>
              </w:rPr>
            </w:pPr>
            <w:r w:rsidRPr="002E2E49">
              <w:rPr>
                <w:rFonts w:cstheme="minorHAnsi"/>
                <w:sz w:val="14"/>
                <w:szCs w:val="14"/>
                <w:lang w:val="en-US"/>
              </w:rPr>
              <w:t>27 Mbit/s</w:t>
            </w:r>
          </w:p>
        </w:tc>
      </w:tr>
      <w:tr w:rsidR="00F46492" w:rsidRPr="002E2E49" w14:paraId="60394AAE" w14:textId="77777777" w:rsidTr="002E2E49">
        <w:tc>
          <w:tcPr>
            <w:cnfStyle w:val="001000000000" w:firstRow="0" w:lastRow="0" w:firstColumn="1" w:lastColumn="0" w:oddVBand="0" w:evenVBand="0" w:oddHBand="0" w:evenHBand="0" w:firstRowFirstColumn="0" w:firstRowLastColumn="0" w:lastRowFirstColumn="0" w:lastRowLastColumn="0"/>
            <w:tcW w:w="2547" w:type="dxa"/>
          </w:tcPr>
          <w:p w14:paraId="2F23536C" w14:textId="774097B3" w:rsidR="00F46492" w:rsidRPr="002E2E49" w:rsidRDefault="00F46492" w:rsidP="006B6C3F">
            <w:pPr>
              <w:jc w:val="center"/>
              <w:rPr>
                <w:rFonts w:cstheme="minorHAnsi"/>
                <w:sz w:val="14"/>
                <w:szCs w:val="14"/>
              </w:rPr>
            </w:pPr>
            <w:r w:rsidRPr="002E2E49">
              <w:rPr>
                <w:rFonts w:cstheme="minorHAnsi"/>
                <w:sz w:val="14"/>
                <w:szCs w:val="14"/>
              </w:rPr>
              <w:t>Control de acceso al medio</w:t>
            </w:r>
          </w:p>
        </w:tc>
        <w:tc>
          <w:tcPr>
            <w:tcW w:w="1984" w:type="dxa"/>
          </w:tcPr>
          <w:p w14:paraId="794420DC" w14:textId="51F6DB45" w:rsidR="00F46492" w:rsidRPr="002E2E49" w:rsidRDefault="00F46492" w:rsidP="006B6C3F">
            <w:pPr>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2E2E49">
              <w:rPr>
                <w:rFonts w:cstheme="minorHAnsi"/>
                <w:sz w:val="14"/>
                <w:szCs w:val="14"/>
              </w:rPr>
              <w:t>CSMA/CA</w:t>
            </w:r>
          </w:p>
        </w:tc>
        <w:tc>
          <w:tcPr>
            <w:tcW w:w="2127" w:type="dxa"/>
          </w:tcPr>
          <w:p w14:paraId="45AD94D4" w14:textId="24D4B7C4" w:rsidR="00F46492" w:rsidRPr="002E2E49" w:rsidRDefault="00F46492" w:rsidP="006B6C3F">
            <w:pPr>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2E2E49">
              <w:rPr>
                <w:rFonts w:cstheme="minorHAnsi"/>
                <w:sz w:val="14"/>
                <w:szCs w:val="14"/>
              </w:rPr>
              <w:t>CSMA/CA</w:t>
            </w:r>
          </w:p>
        </w:tc>
        <w:tc>
          <w:tcPr>
            <w:tcW w:w="2126" w:type="dxa"/>
          </w:tcPr>
          <w:p w14:paraId="2F335B10" w14:textId="32C8289F" w:rsidR="00F46492" w:rsidRPr="002E2E49" w:rsidRDefault="00F46492" w:rsidP="002E2E49">
            <w:pPr>
              <w:jc w:val="center"/>
              <w:cnfStyle w:val="000000000000" w:firstRow="0" w:lastRow="0" w:firstColumn="0" w:lastColumn="0" w:oddVBand="0" w:evenVBand="0" w:oddHBand="0" w:evenHBand="0" w:firstRowFirstColumn="0" w:firstRowLastColumn="0" w:lastRowFirstColumn="0" w:lastRowLastColumn="0"/>
              <w:rPr>
                <w:rFonts w:cstheme="minorHAnsi"/>
                <w:sz w:val="14"/>
                <w:szCs w:val="14"/>
                <w:lang w:val="en-US"/>
              </w:rPr>
            </w:pPr>
            <w:r w:rsidRPr="002E2E49">
              <w:rPr>
                <w:rFonts w:cstheme="minorHAnsi"/>
                <w:sz w:val="14"/>
                <w:szCs w:val="14"/>
                <w:lang w:val="en-US"/>
              </w:rPr>
              <w:t>CSMA/CA,</w:t>
            </w:r>
            <w:r w:rsidR="002E2E49">
              <w:rPr>
                <w:rFonts w:cstheme="minorHAnsi"/>
                <w:sz w:val="14"/>
                <w:szCs w:val="14"/>
                <w:lang w:val="en-US"/>
              </w:rPr>
              <w:t xml:space="preserve"> </w:t>
            </w:r>
            <w:proofErr w:type="spellStart"/>
            <w:r w:rsidRPr="002E2E49">
              <w:rPr>
                <w:rFonts w:cstheme="minorHAnsi"/>
                <w:sz w:val="14"/>
                <w:szCs w:val="14"/>
                <w:lang w:val="en-US"/>
              </w:rPr>
              <w:t>Opción</w:t>
            </w:r>
            <w:proofErr w:type="spellEnd"/>
            <w:r w:rsidRPr="002E2E49">
              <w:rPr>
                <w:rFonts w:cstheme="minorHAnsi"/>
                <w:sz w:val="14"/>
                <w:szCs w:val="14"/>
                <w:lang w:val="en-US"/>
              </w:rPr>
              <w:t>: Time Slot</w:t>
            </w:r>
            <w:r w:rsidR="002E2E49">
              <w:rPr>
                <w:rFonts w:cstheme="minorHAnsi"/>
                <w:sz w:val="14"/>
                <w:szCs w:val="14"/>
                <w:lang w:val="en-US"/>
              </w:rPr>
              <w:t xml:space="preserve"> </w:t>
            </w:r>
            <w:r w:rsidRPr="002E2E49">
              <w:rPr>
                <w:rFonts w:cstheme="minorHAnsi"/>
                <w:sz w:val="14"/>
                <w:szCs w:val="14"/>
                <w:lang w:val="en-US"/>
              </w:rPr>
              <w:t>based CSMA/CA</w:t>
            </w:r>
          </w:p>
        </w:tc>
      </w:tr>
      <w:tr w:rsidR="00F46492" w:rsidRPr="002E2E49" w14:paraId="71597D9F" w14:textId="77777777" w:rsidTr="002E2E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EDF0626" w14:textId="3F5CD033" w:rsidR="00F46492" w:rsidRPr="002E2E49" w:rsidRDefault="00F46492" w:rsidP="006B6C3F">
            <w:pPr>
              <w:jc w:val="center"/>
              <w:rPr>
                <w:rFonts w:cstheme="minorHAnsi"/>
                <w:sz w:val="14"/>
                <w:szCs w:val="14"/>
              </w:rPr>
            </w:pPr>
            <w:r w:rsidRPr="002E2E49">
              <w:rPr>
                <w:rFonts w:cstheme="minorHAnsi"/>
                <w:sz w:val="14"/>
                <w:szCs w:val="14"/>
              </w:rPr>
              <w:lastRenderedPageBreak/>
              <w:t>Método Dúplex</w:t>
            </w:r>
          </w:p>
        </w:tc>
        <w:tc>
          <w:tcPr>
            <w:tcW w:w="1984" w:type="dxa"/>
          </w:tcPr>
          <w:p w14:paraId="6CFB98AA" w14:textId="14FB3F25" w:rsidR="00F46492" w:rsidRPr="002E2E49" w:rsidRDefault="00F46492" w:rsidP="006B6C3F">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E2E49">
              <w:rPr>
                <w:rFonts w:cstheme="minorHAnsi"/>
                <w:sz w:val="14"/>
                <w:szCs w:val="14"/>
              </w:rPr>
              <w:t>TDD</w:t>
            </w:r>
          </w:p>
        </w:tc>
        <w:tc>
          <w:tcPr>
            <w:tcW w:w="2127" w:type="dxa"/>
          </w:tcPr>
          <w:p w14:paraId="0B1C9D8C" w14:textId="6ED6BDF6" w:rsidR="00F46492" w:rsidRPr="002E2E49" w:rsidRDefault="00F46492" w:rsidP="006B6C3F">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E2E49">
              <w:rPr>
                <w:rFonts w:cstheme="minorHAnsi"/>
                <w:sz w:val="14"/>
                <w:szCs w:val="14"/>
              </w:rPr>
              <w:t>TDD</w:t>
            </w:r>
          </w:p>
        </w:tc>
        <w:tc>
          <w:tcPr>
            <w:tcW w:w="2126" w:type="dxa"/>
          </w:tcPr>
          <w:p w14:paraId="63D4AF64" w14:textId="412101E8" w:rsidR="00F46492" w:rsidRPr="002E2E49" w:rsidRDefault="00F46492" w:rsidP="006B6C3F">
            <w:pPr>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2E2E49">
              <w:rPr>
                <w:rFonts w:cstheme="minorHAnsi"/>
                <w:sz w:val="14"/>
                <w:szCs w:val="14"/>
              </w:rPr>
              <w:t>TDD</w:t>
            </w:r>
          </w:p>
        </w:tc>
      </w:tr>
    </w:tbl>
    <w:p w14:paraId="121F47EF" w14:textId="15C75F43" w:rsidR="00F33058" w:rsidRPr="002E2E49" w:rsidRDefault="00F33058" w:rsidP="002E2E49">
      <w:pPr>
        <w:spacing w:after="0" w:line="240" w:lineRule="auto"/>
        <w:ind w:right="136"/>
        <w:jc w:val="center"/>
        <w:rPr>
          <w:i/>
          <w:iCs/>
          <w:color w:val="44546A" w:themeColor="text2"/>
          <w:sz w:val="18"/>
          <w:szCs w:val="18"/>
        </w:rPr>
      </w:pPr>
      <w:r w:rsidRPr="002E2E49">
        <w:rPr>
          <w:i/>
          <w:iCs/>
          <w:color w:val="44546A" w:themeColor="text2"/>
          <w:sz w:val="18"/>
          <w:szCs w:val="18"/>
        </w:rPr>
        <w:t xml:space="preserve">Tabla </w:t>
      </w:r>
      <w:r w:rsidR="002E2E49" w:rsidRPr="002E2E49">
        <w:rPr>
          <w:i/>
          <w:iCs/>
          <w:color w:val="44546A" w:themeColor="text2"/>
          <w:sz w:val="18"/>
          <w:szCs w:val="18"/>
        </w:rPr>
        <w:t>2</w:t>
      </w:r>
      <w:r w:rsidRPr="002E2E49">
        <w:rPr>
          <w:i/>
          <w:iCs/>
          <w:color w:val="44546A" w:themeColor="text2"/>
          <w:sz w:val="18"/>
          <w:szCs w:val="18"/>
        </w:rPr>
        <w:t>. Características técnicas generales.</w:t>
      </w:r>
    </w:p>
    <w:p w14:paraId="13571276" w14:textId="77777777" w:rsidR="00836ED7" w:rsidRPr="00836ED7" w:rsidRDefault="00836ED7" w:rsidP="00836ED7">
      <w:pPr>
        <w:spacing w:after="0"/>
        <w:jc w:val="both"/>
        <w:rPr>
          <w:rFonts w:cstheme="minorHAnsi"/>
        </w:rPr>
      </w:pPr>
    </w:p>
    <w:p w14:paraId="0E6BF902" w14:textId="77777777" w:rsidR="00C264CE" w:rsidRDefault="00C264CE" w:rsidP="00C264CE">
      <w:pPr>
        <w:pStyle w:val="Prrafodelista"/>
        <w:numPr>
          <w:ilvl w:val="0"/>
          <w:numId w:val="1"/>
        </w:numPr>
        <w:spacing w:after="0"/>
        <w:jc w:val="both"/>
        <w:rPr>
          <w:rFonts w:cstheme="minorHAnsi"/>
          <w:b/>
        </w:rPr>
      </w:pPr>
      <w:r w:rsidRPr="004F1E61">
        <w:rPr>
          <w:rFonts w:cstheme="minorHAnsi"/>
          <w:b/>
        </w:rPr>
        <w:t xml:space="preserve">Recomendación UIT-R M.2121 Armonización de </w:t>
      </w:r>
      <w:r w:rsidR="00FA2C12" w:rsidRPr="004F1E61">
        <w:rPr>
          <w:rFonts w:cstheme="minorHAnsi"/>
          <w:b/>
        </w:rPr>
        <w:t xml:space="preserve">las </w:t>
      </w:r>
      <w:r w:rsidRPr="004F1E61">
        <w:rPr>
          <w:rFonts w:cstheme="minorHAnsi"/>
          <w:b/>
        </w:rPr>
        <w:t>bandas de frecuencia</w:t>
      </w:r>
      <w:r w:rsidR="00FA2C12" w:rsidRPr="004F1E61">
        <w:rPr>
          <w:rFonts w:cstheme="minorHAnsi"/>
          <w:b/>
        </w:rPr>
        <w:t>s</w:t>
      </w:r>
      <w:r w:rsidRPr="004F1E61">
        <w:rPr>
          <w:rFonts w:cstheme="minorHAnsi"/>
          <w:b/>
        </w:rPr>
        <w:t xml:space="preserve"> para </w:t>
      </w:r>
      <w:r w:rsidR="00FA2C12" w:rsidRPr="004F1E61">
        <w:rPr>
          <w:rFonts w:cstheme="minorHAnsi"/>
          <w:b/>
        </w:rPr>
        <w:t xml:space="preserve">los </w:t>
      </w:r>
      <w:r w:rsidRPr="004F1E61">
        <w:rPr>
          <w:rFonts w:cstheme="minorHAnsi"/>
          <w:b/>
        </w:rPr>
        <w:t>sistemas de transporte inteligentes en el servicio móvil</w:t>
      </w:r>
    </w:p>
    <w:p w14:paraId="5F3C87C8" w14:textId="77777777" w:rsidR="004B346A" w:rsidRPr="004F1E61" w:rsidRDefault="004B346A" w:rsidP="004F1E61">
      <w:pPr>
        <w:pStyle w:val="Prrafodelista"/>
        <w:spacing w:after="0"/>
        <w:jc w:val="both"/>
        <w:rPr>
          <w:rFonts w:cstheme="minorHAnsi"/>
          <w:b/>
        </w:rPr>
      </w:pPr>
    </w:p>
    <w:p w14:paraId="3031FD7E" w14:textId="02C0E707" w:rsidR="00F23DC2" w:rsidRDefault="00845C4C" w:rsidP="00F23DC2">
      <w:pPr>
        <w:spacing w:after="0"/>
        <w:jc w:val="both"/>
      </w:pPr>
      <w:r>
        <w:t>Esta Recomendación proporciona orientaciones sobre las bandas de frecuencias armonizadas que deben utilizar sistemas de transporte inteligentes en relación con el intercambio de información para mejorar la gestión del tráfico y ayudar a la conducción segura. En la presente Recomendación</w:t>
      </w:r>
      <w:r w:rsidR="00363787">
        <w:t>,</w:t>
      </w:r>
      <w:r>
        <w:t xml:space="preserve"> se alienta a las administraciones a emplear bandas de frecuencias armonizadas en todas las Regiones del UIT-R para dichas </w:t>
      </w:r>
      <w:r w:rsidRPr="00E910FA">
        <w:t xml:space="preserve">aplicaciones. </w:t>
      </w:r>
      <w:r w:rsidR="00795B85" w:rsidRPr="00E910FA">
        <w:t xml:space="preserve">Esta recomendación se relaciona con </w:t>
      </w:r>
      <w:r w:rsidR="00D37A79">
        <w:t>STI</w:t>
      </w:r>
      <w:r w:rsidR="00795B85" w:rsidRPr="00E910FA">
        <w:t xml:space="preserve"> </w:t>
      </w:r>
      <w:r w:rsidR="00251753" w:rsidRPr="000E73BA">
        <w:t xml:space="preserve">al ahondar en </w:t>
      </w:r>
      <w:r w:rsidR="0002457E" w:rsidRPr="000E73BA">
        <w:t xml:space="preserve">la gestión ordenada para una correcta operación de los STI en el contexto </w:t>
      </w:r>
      <w:r w:rsidR="0002457E" w:rsidRPr="00A951DA">
        <w:t>del servicio m</w:t>
      </w:r>
      <w:r w:rsidR="0002457E" w:rsidRPr="005939DC">
        <w:t>óvil.</w:t>
      </w:r>
    </w:p>
    <w:p w14:paraId="08D68B97" w14:textId="77777777" w:rsidR="00F23DC2" w:rsidRPr="00F23DC2" w:rsidRDefault="00F23DC2" w:rsidP="00F23DC2">
      <w:pPr>
        <w:spacing w:after="0"/>
        <w:jc w:val="both"/>
        <w:rPr>
          <w:rFonts w:cstheme="minorHAnsi"/>
        </w:rPr>
      </w:pPr>
    </w:p>
    <w:p w14:paraId="29B5D7E7" w14:textId="3166EC49" w:rsidR="00C264CE" w:rsidRPr="004F1E61" w:rsidRDefault="00C264CE" w:rsidP="00C264CE">
      <w:pPr>
        <w:pStyle w:val="Prrafodelista"/>
        <w:numPr>
          <w:ilvl w:val="0"/>
          <w:numId w:val="1"/>
        </w:numPr>
        <w:spacing w:after="0"/>
        <w:jc w:val="both"/>
        <w:rPr>
          <w:rFonts w:cstheme="minorHAnsi"/>
          <w:b/>
        </w:rPr>
      </w:pPr>
      <w:r w:rsidRPr="004F1E61">
        <w:rPr>
          <w:rFonts w:cstheme="minorHAnsi"/>
          <w:b/>
        </w:rPr>
        <w:t>Informe UIT-R M.2228 Radiocomunicaciones de sistemas de transporte inteligentes avanzados (</w:t>
      </w:r>
      <w:r w:rsidR="00D37A79">
        <w:rPr>
          <w:rFonts w:cstheme="minorHAnsi"/>
          <w:b/>
        </w:rPr>
        <w:t>STI</w:t>
      </w:r>
      <w:r w:rsidRPr="004F1E61">
        <w:rPr>
          <w:rFonts w:cstheme="minorHAnsi"/>
          <w:b/>
        </w:rPr>
        <w:t>)</w:t>
      </w:r>
    </w:p>
    <w:p w14:paraId="40288DAA" w14:textId="77777777" w:rsidR="00EF1762" w:rsidRDefault="00EF1762" w:rsidP="004F1E61">
      <w:pPr>
        <w:pStyle w:val="Prrafodelista"/>
        <w:spacing w:after="0"/>
        <w:jc w:val="both"/>
        <w:rPr>
          <w:rFonts w:cstheme="minorHAnsi"/>
        </w:rPr>
      </w:pPr>
    </w:p>
    <w:p w14:paraId="6ECF76F1" w14:textId="3FA1E7EE" w:rsidR="00B918B4" w:rsidRDefault="00B918B4">
      <w:pPr>
        <w:spacing w:after="0"/>
        <w:jc w:val="both"/>
      </w:pPr>
      <w:r>
        <w:t xml:space="preserve">Los sistemas de transporte inteligente se aplican a servicios como el suministro de información sobre el tráfico por carretera y el cobro de peajes electrónicos, y se implementan en muchos países mediante el </w:t>
      </w:r>
      <w:r w:rsidRPr="000E73BA">
        <w:t xml:space="preserve">uso de comunicaciones dedicadas de corto alcance (DSRC) o sistemas de telefonía celular. </w:t>
      </w:r>
      <w:r w:rsidR="00D37A79">
        <w:t>STI</w:t>
      </w:r>
      <w:r w:rsidRPr="000E73BA">
        <w:t xml:space="preserve"> se ha convertido ahora en una importante infraestructura social. Est</w:t>
      </w:r>
      <w:r w:rsidRPr="00483738">
        <w:t xml:space="preserve">e informe se relaciona con </w:t>
      </w:r>
      <w:r w:rsidR="00D37A79">
        <w:t>STI</w:t>
      </w:r>
      <w:r w:rsidR="006B4063" w:rsidRPr="00483738">
        <w:t xml:space="preserve"> </w:t>
      </w:r>
      <w:r w:rsidR="000E73BA" w:rsidRPr="00483738">
        <w:t>ya que s</w:t>
      </w:r>
      <w:r w:rsidR="000E73BA" w:rsidRPr="007E7BCA">
        <w:t xml:space="preserve">e han llevado a cabo estudios y pruebas de viabilidad sobre las radiocomunicaciones de </w:t>
      </w:r>
      <w:r w:rsidR="00D37A79">
        <w:t>STI</w:t>
      </w:r>
      <w:r w:rsidR="000E73BA" w:rsidRPr="005939DC">
        <w:t xml:space="preserve"> avanzado para lograr la seguridad del tráfico y reducir el impacto </w:t>
      </w:r>
      <w:r w:rsidR="004F1E61">
        <w:t xml:space="preserve">en el </w:t>
      </w:r>
      <w:r w:rsidR="000E73BA" w:rsidRPr="005939DC">
        <w:t>medio</w:t>
      </w:r>
      <w:r w:rsidR="004F1E61">
        <w:t xml:space="preserve"> </w:t>
      </w:r>
      <w:r w:rsidR="000E73BA" w:rsidRPr="005939DC">
        <w:t>ambient</w:t>
      </w:r>
      <w:r w:rsidR="004F1E61">
        <w:t>e</w:t>
      </w:r>
      <w:r w:rsidR="000E73BA" w:rsidRPr="005939DC">
        <w:t>. Como resultado, recientemente se han</w:t>
      </w:r>
      <w:r w:rsidR="000E73BA" w:rsidRPr="000E73BA">
        <w:t xml:space="preserve"> logrado importantes avances en las actividades de </w:t>
      </w:r>
      <w:r w:rsidR="000E73BA">
        <w:t>investigación y desar</w:t>
      </w:r>
      <w:r w:rsidR="004F1E61">
        <w:t>r</w:t>
      </w:r>
      <w:r w:rsidR="000E73BA">
        <w:t>ollo</w:t>
      </w:r>
      <w:r w:rsidR="000E73BA" w:rsidRPr="000E73BA">
        <w:t xml:space="preserve"> sobre radiocomunicaciones de sistemas de transporte inteligente avanzados en varias regiones, incluidas América del Norte, Europa y la región de Asia y el Pacífico. Por lo tanto, la información </w:t>
      </w:r>
      <w:r w:rsidR="004F1E61">
        <w:t xml:space="preserve">que se </w:t>
      </w:r>
      <w:r w:rsidR="000E73BA" w:rsidRPr="000E73BA">
        <w:t>obten</w:t>
      </w:r>
      <w:r w:rsidR="004F1E61">
        <w:t>ga</w:t>
      </w:r>
      <w:r w:rsidR="000E73BA" w:rsidRPr="000E73BA">
        <w:t xml:space="preserve"> </w:t>
      </w:r>
      <w:r w:rsidR="004F1E61">
        <w:t xml:space="preserve">podría ser de utilidad </w:t>
      </w:r>
      <w:r w:rsidR="000E73BA" w:rsidRPr="000E73BA">
        <w:t>para una futura armonización y estandarización.</w:t>
      </w:r>
    </w:p>
    <w:p w14:paraId="2812E0A1" w14:textId="77777777" w:rsidR="00B918B4" w:rsidRPr="00BD5584" w:rsidRDefault="00B918B4">
      <w:pPr>
        <w:spacing w:after="0"/>
        <w:jc w:val="both"/>
        <w:rPr>
          <w:rFonts w:cstheme="minorHAnsi"/>
        </w:rPr>
      </w:pPr>
    </w:p>
    <w:p w14:paraId="77405BAC" w14:textId="77777777" w:rsidR="006B1AED" w:rsidRPr="004F1E61" w:rsidRDefault="00C264CE" w:rsidP="00AF2DD1">
      <w:pPr>
        <w:pStyle w:val="Prrafodelista"/>
        <w:numPr>
          <w:ilvl w:val="0"/>
          <w:numId w:val="1"/>
        </w:numPr>
        <w:spacing w:after="0"/>
        <w:jc w:val="both"/>
        <w:rPr>
          <w:rFonts w:cstheme="minorHAnsi"/>
          <w:b/>
        </w:rPr>
      </w:pPr>
      <w:r w:rsidRPr="004F1E61">
        <w:rPr>
          <w:rFonts w:cstheme="minorHAnsi"/>
          <w:b/>
        </w:rPr>
        <w:t>Informe UIT-R M.2441 Uso emergente del componente terrestre de las telecomunicaciones móviles internacionales (IMT)</w:t>
      </w:r>
    </w:p>
    <w:p w14:paraId="7B09D7DB" w14:textId="77777777" w:rsidR="00EF1762" w:rsidRPr="00AF2DD1" w:rsidRDefault="00EF1762" w:rsidP="004F1E61">
      <w:pPr>
        <w:pStyle w:val="Prrafodelista"/>
        <w:spacing w:after="0"/>
        <w:jc w:val="both"/>
        <w:rPr>
          <w:rFonts w:cstheme="minorHAnsi"/>
        </w:rPr>
      </w:pPr>
    </w:p>
    <w:p w14:paraId="43AAEEDC" w14:textId="29DAC1FF" w:rsidR="006B1AED" w:rsidRDefault="00483738">
      <w:pPr>
        <w:spacing w:after="0"/>
        <w:jc w:val="both"/>
      </w:pPr>
      <w:r w:rsidRPr="00483738">
        <w:t>Este informe es un documento de compilación sobre el uso actual y nuevo de las IMT en aplicaciones específicas. Además, introduce posibles nuevas aplicaciones emergentes de IMT en áreas más allá de las comunicaciones tradicionales de voz, datos y entretenimiento, tal como se prevé en la visión de las IMT-2020.</w:t>
      </w:r>
      <w:r w:rsidR="007E7BCA">
        <w:t xml:space="preserve"> Este informe se relaciona con </w:t>
      </w:r>
      <w:r w:rsidR="00D37A79">
        <w:t>STI</w:t>
      </w:r>
      <w:r w:rsidR="007E7BCA">
        <w:t xml:space="preserve"> de forma directa, al tratar la prospectiva de nuevas aplicaciones dent</w:t>
      </w:r>
      <w:r w:rsidR="00147BA5">
        <w:t>r</w:t>
      </w:r>
      <w:r w:rsidR="007E7BCA">
        <w:t xml:space="preserve">o del marco de IMT-2020, como lo es </w:t>
      </w:r>
      <w:r w:rsidR="00D37A79">
        <w:t>STI</w:t>
      </w:r>
      <w:r w:rsidR="00130E06">
        <w:t xml:space="preserve"> </w:t>
      </w:r>
      <w:r w:rsidR="00147BA5">
        <w:t>y ferrocarriles o comunicaciones por trenes de alta velocidad</w:t>
      </w:r>
      <w:r w:rsidR="007E7BCA">
        <w:t>.</w:t>
      </w:r>
    </w:p>
    <w:p w14:paraId="0F9A42F8" w14:textId="777222E3" w:rsidR="006B1AED" w:rsidRDefault="006B1AED">
      <w:pPr>
        <w:spacing w:after="0"/>
        <w:jc w:val="both"/>
        <w:rPr>
          <w:rFonts w:cstheme="minorHAnsi"/>
        </w:rPr>
      </w:pPr>
    </w:p>
    <w:p w14:paraId="70B14B7C" w14:textId="77777777" w:rsidR="002E2E49" w:rsidRPr="006B1AED" w:rsidRDefault="002E2E49">
      <w:pPr>
        <w:spacing w:after="0"/>
        <w:jc w:val="both"/>
        <w:rPr>
          <w:rFonts w:cstheme="minorHAnsi"/>
        </w:rPr>
      </w:pPr>
    </w:p>
    <w:p w14:paraId="2C07DDCA" w14:textId="77777777" w:rsidR="00C264CE" w:rsidRPr="00147BA5" w:rsidRDefault="00C264CE" w:rsidP="00C264CE">
      <w:pPr>
        <w:pStyle w:val="Prrafodelista"/>
        <w:numPr>
          <w:ilvl w:val="0"/>
          <w:numId w:val="1"/>
        </w:numPr>
        <w:spacing w:after="0"/>
        <w:jc w:val="both"/>
        <w:rPr>
          <w:rFonts w:cstheme="minorHAnsi"/>
          <w:b/>
        </w:rPr>
      </w:pPr>
      <w:r w:rsidRPr="00147BA5">
        <w:rPr>
          <w:rFonts w:cstheme="minorHAnsi"/>
          <w:b/>
        </w:rPr>
        <w:lastRenderedPageBreak/>
        <w:t>Informe UIT-R M.2444 Ejemplos de disposiciones para despliegues de sistemas de transporte inteligentes en el marco del servicio móvil</w:t>
      </w:r>
    </w:p>
    <w:p w14:paraId="44D462FA" w14:textId="77777777" w:rsidR="00EF1762" w:rsidRPr="00C264CE" w:rsidRDefault="00EF1762" w:rsidP="00147BA5">
      <w:pPr>
        <w:pStyle w:val="Prrafodelista"/>
        <w:spacing w:after="0"/>
        <w:jc w:val="both"/>
        <w:rPr>
          <w:rFonts w:cstheme="minorHAnsi"/>
        </w:rPr>
      </w:pPr>
    </w:p>
    <w:p w14:paraId="22E5ED6F" w14:textId="262F7EFE" w:rsidR="001B4267" w:rsidRDefault="00D71258" w:rsidP="00D71258">
      <w:pPr>
        <w:spacing w:after="0"/>
        <w:jc w:val="both"/>
      </w:pPr>
      <w:r>
        <w:t xml:space="preserve">Este informe proporciona ejemplos de arreglos para la implementación de </w:t>
      </w:r>
      <w:r w:rsidR="00D37A79">
        <w:t>STI</w:t>
      </w:r>
      <w:r>
        <w:t xml:space="preserve"> en ciertas regiones y países para ayudar a mejorar la gestión del tráfico y la conducción segura</w:t>
      </w:r>
      <w:r w:rsidR="00B244A4">
        <w:t xml:space="preserve">. Este informe se relaciona con </w:t>
      </w:r>
      <w:r w:rsidR="00D37A79">
        <w:t>STI</w:t>
      </w:r>
      <w:r w:rsidR="00B244A4">
        <w:t xml:space="preserve"> porque esta información sirve para ayudar a las Administraciones </w:t>
      </w:r>
      <w:r w:rsidR="00336472">
        <w:t xml:space="preserve">en las diferentes regiones </w:t>
      </w:r>
      <w:r w:rsidR="00B244A4">
        <w:t xml:space="preserve">en su planificación para el despliegue de </w:t>
      </w:r>
      <w:r w:rsidR="00D37A79">
        <w:t>STI</w:t>
      </w:r>
      <w:r w:rsidR="00B244A4">
        <w:t xml:space="preserve"> dentro de sus jurisdicciones.</w:t>
      </w:r>
    </w:p>
    <w:p w14:paraId="69D28247" w14:textId="77777777" w:rsidR="00D71258" w:rsidRPr="00D71258" w:rsidRDefault="00D71258" w:rsidP="00D71258">
      <w:pPr>
        <w:spacing w:after="0"/>
        <w:jc w:val="both"/>
        <w:rPr>
          <w:rFonts w:cstheme="minorHAnsi"/>
        </w:rPr>
      </w:pPr>
    </w:p>
    <w:p w14:paraId="4BDCDE85" w14:textId="7647BC77" w:rsidR="00A520B9" w:rsidRPr="00147BA5" w:rsidRDefault="00C264CE" w:rsidP="00F75C31">
      <w:pPr>
        <w:pStyle w:val="Prrafodelista"/>
        <w:numPr>
          <w:ilvl w:val="0"/>
          <w:numId w:val="1"/>
        </w:numPr>
        <w:spacing w:after="0"/>
        <w:jc w:val="both"/>
        <w:rPr>
          <w:rFonts w:cstheme="minorHAnsi"/>
          <w:b/>
        </w:rPr>
      </w:pPr>
      <w:r w:rsidRPr="00147BA5">
        <w:rPr>
          <w:rFonts w:cstheme="minorHAnsi"/>
          <w:b/>
        </w:rPr>
        <w:t>Informe UIT-R M.2445 Uso de sistemas de transporte inteligentes (</w:t>
      </w:r>
      <w:r w:rsidR="00D37A79">
        <w:rPr>
          <w:rFonts w:cstheme="minorHAnsi"/>
          <w:b/>
        </w:rPr>
        <w:t>STI</w:t>
      </w:r>
      <w:r w:rsidRPr="00147BA5">
        <w:rPr>
          <w:rFonts w:cstheme="minorHAnsi"/>
          <w:b/>
        </w:rPr>
        <w:t>)</w:t>
      </w:r>
    </w:p>
    <w:p w14:paraId="73517067" w14:textId="77777777" w:rsidR="00EF1762" w:rsidRPr="00F75C31" w:rsidRDefault="00EF1762" w:rsidP="00147BA5">
      <w:pPr>
        <w:pStyle w:val="Prrafodelista"/>
        <w:spacing w:after="0"/>
        <w:jc w:val="both"/>
        <w:rPr>
          <w:rFonts w:cstheme="minorHAnsi"/>
        </w:rPr>
      </w:pPr>
    </w:p>
    <w:p w14:paraId="16520254" w14:textId="3713FB30" w:rsidR="003D4ACB" w:rsidRDefault="00367F32" w:rsidP="00147BA5">
      <w:pPr>
        <w:jc w:val="both"/>
        <w:rPr>
          <w:rFonts w:cstheme="minorHAnsi"/>
        </w:rPr>
      </w:pPr>
      <w:r w:rsidRPr="00367F32">
        <w:t xml:space="preserve">Este informe aborda los usos de las aplicaciones de radiocomunicaciones de </w:t>
      </w:r>
      <w:r w:rsidR="00D37A79">
        <w:t>STI</w:t>
      </w:r>
      <w:r w:rsidRPr="00367F32">
        <w:t xml:space="preserve">, como las comunicaciones de vehículo a infraestructura, de vehículo a vehículo, de vehículo a peatón para aplicaciones relacionadas con la seguridad del tráfico y la eficiencia del tráfico, así como los sistemas electrónicos de peaje y radares automotrices para evitar colisiones. </w:t>
      </w:r>
      <w:r>
        <w:rPr>
          <w:rFonts w:cstheme="minorHAnsi"/>
        </w:rPr>
        <w:t xml:space="preserve">Este informe identifica el uso actual y planificado de tecnologías </w:t>
      </w:r>
      <w:r w:rsidR="00D37A79">
        <w:rPr>
          <w:rFonts w:cstheme="minorHAnsi"/>
        </w:rPr>
        <w:t>STI</w:t>
      </w:r>
      <w:r>
        <w:rPr>
          <w:rFonts w:cstheme="minorHAnsi"/>
        </w:rPr>
        <w:t>, bandas de frecuencias, estado de estandarización, aplicaciones e implementaciones.</w:t>
      </w:r>
    </w:p>
    <w:p w14:paraId="14981F88" w14:textId="2AFE55A3" w:rsidR="001B1618" w:rsidRDefault="001B1618" w:rsidP="00165A09">
      <w:pPr>
        <w:spacing w:after="0" w:line="240" w:lineRule="auto"/>
        <w:jc w:val="both"/>
        <w:rPr>
          <w:rFonts w:cstheme="minorHAnsi"/>
        </w:rPr>
      </w:pPr>
    </w:p>
    <w:p w14:paraId="6DC6FE99" w14:textId="77777777" w:rsidR="001B1618" w:rsidRPr="00165A09" w:rsidRDefault="001B1618" w:rsidP="00165A09">
      <w:pPr>
        <w:pStyle w:val="Prrafodelista"/>
        <w:numPr>
          <w:ilvl w:val="0"/>
          <w:numId w:val="2"/>
        </w:numPr>
        <w:spacing w:after="0" w:line="240" w:lineRule="auto"/>
        <w:contextualSpacing w:val="0"/>
        <w:jc w:val="both"/>
        <w:rPr>
          <w:rFonts w:cstheme="minorHAnsi"/>
          <w:b/>
          <w:bCs/>
          <w:lang w:val="en-US"/>
        </w:rPr>
      </w:pPr>
      <w:r w:rsidRPr="00165A09">
        <w:rPr>
          <w:rFonts w:cstheme="minorHAnsi"/>
          <w:b/>
          <w:bCs/>
          <w:lang w:val="en-US"/>
        </w:rPr>
        <w:t xml:space="preserve">ETSI EN 302 663 V1.3.1: </w:t>
      </w:r>
      <w:r w:rsidRPr="00165A09">
        <w:rPr>
          <w:rFonts w:cstheme="minorHAnsi"/>
          <w:b/>
          <w:bCs/>
          <w:i/>
          <w:iCs/>
          <w:lang w:val="en-US"/>
        </w:rPr>
        <w:t>“</w:t>
      </w:r>
      <w:r w:rsidRPr="00165A09">
        <w:rPr>
          <w:b/>
          <w:bCs/>
          <w:i/>
          <w:iCs/>
          <w:lang w:val="en-US"/>
        </w:rPr>
        <w:t>Intelligent Transport Systems (ITS); ITS-G5 Access layer specification for Intelligent Transport Systems operating in the 5 GHz frequency band”</w:t>
      </w:r>
    </w:p>
    <w:p w14:paraId="1C2D4E11" w14:textId="77777777" w:rsidR="00165A09" w:rsidRPr="00EA16EA" w:rsidRDefault="00165A09" w:rsidP="00165A09">
      <w:pPr>
        <w:spacing w:after="0" w:line="240" w:lineRule="auto"/>
        <w:jc w:val="both"/>
        <w:rPr>
          <w:rFonts w:cstheme="minorHAnsi"/>
          <w:lang w:val="en-US"/>
        </w:rPr>
      </w:pPr>
    </w:p>
    <w:p w14:paraId="06221D03" w14:textId="6BA13236" w:rsidR="001B1618" w:rsidRDefault="001B1618" w:rsidP="00165A09">
      <w:pPr>
        <w:spacing w:after="0" w:line="240" w:lineRule="auto"/>
        <w:jc w:val="both"/>
        <w:rPr>
          <w:rFonts w:cstheme="minorHAnsi"/>
        </w:rPr>
      </w:pPr>
      <w:r w:rsidRPr="00165A09">
        <w:rPr>
          <w:rFonts w:cstheme="minorHAnsi"/>
        </w:rPr>
        <w:t>E</w:t>
      </w:r>
      <w:r w:rsidR="00165A09">
        <w:rPr>
          <w:rFonts w:cstheme="minorHAnsi"/>
        </w:rPr>
        <w:t>ste</w:t>
      </w:r>
      <w:r w:rsidRPr="00165A09">
        <w:rPr>
          <w:rFonts w:cstheme="minorHAnsi"/>
        </w:rPr>
        <w:t xml:space="preserve"> documento describe la capa física y la capa de enlace de datos, en la pila de protocolos para soportar las comunicaciones de vehículo a vehículo en una red ad hoc que se utilizará en la banda de frecuencia de 5</w:t>
      </w:r>
      <w:r w:rsidR="00165A09">
        <w:rPr>
          <w:rFonts w:cstheme="minorHAnsi"/>
        </w:rPr>
        <w:t>.</w:t>
      </w:r>
      <w:r w:rsidRPr="00165A09">
        <w:rPr>
          <w:rFonts w:cstheme="minorHAnsi"/>
        </w:rPr>
        <w:t>9 GHz asignada en Europa de conformidad con Decisión de la Comisión 2008/671 / EC, ECC / DEC / (08) 01 y ECC / REC / (08) 01. Las dos capas más bajas se denominan capa de acceso según ETSI EN 302 665 en el presente documento y la tecnología especificada para la capa de acceso se denomina colectivamente ITS-G5.</w:t>
      </w:r>
    </w:p>
    <w:p w14:paraId="6D9A43B8" w14:textId="77777777" w:rsidR="00165A09" w:rsidRDefault="00165A09" w:rsidP="00165A09">
      <w:pPr>
        <w:spacing w:after="0" w:line="240" w:lineRule="auto"/>
        <w:jc w:val="both"/>
        <w:rPr>
          <w:rFonts w:cstheme="minorHAnsi"/>
        </w:rPr>
      </w:pPr>
    </w:p>
    <w:p w14:paraId="65BF9F14" w14:textId="77777777" w:rsidR="001B1618" w:rsidRDefault="001B1618" w:rsidP="00165A09">
      <w:pPr>
        <w:spacing w:after="0" w:line="240" w:lineRule="auto"/>
        <w:jc w:val="both"/>
        <w:rPr>
          <w:rFonts w:cstheme="minorHAnsi"/>
        </w:rPr>
      </w:pPr>
      <w:r w:rsidRPr="00E434BC">
        <w:rPr>
          <w:rFonts w:cstheme="minorHAnsi"/>
        </w:rPr>
        <w:t>La tecnología de capa de acceso ITS-G5 está utilizando estándares ya existentes para comunicaciones. La capa de enlace de datos se divide en dos subcapas; control de acceso al medio y control de enlace lógico. La capa física y la capa de control de acceso al medio están cubiertas en IEEE 802.11-2016. El control de enlace lógico se basa en IEEE / ISO / IEC 8802-2-1998. El estándar ITS-G5 también agrega características para los métodos de control de congestión descentralizado (DCC) ETSI TS 102 687 para controlar la carga de la red.</w:t>
      </w:r>
    </w:p>
    <w:p w14:paraId="0346BBCE" w14:textId="77777777" w:rsidR="001B1618" w:rsidRPr="00E434BC" w:rsidRDefault="001B1618" w:rsidP="00165A09">
      <w:pPr>
        <w:spacing w:after="0" w:line="240" w:lineRule="auto"/>
        <w:jc w:val="both"/>
        <w:rPr>
          <w:rFonts w:cstheme="minorHAnsi"/>
        </w:rPr>
      </w:pPr>
    </w:p>
    <w:p w14:paraId="4B9F72C6" w14:textId="77777777" w:rsidR="001B1618" w:rsidRPr="00E434BC" w:rsidRDefault="001B1618" w:rsidP="00165A09">
      <w:pPr>
        <w:spacing w:after="0" w:line="240" w:lineRule="auto"/>
        <w:jc w:val="both"/>
        <w:rPr>
          <w:rFonts w:cstheme="minorHAnsi"/>
        </w:rPr>
      </w:pPr>
      <w:r w:rsidRPr="00E434BC">
        <w:rPr>
          <w:rFonts w:cstheme="minorHAnsi"/>
        </w:rPr>
        <w:t xml:space="preserve">La tecnología de capa de acceso ITS-G5 está utilizando estándares ya existentes para comunicaciones. La capa de enlace de datos se divide en dos subcapas; control de acceso al medio y control de enlace lógico. La capa física y la capa de control de acceso al medio están cubiertas en IEEE 802.11-2016. El control de enlace lógico se basa en IEEE / ISO / IEC 8802-2-1998. El estándar ITS-G5 también </w:t>
      </w:r>
      <w:r w:rsidRPr="00E434BC">
        <w:rPr>
          <w:rFonts w:cstheme="minorHAnsi"/>
        </w:rPr>
        <w:lastRenderedPageBreak/>
        <w:t>agrega características para los métodos de control de congestión descentralizado (DCC) ETSI TS 102 687 para controlar la carga de la red.</w:t>
      </w:r>
    </w:p>
    <w:p w14:paraId="632FFB00" w14:textId="77777777" w:rsidR="007C7112" w:rsidRPr="007018FE" w:rsidRDefault="007C7112" w:rsidP="00165A09">
      <w:pPr>
        <w:spacing w:after="0" w:line="240" w:lineRule="auto"/>
        <w:jc w:val="both"/>
        <w:rPr>
          <w:rFonts w:cstheme="minorHAnsi"/>
        </w:rPr>
      </w:pPr>
    </w:p>
    <w:p w14:paraId="42BD0877" w14:textId="69BF46CC" w:rsidR="00175C42" w:rsidRPr="00D328C0" w:rsidRDefault="00175C42" w:rsidP="00175C42">
      <w:pPr>
        <w:pStyle w:val="Prrafodelista"/>
        <w:numPr>
          <w:ilvl w:val="0"/>
          <w:numId w:val="2"/>
        </w:numPr>
        <w:spacing w:after="0"/>
        <w:jc w:val="both"/>
        <w:rPr>
          <w:rFonts w:cstheme="minorHAnsi"/>
          <w:b/>
          <w:i/>
          <w:lang w:val="en-US"/>
        </w:rPr>
      </w:pPr>
      <w:bookmarkStart w:id="108" w:name="_Hlk78913642"/>
      <w:r w:rsidRPr="00147BA5">
        <w:rPr>
          <w:rFonts w:cstheme="minorHAnsi"/>
          <w:b/>
          <w:lang w:val="en-US"/>
        </w:rPr>
        <w:t>ETSI TR 102 638 V1.1.1</w:t>
      </w:r>
      <w:bookmarkEnd w:id="108"/>
      <w:r w:rsidRPr="00147BA5">
        <w:rPr>
          <w:rFonts w:cstheme="minorHAnsi"/>
          <w:b/>
          <w:lang w:val="en-US"/>
        </w:rPr>
        <w:t xml:space="preserve">: </w:t>
      </w:r>
      <w:r w:rsidRPr="00D328C0">
        <w:rPr>
          <w:rFonts w:cstheme="minorHAnsi"/>
          <w:b/>
          <w:i/>
          <w:lang w:val="en-US"/>
        </w:rPr>
        <w:t>"Intelligent Transport Systems (</w:t>
      </w:r>
      <w:r w:rsidRPr="00D328C0" w:rsidDel="00D37A79">
        <w:rPr>
          <w:rFonts w:cstheme="minorHAnsi"/>
          <w:b/>
          <w:i/>
          <w:lang w:val="en-US"/>
        </w:rPr>
        <w:t>ITS</w:t>
      </w:r>
      <w:r w:rsidRPr="00D328C0">
        <w:rPr>
          <w:rFonts w:cstheme="minorHAnsi"/>
          <w:b/>
          <w:i/>
          <w:lang w:val="en-US"/>
        </w:rPr>
        <w:t>); Vehicular Communications; Basic Set of Applications; Definitions"</w:t>
      </w:r>
    </w:p>
    <w:p w14:paraId="68FA926C" w14:textId="77777777" w:rsidR="00147BA5" w:rsidRPr="00BB6DE1" w:rsidRDefault="00147BA5" w:rsidP="007C7112">
      <w:pPr>
        <w:spacing w:after="0"/>
        <w:jc w:val="both"/>
        <w:rPr>
          <w:lang w:val="en-US"/>
        </w:rPr>
      </w:pPr>
    </w:p>
    <w:p w14:paraId="6FD0273A" w14:textId="61DD58A8" w:rsidR="00AA34C9" w:rsidRPr="007C7112" w:rsidRDefault="00056238" w:rsidP="007C7112">
      <w:pPr>
        <w:spacing w:after="0"/>
        <w:jc w:val="both"/>
      </w:pPr>
      <w:r w:rsidRPr="007C7112">
        <w:t>Este document</w:t>
      </w:r>
      <w:r>
        <w:t>o</w:t>
      </w:r>
      <w:r w:rsidRPr="007C7112">
        <w:t xml:space="preserve"> describe un conjunto b</w:t>
      </w:r>
      <w:r>
        <w:t>ásico de aplicaciones que debe especificar el sistema de transporte inteligente,</w:t>
      </w:r>
      <w:r w:rsidR="001535F9">
        <w:t xml:space="preserve"> centrándose principalmente en las comunicaciones V2V, V2I e I2V en </w:t>
      </w:r>
      <w:r w:rsidR="00AB5F41">
        <w:t>la banda de frecuencias dedicada</w:t>
      </w:r>
      <w:r w:rsidR="001535F9">
        <w:t xml:space="preserve"> V2X</w:t>
      </w:r>
      <w:r w:rsidR="00AB5F41">
        <w:t>.</w:t>
      </w:r>
      <w:r w:rsidR="0045678F">
        <w:t xml:space="preserve"> Sin embargo, no excluye el uso de otras tecnologías de acceso como redes celulares (por </w:t>
      </w:r>
      <w:r w:rsidR="00010389">
        <w:t>ejemplo,</w:t>
      </w:r>
      <w:r w:rsidR="0045678F">
        <w:t xml:space="preserve"> 2G, 3G, 4G), y/o sistemas de radiodifusión (DAB, T-DMB, DVB).</w:t>
      </w:r>
      <w:r w:rsidR="00AF2DD1">
        <w:t xml:space="preserve"> </w:t>
      </w:r>
      <w:r w:rsidR="00AA34C9">
        <w:t>Este</w:t>
      </w:r>
      <w:r w:rsidR="00542936">
        <w:t xml:space="preserve"> documento tiene relación con </w:t>
      </w:r>
      <w:r w:rsidR="00D37A79">
        <w:t>STI</w:t>
      </w:r>
      <w:r w:rsidR="00542936">
        <w:t xml:space="preserve"> porque</w:t>
      </w:r>
      <w:r w:rsidR="003D0178">
        <w:t xml:space="preserve"> está elaborado con el fin de que se utilice para delimitar el trabajo</w:t>
      </w:r>
      <w:r w:rsidR="00383AA3">
        <w:t xml:space="preserve"> </w:t>
      </w:r>
      <w:r w:rsidR="003D0178">
        <w:t>de normalización que se requiere para el conjunto básico de aplicaciones definido en las comunicaciones antes mencionadas, además</w:t>
      </w:r>
      <w:r w:rsidR="00DD37EA">
        <w:t>,</w:t>
      </w:r>
      <w:r w:rsidR="003D0178">
        <w:t xml:space="preserve"> el documento </w:t>
      </w:r>
      <w:r w:rsidR="00B23215">
        <w:t>toma</w:t>
      </w:r>
      <w:r w:rsidR="003D0178">
        <w:t xml:space="preserve"> en consideración los requisitos de </w:t>
      </w:r>
      <w:r w:rsidR="00D37A79">
        <w:t>STI</w:t>
      </w:r>
      <w:r w:rsidR="003D0178">
        <w:t xml:space="preserve"> de las </w:t>
      </w:r>
      <w:r w:rsidR="00356671">
        <w:t>categorías de partes interesadas.</w:t>
      </w:r>
    </w:p>
    <w:p w14:paraId="1F7DCECA" w14:textId="77777777" w:rsidR="00056238" w:rsidRPr="007C7112" w:rsidRDefault="00056238" w:rsidP="007C7112">
      <w:pPr>
        <w:spacing w:after="0"/>
        <w:jc w:val="both"/>
        <w:rPr>
          <w:rFonts w:cstheme="minorHAnsi"/>
        </w:rPr>
      </w:pPr>
    </w:p>
    <w:p w14:paraId="3872D275" w14:textId="378C66EA" w:rsidR="00FC4E29" w:rsidRPr="00D328C0" w:rsidRDefault="00FC4E29" w:rsidP="00175C42">
      <w:pPr>
        <w:pStyle w:val="Prrafodelista"/>
        <w:numPr>
          <w:ilvl w:val="0"/>
          <w:numId w:val="2"/>
        </w:numPr>
        <w:spacing w:after="0"/>
        <w:jc w:val="both"/>
        <w:rPr>
          <w:rFonts w:cstheme="minorHAnsi"/>
          <w:b/>
          <w:i/>
          <w:lang w:val="fr-FR"/>
        </w:rPr>
      </w:pPr>
      <w:bookmarkStart w:id="109" w:name="_Hlk78913651"/>
      <w:r w:rsidRPr="00147BA5">
        <w:rPr>
          <w:rFonts w:cstheme="minorHAnsi"/>
          <w:b/>
          <w:lang w:val="fr-FR"/>
        </w:rPr>
        <w:t>ETSI TS 122 185 V16.0.</w:t>
      </w:r>
      <w:proofErr w:type="gramStart"/>
      <w:r w:rsidRPr="00147BA5">
        <w:rPr>
          <w:rFonts w:cstheme="minorHAnsi"/>
          <w:b/>
          <w:lang w:val="fr-FR"/>
        </w:rPr>
        <w:t>0</w:t>
      </w:r>
      <w:bookmarkEnd w:id="109"/>
      <w:r w:rsidRPr="00147BA5">
        <w:rPr>
          <w:rFonts w:cstheme="minorHAnsi"/>
          <w:b/>
          <w:lang w:val="fr-FR"/>
        </w:rPr>
        <w:t>:</w:t>
      </w:r>
      <w:proofErr w:type="gramEnd"/>
      <w:r w:rsidRPr="00147BA5">
        <w:rPr>
          <w:rFonts w:cstheme="minorHAnsi"/>
          <w:b/>
          <w:lang w:val="fr-FR"/>
        </w:rPr>
        <w:t xml:space="preserve"> </w:t>
      </w:r>
      <w:r w:rsidRPr="00D328C0">
        <w:rPr>
          <w:rFonts w:cstheme="minorHAnsi"/>
          <w:b/>
          <w:i/>
          <w:lang w:val="fr-FR"/>
        </w:rPr>
        <w:t xml:space="preserve">“LTE; Service </w:t>
      </w:r>
      <w:proofErr w:type="spellStart"/>
      <w:r w:rsidRPr="00D328C0">
        <w:rPr>
          <w:rFonts w:cstheme="minorHAnsi"/>
          <w:b/>
          <w:i/>
          <w:lang w:val="fr-FR"/>
        </w:rPr>
        <w:t>requirements</w:t>
      </w:r>
      <w:proofErr w:type="spellEnd"/>
      <w:r w:rsidRPr="00D328C0">
        <w:rPr>
          <w:rFonts w:cstheme="minorHAnsi"/>
          <w:b/>
          <w:i/>
          <w:lang w:val="fr-FR"/>
        </w:rPr>
        <w:t xml:space="preserve"> for V2X services (3GPP TS 22.185 version 16.0.0 Release 16</w:t>
      </w:r>
      <w:r w:rsidR="00D328C0">
        <w:rPr>
          <w:rFonts w:cstheme="minorHAnsi"/>
          <w:b/>
          <w:i/>
          <w:lang w:val="fr-FR"/>
        </w:rPr>
        <w:t>)</w:t>
      </w:r>
      <w:r w:rsidR="00D328C0" w:rsidRPr="00D328C0">
        <w:rPr>
          <w:rFonts w:cstheme="minorHAnsi"/>
          <w:b/>
          <w:i/>
          <w:lang w:val="en-US"/>
        </w:rPr>
        <w:t>"</w:t>
      </w:r>
    </w:p>
    <w:p w14:paraId="28009963" w14:textId="77777777" w:rsidR="00147BA5" w:rsidRPr="00BB6DE1" w:rsidRDefault="00147BA5" w:rsidP="00F7495E">
      <w:pPr>
        <w:spacing w:after="0"/>
        <w:jc w:val="both"/>
        <w:rPr>
          <w:lang w:val="en-US"/>
        </w:rPr>
      </w:pPr>
    </w:p>
    <w:p w14:paraId="3A093E5C" w14:textId="0682CC5D" w:rsidR="00F7495E" w:rsidRDefault="00010389" w:rsidP="00F7495E">
      <w:pPr>
        <w:spacing w:after="0"/>
        <w:jc w:val="both"/>
      </w:pPr>
      <w:r w:rsidRPr="00B31F00">
        <w:t>Este documento</w:t>
      </w:r>
      <w:r w:rsidR="00B31F00">
        <w:t xml:space="preserve"> </w:t>
      </w:r>
      <w:r w:rsidR="00256776">
        <w:t>es una especificación técnica la cual ha sido elaborada por el 3GPP, la</w:t>
      </w:r>
      <w:r w:rsidR="00B31F00">
        <w:t xml:space="preserve"> especificación</w:t>
      </w:r>
      <w:r w:rsidRPr="00B31F00">
        <w:t xml:space="preserve"> </w:t>
      </w:r>
      <w:r w:rsidR="00B31F00" w:rsidRPr="00B31F00">
        <w:t xml:space="preserve">presenta las aplicaciones </w:t>
      </w:r>
      <w:r w:rsidR="00B31F00">
        <w:t xml:space="preserve">denominadas </w:t>
      </w:r>
      <w:proofErr w:type="spellStart"/>
      <w:r w:rsidR="00B31F00" w:rsidRPr="00B31F00">
        <w:rPr>
          <w:i/>
        </w:rPr>
        <w:t>Vehicle-to-Everything</w:t>
      </w:r>
      <w:proofErr w:type="spellEnd"/>
      <w:r w:rsidR="00B31F00">
        <w:t xml:space="preserve"> (V2X) y considera los siguientes cuatros tipos diferentes: </w:t>
      </w:r>
      <w:proofErr w:type="spellStart"/>
      <w:r w:rsidR="00B31F00" w:rsidRPr="00D328C0">
        <w:rPr>
          <w:i/>
        </w:rPr>
        <w:t>Vehicle-to-Vehicle</w:t>
      </w:r>
      <w:proofErr w:type="spellEnd"/>
      <w:r w:rsidR="00B31F00" w:rsidRPr="00B31F00">
        <w:t xml:space="preserve"> (V2V), </w:t>
      </w:r>
      <w:proofErr w:type="spellStart"/>
      <w:r w:rsidR="00B31F00" w:rsidRPr="00D328C0">
        <w:rPr>
          <w:i/>
        </w:rPr>
        <w:t>Vehicle-to-Infrastructure</w:t>
      </w:r>
      <w:proofErr w:type="spellEnd"/>
      <w:r w:rsidR="00B31F00" w:rsidRPr="00B31F00">
        <w:t xml:space="preserve"> (V2I), </w:t>
      </w:r>
      <w:proofErr w:type="spellStart"/>
      <w:r w:rsidR="00B31F00" w:rsidRPr="00D328C0">
        <w:rPr>
          <w:i/>
        </w:rPr>
        <w:t>Vehicle</w:t>
      </w:r>
      <w:proofErr w:type="spellEnd"/>
      <w:r w:rsidR="00B31F00" w:rsidRPr="00D328C0">
        <w:rPr>
          <w:i/>
        </w:rPr>
        <w:t>-</w:t>
      </w:r>
      <w:proofErr w:type="spellStart"/>
      <w:r w:rsidR="00B31F00" w:rsidRPr="00D328C0">
        <w:rPr>
          <w:i/>
        </w:rPr>
        <w:t>to</w:t>
      </w:r>
      <w:proofErr w:type="spellEnd"/>
      <w:r w:rsidR="00B31F00" w:rsidRPr="00D328C0">
        <w:rPr>
          <w:i/>
        </w:rPr>
        <w:t>-Network</w:t>
      </w:r>
      <w:r w:rsidR="00B31F00" w:rsidRPr="00B31F00">
        <w:t xml:space="preserve"> (V2N), </w:t>
      </w:r>
      <w:proofErr w:type="spellStart"/>
      <w:r w:rsidR="00B31F00" w:rsidRPr="00D328C0">
        <w:rPr>
          <w:i/>
        </w:rPr>
        <w:t>Vehicle-to-Pedestrian</w:t>
      </w:r>
      <w:proofErr w:type="spellEnd"/>
      <w:r w:rsidR="00B31F00" w:rsidRPr="00B31F00">
        <w:t xml:space="preserve"> (V2P)</w:t>
      </w:r>
      <w:r w:rsidR="00076848">
        <w:t>,</w:t>
      </w:r>
      <w:r w:rsidR="00256776">
        <w:t xml:space="preserve"> </w:t>
      </w:r>
      <w:r w:rsidR="00CD0970">
        <w:t>además,</w:t>
      </w:r>
      <w:r w:rsidR="00256776">
        <w:t xml:space="preserve"> </w:t>
      </w:r>
      <w:r w:rsidR="00F7495E">
        <w:t>proporciona soporte para</w:t>
      </w:r>
      <w:r w:rsidR="00256776">
        <w:t xml:space="preserve"> los requisitos del servicio V2X que debe soportar</w:t>
      </w:r>
      <w:r w:rsidR="00CD0970">
        <w:t xml:space="preserve"> </w:t>
      </w:r>
      <w:r w:rsidR="00F7495E">
        <w:t xml:space="preserve">el transporte </w:t>
      </w:r>
      <w:r w:rsidR="00256776">
        <w:t>LTE</w:t>
      </w:r>
      <w:r w:rsidR="00F7495E">
        <w:t>.</w:t>
      </w:r>
      <w:r w:rsidR="00AF2DD1">
        <w:t xml:space="preserve"> </w:t>
      </w:r>
      <w:r w:rsidR="00F7495E">
        <w:t xml:space="preserve">Este documento tiene relación con </w:t>
      </w:r>
      <w:r w:rsidR="00D37A79">
        <w:t>STI</w:t>
      </w:r>
      <w:r w:rsidR="00F7495E">
        <w:t xml:space="preserve"> porque </w:t>
      </w:r>
      <w:r w:rsidR="00E43477">
        <w:t xml:space="preserve">en cada sección explica las diferentes </w:t>
      </w:r>
      <w:r w:rsidR="00485872">
        <w:t xml:space="preserve">aplicaciones, </w:t>
      </w:r>
      <w:r w:rsidR="00B72338">
        <w:t xml:space="preserve">y </w:t>
      </w:r>
      <w:r w:rsidR="00E43477">
        <w:t xml:space="preserve">brinda ejemplos para entender el tipo de información </w:t>
      </w:r>
      <w:r w:rsidR="00485872">
        <w:t xml:space="preserve">de la aplicación </w:t>
      </w:r>
      <w:r w:rsidR="00E43477">
        <w:t xml:space="preserve">que </w:t>
      </w:r>
      <w:r w:rsidR="00485872">
        <w:t xml:space="preserve">se </w:t>
      </w:r>
      <w:r w:rsidR="00E43477">
        <w:t>transmit</w:t>
      </w:r>
      <w:r w:rsidR="00485872">
        <w:t xml:space="preserve">e. Es decir, los tipos de aplicaciones V2X que soporta </w:t>
      </w:r>
      <w:r w:rsidR="00485872" w:rsidRPr="00AF2DD1">
        <w:t xml:space="preserve">3GPP, esta información es considerada más adelante para </w:t>
      </w:r>
      <w:r w:rsidR="00A02EF6" w:rsidRPr="00AF2DD1">
        <w:t>el desarrollo de este documento.</w:t>
      </w:r>
    </w:p>
    <w:p w14:paraId="0FAA2FA2" w14:textId="77777777" w:rsidR="00E6482E" w:rsidRDefault="00E6482E" w:rsidP="00010389">
      <w:pPr>
        <w:spacing w:after="0"/>
        <w:jc w:val="both"/>
        <w:rPr>
          <w:rFonts w:cstheme="minorHAnsi"/>
        </w:rPr>
      </w:pPr>
    </w:p>
    <w:p w14:paraId="0EF21606" w14:textId="7643405E" w:rsidR="00E6482E" w:rsidRPr="00147BA5" w:rsidRDefault="00E6482E" w:rsidP="00E6482E">
      <w:pPr>
        <w:pStyle w:val="Prrafodelista"/>
        <w:numPr>
          <w:ilvl w:val="0"/>
          <w:numId w:val="2"/>
        </w:numPr>
        <w:spacing w:after="0"/>
        <w:jc w:val="both"/>
        <w:rPr>
          <w:rFonts w:cstheme="minorHAnsi"/>
          <w:b/>
          <w:lang w:val="fr-FR"/>
        </w:rPr>
      </w:pPr>
      <w:bookmarkStart w:id="110" w:name="_Hlk78913659"/>
      <w:r w:rsidRPr="00147BA5">
        <w:rPr>
          <w:rFonts w:cstheme="minorHAnsi"/>
          <w:b/>
          <w:lang w:val="fr-FR"/>
        </w:rPr>
        <w:t>ETSI ES 202 663 V1.1.</w:t>
      </w:r>
      <w:proofErr w:type="gramStart"/>
      <w:r w:rsidRPr="00147BA5">
        <w:rPr>
          <w:rFonts w:cstheme="minorHAnsi"/>
          <w:b/>
          <w:lang w:val="fr-FR"/>
        </w:rPr>
        <w:t>0</w:t>
      </w:r>
      <w:bookmarkEnd w:id="110"/>
      <w:r w:rsidRPr="00147BA5">
        <w:rPr>
          <w:rFonts w:cstheme="minorHAnsi"/>
          <w:b/>
          <w:lang w:val="fr-FR"/>
        </w:rPr>
        <w:t>:</w:t>
      </w:r>
      <w:proofErr w:type="gramEnd"/>
      <w:r w:rsidRPr="00147BA5">
        <w:rPr>
          <w:rFonts w:cstheme="minorHAnsi"/>
          <w:b/>
          <w:lang w:val="fr-FR"/>
        </w:rPr>
        <w:t xml:space="preserve"> </w:t>
      </w:r>
      <w:r w:rsidRPr="00D328C0">
        <w:rPr>
          <w:rFonts w:cstheme="minorHAnsi"/>
          <w:b/>
          <w:i/>
          <w:lang w:val="fr-FR"/>
        </w:rPr>
        <w:t xml:space="preserve">“Intelligent Transport </w:t>
      </w:r>
      <w:proofErr w:type="spellStart"/>
      <w:r w:rsidRPr="00D328C0">
        <w:rPr>
          <w:rFonts w:cstheme="minorHAnsi"/>
          <w:b/>
          <w:i/>
          <w:lang w:val="fr-FR"/>
        </w:rPr>
        <w:t>Systems</w:t>
      </w:r>
      <w:proofErr w:type="spellEnd"/>
      <w:r w:rsidRPr="00D328C0">
        <w:rPr>
          <w:rFonts w:cstheme="minorHAnsi"/>
          <w:b/>
          <w:i/>
          <w:lang w:val="fr-FR"/>
        </w:rPr>
        <w:t xml:space="preserve"> (</w:t>
      </w:r>
      <w:r w:rsidRPr="00D328C0" w:rsidDel="00D37A79">
        <w:rPr>
          <w:rFonts w:cstheme="minorHAnsi"/>
          <w:b/>
          <w:i/>
          <w:lang w:val="fr-FR"/>
        </w:rPr>
        <w:t>ITS</w:t>
      </w:r>
      <w:r w:rsidRPr="00D328C0">
        <w:rPr>
          <w:rFonts w:cstheme="minorHAnsi"/>
          <w:b/>
          <w:i/>
          <w:lang w:val="fr-FR"/>
        </w:rPr>
        <w:t xml:space="preserve">); </w:t>
      </w:r>
      <w:proofErr w:type="spellStart"/>
      <w:r w:rsidRPr="00D328C0">
        <w:rPr>
          <w:rFonts w:cstheme="minorHAnsi"/>
          <w:b/>
          <w:i/>
          <w:lang w:val="fr-FR"/>
        </w:rPr>
        <w:t>European</w:t>
      </w:r>
      <w:proofErr w:type="spellEnd"/>
      <w:r w:rsidRPr="00D328C0">
        <w:rPr>
          <w:rFonts w:cstheme="minorHAnsi"/>
          <w:b/>
          <w:i/>
          <w:lang w:val="fr-FR"/>
        </w:rPr>
        <w:t xml:space="preserve"> profile standard for the </w:t>
      </w:r>
      <w:proofErr w:type="spellStart"/>
      <w:r w:rsidRPr="00D328C0">
        <w:rPr>
          <w:rFonts w:cstheme="minorHAnsi"/>
          <w:b/>
          <w:i/>
          <w:lang w:val="fr-FR"/>
        </w:rPr>
        <w:t>physical</w:t>
      </w:r>
      <w:proofErr w:type="spellEnd"/>
      <w:r w:rsidRPr="00D328C0">
        <w:rPr>
          <w:rFonts w:cstheme="minorHAnsi"/>
          <w:b/>
          <w:i/>
          <w:lang w:val="fr-FR"/>
        </w:rPr>
        <w:t xml:space="preserve"> and medium </w:t>
      </w:r>
      <w:proofErr w:type="spellStart"/>
      <w:r w:rsidRPr="00D328C0">
        <w:rPr>
          <w:rFonts w:cstheme="minorHAnsi"/>
          <w:b/>
          <w:i/>
          <w:lang w:val="fr-FR"/>
        </w:rPr>
        <w:t>access</w:t>
      </w:r>
      <w:proofErr w:type="spellEnd"/>
      <w:r w:rsidRPr="00D328C0">
        <w:rPr>
          <w:rFonts w:cstheme="minorHAnsi"/>
          <w:b/>
          <w:i/>
          <w:lang w:val="fr-FR"/>
        </w:rPr>
        <w:t xml:space="preserve"> control layer of Intelligent Transport </w:t>
      </w:r>
      <w:proofErr w:type="spellStart"/>
      <w:r w:rsidRPr="00D328C0">
        <w:rPr>
          <w:rFonts w:cstheme="minorHAnsi"/>
          <w:b/>
          <w:i/>
          <w:lang w:val="fr-FR"/>
        </w:rPr>
        <w:t>Systems</w:t>
      </w:r>
      <w:proofErr w:type="spellEnd"/>
      <w:r w:rsidRPr="00D328C0">
        <w:rPr>
          <w:rFonts w:cstheme="minorHAnsi"/>
          <w:b/>
          <w:i/>
          <w:lang w:val="fr-FR"/>
        </w:rPr>
        <w:t xml:space="preserve"> operating in the 5 GHz </w:t>
      </w:r>
      <w:proofErr w:type="spellStart"/>
      <w:r w:rsidRPr="00D328C0">
        <w:rPr>
          <w:rFonts w:cstheme="minorHAnsi"/>
          <w:b/>
          <w:i/>
          <w:lang w:val="fr-FR"/>
        </w:rPr>
        <w:t>frequency</w:t>
      </w:r>
      <w:proofErr w:type="spellEnd"/>
      <w:r w:rsidRPr="00D328C0">
        <w:rPr>
          <w:rFonts w:cstheme="minorHAnsi"/>
          <w:b/>
          <w:i/>
          <w:lang w:val="fr-FR"/>
        </w:rPr>
        <w:t xml:space="preserve"> band”</w:t>
      </w:r>
    </w:p>
    <w:p w14:paraId="7843922F" w14:textId="77777777" w:rsidR="00E6482E" w:rsidRDefault="00E6482E" w:rsidP="00E6482E">
      <w:pPr>
        <w:spacing w:after="0"/>
        <w:jc w:val="both"/>
        <w:rPr>
          <w:lang w:val="fr-FR"/>
        </w:rPr>
      </w:pPr>
    </w:p>
    <w:p w14:paraId="534C0325" w14:textId="0DE95B62" w:rsidR="00E6482E" w:rsidRPr="001A4B27" w:rsidRDefault="00E6482E" w:rsidP="00F80BED">
      <w:pPr>
        <w:spacing w:after="0"/>
        <w:jc w:val="both"/>
        <w:rPr>
          <w:rFonts w:cstheme="minorHAnsi"/>
        </w:rPr>
      </w:pPr>
      <w:r w:rsidRPr="00B31F00">
        <w:t>Este documento</w:t>
      </w:r>
      <w:r>
        <w:t xml:space="preserve"> </w:t>
      </w:r>
      <w:r w:rsidR="00597524">
        <w:t xml:space="preserve">especifica el perfil europeo en línea con ETSI ETS 300 406, de la subcapa de control de acceso físico y al medio de los </w:t>
      </w:r>
      <w:r w:rsidR="00D37A79">
        <w:t>STI</w:t>
      </w:r>
      <w:r w:rsidR="00597524">
        <w:t xml:space="preserve"> de 5 GHz utilizando IEEE 802.11 como estándar base. Cubre los rangos de frecuencia siguientes:</w:t>
      </w:r>
      <w:r w:rsidR="00F80BED">
        <w:t xml:space="preserve"> </w:t>
      </w:r>
      <w:r w:rsidR="00D37A79">
        <w:t>STI</w:t>
      </w:r>
      <w:r w:rsidR="00597524">
        <w:t xml:space="preserve">-G5A: Operación de </w:t>
      </w:r>
      <w:r w:rsidR="00D37A79">
        <w:t>STI</w:t>
      </w:r>
      <w:r w:rsidR="00597524">
        <w:t xml:space="preserve">-G5 en bandas de frecuencia </w:t>
      </w:r>
      <w:r w:rsidR="00D37A79">
        <w:t>STI</w:t>
      </w:r>
      <w:r w:rsidR="00597524">
        <w:t xml:space="preserve"> europeas dedicadas a </w:t>
      </w:r>
      <w:r w:rsidR="00D37A79">
        <w:t>STI</w:t>
      </w:r>
      <w:r w:rsidR="00597524">
        <w:t xml:space="preserve"> para aplicaciones relacionadas con la seguridad en el rango de frecuencia de 5.875 GHz a 5.</w:t>
      </w:r>
      <w:r w:rsidR="00F80BED">
        <w:t xml:space="preserve">905 GHz; </w:t>
      </w:r>
      <w:r w:rsidR="00D37A79">
        <w:t>STI</w:t>
      </w:r>
      <w:r w:rsidR="00597524">
        <w:t xml:space="preserve">-G5B: Funcionamiento en bandas de frecuencia </w:t>
      </w:r>
      <w:r w:rsidR="00D37A79">
        <w:t>STI</w:t>
      </w:r>
      <w:r w:rsidR="00597524">
        <w:t xml:space="preserve"> europeas dedicadas a aplicaciones </w:t>
      </w:r>
      <w:r w:rsidR="00D37A79">
        <w:t>STI</w:t>
      </w:r>
      <w:r w:rsidR="00597524">
        <w:t xml:space="preserve"> no relacionadas con la seguridad en el rango de </w:t>
      </w:r>
      <w:r w:rsidR="00597524">
        <w:lastRenderedPageBreak/>
        <w:t>frecuencia de 5.855 GHz a 5.</w:t>
      </w:r>
      <w:r w:rsidR="00F80BED">
        <w:t xml:space="preserve">875 GHz, e </w:t>
      </w:r>
      <w:r w:rsidR="00D37A79">
        <w:t>STI</w:t>
      </w:r>
      <w:r w:rsidR="00597524">
        <w:t xml:space="preserve">-G5C: Operación de aplicaciones </w:t>
      </w:r>
      <w:r w:rsidR="00D37A79">
        <w:t>STI</w:t>
      </w:r>
      <w:r w:rsidR="00597524">
        <w:t xml:space="preserve"> en el rango de frecuencia de 5.470 GHz a 5.725 GHz</w:t>
      </w:r>
      <w:r w:rsidR="00F80BED">
        <w:t>.</w:t>
      </w:r>
    </w:p>
    <w:p w14:paraId="262175D7" w14:textId="77777777" w:rsidR="009B50B1" w:rsidRPr="00736821" w:rsidRDefault="009B50B1" w:rsidP="009B50B1">
      <w:pPr>
        <w:pStyle w:val="Prrafodelista"/>
        <w:spacing w:after="0"/>
        <w:ind w:left="1440"/>
        <w:jc w:val="both"/>
        <w:rPr>
          <w:rFonts w:cstheme="minorHAnsi"/>
        </w:rPr>
      </w:pPr>
    </w:p>
    <w:p w14:paraId="6CB272F3" w14:textId="7B457A92" w:rsidR="00300FE2" w:rsidRPr="00F80BED" w:rsidRDefault="00300FE2" w:rsidP="006D05E7">
      <w:pPr>
        <w:pStyle w:val="Prrafodelista"/>
        <w:numPr>
          <w:ilvl w:val="0"/>
          <w:numId w:val="2"/>
        </w:numPr>
        <w:spacing w:after="0"/>
        <w:jc w:val="both"/>
        <w:rPr>
          <w:rFonts w:cstheme="minorHAnsi"/>
          <w:b/>
          <w:lang w:val="en-US"/>
        </w:rPr>
      </w:pPr>
      <w:bookmarkStart w:id="111" w:name="_Hlk78913665"/>
      <w:r w:rsidRPr="00F80BED">
        <w:rPr>
          <w:rFonts w:cstheme="minorHAnsi"/>
          <w:b/>
          <w:lang w:val="en-US"/>
        </w:rPr>
        <w:t>3GPP TR 22.885</w:t>
      </w:r>
      <w:r w:rsidR="006D05E7" w:rsidRPr="00F80BED">
        <w:rPr>
          <w:rFonts w:cstheme="minorHAnsi"/>
          <w:b/>
          <w:lang w:val="en-US"/>
        </w:rPr>
        <w:t xml:space="preserve"> v.1.0.0</w:t>
      </w:r>
      <w:bookmarkEnd w:id="111"/>
      <w:r w:rsidR="006D05E7" w:rsidRPr="00F80BED">
        <w:rPr>
          <w:rFonts w:cstheme="minorHAnsi"/>
          <w:b/>
          <w:lang w:val="en-US"/>
        </w:rPr>
        <w:t xml:space="preserve"> </w:t>
      </w:r>
      <w:r w:rsidR="00D328C0" w:rsidRPr="00D328C0">
        <w:rPr>
          <w:rFonts w:cstheme="minorHAnsi"/>
          <w:b/>
          <w:i/>
          <w:lang w:val="en-US"/>
        </w:rPr>
        <w:t>“</w:t>
      </w:r>
      <w:r w:rsidR="006D05E7" w:rsidRPr="00D328C0">
        <w:rPr>
          <w:rFonts w:cstheme="minorHAnsi"/>
          <w:b/>
          <w:i/>
          <w:lang w:val="en-US"/>
        </w:rPr>
        <w:t>LTE support for V2X services</w:t>
      </w:r>
      <w:r w:rsidR="003460F9" w:rsidRPr="00D328C0">
        <w:rPr>
          <w:rFonts w:cstheme="minorHAnsi"/>
          <w:b/>
          <w:i/>
          <w:lang w:val="en-US"/>
        </w:rPr>
        <w:t xml:space="preserve"> </w:t>
      </w:r>
      <w:r w:rsidR="006D05E7" w:rsidRPr="00D328C0">
        <w:rPr>
          <w:rFonts w:cstheme="minorHAnsi"/>
          <w:b/>
          <w:i/>
          <w:lang w:val="en-US"/>
        </w:rPr>
        <w:t>(FS_V2XLTE)</w:t>
      </w:r>
      <w:r w:rsidR="00D328C0" w:rsidRPr="00D328C0">
        <w:rPr>
          <w:rFonts w:cstheme="minorHAnsi"/>
          <w:b/>
          <w:i/>
          <w:lang w:val="en-US"/>
        </w:rPr>
        <w:t>”</w:t>
      </w:r>
    </w:p>
    <w:p w14:paraId="14F0B6D0" w14:textId="77777777" w:rsidR="0073032D" w:rsidRDefault="0073032D" w:rsidP="0073032D">
      <w:pPr>
        <w:spacing w:after="0"/>
        <w:jc w:val="both"/>
        <w:rPr>
          <w:lang w:val="en-US"/>
        </w:rPr>
      </w:pPr>
    </w:p>
    <w:p w14:paraId="71A1F7A4" w14:textId="3A0AF2A6" w:rsidR="0073032D" w:rsidRPr="003460F9" w:rsidRDefault="003460F9" w:rsidP="00CE69E6">
      <w:pPr>
        <w:spacing w:after="0"/>
        <w:jc w:val="both"/>
      </w:pPr>
      <w:r w:rsidRPr="003460F9">
        <w:t xml:space="preserve">Este documento </w:t>
      </w:r>
      <w:r w:rsidR="00CE69E6">
        <w:t>identifica los casos de uso y requisitos potenciales para LTE en materia del soporte</w:t>
      </w:r>
      <w:r w:rsidR="0073598E">
        <w:t xml:space="preserve"> a servicios V2X tomando en cuenta </w:t>
      </w:r>
      <w:r w:rsidR="00852711">
        <w:t xml:space="preserve">los </w:t>
      </w:r>
      <w:r w:rsidR="0073598E">
        <w:t xml:space="preserve">servicios V2X y </w:t>
      </w:r>
      <w:r w:rsidR="000B1559">
        <w:t xml:space="preserve">otros </w:t>
      </w:r>
      <w:r w:rsidR="0073598E">
        <w:t>parámetros definidos, o aquellos que pudieran estar relacionados a uso gubernamental. El documento considera los casos de uso esencial para LTE V2X (V2V –entre vehículos-, V2I -entre vehículo y un RSU y V2P –entre un vehículo y un dispositivo portado por un individuo-).</w:t>
      </w:r>
    </w:p>
    <w:p w14:paraId="6DA6439D" w14:textId="77777777" w:rsidR="0073032D" w:rsidRPr="00BB6DE1" w:rsidRDefault="0073032D" w:rsidP="0073032D">
      <w:pPr>
        <w:spacing w:after="0"/>
        <w:jc w:val="both"/>
        <w:rPr>
          <w:rFonts w:cstheme="minorHAnsi"/>
        </w:rPr>
      </w:pPr>
    </w:p>
    <w:p w14:paraId="1E7CD3C0" w14:textId="337C3FD5" w:rsidR="00300FE2" w:rsidRPr="00F80BED" w:rsidRDefault="00300FE2" w:rsidP="00A44736">
      <w:pPr>
        <w:pStyle w:val="Prrafodelista"/>
        <w:numPr>
          <w:ilvl w:val="0"/>
          <w:numId w:val="2"/>
        </w:numPr>
        <w:spacing w:after="0"/>
        <w:jc w:val="both"/>
        <w:rPr>
          <w:rFonts w:cstheme="minorHAnsi"/>
          <w:b/>
          <w:lang w:val="en-US"/>
        </w:rPr>
      </w:pPr>
      <w:bookmarkStart w:id="112" w:name="_Hlk78913685"/>
      <w:r w:rsidRPr="00F80BED">
        <w:rPr>
          <w:rFonts w:cstheme="minorHAnsi"/>
          <w:b/>
          <w:lang w:val="en-US"/>
        </w:rPr>
        <w:t>3GPP TR 22.886</w:t>
      </w:r>
      <w:r w:rsidR="00A44736" w:rsidRPr="00F80BED">
        <w:rPr>
          <w:rFonts w:cstheme="minorHAnsi"/>
          <w:b/>
          <w:lang w:val="en-US"/>
        </w:rPr>
        <w:t xml:space="preserve"> v.2.0.0 </w:t>
      </w:r>
      <w:bookmarkEnd w:id="112"/>
      <w:r w:rsidR="00852711" w:rsidRPr="00852711">
        <w:rPr>
          <w:rFonts w:cstheme="minorHAnsi"/>
          <w:b/>
          <w:i/>
          <w:lang w:val="en-US"/>
        </w:rPr>
        <w:t>“</w:t>
      </w:r>
      <w:r w:rsidR="00A44736" w:rsidRPr="00852711">
        <w:rPr>
          <w:rFonts w:cstheme="minorHAnsi"/>
          <w:b/>
          <w:i/>
          <w:lang w:val="en-US"/>
        </w:rPr>
        <w:t>Study on Enhancement of 3GPP support for V2X service</w:t>
      </w:r>
      <w:r w:rsidR="00852711" w:rsidRPr="00852711">
        <w:rPr>
          <w:rFonts w:cstheme="minorHAnsi"/>
          <w:b/>
          <w:i/>
          <w:lang w:val="en-US"/>
        </w:rPr>
        <w:t>”</w:t>
      </w:r>
    </w:p>
    <w:p w14:paraId="35D42E03" w14:textId="77777777" w:rsidR="0037218D" w:rsidRPr="00F80BED" w:rsidRDefault="0037218D" w:rsidP="00F80BED">
      <w:pPr>
        <w:spacing w:after="0"/>
        <w:jc w:val="both"/>
        <w:rPr>
          <w:lang w:val="en-US"/>
        </w:rPr>
      </w:pPr>
    </w:p>
    <w:p w14:paraId="4326D20B" w14:textId="04D4037D" w:rsidR="0037218D" w:rsidRPr="00F80BED" w:rsidRDefault="0037218D" w:rsidP="00F80BED">
      <w:pPr>
        <w:spacing w:after="0"/>
        <w:jc w:val="both"/>
        <w:rPr>
          <w:rFonts w:cstheme="minorHAnsi"/>
        </w:rPr>
      </w:pPr>
      <w:r w:rsidRPr="00F80BED">
        <w:rPr>
          <w:rFonts w:cstheme="minorHAnsi"/>
        </w:rPr>
        <w:t>El objetivo de este documento es identificar casos de uso y posibles requisitos de servicio para mejorar el soporte 3GPP para el servicio V2X en las siguientes áreas:</w:t>
      </w:r>
      <w:r w:rsidR="00F80BED">
        <w:rPr>
          <w:rFonts w:cstheme="minorHAnsi"/>
        </w:rPr>
        <w:t xml:space="preserve"> i) </w:t>
      </w:r>
      <w:r w:rsidRPr="00F80BED">
        <w:rPr>
          <w:rFonts w:cstheme="minorHAnsi"/>
        </w:rPr>
        <w:t>Soporte para servicios V2X que no son de seguridad</w:t>
      </w:r>
      <w:r w:rsidR="00BB5E62">
        <w:rPr>
          <w:rFonts w:cstheme="minorHAnsi"/>
        </w:rPr>
        <w:t>,</w:t>
      </w:r>
      <w:r w:rsidRPr="00F80BED">
        <w:rPr>
          <w:rFonts w:cstheme="minorHAnsi"/>
        </w:rPr>
        <w:t xml:space="preserve"> también denominado "servicio de confort" </w:t>
      </w:r>
      <w:r w:rsidR="00BB5E62">
        <w:rPr>
          <w:rFonts w:cstheme="minorHAnsi"/>
        </w:rPr>
        <w:t>(</w:t>
      </w:r>
      <w:r w:rsidRPr="00F80BED">
        <w:rPr>
          <w:rFonts w:cstheme="minorHAnsi"/>
        </w:rPr>
        <w:t>por ejemplo, vehículo conectado, entretenimiento móvil de alta velocidad de datos, punto de acceso móvil / oficina / hogar</w:t>
      </w:r>
      <w:r w:rsidR="007749F4">
        <w:rPr>
          <w:rFonts w:cstheme="minorHAnsi"/>
        </w:rPr>
        <w:t xml:space="preserve"> y</w:t>
      </w:r>
      <w:r w:rsidRPr="00F80BED">
        <w:rPr>
          <w:rFonts w:cstheme="minorHAnsi"/>
        </w:rPr>
        <w:t xml:space="preserve"> actualización de mapas digitales dinámicos</w:t>
      </w:r>
      <w:r w:rsidR="00BB5E62">
        <w:rPr>
          <w:rFonts w:cstheme="minorHAnsi"/>
        </w:rPr>
        <w:t>)</w:t>
      </w:r>
      <w:r w:rsidR="00F80BED">
        <w:rPr>
          <w:rFonts w:cstheme="minorHAnsi"/>
        </w:rPr>
        <w:t xml:space="preserve">; </w:t>
      </w:r>
      <w:proofErr w:type="spellStart"/>
      <w:r w:rsidR="00F80BED">
        <w:rPr>
          <w:rFonts w:cstheme="minorHAnsi"/>
        </w:rPr>
        <w:t>ii</w:t>
      </w:r>
      <w:proofErr w:type="spellEnd"/>
      <w:r w:rsidR="00F80BED">
        <w:rPr>
          <w:rFonts w:cstheme="minorHAnsi"/>
        </w:rPr>
        <w:t xml:space="preserve">) </w:t>
      </w:r>
      <w:r w:rsidRPr="00F80BED">
        <w:rPr>
          <w:rFonts w:cstheme="minorHAnsi"/>
        </w:rPr>
        <w:t>Soporte para servicios V2X relacionados con la seguridad (por ejemplo, conducción autónoma, conducción de vehículos, manejo prioritario entre servicios V2X relacionados con la seguridad y otros servicios)</w:t>
      </w:r>
      <w:r w:rsidR="00F80BED">
        <w:rPr>
          <w:rFonts w:cstheme="minorHAnsi"/>
        </w:rPr>
        <w:t xml:space="preserve">; </w:t>
      </w:r>
      <w:proofErr w:type="spellStart"/>
      <w:r w:rsidR="00F80BED">
        <w:rPr>
          <w:rFonts w:cstheme="minorHAnsi"/>
        </w:rPr>
        <w:t>iii</w:t>
      </w:r>
      <w:proofErr w:type="spellEnd"/>
      <w:r w:rsidR="00F80BED">
        <w:rPr>
          <w:rFonts w:cstheme="minorHAnsi"/>
        </w:rPr>
        <w:t xml:space="preserve">) </w:t>
      </w:r>
      <w:r w:rsidRPr="00F80BED">
        <w:rPr>
          <w:rFonts w:cstheme="minorHAnsi"/>
        </w:rPr>
        <w:t xml:space="preserve">Soporte para servicios V2X en múltiples RAT 3GPP (por ejemplo, LTE, New RAT (NR)) y entorno de redes, incluidos aspectos como la interoperabilidad con tecnología V2X que no es 3GPP (por ejemplo, </w:t>
      </w:r>
      <w:r w:rsidR="00D37A79">
        <w:rPr>
          <w:rFonts w:cstheme="minorHAnsi"/>
          <w:i/>
        </w:rPr>
        <w:t>STI</w:t>
      </w:r>
      <w:r w:rsidRPr="00F80BED">
        <w:rPr>
          <w:rFonts w:cstheme="minorHAnsi"/>
          <w:i/>
        </w:rPr>
        <w:t xml:space="preserve">-G5, DSRC, </w:t>
      </w:r>
      <w:r w:rsidR="00D37A79">
        <w:rPr>
          <w:rFonts w:cstheme="minorHAnsi"/>
          <w:i/>
        </w:rPr>
        <w:t>STI</w:t>
      </w:r>
      <w:r w:rsidRPr="00F80BED">
        <w:rPr>
          <w:rFonts w:cstheme="minorHAnsi"/>
          <w:i/>
        </w:rPr>
        <w:t>-</w:t>
      </w:r>
      <w:proofErr w:type="spellStart"/>
      <w:r w:rsidRPr="00F80BED">
        <w:rPr>
          <w:rFonts w:cstheme="minorHAnsi"/>
          <w:i/>
        </w:rPr>
        <w:t>Connect</w:t>
      </w:r>
      <w:proofErr w:type="spellEnd"/>
      <w:r w:rsidRPr="00F80BED">
        <w:rPr>
          <w:rFonts w:cstheme="minorHAnsi"/>
        </w:rPr>
        <w:t>).</w:t>
      </w:r>
      <w:r w:rsidR="000C755B">
        <w:rPr>
          <w:rFonts w:cstheme="minorHAnsi"/>
        </w:rPr>
        <w:t xml:space="preserve"> </w:t>
      </w:r>
      <w:r w:rsidR="00F80BED">
        <w:rPr>
          <w:rFonts w:cstheme="minorHAnsi"/>
        </w:rPr>
        <w:t>Así, e</w:t>
      </w:r>
      <w:r w:rsidRPr="00F80BED">
        <w:rPr>
          <w:rFonts w:cstheme="minorHAnsi"/>
        </w:rPr>
        <w:t>n este documento, se consideran los casos de uso relacionados con V2X y los requisitos potenciales ya incluidos en TR 22.891</w:t>
      </w:r>
      <w:r w:rsidR="0037049C">
        <w:rPr>
          <w:rFonts w:cstheme="minorHAnsi"/>
        </w:rPr>
        <w:t>, además de introducir otros nuevos.</w:t>
      </w:r>
    </w:p>
    <w:p w14:paraId="4354BFF2" w14:textId="77777777" w:rsidR="0037218D" w:rsidRPr="00BB6DE1" w:rsidRDefault="0037218D" w:rsidP="00F80BED">
      <w:pPr>
        <w:spacing w:after="0"/>
        <w:jc w:val="both"/>
        <w:rPr>
          <w:rFonts w:cstheme="minorHAnsi"/>
        </w:rPr>
      </w:pPr>
    </w:p>
    <w:p w14:paraId="2554797D" w14:textId="40A98D8B" w:rsidR="00F66307" w:rsidRPr="00F80BED" w:rsidRDefault="00F66307" w:rsidP="00A865B3">
      <w:pPr>
        <w:pStyle w:val="Prrafodelista"/>
        <w:numPr>
          <w:ilvl w:val="0"/>
          <w:numId w:val="2"/>
        </w:numPr>
        <w:spacing w:after="0"/>
        <w:jc w:val="both"/>
        <w:rPr>
          <w:rFonts w:cstheme="minorHAnsi"/>
          <w:b/>
          <w:lang w:val="en-US"/>
        </w:rPr>
      </w:pPr>
      <w:bookmarkStart w:id="113" w:name="_Hlk78913699"/>
      <w:r w:rsidRPr="00F80BED">
        <w:rPr>
          <w:rFonts w:cstheme="minorHAnsi"/>
          <w:b/>
          <w:lang w:val="en-US"/>
        </w:rPr>
        <w:t>3GPP TR 37.985</w:t>
      </w:r>
      <w:r w:rsidR="00A865B3" w:rsidRPr="00F80BED">
        <w:rPr>
          <w:rFonts w:cstheme="minorHAnsi"/>
          <w:b/>
          <w:lang w:val="en-US"/>
        </w:rPr>
        <w:t xml:space="preserve"> </w:t>
      </w:r>
      <w:bookmarkEnd w:id="113"/>
      <w:r w:rsidR="004640B5" w:rsidRPr="004640B5">
        <w:rPr>
          <w:rFonts w:cstheme="minorHAnsi"/>
          <w:b/>
          <w:i/>
          <w:lang w:val="en-US"/>
        </w:rPr>
        <w:t>“</w:t>
      </w:r>
      <w:r w:rsidR="00A865B3" w:rsidRPr="004640B5">
        <w:rPr>
          <w:rFonts w:cstheme="minorHAnsi"/>
          <w:b/>
          <w:i/>
          <w:lang w:val="en-US"/>
        </w:rPr>
        <w:t>Overall description of Radio Access Network (RAN) aspects for Vehicle-to-everything (V2X) based on LTE and NR</w:t>
      </w:r>
      <w:r w:rsidR="004640B5" w:rsidRPr="004640B5">
        <w:rPr>
          <w:rFonts w:cstheme="minorHAnsi"/>
          <w:b/>
          <w:i/>
          <w:lang w:val="en-US"/>
        </w:rPr>
        <w:t>”</w:t>
      </w:r>
    </w:p>
    <w:p w14:paraId="34C56A55" w14:textId="77777777" w:rsidR="00F80BED" w:rsidRPr="00F80BED" w:rsidRDefault="00F80BED" w:rsidP="00F80BED">
      <w:pPr>
        <w:spacing w:after="0"/>
        <w:jc w:val="both"/>
        <w:rPr>
          <w:rFonts w:cstheme="minorHAnsi"/>
          <w:lang w:val="en-US"/>
        </w:rPr>
      </w:pPr>
    </w:p>
    <w:p w14:paraId="148D0205" w14:textId="2C95DA09" w:rsidR="00C24EA0" w:rsidRPr="00F80BED" w:rsidRDefault="00330A35" w:rsidP="00F80BED">
      <w:pPr>
        <w:spacing w:after="0"/>
        <w:jc w:val="both"/>
      </w:pPr>
      <w:r w:rsidRPr="00F80BED">
        <w:t>Este documento</w:t>
      </w:r>
      <w:r w:rsidR="00C24EA0" w:rsidRPr="00F80BED">
        <w:t xml:space="preserve"> proporciona una descripción general de las características introducidas por 3GPP a LTE y NR en apoyo de los servicios V2X, a partir de </w:t>
      </w:r>
      <w:r w:rsidR="00C24EA0" w:rsidRPr="004640B5">
        <w:rPr>
          <w:i/>
        </w:rPr>
        <w:t>Rel</w:t>
      </w:r>
      <w:r w:rsidR="004640B5" w:rsidRPr="004640B5">
        <w:rPr>
          <w:i/>
        </w:rPr>
        <w:t>ease</w:t>
      </w:r>
      <w:r w:rsidR="00C24EA0" w:rsidRPr="004640B5">
        <w:rPr>
          <w:i/>
        </w:rPr>
        <w:t>14</w:t>
      </w:r>
      <w:r w:rsidR="0037049C">
        <w:t>,</w:t>
      </w:r>
      <w:r w:rsidR="00650018" w:rsidRPr="00F80BED">
        <w:t xml:space="preserve"> así como</w:t>
      </w:r>
      <w:r w:rsidR="00C24EA0" w:rsidRPr="00F80BED">
        <w:t xml:space="preserve"> brindar una descripción general de las especificaciones de RAN sobre cómo se han diseñado las características y cómo operan juntas. Este documento aborda LTE V2X y NR V2X a través de ambos enlaces laterales, es decir, las interfaces a través del enlace ascendente / descendente. La intención es proporcionar descripciones en aproximadamente el nivel de detalle de la Etapa 2 y, por lo tanto, se proporcionan referencias a las especificaciones de RAN.</w:t>
      </w:r>
    </w:p>
    <w:p w14:paraId="009323B5" w14:textId="5CA9B8F9" w:rsidR="00C24EA0" w:rsidRDefault="00C24EA0" w:rsidP="00F80BED">
      <w:pPr>
        <w:spacing w:after="0"/>
        <w:jc w:val="both"/>
        <w:rPr>
          <w:rFonts w:cstheme="minorHAnsi"/>
        </w:rPr>
      </w:pPr>
    </w:p>
    <w:p w14:paraId="762A1C12" w14:textId="77777777" w:rsidR="002E2E49" w:rsidRPr="00F80BED" w:rsidRDefault="002E2E49" w:rsidP="00F80BED">
      <w:pPr>
        <w:spacing w:after="0"/>
        <w:jc w:val="both"/>
        <w:rPr>
          <w:rFonts w:cstheme="minorHAnsi"/>
        </w:rPr>
      </w:pPr>
    </w:p>
    <w:p w14:paraId="27CD7879" w14:textId="43A7EC0E" w:rsidR="00330A35" w:rsidRDefault="00C60D53" w:rsidP="00330A35">
      <w:pPr>
        <w:pStyle w:val="Prrafodelista"/>
        <w:numPr>
          <w:ilvl w:val="0"/>
          <w:numId w:val="2"/>
        </w:numPr>
        <w:spacing w:after="0"/>
        <w:jc w:val="both"/>
        <w:rPr>
          <w:rFonts w:cstheme="minorHAnsi"/>
          <w:b/>
          <w:lang w:val="en-US"/>
        </w:rPr>
      </w:pPr>
      <w:bookmarkStart w:id="114" w:name="_Hlk78913705"/>
      <w:r w:rsidRPr="00F80BED">
        <w:rPr>
          <w:rFonts w:cstheme="minorHAnsi"/>
          <w:b/>
          <w:lang w:val="en-US"/>
        </w:rPr>
        <w:lastRenderedPageBreak/>
        <w:t xml:space="preserve">3GPP </w:t>
      </w:r>
      <w:r w:rsidR="00155E36" w:rsidRPr="00F80BED">
        <w:rPr>
          <w:rFonts w:cstheme="minorHAnsi"/>
          <w:b/>
          <w:lang w:val="en-US"/>
        </w:rPr>
        <w:t>TS 23.286</w:t>
      </w:r>
      <w:r w:rsidR="00A865B3" w:rsidRPr="00F80BED">
        <w:rPr>
          <w:rFonts w:cstheme="minorHAnsi"/>
          <w:b/>
          <w:lang w:val="en-US"/>
        </w:rPr>
        <w:t xml:space="preserve"> </w:t>
      </w:r>
      <w:bookmarkEnd w:id="114"/>
      <w:r w:rsidR="004640B5">
        <w:rPr>
          <w:rFonts w:cstheme="minorHAnsi"/>
          <w:b/>
          <w:lang w:val="en-US"/>
        </w:rPr>
        <w:t>“</w:t>
      </w:r>
      <w:r w:rsidR="00A865B3" w:rsidRPr="004640B5">
        <w:rPr>
          <w:rFonts w:cstheme="minorHAnsi"/>
          <w:b/>
          <w:i/>
          <w:lang w:val="en-US"/>
        </w:rPr>
        <w:t>Application layer support for Vehicle-to-Everything (V2X) services; Functional architecture and information flows</w:t>
      </w:r>
      <w:r w:rsidR="004640B5">
        <w:rPr>
          <w:rFonts w:cstheme="minorHAnsi"/>
          <w:b/>
          <w:i/>
          <w:lang w:val="en-US"/>
        </w:rPr>
        <w:t>”</w:t>
      </w:r>
    </w:p>
    <w:p w14:paraId="109389C3" w14:textId="77777777" w:rsidR="00F80BED" w:rsidRPr="004640B5" w:rsidRDefault="00F80BED" w:rsidP="004640B5">
      <w:pPr>
        <w:spacing w:after="0"/>
        <w:jc w:val="both"/>
        <w:rPr>
          <w:rFonts w:cstheme="minorHAnsi"/>
          <w:lang w:val="en-US"/>
        </w:rPr>
      </w:pPr>
    </w:p>
    <w:p w14:paraId="0718A79E" w14:textId="0A6EFDA8" w:rsidR="00330A35" w:rsidRPr="00F80BED" w:rsidRDefault="00130E06" w:rsidP="00F80BED">
      <w:pPr>
        <w:spacing w:after="0"/>
        <w:jc w:val="both"/>
        <w:rPr>
          <w:rFonts w:cstheme="minorHAnsi"/>
        </w:rPr>
      </w:pPr>
      <w:r>
        <w:rPr>
          <w:rFonts w:cstheme="minorHAnsi"/>
        </w:rPr>
        <w:t xml:space="preserve">Este </w:t>
      </w:r>
      <w:r w:rsidR="00330A35" w:rsidRPr="00F80BED">
        <w:rPr>
          <w:rFonts w:cstheme="minorHAnsi"/>
        </w:rPr>
        <w:t xml:space="preserve">documento especifica la arquitectura funcional, los procedimientos y los flujos de información para la capa habilitadora de aplicaciones V2X. </w:t>
      </w:r>
      <w:r w:rsidR="000E2F6E">
        <w:rPr>
          <w:rFonts w:cstheme="minorHAnsi"/>
        </w:rPr>
        <w:t>E</w:t>
      </w:r>
      <w:r w:rsidR="00330A35" w:rsidRPr="00F80BED">
        <w:rPr>
          <w:rFonts w:cstheme="minorHAnsi"/>
        </w:rPr>
        <w:t xml:space="preserve">sta especificación incluye las capacidades del soporte de la capa de aplicación para los servicios V2X que son necesarios para garantizar el uso y la implementación eficiente de los servicios V2X en los sistemas 3GPP. </w:t>
      </w:r>
    </w:p>
    <w:p w14:paraId="57E302D8" w14:textId="77777777" w:rsidR="00330A35" w:rsidRPr="00BB6DE1" w:rsidRDefault="00330A35" w:rsidP="00F80BED">
      <w:pPr>
        <w:spacing w:after="0"/>
        <w:ind w:left="360"/>
        <w:jc w:val="both"/>
        <w:rPr>
          <w:rFonts w:cstheme="minorHAnsi"/>
        </w:rPr>
      </w:pPr>
    </w:p>
    <w:p w14:paraId="3AF101A2" w14:textId="34F7C960" w:rsidR="00155E36" w:rsidRPr="00F80BED" w:rsidRDefault="00155E36" w:rsidP="00A865B3">
      <w:pPr>
        <w:pStyle w:val="Prrafodelista"/>
        <w:numPr>
          <w:ilvl w:val="0"/>
          <w:numId w:val="2"/>
        </w:numPr>
        <w:rPr>
          <w:rFonts w:cstheme="minorHAnsi"/>
          <w:b/>
          <w:lang w:val="en-US"/>
        </w:rPr>
      </w:pPr>
      <w:bookmarkStart w:id="115" w:name="_Hlk78913760"/>
      <w:r w:rsidRPr="00F80BED">
        <w:rPr>
          <w:rFonts w:cstheme="minorHAnsi"/>
          <w:b/>
          <w:lang w:val="en-US"/>
        </w:rPr>
        <w:t>3GPP TS 23.287</w:t>
      </w:r>
      <w:r w:rsidR="00A865B3" w:rsidRPr="00F80BED">
        <w:rPr>
          <w:rFonts w:cstheme="minorHAnsi"/>
          <w:b/>
          <w:lang w:val="en-US"/>
        </w:rPr>
        <w:t xml:space="preserve"> </w:t>
      </w:r>
      <w:bookmarkEnd w:id="115"/>
      <w:r w:rsidR="004640B5" w:rsidRPr="004640B5">
        <w:rPr>
          <w:rFonts w:cstheme="minorHAnsi"/>
          <w:b/>
          <w:i/>
          <w:lang w:val="en-US"/>
        </w:rPr>
        <w:t>“</w:t>
      </w:r>
      <w:r w:rsidR="00A865B3" w:rsidRPr="004640B5">
        <w:rPr>
          <w:rFonts w:cstheme="minorHAnsi"/>
          <w:b/>
          <w:i/>
          <w:lang w:val="en-US"/>
        </w:rPr>
        <w:t>Architecture enhancements for 5G System (5GS) to support Vehicle-to-Everything (V2X) services</w:t>
      </w:r>
      <w:r w:rsidR="004640B5" w:rsidRPr="004640B5">
        <w:rPr>
          <w:rFonts w:cstheme="minorHAnsi"/>
          <w:b/>
          <w:i/>
          <w:lang w:val="en-US"/>
        </w:rPr>
        <w:t>”</w:t>
      </w:r>
    </w:p>
    <w:p w14:paraId="4AD867E3" w14:textId="12439996" w:rsidR="00EE3020" w:rsidRDefault="008B6490" w:rsidP="00F80BED">
      <w:pPr>
        <w:jc w:val="both"/>
      </w:pPr>
      <w:r w:rsidRPr="008B6490">
        <w:t>El alcance de este document</w:t>
      </w:r>
      <w:r>
        <w:t xml:space="preserve">o es especificar mejoras en la arquitectura del sistema 5G para facilitar las comunicaciones </w:t>
      </w:r>
      <w:r w:rsidR="00EE3020">
        <w:t>vehiculares</w:t>
      </w:r>
      <w:r>
        <w:t xml:space="preserve"> para servicios </w:t>
      </w:r>
      <w:r w:rsidR="00EE3020">
        <w:t>V2X.</w:t>
      </w:r>
      <w:r w:rsidR="002D35DF">
        <w:t xml:space="preserve"> </w:t>
      </w:r>
      <w:r w:rsidR="00EE3020">
        <w:t xml:space="preserve">Este documento tiene relación con </w:t>
      </w:r>
      <w:r w:rsidR="00D37A79">
        <w:t>STI</w:t>
      </w:r>
      <w:r w:rsidR="000E2F6E">
        <w:t>,</w:t>
      </w:r>
      <w:r w:rsidR="00EE3020">
        <w:t xml:space="preserve"> porque</w:t>
      </w:r>
      <w:r w:rsidR="002572F6">
        <w:t xml:space="preserve"> tiene información respecto de las mejoras que se pueden implementar en la arquitectura del sistema 5G con el fin de admitir los servicios V2X.</w:t>
      </w:r>
    </w:p>
    <w:p w14:paraId="6B16469B" w14:textId="77777777" w:rsidR="00EE3020" w:rsidRDefault="00EE3020" w:rsidP="008B6490">
      <w:pPr>
        <w:rPr>
          <w:rFonts w:cstheme="minorHAnsi"/>
        </w:rPr>
      </w:pPr>
    </w:p>
    <w:p w14:paraId="509F8BAA" w14:textId="77777777" w:rsidR="00155E36" w:rsidRPr="00155F4B" w:rsidRDefault="00351E24" w:rsidP="006C2DA9">
      <w:pPr>
        <w:pStyle w:val="Prrafodelista"/>
        <w:numPr>
          <w:ilvl w:val="0"/>
          <w:numId w:val="2"/>
        </w:numPr>
        <w:spacing w:after="0"/>
        <w:jc w:val="both"/>
        <w:rPr>
          <w:rFonts w:cstheme="minorHAnsi"/>
          <w:b/>
        </w:rPr>
      </w:pPr>
      <w:bookmarkStart w:id="116" w:name="_Hlk78913770"/>
      <w:r w:rsidRPr="00155F4B">
        <w:rPr>
          <w:rFonts w:cstheme="minorHAnsi"/>
          <w:b/>
        </w:rPr>
        <w:t xml:space="preserve">3GPP TS 36.101 </w:t>
      </w:r>
      <w:r w:rsidR="00B635FB" w:rsidRPr="00155F4B">
        <w:rPr>
          <w:rFonts w:cstheme="minorHAnsi"/>
          <w:b/>
        </w:rPr>
        <w:t xml:space="preserve">V16.8.0 </w:t>
      </w:r>
      <w:bookmarkEnd w:id="116"/>
      <w:r w:rsidRPr="00155F4B">
        <w:rPr>
          <w:rFonts w:cstheme="minorHAnsi"/>
          <w:b/>
        </w:rPr>
        <w:t>(Bandas de frecuencias)</w:t>
      </w:r>
      <w:r w:rsidR="006C2DA9" w:rsidRPr="00155F4B">
        <w:rPr>
          <w:rFonts w:cstheme="minorHAnsi"/>
          <w:b/>
        </w:rPr>
        <w:t xml:space="preserve"> </w:t>
      </w:r>
      <w:proofErr w:type="spellStart"/>
      <w:r w:rsidR="006C2DA9" w:rsidRPr="00155F4B">
        <w:rPr>
          <w:rFonts w:cstheme="minorHAnsi"/>
          <w:b/>
        </w:rPr>
        <w:t>Evolved</w:t>
      </w:r>
      <w:proofErr w:type="spellEnd"/>
      <w:r w:rsidR="006C2DA9" w:rsidRPr="00155F4B">
        <w:rPr>
          <w:rFonts w:cstheme="minorHAnsi"/>
          <w:b/>
        </w:rPr>
        <w:t xml:space="preserve"> Universal </w:t>
      </w:r>
      <w:proofErr w:type="spellStart"/>
      <w:r w:rsidR="006C2DA9" w:rsidRPr="00155F4B">
        <w:rPr>
          <w:rFonts w:cstheme="minorHAnsi"/>
          <w:b/>
        </w:rPr>
        <w:t>Terrestrial</w:t>
      </w:r>
      <w:proofErr w:type="spellEnd"/>
      <w:r w:rsidR="006C2DA9" w:rsidRPr="00155F4B">
        <w:rPr>
          <w:rFonts w:cstheme="minorHAnsi"/>
          <w:b/>
        </w:rPr>
        <w:t xml:space="preserve"> Radio Access (E-UTRA); </w:t>
      </w:r>
      <w:proofErr w:type="spellStart"/>
      <w:r w:rsidR="006C2DA9" w:rsidRPr="00155F4B">
        <w:rPr>
          <w:rFonts w:cstheme="minorHAnsi"/>
          <w:b/>
        </w:rPr>
        <w:t>User</w:t>
      </w:r>
      <w:proofErr w:type="spellEnd"/>
      <w:r w:rsidR="006C2DA9" w:rsidRPr="00155F4B">
        <w:rPr>
          <w:rFonts w:cstheme="minorHAnsi"/>
          <w:b/>
        </w:rPr>
        <w:t xml:space="preserve"> </w:t>
      </w:r>
      <w:proofErr w:type="spellStart"/>
      <w:r w:rsidR="006C2DA9" w:rsidRPr="00155F4B">
        <w:rPr>
          <w:rFonts w:cstheme="minorHAnsi"/>
          <w:b/>
        </w:rPr>
        <w:t>Equipment</w:t>
      </w:r>
      <w:proofErr w:type="spellEnd"/>
      <w:r w:rsidR="006C2DA9" w:rsidRPr="00155F4B">
        <w:rPr>
          <w:rFonts w:cstheme="minorHAnsi"/>
          <w:b/>
        </w:rPr>
        <w:t xml:space="preserve"> (UE) radio </w:t>
      </w:r>
      <w:proofErr w:type="spellStart"/>
      <w:r w:rsidR="006C2DA9" w:rsidRPr="00155F4B">
        <w:rPr>
          <w:rFonts w:cstheme="minorHAnsi"/>
          <w:b/>
        </w:rPr>
        <w:t>transmission</w:t>
      </w:r>
      <w:proofErr w:type="spellEnd"/>
      <w:r w:rsidR="006C2DA9" w:rsidRPr="00155F4B">
        <w:rPr>
          <w:rFonts w:cstheme="minorHAnsi"/>
          <w:b/>
        </w:rPr>
        <w:t xml:space="preserve"> and </w:t>
      </w:r>
      <w:proofErr w:type="spellStart"/>
      <w:r w:rsidR="006C2DA9" w:rsidRPr="00155F4B">
        <w:rPr>
          <w:rFonts w:cstheme="minorHAnsi"/>
          <w:b/>
        </w:rPr>
        <w:t>reception</w:t>
      </w:r>
      <w:proofErr w:type="spellEnd"/>
    </w:p>
    <w:p w14:paraId="13BDCD34" w14:textId="77777777" w:rsidR="00300FE2" w:rsidRPr="00B44EF7" w:rsidRDefault="00300FE2" w:rsidP="00300FE2">
      <w:pPr>
        <w:spacing w:after="0"/>
        <w:jc w:val="both"/>
        <w:rPr>
          <w:rFonts w:cstheme="minorHAnsi"/>
        </w:rPr>
      </w:pPr>
    </w:p>
    <w:p w14:paraId="73761290" w14:textId="4F0BAE76" w:rsidR="00574B8A" w:rsidRDefault="00CE67BC" w:rsidP="00630F8A">
      <w:pPr>
        <w:spacing w:after="0"/>
        <w:jc w:val="both"/>
        <w:rPr>
          <w:rFonts w:cstheme="minorHAnsi"/>
        </w:rPr>
      </w:pPr>
      <w:r w:rsidRPr="00CE67BC">
        <w:rPr>
          <w:rFonts w:cstheme="minorHAnsi"/>
        </w:rPr>
        <w:t xml:space="preserve">El documento define </w:t>
      </w:r>
      <w:r w:rsidR="004640B5">
        <w:rPr>
          <w:rFonts w:cstheme="minorHAnsi"/>
        </w:rPr>
        <w:t>y</w:t>
      </w:r>
      <w:r w:rsidRPr="00CE67BC">
        <w:rPr>
          <w:rFonts w:cstheme="minorHAnsi"/>
        </w:rPr>
        <w:t xml:space="preserve"> detalla las características RF mínimas y los requerimientos mínimos de desempeño para E</w:t>
      </w:r>
      <w:r w:rsidR="00376A69">
        <w:rPr>
          <w:rFonts w:cstheme="minorHAnsi"/>
        </w:rPr>
        <w:t>-</w:t>
      </w:r>
      <w:r w:rsidRPr="00CE67BC">
        <w:rPr>
          <w:rFonts w:cstheme="minorHAnsi"/>
        </w:rPr>
        <w:t>UTRA</w:t>
      </w:r>
      <w:r w:rsidR="00574B8A">
        <w:rPr>
          <w:rFonts w:cstheme="minorHAnsi"/>
        </w:rPr>
        <w:t>.</w:t>
      </w:r>
      <w:r w:rsidR="00AF2DD1">
        <w:rPr>
          <w:rFonts w:cstheme="minorHAnsi"/>
        </w:rPr>
        <w:t xml:space="preserve"> </w:t>
      </w:r>
      <w:r w:rsidR="00F231C2">
        <w:rPr>
          <w:rFonts w:cstheme="minorHAnsi"/>
        </w:rPr>
        <w:t xml:space="preserve">Este documento tiene relación con </w:t>
      </w:r>
      <w:r w:rsidR="00D37A79">
        <w:rPr>
          <w:rFonts w:cstheme="minorHAnsi"/>
        </w:rPr>
        <w:t>STI</w:t>
      </w:r>
      <w:r w:rsidR="000E2F6E">
        <w:rPr>
          <w:rFonts w:cstheme="minorHAnsi"/>
        </w:rPr>
        <w:t>,</w:t>
      </w:r>
      <w:r w:rsidR="00F231C2">
        <w:rPr>
          <w:rFonts w:cstheme="minorHAnsi"/>
        </w:rPr>
        <w:t xml:space="preserve"> porque </w:t>
      </w:r>
      <w:r w:rsidR="001A4B27">
        <w:rPr>
          <w:rFonts w:cstheme="minorHAnsi"/>
        </w:rPr>
        <w:t>destaca la aplicabilidad de los requisitos mínimos para la comunicación V2X, además, contiene información respe</w:t>
      </w:r>
      <w:r w:rsidR="005B0856">
        <w:rPr>
          <w:rFonts w:cstheme="minorHAnsi"/>
        </w:rPr>
        <w:t>cto de la banda de frecuencias,</w:t>
      </w:r>
      <w:r w:rsidR="001A4B27">
        <w:rPr>
          <w:rFonts w:cstheme="minorHAnsi"/>
        </w:rPr>
        <w:t xml:space="preserve"> disposición de canales</w:t>
      </w:r>
      <w:r w:rsidR="005B0856">
        <w:rPr>
          <w:rFonts w:cstheme="minorHAnsi"/>
        </w:rPr>
        <w:t xml:space="preserve"> y a</w:t>
      </w:r>
      <w:r w:rsidR="005B0856" w:rsidRPr="005B0856">
        <w:rPr>
          <w:rFonts w:cstheme="minorHAnsi"/>
        </w:rPr>
        <w:t>ncho de banda</w:t>
      </w:r>
      <w:r w:rsidR="001A4B27" w:rsidRPr="005B0856">
        <w:rPr>
          <w:rFonts w:cstheme="minorHAnsi"/>
        </w:rPr>
        <w:t xml:space="preserve"> </w:t>
      </w:r>
      <w:r w:rsidR="001A4B27">
        <w:rPr>
          <w:rFonts w:cstheme="minorHAnsi"/>
        </w:rPr>
        <w:t xml:space="preserve">para la comunicación V2X. </w:t>
      </w:r>
    </w:p>
    <w:p w14:paraId="6241741D" w14:textId="4883C2CB" w:rsidR="00B71C30" w:rsidRDefault="00B71C30" w:rsidP="00155F4B">
      <w:pPr>
        <w:spacing w:after="0" w:line="240" w:lineRule="auto"/>
        <w:jc w:val="both"/>
        <w:rPr>
          <w:rFonts w:cstheme="minorHAnsi"/>
        </w:rPr>
      </w:pPr>
    </w:p>
    <w:p w14:paraId="01D4C116" w14:textId="77777777" w:rsidR="002E2E49" w:rsidRDefault="002E2E49" w:rsidP="00155F4B">
      <w:pPr>
        <w:spacing w:after="0" w:line="240" w:lineRule="auto"/>
        <w:jc w:val="both"/>
        <w:rPr>
          <w:rFonts w:cstheme="minorHAnsi"/>
        </w:rPr>
      </w:pPr>
    </w:p>
    <w:p w14:paraId="45A497D0" w14:textId="658CAE52" w:rsidR="004821BB" w:rsidRPr="00560337" w:rsidRDefault="004821BB" w:rsidP="00371C23">
      <w:pPr>
        <w:pStyle w:val="Ttulo1"/>
        <w:spacing w:after="0" w:line="240" w:lineRule="auto"/>
      </w:pPr>
      <w:bookmarkStart w:id="117" w:name="_Toc71194801"/>
      <w:bookmarkStart w:id="118" w:name="_Toc79501219"/>
      <w:r w:rsidRPr="00560337">
        <w:t xml:space="preserve">Casos de uso de los </w:t>
      </w:r>
      <w:r w:rsidR="00D37A79">
        <w:t>STI</w:t>
      </w:r>
      <w:r w:rsidRPr="00560337">
        <w:t>.</w:t>
      </w:r>
      <w:bookmarkEnd w:id="117"/>
      <w:bookmarkEnd w:id="118"/>
    </w:p>
    <w:p w14:paraId="5660DDDA" w14:textId="77777777" w:rsidR="00155F4B" w:rsidRDefault="00155F4B" w:rsidP="00155F4B">
      <w:pPr>
        <w:spacing w:after="0" w:line="240" w:lineRule="auto"/>
        <w:jc w:val="both"/>
        <w:rPr>
          <w:rFonts w:eastAsia="Calibri" w:cs="Times New Roman"/>
        </w:rPr>
      </w:pPr>
    </w:p>
    <w:p w14:paraId="5D2BE57C" w14:textId="6C12D054" w:rsidR="004821BB" w:rsidRPr="004821BB" w:rsidRDefault="00B70351" w:rsidP="00155F4B">
      <w:pPr>
        <w:spacing w:after="0" w:line="240" w:lineRule="auto"/>
        <w:jc w:val="both"/>
        <w:rPr>
          <w:rFonts w:eastAsia="Calibri" w:cs="Times New Roman"/>
        </w:rPr>
      </w:pPr>
      <w:r>
        <w:rPr>
          <w:rFonts w:eastAsia="Calibri" w:cs="Times New Roman"/>
        </w:rPr>
        <w:t>A</w:t>
      </w:r>
      <w:r w:rsidR="004821BB" w:rsidRPr="004821BB">
        <w:rPr>
          <w:rFonts w:eastAsia="Calibri" w:cs="Times New Roman"/>
        </w:rPr>
        <w:t xml:space="preserve"> través de diversos </w:t>
      </w:r>
      <w:r>
        <w:rPr>
          <w:rFonts w:eastAsia="Calibri" w:cs="Times New Roman"/>
        </w:rPr>
        <w:t xml:space="preserve">estándares, </w:t>
      </w:r>
      <w:r w:rsidR="007653F8">
        <w:rPr>
          <w:rFonts w:eastAsia="Calibri" w:cs="Times New Roman"/>
        </w:rPr>
        <w:t xml:space="preserve">recomendaciones, </w:t>
      </w:r>
      <w:r w:rsidR="004821BB" w:rsidRPr="004821BB">
        <w:rPr>
          <w:rFonts w:eastAsia="Calibri" w:cs="Times New Roman"/>
        </w:rPr>
        <w:t>reportes</w:t>
      </w:r>
      <w:r w:rsidR="007653F8">
        <w:rPr>
          <w:rFonts w:eastAsia="Calibri" w:cs="Times New Roman"/>
        </w:rPr>
        <w:t>,</w:t>
      </w:r>
      <w:r w:rsidR="004821BB" w:rsidRPr="004821BB">
        <w:rPr>
          <w:rFonts w:eastAsia="Calibri" w:cs="Times New Roman"/>
        </w:rPr>
        <w:t xml:space="preserve"> </w:t>
      </w:r>
      <w:r w:rsidR="007653F8">
        <w:rPr>
          <w:rFonts w:eastAsia="Calibri" w:cs="Times New Roman"/>
        </w:rPr>
        <w:t xml:space="preserve">informes </w:t>
      </w:r>
      <w:r w:rsidR="004821BB" w:rsidRPr="004821BB">
        <w:rPr>
          <w:rFonts w:eastAsia="Calibri" w:cs="Times New Roman"/>
        </w:rPr>
        <w:t>y disposiciones técnicas</w:t>
      </w:r>
      <w:r w:rsidR="007653F8">
        <w:rPr>
          <w:rFonts w:eastAsia="Calibri" w:cs="Times New Roman"/>
        </w:rPr>
        <w:t xml:space="preserve"> internacionales</w:t>
      </w:r>
      <w:r w:rsidR="004821BB" w:rsidRPr="004821BB">
        <w:rPr>
          <w:rFonts w:eastAsia="Calibri" w:cs="Times New Roman"/>
        </w:rPr>
        <w:t xml:space="preserve">, </w:t>
      </w:r>
      <w:r w:rsidR="007653F8">
        <w:rPr>
          <w:rFonts w:eastAsia="Calibri" w:cs="Times New Roman"/>
        </w:rPr>
        <w:t xml:space="preserve">se </w:t>
      </w:r>
      <w:r w:rsidR="004821BB" w:rsidRPr="004821BB">
        <w:rPr>
          <w:rFonts w:eastAsia="Calibri" w:cs="Times New Roman"/>
        </w:rPr>
        <w:t>han identificado los siguientes casos de uso para</w:t>
      </w:r>
      <w:r w:rsidR="008964F2">
        <w:rPr>
          <w:rFonts w:eastAsia="Calibri" w:cs="Times New Roman"/>
        </w:rPr>
        <w:t xml:space="preserve"> los</w:t>
      </w:r>
      <w:r w:rsidR="004821BB" w:rsidRPr="004821BB">
        <w:rPr>
          <w:rFonts w:eastAsia="Calibri" w:cs="Times New Roman"/>
        </w:rPr>
        <w:t xml:space="preserve"> </w:t>
      </w:r>
      <w:r w:rsidR="00D37A79">
        <w:rPr>
          <w:rFonts w:eastAsia="Calibri" w:cs="Times New Roman"/>
        </w:rPr>
        <w:t>STI</w:t>
      </w:r>
      <w:r w:rsidR="004821BB" w:rsidRPr="004821BB">
        <w:rPr>
          <w:rFonts w:eastAsia="Calibri" w:cs="Times New Roman"/>
        </w:rPr>
        <w:t>:</w:t>
      </w:r>
    </w:p>
    <w:p w14:paraId="780FB876" w14:textId="77777777" w:rsidR="004821BB" w:rsidRPr="004821BB" w:rsidRDefault="004821BB" w:rsidP="00155F4B">
      <w:pPr>
        <w:spacing w:after="0" w:line="240" w:lineRule="auto"/>
        <w:jc w:val="both"/>
        <w:rPr>
          <w:rFonts w:eastAsia="Calibri" w:cs="Times New Roman"/>
        </w:rPr>
      </w:pPr>
    </w:p>
    <w:p w14:paraId="0E246EB9" w14:textId="77777777" w:rsidR="004821BB" w:rsidRPr="004821BB" w:rsidRDefault="004821BB" w:rsidP="00155F4B">
      <w:pPr>
        <w:numPr>
          <w:ilvl w:val="0"/>
          <w:numId w:val="5"/>
        </w:numPr>
        <w:spacing w:after="0" w:line="240" w:lineRule="auto"/>
        <w:contextualSpacing/>
        <w:jc w:val="both"/>
        <w:rPr>
          <w:rFonts w:eastAsia="Calibri" w:cs="Times New Roman"/>
        </w:rPr>
      </w:pPr>
      <w:r w:rsidRPr="004821BB">
        <w:rPr>
          <w:rFonts w:eastAsia="Calibri" w:cs="Times New Roman"/>
        </w:rPr>
        <w:t>Vehículo a vehículo (V2V)</w:t>
      </w:r>
    </w:p>
    <w:p w14:paraId="20982C7D" w14:textId="178279CE" w:rsidR="00130E06" w:rsidRPr="004821BB" w:rsidRDefault="00130E06" w:rsidP="00130E06">
      <w:pPr>
        <w:numPr>
          <w:ilvl w:val="0"/>
          <w:numId w:val="5"/>
        </w:numPr>
        <w:spacing w:after="0" w:line="240" w:lineRule="auto"/>
        <w:contextualSpacing/>
        <w:jc w:val="both"/>
        <w:rPr>
          <w:rFonts w:eastAsia="Calibri" w:cs="Times New Roman"/>
        </w:rPr>
      </w:pPr>
      <w:r w:rsidRPr="004821BB">
        <w:rPr>
          <w:rFonts w:eastAsia="Calibri" w:cs="Times New Roman"/>
        </w:rPr>
        <w:t>Vehículo a peatón (V2P)</w:t>
      </w:r>
    </w:p>
    <w:p w14:paraId="26B85965" w14:textId="77777777" w:rsidR="004821BB" w:rsidRPr="004821BB" w:rsidRDefault="004821BB" w:rsidP="00155F4B">
      <w:pPr>
        <w:numPr>
          <w:ilvl w:val="0"/>
          <w:numId w:val="5"/>
        </w:numPr>
        <w:spacing w:after="0" w:line="240" w:lineRule="auto"/>
        <w:contextualSpacing/>
        <w:jc w:val="both"/>
        <w:rPr>
          <w:rFonts w:eastAsia="Calibri" w:cs="Times New Roman"/>
        </w:rPr>
      </w:pPr>
      <w:r w:rsidRPr="004821BB">
        <w:rPr>
          <w:rFonts w:eastAsia="Calibri" w:cs="Times New Roman"/>
        </w:rPr>
        <w:t>Vehículo a infraestructura (V2I)</w:t>
      </w:r>
    </w:p>
    <w:p w14:paraId="094A3549" w14:textId="77777777" w:rsidR="004821BB" w:rsidRPr="004821BB" w:rsidRDefault="004821BB" w:rsidP="00155F4B">
      <w:pPr>
        <w:numPr>
          <w:ilvl w:val="0"/>
          <w:numId w:val="5"/>
        </w:numPr>
        <w:spacing w:after="0" w:line="240" w:lineRule="auto"/>
        <w:contextualSpacing/>
        <w:jc w:val="both"/>
        <w:rPr>
          <w:rFonts w:eastAsia="Calibri" w:cs="Times New Roman"/>
        </w:rPr>
      </w:pPr>
      <w:r w:rsidRPr="004821BB">
        <w:rPr>
          <w:rFonts w:eastAsia="Calibri" w:cs="Times New Roman"/>
        </w:rPr>
        <w:t>Vehículo a red (V2N)</w:t>
      </w:r>
    </w:p>
    <w:p w14:paraId="4C08F6D0" w14:textId="15CA9C80" w:rsidR="000338E2" w:rsidRDefault="00A77086" w:rsidP="009D4A66">
      <w:pPr>
        <w:keepNext/>
        <w:spacing w:after="0" w:line="240" w:lineRule="auto"/>
        <w:jc w:val="center"/>
      </w:pPr>
      <w:r>
        <w:rPr>
          <w:rFonts w:eastAsia="Calibri" w:cs="Times New Roman"/>
        </w:rPr>
        <w:lastRenderedPageBreak/>
        <w:pict w14:anchorId="3DDE0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22.05pt">
            <v:imagedata r:id="rId13" o:title="V2x case uses"/>
          </v:shape>
        </w:pict>
      </w:r>
    </w:p>
    <w:p w14:paraId="0EF16C9F" w14:textId="5A4D924F" w:rsidR="003F3976" w:rsidRPr="00E840A1" w:rsidRDefault="000338E2" w:rsidP="00155F4B">
      <w:pPr>
        <w:pStyle w:val="Descripcin"/>
        <w:spacing w:after="0"/>
        <w:jc w:val="center"/>
      </w:pPr>
      <w:bookmarkStart w:id="119" w:name="_Toc79424547"/>
      <w:r w:rsidRPr="002D7072">
        <w:t xml:space="preserve">Ilustración </w:t>
      </w:r>
      <w:r w:rsidR="00F679CA">
        <w:fldChar w:fldCharType="begin"/>
      </w:r>
      <w:r w:rsidR="00F679CA">
        <w:instrText xml:space="preserve"> SEQ Ilustración \* ARABIC </w:instrText>
      </w:r>
      <w:r w:rsidR="00F679CA">
        <w:fldChar w:fldCharType="separate"/>
      </w:r>
      <w:r w:rsidR="00A77086">
        <w:rPr>
          <w:noProof/>
        </w:rPr>
        <w:t>3</w:t>
      </w:r>
      <w:r w:rsidR="00F679CA">
        <w:rPr>
          <w:noProof/>
        </w:rPr>
        <w:fldChar w:fldCharType="end"/>
      </w:r>
      <w:r w:rsidRPr="002D7072">
        <w:t xml:space="preserve">. </w:t>
      </w:r>
      <w:r w:rsidR="00E5456A" w:rsidRPr="002D7072">
        <w:t xml:space="preserve">Diferentes formas de interacción y comunicación de un vehículo en el marco de </w:t>
      </w:r>
      <w:r w:rsidR="00D37A79">
        <w:t>STI</w:t>
      </w:r>
      <w:r w:rsidR="00E840A1">
        <w:t xml:space="preserve"> (elaboración propia)</w:t>
      </w:r>
      <w:bookmarkEnd w:id="119"/>
    </w:p>
    <w:p w14:paraId="5EE0C82E" w14:textId="7F2A4037" w:rsidR="003F3976" w:rsidRDefault="003F3976" w:rsidP="00155F4B">
      <w:pPr>
        <w:spacing w:after="0" w:line="240" w:lineRule="auto"/>
        <w:jc w:val="both"/>
        <w:rPr>
          <w:rFonts w:eastAsia="Calibri" w:cs="Times New Roman"/>
        </w:rPr>
      </w:pPr>
    </w:p>
    <w:p w14:paraId="706C844B" w14:textId="0610E41B" w:rsidR="004821BB" w:rsidRPr="004821BB" w:rsidRDefault="004821BB" w:rsidP="00155F4B">
      <w:pPr>
        <w:spacing w:after="0" w:line="240" w:lineRule="auto"/>
        <w:jc w:val="both"/>
        <w:rPr>
          <w:rFonts w:eastAsia="Calibri" w:cs="Times New Roman"/>
        </w:rPr>
      </w:pPr>
      <w:r w:rsidRPr="004821BB">
        <w:rPr>
          <w:rFonts w:eastAsia="Calibri" w:cs="Times New Roman"/>
        </w:rPr>
        <w:t xml:space="preserve">En las aplicaciones del tipo V2V se prevé que los equipos de usuario (UE, del inglés </w:t>
      </w:r>
      <w:proofErr w:type="spellStart"/>
      <w:r w:rsidRPr="004821BB">
        <w:rPr>
          <w:rFonts w:eastAsia="Calibri" w:cs="Times New Roman"/>
          <w:i/>
        </w:rPr>
        <w:t>User</w:t>
      </w:r>
      <w:proofErr w:type="spellEnd"/>
      <w:r w:rsidRPr="004821BB">
        <w:rPr>
          <w:rFonts w:eastAsia="Calibri" w:cs="Times New Roman"/>
          <w:i/>
        </w:rPr>
        <w:t xml:space="preserve"> </w:t>
      </w:r>
      <w:proofErr w:type="spellStart"/>
      <w:r w:rsidRPr="004821BB">
        <w:rPr>
          <w:rFonts w:eastAsia="Calibri" w:cs="Times New Roman"/>
          <w:i/>
        </w:rPr>
        <w:t>Equipment</w:t>
      </w:r>
      <w:proofErr w:type="spellEnd"/>
      <w:r w:rsidRPr="004821BB">
        <w:rPr>
          <w:rFonts w:eastAsia="Calibri" w:cs="Times New Roman"/>
        </w:rPr>
        <w:t xml:space="preserve">) instalados en los vehículos próximos entre sí intercambien información en un cierto rango de distancia para efectuar la comunicación entre vehículos. En las aplicaciones del tipo V2I los UE instalados en los vehículos transmiten información hacia equipos RSU (del inglés </w:t>
      </w:r>
      <w:r w:rsidRPr="004821BB">
        <w:rPr>
          <w:rFonts w:eastAsia="Calibri" w:cs="Times New Roman"/>
          <w:i/>
        </w:rPr>
        <w:t xml:space="preserve">Road </w:t>
      </w:r>
      <w:proofErr w:type="spellStart"/>
      <w:r w:rsidRPr="004821BB">
        <w:rPr>
          <w:rFonts w:eastAsia="Calibri" w:cs="Times New Roman"/>
          <w:i/>
        </w:rPr>
        <w:t>Side</w:t>
      </w:r>
      <w:proofErr w:type="spellEnd"/>
      <w:r w:rsidRPr="004821BB">
        <w:rPr>
          <w:rFonts w:eastAsia="Calibri" w:cs="Times New Roman"/>
          <w:i/>
        </w:rPr>
        <w:t xml:space="preserve"> </w:t>
      </w:r>
      <w:proofErr w:type="spellStart"/>
      <w:r w:rsidRPr="004821BB">
        <w:rPr>
          <w:rFonts w:eastAsia="Calibri" w:cs="Times New Roman"/>
          <w:i/>
        </w:rPr>
        <w:t>Units</w:t>
      </w:r>
      <w:proofErr w:type="spellEnd"/>
      <w:r w:rsidRPr="004821BB">
        <w:rPr>
          <w:rFonts w:eastAsia="Calibri" w:cs="Times New Roman"/>
        </w:rPr>
        <w:t xml:space="preserve">), ubicados en el camino, lo cual puede ser útil para cuando existe una fila de autos detenida más adelante en el camino, avisando al conductor de manera </w:t>
      </w:r>
      <w:r w:rsidR="00FC0713" w:rsidRPr="004821BB">
        <w:rPr>
          <w:rFonts w:eastAsia="Calibri" w:cs="Times New Roman"/>
        </w:rPr>
        <w:t>anticipada</w:t>
      </w:r>
      <w:r w:rsidR="00FC0713">
        <w:rPr>
          <w:rFonts w:eastAsia="Calibri" w:cs="Times New Roman"/>
        </w:rPr>
        <w:t>,</w:t>
      </w:r>
      <w:r w:rsidR="00FC0713" w:rsidRPr="004821BB">
        <w:rPr>
          <w:rFonts w:eastAsia="Calibri" w:cs="Times New Roman"/>
        </w:rPr>
        <w:t xml:space="preserve"> previniendo</w:t>
      </w:r>
      <w:r w:rsidRPr="004821BB">
        <w:rPr>
          <w:rFonts w:eastAsia="Calibri" w:cs="Times New Roman"/>
        </w:rPr>
        <w:t xml:space="preserve"> accidentes. A su vez, en las aplicaciones del tipo V2N los UE instalados en los vehículos transmiten información hacia servidores de red, en casos donde, por ejemplo, un auto reciba la señal de detenerse en un entorno donde exista ausencia de señalamientos de tránsito en la proximidad de una intersección. Finalmente, en las aplicaciones del tipo V2P se prevé que los UE instalados en los vehículos detecten la existencia de peatones en la proximidad y que éstos a su vez a través de aplicaciones instaladas en teléfonos y relojes inteligentes</w:t>
      </w:r>
      <w:r w:rsidR="000C38B2">
        <w:rPr>
          <w:rFonts w:eastAsia="Calibri" w:cs="Times New Roman"/>
        </w:rPr>
        <w:t>,</w:t>
      </w:r>
      <w:r w:rsidRPr="004821BB">
        <w:rPr>
          <w:rFonts w:eastAsia="Calibri" w:cs="Times New Roman"/>
        </w:rPr>
        <w:t xml:space="preserve"> detecten la proximidad de algún vehículo evitando accidentes por atropellamiento.</w:t>
      </w:r>
    </w:p>
    <w:p w14:paraId="0E1C2D8E" w14:textId="77777777" w:rsidR="004821BB" w:rsidRPr="004821BB" w:rsidRDefault="004821BB" w:rsidP="00155F4B">
      <w:pPr>
        <w:spacing w:after="0" w:line="240" w:lineRule="auto"/>
        <w:jc w:val="both"/>
        <w:rPr>
          <w:rFonts w:eastAsia="Calibri" w:cs="Times New Roman"/>
        </w:rPr>
      </w:pPr>
    </w:p>
    <w:p w14:paraId="6A0C613F" w14:textId="743E8516" w:rsidR="004821BB" w:rsidRPr="004821BB" w:rsidRDefault="004821BB" w:rsidP="00155F4B">
      <w:pPr>
        <w:spacing w:after="0" w:line="240" w:lineRule="auto"/>
        <w:jc w:val="both"/>
        <w:rPr>
          <w:rFonts w:eastAsia="Calibri" w:cs="Times New Roman"/>
        </w:rPr>
      </w:pPr>
      <w:r w:rsidRPr="004821BB">
        <w:rPr>
          <w:rFonts w:eastAsia="Calibri" w:cs="Times New Roman"/>
        </w:rPr>
        <w:t xml:space="preserve">Es importante señalar que, de manera general, todos los cuatro casos de uso para </w:t>
      </w:r>
      <w:r w:rsidR="00D37A79">
        <w:rPr>
          <w:rFonts w:eastAsia="Calibri" w:cs="Times New Roman"/>
        </w:rPr>
        <w:t>STI</w:t>
      </w:r>
      <w:r w:rsidRPr="004821BB">
        <w:rPr>
          <w:rFonts w:eastAsia="Calibri" w:cs="Times New Roman"/>
        </w:rPr>
        <w:t xml:space="preserve"> descritos anteriormente (V2V, V2I, V2N y V2P) son también identificados con el término general “V2X”. Ese fue el primer término acuñado en la literatura y fuentes de consulta para referirse al ecosistema </w:t>
      </w:r>
      <w:r w:rsidR="00D37A79">
        <w:rPr>
          <w:rFonts w:eastAsia="Calibri" w:cs="Times New Roman"/>
        </w:rPr>
        <w:t>STI</w:t>
      </w:r>
      <w:r w:rsidR="00C1176D">
        <w:rPr>
          <w:rFonts w:eastAsia="Calibri" w:cs="Times New Roman"/>
        </w:rPr>
        <w:t>,</w:t>
      </w:r>
      <w:r w:rsidRPr="004821BB">
        <w:rPr>
          <w:rFonts w:eastAsia="Calibri" w:cs="Times New Roman"/>
        </w:rPr>
        <w:t xml:space="preserve"> y proviene del concepto de comunicación “Vehículo a cualquier cosa”.</w:t>
      </w:r>
    </w:p>
    <w:p w14:paraId="0BEB2A32" w14:textId="4FF9DBA8" w:rsidR="004821BB" w:rsidRDefault="004821BB" w:rsidP="00155F4B">
      <w:pPr>
        <w:spacing w:after="0" w:line="240" w:lineRule="auto"/>
        <w:jc w:val="both"/>
        <w:rPr>
          <w:rFonts w:eastAsia="Calibri" w:cs="Times New Roman"/>
        </w:rPr>
      </w:pPr>
    </w:p>
    <w:p w14:paraId="199EA789" w14:textId="237018B5" w:rsidR="00782F90" w:rsidRPr="00782F90" w:rsidRDefault="00D54135" w:rsidP="00782F90">
      <w:pPr>
        <w:spacing w:after="0" w:line="240" w:lineRule="auto"/>
        <w:jc w:val="both"/>
        <w:rPr>
          <w:rFonts w:eastAsia="Calibri" w:cs="Times New Roman"/>
        </w:rPr>
      </w:pPr>
      <w:r>
        <w:rPr>
          <w:rFonts w:eastAsia="Calibri" w:cs="Times New Roman"/>
        </w:rPr>
        <w:t>Con el objeto de brindar a</w:t>
      </w:r>
      <w:r w:rsidR="00782F90">
        <w:rPr>
          <w:rFonts w:eastAsia="Calibri" w:cs="Times New Roman"/>
        </w:rPr>
        <w:t>lgunos</w:t>
      </w:r>
      <w:r w:rsidR="00782F90" w:rsidRPr="00782F90">
        <w:rPr>
          <w:rFonts w:eastAsia="Calibri" w:cs="Times New Roman"/>
        </w:rPr>
        <w:t xml:space="preserve"> </w:t>
      </w:r>
      <w:r w:rsidR="007653F8">
        <w:rPr>
          <w:rFonts w:eastAsia="Calibri" w:cs="Times New Roman"/>
        </w:rPr>
        <w:t>ejemplos</w:t>
      </w:r>
      <w:r w:rsidR="00782F90" w:rsidRPr="00782F90">
        <w:rPr>
          <w:rFonts w:eastAsia="Calibri" w:cs="Times New Roman"/>
        </w:rPr>
        <w:t xml:space="preserve"> de aplicación</w:t>
      </w:r>
      <w:r>
        <w:rPr>
          <w:rFonts w:eastAsia="Calibri" w:cs="Times New Roman"/>
        </w:rPr>
        <w:t xml:space="preserve"> para STI, </w:t>
      </w:r>
      <w:r w:rsidRPr="00782F90">
        <w:rPr>
          <w:rFonts w:eastAsia="Calibri" w:cs="Times New Roman"/>
        </w:rPr>
        <w:t>de forma no limitativa</w:t>
      </w:r>
      <w:r>
        <w:rPr>
          <w:rFonts w:eastAsia="Calibri" w:cs="Times New Roman"/>
        </w:rPr>
        <w:t xml:space="preserve">, se indican </w:t>
      </w:r>
      <w:r w:rsidR="00782F90" w:rsidRPr="00782F90">
        <w:rPr>
          <w:rFonts w:eastAsia="Calibri" w:cs="Times New Roman"/>
        </w:rPr>
        <w:t>los siguientes:</w:t>
      </w:r>
    </w:p>
    <w:p w14:paraId="768E0078" w14:textId="77777777" w:rsidR="00782F90" w:rsidRPr="00782F90" w:rsidRDefault="00782F90" w:rsidP="00782F90">
      <w:pPr>
        <w:spacing w:after="0" w:line="240" w:lineRule="auto"/>
        <w:jc w:val="both"/>
        <w:rPr>
          <w:rFonts w:eastAsia="Calibri" w:cs="Times New Roman"/>
        </w:rPr>
      </w:pPr>
    </w:p>
    <w:p w14:paraId="40B4E34B" w14:textId="2C58791A" w:rsidR="00782F90"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Prevención</w:t>
      </w:r>
      <w:r w:rsidR="00782F90" w:rsidRPr="00C65E8C">
        <w:rPr>
          <w:rFonts w:eastAsia="Calibri" w:cs="Times New Roman"/>
        </w:rPr>
        <w:t xml:space="preserve"> de colisi</w:t>
      </w:r>
      <w:r w:rsidRPr="00C65E8C">
        <w:rPr>
          <w:rFonts w:eastAsia="Calibri" w:cs="Times New Roman"/>
        </w:rPr>
        <w:t>ones</w:t>
      </w:r>
    </w:p>
    <w:p w14:paraId="3F1699CD" w14:textId="559B2E78" w:rsidR="00782F90"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Activación de dispositivos</w:t>
      </w:r>
      <w:r w:rsidR="00782F90" w:rsidRPr="00C65E8C">
        <w:rPr>
          <w:rFonts w:eastAsia="Calibri" w:cs="Times New Roman"/>
        </w:rPr>
        <w:t xml:space="preserve"> de emergencia</w:t>
      </w:r>
    </w:p>
    <w:p w14:paraId="6117146E" w14:textId="21F2BC0D" w:rsidR="00782F90"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Sistemas automatizados en carretera</w:t>
      </w:r>
    </w:p>
    <w:p w14:paraId="0336AF3A" w14:textId="4360DF29" w:rsidR="00C65E8C"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lastRenderedPageBreak/>
        <w:t>Detección y gestión de accidentes</w:t>
      </w:r>
    </w:p>
    <w:p w14:paraId="4D779A53" w14:textId="0BF90AC9" w:rsidR="00782F90"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Gestión de espacios de estacionamiento</w:t>
      </w:r>
    </w:p>
    <w:p w14:paraId="6C1F7937" w14:textId="0E0DB37F" w:rsidR="00C65E8C"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Información de ruta al conductor</w:t>
      </w:r>
    </w:p>
    <w:p w14:paraId="3EABCFA6" w14:textId="156532B5" w:rsidR="00C65E8C"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Gestión de transporte público</w:t>
      </w:r>
    </w:p>
    <w:p w14:paraId="66570E9C" w14:textId="09CDC92C" w:rsidR="00C65E8C"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Control y seguimiento de seguridad del vehículo</w:t>
      </w:r>
    </w:p>
    <w:p w14:paraId="7B5D8BA1" w14:textId="77777777" w:rsidR="00C65E8C"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Seguridad de tránsito</w:t>
      </w:r>
    </w:p>
    <w:p w14:paraId="00683E3E" w14:textId="65E14909" w:rsidR="00782F90"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Gestión de vehículos de socorro</w:t>
      </w:r>
    </w:p>
    <w:p w14:paraId="496C4536" w14:textId="23B22229" w:rsidR="00C65E8C" w:rsidRPr="00C65E8C" w:rsidRDefault="00C65E8C" w:rsidP="00C65E8C">
      <w:pPr>
        <w:pStyle w:val="Prrafodelista"/>
        <w:numPr>
          <w:ilvl w:val="0"/>
          <w:numId w:val="2"/>
        </w:numPr>
        <w:spacing w:after="0" w:line="240" w:lineRule="auto"/>
        <w:jc w:val="both"/>
        <w:rPr>
          <w:rFonts w:eastAsia="Calibri" w:cs="Times New Roman"/>
        </w:rPr>
      </w:pPr>
      <w:r w:rsidRPr="00C65E8C">
        <w:rPr>
          <w:rFonts w:eastAsia="Calibri" w:cs="Times New Roman"/>
        </w:rPr>
        <w:t>Servicios de pago electrónico</w:t>
      </w:r>
    </w:p>
    <w:p w14:paraId="5D645D1B" w14:textId="77777777" w:rsidR="00782F90" w:rsidRPr="004821BB" w:rsidRDefault="00782F90" w:rsidP="00155F4B">
      <w:pPr>
        <w:spacing w:after="0" w:line="240" w:lineRule="auto"/>
        <w:jc w:val="both"/>
        <w:rPr>
          <w:rFonts w:eastAsia="Calibri" w:cs="Times New Roman"/>
        </w:rPr>
      </w:pPr>
    </w:p>
    <w:p w14:paraId="57BE83AC" w14:textId="2A39BD38" w:rsidR="004821BB" w:rsidRPr="00167E38" w:rsidRDefault="004821BB" w:rsidP="00B12202">
      <w:pPr>
        <w:pStyle w:val="Ttulo1"/>
        <w:spacing w:after="0" w:line="240" w:lineRule="auto"/>
      </w:pPr>
      <w:bookmarkStart w:id="120" w:name="_Toc71194802"/>
      <w:bookmarkStart w:id="121" w:name="_Toc79501220"/>
      <w:r w:rsidRPr="00167E38">
        <w:t xml:space="preserve">Caracterización técnica de los </w:t>
      </w:r>
      <w:r w:rsidR="00D37A79" w:rsidRPr="00C65E8C">
        <w:t>STI</w:t>
      </w:r>
      <w:r w:rsidRPr="00167E38">
        <w:t>.</w:t>
      </w:r>
      <w:bookmarkEnd w:id="120"/>
      <w:bookmarkEnd w:id="121"/>
    </w:p>
    <w:p w14:paraId="42CE5093" w14:textId="77777777" w:rsidR="002D7072" w:rsidRPr="00167E38" w:rsidRDefault="002D7072" w:rsidP="00155F4B">
      <w:pPr>
        <w:spacing w:after="0" w:line="240" w:lineRule="auto"/>
        <w:jc w:val="both"/>
        <w:rPr>
          <w:rFonts w:eastAsia="Calibri" w:cs="Times New Roman"/>
        </w:rPr>
      </w:pPr>
    </w:p>
    <w:p w14:paraId="5059FCE9" w14:textId="217F4316" w:rsidR="00906888" w:rsidRDefault="00D54EBE" w:rsidP="00D54EBE">
      <w:pPr>
        <w:spacing w:after="0" w:line="240" w:lineRule="auto"/>
        <w:jc w:val="both"/>
        <w:rPr>
          <w:rFonts w:eastAsia="Calibri" w:cs="Times New Roman"/>
        </w:rPr>
      </w:pPr>
      <w:r>
        <w:rPr>
          <w:rFonts w:eastAsia="Calibri" w:cs="Times New Roman"/>
        </w:rPr>
        <w:t xml:space="preserve">Por lo que respecta al estándar del </w:t>
      </w:r>
      <w:r w:rsidR="00906888" w:rsidRPr="00D54EBE">
        <w:rPr>
          <w:rFonts w:eastAsia="Calibri" w:cs="Times New Roman"/>
        </w:rPr>
        <w:t>IEEE</w:t>
      </w:r>
      <w:r>
        <w:rPr>
          <w:rFonts w:eastAsia="Calibri" w:cs="Times New Roman"/>
        </w:rPr>
        <w:t>, e</w:t>
      </w:r>
      <w:r w:rsidR="00906888" w:rsidRPr="00906888">
        <w:rPr>
          <w:rFonts w:eastAsia="Calibri" w:cs="Times New Roman"/>
        </w:rPr>
        <w:t>l primer estándar se publicó en 2002</w:t>
      </w:r>
      <w:r>
        <w:rPr>
          <w:rFonts w:eastAsia="Calibri" w:cs="Times New Roman"/>
        </w:rPr>
        <w:t xml:space="preserve"> y se denominó </w:t>
      </w:r>
      <w:r w:rsidR="00DA1F4E">
        <w:rPr>
          <w:rFonts w:eastAsia="Calibri" w:cs="Times New Roman"/>
        </w:rPr>
        <w:t xml:space="preserve">IEEE 802.11p </w:t>
      </w:r>
      <w:r w:rsidR="00781DC5">
        <w:rPr>
          <w:rFonts w:eastAsia="Calibri" w:cs="Times New Roman"/>
        </w:rPr>
        <w:t xml:space="preserve">Acceso Inalámbrico en Ambientes Vehiculares (WAVE, por sus siglas en inglés, </w:t>
      </w:r>
      <w:r w:rsidR="00906888" w:rsidRPr="00DA1F4E">
        <w:rPr>
          <w:rFonts w:eastAsia="Calibri" w:cs="Times New Roman"/>
          <w:i/>
          <w:iCs/>
        </w:rPr>
        <w:t xml:space="preserve">Wireless Access in Vehicular </w:t>
      </w:r>
      <w:proofErr w:type="spellStart"/>
      <w:r w:rsidR="00906888" w:rsidRPr="00DA1F4E">
        <w:rPr>
          <w:rFonts w:eastAsia="Calibri" w:cs="Times New Roman"/>
          <w:i/>
          <w:iCs/>
        </w:rPr>
        <w:t>Environments</w:t>
      </w:r>
      <w:proofErr w:type="spellEnd"/>
      <w:r w:rsidR="00781DC5">
        <w:rPr>
          <w:rFonts w:eastAsia="Calibri" w:cs="Times New Roman"/>
        </w:rPr>
        <w:t xml:space="preserve">) </w:t>
      </w:r>
    </w:p>
    <w:p w14:paraId="4723C15C" w14:textId="77777777" w:rsidR="00DA1F4E" w:rsidRDefault="00DA1F4E" w:rsidP="00DA1F4E">
      <w:pPr>
        <w:spacing w:after="0" w:line="240" w:lineRule="auto"/>
        <w:jc w:val="both"/>
        <w:rPr>
          <w:rFonts w:eastAsia="Calibri" w:cs="Times New Roman"/>
        </w:rPr>
      </w:pPr>
    </w:p>
    <w:p w14:paraId="1B758008" w14:textId="115C4E43" w:rsidR="00906888" w:rsidRPr="00DA1F4E" w:rsidRDefault="00DA1F4E" w:rsidP="00DA1F4E">
      <w:pPr>
        <w:spacing w:after="0" w:line="240" w:lineRule="auto"/>
        <w:jc w:val="both"/>
        <w:rPr>
          <w:rFonts w:eastAsia="Calibri" w:cs="Times New Roman"/>
        </w:rPr>
      </w:pPr>
      <w:r>
        <w:rPr>
          <w:rFonts w:eastAsia="Calibri" w:cs="Times New Roman"/>
        </w:rPr>
        <w:t xml:space="preserve">El estándar </w:t>
      </w:r>
      <w:r w:rsidR="00781DC5" w:rsidRPr="00DA1F4E">
        <w:rPr>
          <w:rFonts w:eastAsia="Calibri" w:cs="Times New Roman"/>
        </w:rPr>
        <w:t xml:space="preserve">IEEE 802.11p es una enmienda al estándar IEEE 802.11 (base de los </w:t>
      </w:r>
      <w:r>
        <w:rPr>
          <w:rFonts w:eastAsia="Calibri" w:cs="Times New Roman"/>
        </w:rPr>
        <w:t>sistemas</w:t>
      </w:r>
      <w:r w:rsidR="00781DC5" w:rsidRPr="00DA1F4E">
        <w:rPr>
          <w:rFonts w:eastAsia="Calibri" w:cs="Times New Roman"/>
        </w:rPr>
        <w:t xml:space="preserve"> comercializados como </w:t>
      </w:r>
      <w:proofErr w:type="spellStart"/>
      <w:r w:rsidR="00781DC5" w:rsidRPr="00DA1F4E">
        <w:rPr>
          <w:rFonts w:eastAsia="Calibri" w:cs="Times New Roman"/>
        </w:rPr>
        <w:t>Wi</w:t>
      </w:r>
      <w:proofErr w:type="spellEnd"/>
      <w:r w:rsidR="00781DC5" w:rsidRPr="00DA1F4E">
        <w:rPr>
          <w:rFonts w:eastAsia="Calibri" w:cs="Times New Roman"/>
        </w:rPr>
        <w:t>-Fi) para admitir aplicaciones de STI</w:t>
      </w:r>
      <w:r>
        <w:rPr>
          <w:rFonts w:eastAsia="Calibri" w:cs="Times New Roman"/>
        </w:rPr>
        <w:t xml:space="preserve">, el cual </w:t>
      </w:r>
      <w:r w:rsidR="00781DC5" w:rsidRPr="00DA1F4E">
        <w:rPr>
          <w:rFonts w:eastAsia="Calibri" w:cs="Times New Roman"/>
        </w:rPr>
        <w:t>incluye el intercambio de datos entre vehículos de alta velocidad y entre los vehículos y la infraestructura de la carretera</w:t>
      </w:r>
      <w:r>
        <w:rPr>
          <w:rFonts w:eastAsia="Calibri" w:cs="Times New Roman"/>
        </w:rPr>
        <w:t xml:space="preserve"> </w:t>
      </w:r>
      <w:r w:rsidR="00781DC5" w:rsidRPr="00DA1F4E">
        <w:rPr>
          <w:rFonts w:eastAsia="Calibri" w:cs="Times New Roman"/>
        </w:rPr>
        <w:t>en la banda 585</w:t>
      </w:r>
      <w:r>
        <w:rPr>
          <w:rFonts w:eastAsia="Calibri" w:cs="Times New Roman"/>
        </w:rPr>
        <w:t>0</w:t>
      </w:r>
      <w:r w:rsidR="00781DC5" w:rsidRPr="00DA1F4E">
        <w:rPr>
          <w:rFonts w:eastAsia="Calibri" w:cs="Times New Roman"/>
        </w:rPr>
        <w:t xml:space="preserve">–5925 </w:t>
      </w:r>
      <w:r>
        <w:rPr>
          <w:rFonts w:eastAsia="Calibri" w:cs="Times New Roman"/>
        </w:rPr>
        <w:t>M</w:t>
      </w:r>
      <w:r w:rsidR="00781DC5" w:rsidRPr="00DA1F4E">
        <w:rPr>
          <w:rFonts w:eastAsia="Calibri" w:cs="Times New Roman"/>
        </w:rPr>
        <w:t>Hz. A su vez, 802.11p es la base para las comunicaciones dedicadas de corto alcance (DSRC), un proyecto para redes de comunicaciones basadas en vehículos, particularmente para aplicaciones tales como cobro de peajes, servicios de seguridad vehicular y transacciones comerciales a través de automóviles.</w:t>
      </w:r>
    </w:p>
    <w:p w14:paraId="1E7D2A2B" w14:textId="77777777" w:rsidR="00DA1F4E" w:rsidRDefault="00DA1F4E" w:rsidP="00DA1F4E">
      <w:pPr>
        <w:spacing w:after="0" w:line="240" w:lineRule="auto"/>
        <w:jc w:val="both"/>
        <w:rPr>
          <w:rFonts w:eastAsia="Calibri" w:cs="Times New Roman"/>
          <w:highlight w:val="yellow"/>
        </w:rPr>
      </w:pPr>
    </w:p>
    <w:p w14:paraId="41C1A07D" w14:textId="51E5C5B2" w:rsidR="00781DC5" w:rsidRPr="00DA1F4E" w:rsidRDefault="00781DC5" w:rsidP="00DA1F4E">
      <w:pPr>
        <w:spacing w:after="0" w:line="240" w:lineRule="auto"/>
        <w:jc w:val="both"/>
        <w:rPr>
          <w:rFonts w:eastAsia="Calibri" w:cs="Times New Roman"/>
        </w:rPr>
      </w:pPr>
      <w:r w:rsidRPr="00DA1F4E">
        <w:rPr>
          <w:rFonts w:eastAsia="Calibri" w:cs="Times New Roman"/>
        </w:rPr>
        <w:t xml:space="preserve">Respecto a DSRC, este servicio incluye comunicaciones de V2V y de V2I, lo que ayuda a proteger la seguridad del público que viaja o se desplaza en vehículos. Tiene el potencial de advertir a los conductores de una condición o evento peligroso inminente para tomar acciones correctivas o evasivas. </w:t>
      </w:r>
      <w:r w:rsidR="00DA1F4E">
        <w:rPr>
          <w:rFonts w:eastAsia="Calibri" w:cs="Times New Roman"/>
        </w:rPr>
        <w:t>Adicionalmente, l</w:t>
      </w:r>
      <w:r w:rsidRPr="00DA1F4E">
        <w:rPr>
          <w:rFonts w:eastAsia="Calibri" w:cs="Times New Roman"/>
        </w:rPr>
        <w:t>as comunicaciones V2X vía DSRC cubren escenarios como advertencias de colisión, pago de peaje, estacionamiento y alertas de límite de velocidad, más allá de las aplicaciones de sensores limitados por la línea de visión.</w:t>
      </w:r>
    </w:p>
    <w:p w14:paraId="3C36BC25" w14:textId="77777777" w:rsidR="00781DC5" w:rsidRPr="00DA1F4E" w:rsidRDefault="00781DC5" w:rsidP="00DA1F4E">
      <w:pPr>
        <w:spacing w:after="0" w:line="240" w:lineRule="auto"/>
        <w:jc w:val="both"/>
        <w:rPr>
          <w:rFonts w:eastAsia="Calibri" w:cs="Times New Roman"/>
        </w:rPr>
      </w:pPr>
    </w:p>
    <w:p w14:paraId="34133019" w14:textId="0AD56B13" w:rsidR="00781DC5" w:rsidRPr="00DA1F4E" w:rsidRDefault="00781DC5" w:rsidP="00DA1F4E">
      <w:pPr>
        <w:spacing w:after="0" w:line="240" w:lineRule="auto"/>
        <w:jc w:val="both"/>
        <w:rPr>
          <w:rFonts w:eastAsia="Calibri" w:cs="Times New Roman"/>
          <w:highlight w:val="yellow"/>
        </w:rPr>
      </w:pPr>
      <w:r w:rsidRPr="00DA1F4E">
        <w:rPr>
          <w:rFonts w:eastAsia="Calibri" w:cs="Times New Roman"/>
        </w:rPr>
        <w:t>El equipo del servicio DSRC comprende unidades a bordo (OBU) y unidades de carretera (RSU). Una OBU es un transceptor que normalmente se monta en un vehículo o, en algunos casos, puede ser una unidad portátil. Una RSU es un transceptor que se monta a lo largo de una carretera o un pasillo peatonal. Una RSU también puede montarse en un vehículo o llevarse a mano, pero solo puede funcionar cuando el vehículo o la unidad de mano están estacionados. Una RSU transmite datos a OBU o intercambia datos con OBU en su zona de comunicaciones. Las propiedades funcionales del estándar 802.11p incluyen comunicaciones de corto alcance, a menos de 1 km, baja latencia, con una alta confiabilidad lo que propicia la interoperabilidad.</w:t>
      </w:r>
    </w:p>
    <w:p w14:paraId="07F6DDD3" w14:textId="77777777" w:rsidR="00781DC5" w:rsidRPr="002E1339" w:rsidRDefault="00781DC5" w:rsidP="002E1339">
      <w:pPr>
        <w:spacing w:after="0" w:line="240" w:lineRule="auto"/>
        <w:jc w:val="both"/>
        <w:rPr>
          <w:rFonts w:eastAsia="Calibri" w:cs="Times New Roman"/>
        </w:rPr>
      </w:pPr>
    </w:p>
    <w:p w14:paraId="36FE8822" w14:textId="3D3B69BC" w:rsidR="00167E38" w:rsidRPr="00167E38" w:rsidRDefault="00F711D2" w:rsidP="00167E38">
      <w:pPr>
        <w:spacing w:after="0" w:line="240" w:lineRule="auto"/>
        <w:jc w:val="both"/>
        <w:rPr>
          <w:rFonts w:eastAsia="Calibri" w:cs="Times New Roman"/>
        </w:rPr>
      </w:pPr>
      <w:r>
        <w:rPr>
          <w:rFonts w:eastAsia="Calibri" w:cs="Times New Roman"/>
        </w:rPr>
        <w:t xml:space="preserve">En lo tocante al estándar para V2X realizado por el </w:t>
      </w:r>
      <w:r w:rsidR="00906888" w:rsidRPr="002E1339">
        <w:rPr>
          <w:rFonts w:eastAsia="Calibri" w:cs="Times New Roman"/>
        </w:rPr>
        <w:t>3GPP</w:t>
      </w:r>
      <w:r>
        <w:rPr>
          <w:rFonts w:eastAsia="Calibri" w:cs="Times New Roman"/>
        </w:rPr>
        <w:t>, este</w:t>
      </w:r>
      <w:r w:rsidR="00167E38">
        <w:rPr>
          <w:rFonts w:eastAsia="Calibri" w:cs="Times New Roman"/>
        </w:rPr>
        <w:t xml:space="preserve"> </w:t>
      </w:r>
      <w:r w:rsidR="0088450C">
        <w:rPr>
          <w:rFonts w:eastAsia="Calibri" w:cs="Times New Roman"/>
        </w:rPr>
        <w:t xml:space="preserve">se denominó C-V2X y por primera vez se incluyó </w:t>
      </w:r>
      <w:r w:rsidR="00167E38" w:rsidRPr="00167E38">
        <w:rPr>
          <w:rFonts w:eastAsia="Calibri" w:cs="Times New Roman"/>
        </w:rPr>
        <w:t xml:space="preserve">en </w:t>
      </w:r>
      <w:r w:rsidR="0088450C">
        <w:rPr>
          <w:rFonts w:eastAsia="Calibri" w:cs="Times New Roman"/>
        </w:rPr>
        <w:t xml:space="preserve">el </w:t>
      </w:r>
      <w:proofErr w:type="spellStart"/>
      <w:r w:rsidR="00167E38" w:rsidRPr="00F711D2">
        <w:rPr>
          <w:rFonts w:eastAsia="Calibri" w:cs="Times New Roman"/>
          <w:i/>
        </w:rPr>
        <w:t>Release</w:t>
      </w:r>
      <w:proofErr w:type="spellEnd"/>
      <w:r w:rsidR="00167E38" w:rsidRPr="00F711D2">
        <w:rPr>
          <w:rFonts w:eastAsia="Calibri" w:cs="Times New Roman"/>
          <w:i/>
        </w:rPr>
        <w:t xml:space="preserve"> 14</w:t>
      </w:r>
      <w:r w:rsidR="00167E38">
        <w:rPr>
          <w:rFonts w:eastAsia="Calibri" w:cs="Times New Roman"/>
        </w:rPr>
        <w:t xml:space="preserve"> </w:t>
      </w:r>
      <w:r w:rsidR="00167E38" w:rsidRPr="00167E38">
        <w:rPr>
          <w:rFonts w:eastAsia="Calibri" w:cs="Times New Roman"/>
        </w:rPr>
        <w:t xml:space="preserve">en 2014. Debido a que las </w:t>
      </w:r>
      <w:r w:rsidR="0088450C">
        <w:rPr>
          <w:rFonts w:eastAsia="Calibri" w:cs="Times New Roman"/>
        </w:rPr>
        <w:t xml:space="preserve">aplicaciones </w:t>
      </w:r>
      <w:r w:rsidR="00167E38" w:rsidRPr="00167E38">
        <w:rPr>
          <w:rFonts w:eastAsia="Calibri" w:cs="Times New Roman"/>
        </w:rPr>
        <w:t xml:space="preserve">de C-V2X se basan en </w:t>
      </w:r>
      <w:r w:rsidR="0088450C">
        <w:rPr>
          <w:rFonts w:eastAsia="Calibri" w:cs="Times New Roman"/>
        </w:rPr>
        <w:t xml:space="preserve">las </w:t>
      </w:r>
      <w:r w:rsidR="0088450C" w:rsidRPr="00167E38">
        <w:rPr>
          <w:rFonts w:eastAsia="Calibri" w:cs="Times New Roman"/>
        </w:rPr>
        <w:t xml:space="preserve">funcionalidades </w:t>
      </w:r>
      <w:r w:rsidR="0088450C">
        <w:rPr>
          <w:rFonts w:eastAsia="Calibri" w:cs="Times New Roman"/>
        </w:rPr>
        <w:t xml:space="preserve">de </w:t>
      </w:r>
      <w:r w:rsidR="00167E38" w:rsidRPr="00167E38">
        <w:rPr>
          <w:rFonts w:eastAsia="Calibri" w:cs="Times New Roman"/>
        </w:rPr>
        <w:t xml:space="preserve">LTE, </w:t>
      </w:r>
      <w:r w:rsidR="0088450C">
        <w:rPr>
          <w:rFonts w:eastAsia="Calibri" w:cs="Times New Roman"/>
        </w:rPr>
        <w:t>e</w:t>
      </w:r>
      <w:r w:rsidR="00167E38" w:rsidRPr="00167E38">
        <w:rPr>
          <w:rFonts w:eastAsia="Calibri" w:cs="Times New Roman"/>
        </w:rPr>
        <w:t xml:space="preserve">l alcance de las </w:t>
      </w:r>
      <w:r w:rsidR="0088450C">
        <w:rPr>
          <w:rFonts w:eastAsia="Calibri" w:cs="Times New Roman"/>
        </w:rPr>
        <w:t xml:space="preserve">aplicaciones </w:t>
      </w:r>
      <w:r w:rsidR="00167E38" w:rsidRPr="00167E38">
        <w:rPr>
          <w:rFonts w:eastAsia="Calibri" w:cs="Times New Roman"/>
        </w:rPr>
        <w:lastRenderedPageBreak/>
        <w:t>admitidas por C-V2X incluye tanto la comunicación directa (V2V, V2I) como la comunicación de red celular de área amplia (V2N)</w:t>
      </w:r>
      <w:r w:rsidR="0088450C">
        <w:rPr>
          <w:rFonts w:eastAsia="Calibri" w:cs="Times New Roman"/>
        </w:rPr>
        <w:t>, de lo anterior es que comúnmente se denomina LTE-V2X</w:t>
      </w:r>
      <w:r w:rsidR="00167E38" w:rsidRPr="00167E38">
        <w:rPr>
          <w:rFonts w:eastAsia="Calibri" w:cs="Times New Roman"/>
        </w:rPr>
        <w:t>.</w:t>
      </w:r>
    </w:p>
    <w:p w14:paraId="5DB94B21" w14:textId="77777777" w:rsidR="00167E38" w:rsidRPr="00167E38" w:rsidRDefault="00167E38" w:rsidP="00167E38">
      <w:pPr>
        <w:spacing w:after="0" w:line="240" w:lineRule="auto"/>
        <w:jc w:val="both"/>
        <w:rPr>
          <w:rFonts w:eastAsia="Calibri" w:cs="Times New Roman"/>
        </w:rPr>
      </w:pPr>
    </w:p>
    <w:p w14:paraId="28841578" w14:textId="649910C3" w:rsidR="00167E38" w:rsidRPr="00167E38" w:rsidRDefault="00167E38" w:rsidP="00167E38">
      <w:pPr>
        <w:spacing w:after="0" w:line="240" w:lineRule="auto"/>
        <w:jc w:val="both"/>
        <w:rPr>
          <w:rFonts w:eastAsia="Calibri" w:cs="Times New Roman"/>
        </w:rPr>
      </w:pPr>
      <w:r w:rsidRPr="00167E38">
        <w:rPr>
          <w:rFonts w:eastAsia="Calibri" w:cs="Times New Roman"/>
        </w:rPr>
        <w:t xml:space="preserve">En </w:t>
      </w:r>
      <w:r w:rsidR="0088450C">
        <w:rPr>
          <w:rFonts w:eastAsia="Calibri" w:cs="Times New Roman"/>
        </w:rPr>
        <w:t xml:space="preserve">el </w:t>
      </w:r>
      <w:proofErr w:type="spellStart"/>
      <w:r w:rsidR="0088450C" w:rsidRPr="0088450C">
        <w:rPr>
          <w:rFonts w:eastAsia="Calibri" w:cs="Times New Roman"/>
          <w:i/>
        </w:rPr>
        <w:t>Release</w:t>
      </w:r>
      <w:proofErr w:type="spellEnd"/>
      <w:r w:rsidRPr="00167E38">
        <w:rPr>
          <w:rFonts w:eastAsia="Calibri" w:cs="Times New Roman"/>
        </w:rPr>
        <w:t xml:space="preserve"> 15, </w:t>
      </w:r>
      <w:r w:rsidR="0088450C">
        <w:rPr>
          <w:rFonts w:eastAsia="Calibri" w:cs="Times New Roman"/>
        </w:rPr>
        <w:t xml:space="preserve">el </w:t>
      </w:r>
      <w:r w:rsidRPr="00167E38">
        <w:rPr>
          <w:rFonts w:eastAsia="Calibri" w:cs="Times New Roman"/>
        </w:rPr>
        <w:t xml:space="preserve">3GPP continuó su estandarización C-V2X para basarse en 5G. Las especificaciones se publicaron en 2018 </w:t>
      </w:r>
      <w:r w:rsidR="0088450C">
        <w:rPr>
          <w:rFonts w:eastAsia="Calibri" w:cs="Times New Roman"/>
        </w:rPr>
        <w:t xml:space="preserve">y </w:t>
      </w:r>
      <w:r w:rsidRPr="00167E38">
        <w:rPr>
          <w:rFonts w:eastAsia="Calibri" w:cs="Times New Roman"/>
        </w:rPr>
        <w:t xml:space="preserve">el término </w:t>
      </w:r>
      <w:r w:rsidR="0088450C">
        <w:rPr>
          <w:rFonts w:eastAsia="Calibri" w:cs="Times New Roman"/>
        </w:rPr>
        <w:t xml:space="preserve">empleado en esta versión fue el de </w:t>
      </w:r>
      <w:r w:rsidR="0088450C" w:rsidRPr="00167E38">
        <w:rPr>
          <w:rFonts w:eastAsia="Calibri" w:cs="Times New Roman"/>
        </w:rPr>
        <w:t>5G-V2X</w:t>
      </w:r>
      <w:r w:rsidR="0088450C">
        <w:rPr>
          <w:rFonts w:eastAsia="Calibri" w:cs="Times New Roman"/>
        </w:rPr>
        <w:t>,</w:t>
      </w:r>
      <w:r w:rsidR="0088450C" w:rsidRPr="00167E38">
        <w:rPr>
          <w:rFonts w:eastAsia="Calibri" w:cs="Times New Roman"/>
        </w:rPr>
        <w:t xml:space="preserve"> </w:t>
      </w:r>
      <w:r w:rsidRPr="00167E38">
        <w:rPr>
          <w:rFonts w:eastAsia="Calibri" w:cs="Times New Roman"/>
        </w:rPr>
        <w:t>en contraste con LTE-V2X. En cualquier caso, C-V2X es la terminología genérica que se refiere a la tecnología V2X que utiliza la tecnología celular independientemente de la generación específica de tecnología.</w:t>
      </w:r>
      <w:r>
        <w:rPr>
          <w:rStyle w:val="Refdenotaalpie"/>
          <w:rFonts w:eastAsia="Calibri" w:cs="Times New Roman"/>
        </w:rPr>
        <w:footnoteReference w:id="26"/>
      </w:r>
    </w:p>
    <w:p w14:paraId="6E386652" w14:textId="77777777" w:rsidR="00167E38" w:rsidRPr="00167E38" w:rsidRDefault="00167E38" w:rsidP="00167E38">
      <w:pPr>
        <w:spacing w:after="0" w:line="240" w:lineRule="auto"/>
        <w:jc w:val="both"/>
        <w:rPr>
          <w:rFonts w:eastAsia="Calibri" w:cs="Times New Roman"/>
        </w:rPr>
      </w:pPr>
    </w:p>
    <w:p w14:paraId="04BA4DCE" w14:textId="2532B32B" w:rsidR="00167E38" w:rsidRPr="00167E38" w:rsidRDefault="00167E38" w:rsidP="00167E38">
      <w:pPr>
        <w:spacing w:after="0" w:line="240" w:lineRule="auto"/>
        <w:jc w:val="both"/>
        <w:rPr>
          <w:rFonts w:eastAsia="Calibri" w:cs="Times New Roman"/>
        </w:rPr>
      </w:pPr>
      <w:r w:rsidRPr="00167E38">
        <w:rPr>
          <w:rFonts w:eastAsia="Calibri" w:cs="Times New Roman"/>
        </w:rPr>
        <w:t xml:space="preserve">En </w:t>
      </w:r>
      <w:r w:rsidR="0088450C">
        <w:rPr>
          <w:rFonts w:eastAsia="Calibri" w:cs="Times New Roman"/>
        </w:rPr>
        <w:t xml:space="preserve">el </w:t>
      </w:r>
      <w:proofErr w:type="spellStart"/>
      <w:r w:rsidR="0088450C" w:rsidRPr="0088450C">
        <w:rPr>
          <w:rFonts w:eastAsia="Calibri" w:cs="Times New Roman"/>
          <w:i/>
        </w:rPr>
        <w:t>Rel</w:t>
      </w:r>
      <w:r w:rsidR="000F70B0">
        <w:rPr>
          <w:rFonts w:eastAsia="Calibri" w:cs="Times New Roman"/>
          <w:i/>
        </w:rPr>
        <w:t>e</w:t>
      </w:r>
      <w:r w:rsidR="0088450C" w:rsidRPr="0088450C">
        <w:rPr>
          <w:rFonts w:eastAsia="Calibri" w:cs="Times New Roman"/>
          <w:i/>
        </w:rPr>
        <w:t>ase</w:t>
      </w:r>
      <w:proofErr w:type="spellEnd"/>
      <w:r w:rsidRPr="00167E38">
        <w:rPr>
          <w:rFonts w:eastAsia="Calibri" w:cs="Times New Roman"/>
        </w:rPr>
        <w:t xml:space="preserve"> 16, </w:t>
      </w:r>
      <w:r w:rsidR="0088450C">
        <w:rPr>
          <w:rFonts w:eastAsia="Calibri" w:cs="Times New Roman"/>
        </w:rPr>
        <w:t xml:space="preserve">el </w:t>
      </w:r>
      <w:r w:rsidRPr="00167E38">
        <w:rPr>
          <w:rFonts w:eastAsia="Calibri" w:cs="Times New Roman"/>
        </w:rPr>
        <w:t>3GPP mejora aún más la funcionalidad C-V2X. El trabajo está actualmente en curso. De esta manera, C-V2X está intrínsecamente preparado para el futuro al admitir la ruta de migración a 5G.</w:t>
      </w:r>
    </w:p>
    <w:p w14:paraId="7A478E9B" w14:textId="77777777" w:rsidR="00167E38" w:rsidRPr="00167E38" w:rsidRDefault="00167E38" w:rsidP="00167E38">
      <w:pPr>
        <w:spacing w:after="0" w:line="240" w:lineRule="auto"/>
        <w:jc w:val="both"/>
        <w:rPr>
          <w:rFonts w:eastAsia="Calibri" w:cs="Times New Roman"/>
        </w:rPr>
      </w:pPr>
    </w:p>
    <w:p w14:paraId="427CFCD3" w14:textId="49FCF24D" w:rsidR="00167E38" w:rsidRPr="00167E38" w:rsidRDefault="00167E38" w:rsidP="00167E38">
      <w:pPr>
        <w:spacing w:after="0" w:line="240" w:lineRule="auto"/>
        <w:jc w:val="both"/>
        <w:rPr>
          <w:rFonts w:eastAsia="Calibri" w:cs="Times New Roman"/>
        </w:rPr>
      </w:pPr>
      <w:r w:rsidRPr="00167E38">
        <w:rPr>
          <w:rFonts w:eastAsia="Calibri" w:cs="Times New Roman"/>
        </w:rPr>
        <w:t xml:space="preserve">La solución </w:t>
      </w:r>
      <w:r w:rsidR="003D1C69">
        <w:rPr>
          <w:rFonts w:eastAsia="Calibri" w:cs="Times New Roman"/>
        </w:rPr>
        <w:t>C-</w:t>
      </w:r>
      <w:r w:rsidR="0088450C">
        <w:rPr>
          <w:rFonts w:eastAsia="Calibri" w:cs="Times New Roman"/>
        </w:rPr>
        <w:t>V2X</w:t>
      </w:r>
      <w:r w:rsidRPr="00167E38">
        <w:rPr>
          <w:rFonts w:eastAsia="Calibri" w:cs="Times New Roman"/>
        </w:rPr>
        <w:t xml:space="preserve"> brinda la posibilidad de proteger a otros tipos de usuarios </w:t>
      </w:r>
      <w:r w:rsidR="003D1C69">
        <w:rPr>
          <w:rFonts w:eastAsia="Calibri" w:cs="Times New Roman"/>
        </w:rPr>
        <w:t>en la vía vehicular</w:t>
      </w:r>
      <w:r w:rsidRPr="00167E38">
        <w:rPr>
          <w:rFonts w:eastAsia="Calibri" w:cs="Times New Roman"/>
        </w:rPr>
        <w:t xml:space="preserve"> (por ejemplo, peatones</w:t>
      </w:r>
      <w:r>
        <w:rPr>
          <w:rFonts w:eastAsia="Calibri" w:cs="Times New Roman"/>
        </w:rPr>
        <w:t xml:space="preserve"> y</w:t>
      </w:r>
      <w:r w:rsidRPr="00167E38">
        <w:rPr>
          <w:rFonts w:eastAsia="Calibri" w:cs="Times New Roman"/>
        </w:rPr>
        <w:t xml:space="preserve"> ciclistas) al tener una interfaz para integrarse en los teléfonos inteligentes, integrando de manera efectiva a esos usuarios de la carretera en la solución STI celular general. </w:t>
      </w:r>
    </w:p>
    <w:p w14:paraId="2DF273CF" w14:textId="77777777" w:rsidR="002D7072" w:rsidRPr="00167E38" w:rsidRDefault="002D7072" w:rsidP="00155F4B">
      <w:pPr>
        <w:spacing w:after="0" w:line="240" w:lineRule="auto"/>
        <w:jc w:val="both"/>
        <w:rPr>
          <w:rFonts w:eastAsia="Calibri" w:cs="Times New Roman"/>
        </w:rPr>
      </w:pPr>
    </w:p>
    <w:p w14:paraId="191F9DE6" w14:textId="77777777" w:rsidR="00C768CC" w:rsidRPr="00167E38" w:rsidRDefault="00C768CC" w:rsidP="001303BB">
      <w:pPr>
        <w:pStyle w:val="Ttulo1"/>
        <w:spacing w:after="0" w:line="240" w:lineRule="auto"/>
      </w:pPr>
      <w:bookmarkStart w:id="122" w:name="_Toc71194803"/>
      <w:bookmarkStart w:id="123" w:name="_Toc78919712"/>
      <w:bookmarkStart w:id="124" w:name="_Toc79501221"/>
      <w:r w:rsidRPr="00167E38">
        <w:t>Los ITS y su relación con tecnologías 5G.</w:t>
      </w:r>
      <w:bookmarkEnd w:id="122"/>
      <w:bookmarkEnd w:id="123"/>
      <w:bookmarkEnd w:id="124"/>
    </w:p>
    <w:p w14:paraId="30002090" w14:textId="77777777" w:rsidR="00C768CC" w:rsidRDefault="00C768CC" w:rsidP="00155F4B">
      <w:pPr>
        <w:spacing w:after="0" w:line="240" w:lineRule="auto"/>
        <w:jc w:val="both"/>
        <w:rPr>
          <w:rFonts w:eastAsia="Calibri" w:cs="Times New Roman"/>
        </w:rPr>
      </w:pPr>
    </w:p>
    <w:p w14:paraId="4951A60A" w14:textId="6CF938AC" w:rsidR="004821BB" w:rsidRPr="00167E38" w:rsidRDefault="00167E38" w:rsidP="00155F4B">
      <w:pPr>
        <w:spacing w:after="0" w:line="240" w:lineRule="auto"/>
        <w:jc w:val="both"/>
        <w:rPr>
          <w:rFonts w:eastAsia="Calibri" w:cs="Times New Roman"/>
        </w:rPr>
      </w:pPr>
      <w:r w:rsidRPr="00E248C2">
        <w:rPr>
          <w:rFonts w:eastAsia="Calibri" w:cs="Times New Roman"/>
        </w:rPr>
        <w:t>Como se ha mencionado</w:t>
      </w:r>
      <w:r w:rsidR="004821BB" w:rsidRPr="00167E38">
        <w:rPr>
          <w:rFonts w:eastAsia="Calibri" w:cs="Times New Roman"/>
        </w:rPr>
        <w:t xml:space="preserve">, el ecosistema 5G se cruza de manera vertical con el ecosistema </w:t>
      </w:r>
      <w:r w:rsidR="00D37A79" w:rsidRPr="00E248C2">
        <w:rPr>
          <w:rFonts w:eastAsia="Calibri" w:cs="Times New Roman"/>
        </w:rPr>
        <w:t>STI</w:t>
      </w:r>
      <w:r w:rsidR="007F74AD" w:rsidRPr="00167E38">
        <w:rPr>
          <w:rFonts w:eastAsia="Calibri" w:cs="Times New Roman"/>
        </w:rPr>
        <w:t>,</w:t>
      </w:r>
      <w:r w:rsidR="004821BB" w:rsidRPr="00167E38">
        <w:rPr>
          <w:rFonts w:eastAsia="Calibri" w:cs="Times New Roman"/>
        </w:rPr>
        <w:t xml:space="preserve"> ya que los casos de uso de la tecnología 5G se encuentran directamente relacionados con los </w:t>
      </w:r>
      <w:r w:rsidR="00D37A79" w:rsidRPr="00E248C2">
        <w:rPr>
          <w:rFonts w:eastAsia="Calibri" w:cs="Times New Roman"/>
        </w:rPr>
        <w:t>STI</w:t>
      </w:r>
      <w:r w:rsidR="004821BB" w:rsidRPr="00167E38">
        <w:rPr>
          <w:rFonts w:eastAsia="Calibri" w:cs="Times New Roman"/>
        </w:rPr>
        <w:t>.</w:t>
      </w:r>
    </w:p>
    <w:p w14:paraId="5C5B9F4E" w14:textId="77777777" w:rsidR="002D35DF" w:rsidRPr="00167E38" w:rsidRDefault="002D35DF" w:rsidP="00155F4B">
      <w:pPr>
        <w:spacing w:after="0" w:line="240" w:lineRule="auto"/>
        <w:jc w:val="both"/>
        <w:rPr>
          <w:rFonts w:eastAsia="Calibri" w:cs="Times New Roman"/>
        </w:rPr>
      </w:pPr>
    </w:p>
    <w:p w14:paraId="41FB4CBA" w14:textId="05D7AACB" w:rsidR="004821BB" w:rsidRPr="00167E38" w:rsidRDefault="004821BB" w:rsidP="00155F4B">
      <w:pPr>
        <w:spacing w:after="0" w:line="240" w:lineRule="auto"/>
        <w:jc w:val="both"/>
        <w:rPr>
          <w:rFonts w:eastAsia="Calibri" w:cs="Times New Roman"/>
        </w:rPr>
      </w:pPr>
      <w:r w:rsidRPr="00167E38">
        <w:rPr>
          <w:rFonts w:eastAsia="Calibri" w:cs="Times New Roman"/>
        </w:rPr>
        <w:t xml:space="preserve">Como sabemos, los servicios móviles de quinta generación son completamente diferentes a los servicios actuales de tercera y cuarta generación, estos contemplan novedosos casos de uso como: comunicaciones de gran fiabilidad y baja latencia (URLLC, </w:t>
      </w:r>
      <w:r w:rsidRPr="00167E38">
        <w:rPr>
          <w:rFonts w:eastAsia="Calibri" w:cs="Times New Roman"/>
          <w:i/>
        </w:rPr>
        <w:t xml:space="preserve">Ultra </w:t>
      </w:r>
      <w:proofErr w:type="spellStart"/>
      <w:r w:rsidRPr="00167E38">
        <w:rPr>
          <w:rFonts w:eastAsia="Calibri" w:cs="Times New Roman"/>
          <w:i/>
        </w:rPr>
        <w:t>Reliable</w:t>
      </w:r>
      <w:proofErr w:type="spellEnd"/>
      <w:r w:rsidRPr="00167E38">
        <w:rPr>
          <w:rFonts w:eastAsia="Calibri" w:cs="Times New Roman"/>
          <w:i/>
        </w:rPr>
        <w:t xml:space="preserve"> Low </w:t>
      </w:r>
      <w:proofErr w:type="spellStart"/>
      <w:r w:rsidRPr="00167E38">
        <w:rPr>
          <w:rFonts w:eastAsia="Calibri" w:cs="Times New Roman"/>
          <w:i/>
        </w:rPr>
        <w:t>Latency</w:t>
      </w:r>
      <w:proofErr w:type="spellEnd"/>
      <w:r w:rsidRPr="00167E38">
        <w:rPr>
          <w:rFonts w:eastAsia="Calibri" w:cs="Times New Roman"/>
          <w:i/>
        </w:rPr>
        <w:t xml:space="preserve"> </w:t>
      </w:r>
      <w:proofErr w:type="spellStart"/>
      <w:r w:rsidRPr="00167E38">
        <w:rPr>
          <w:rFonts w:eastAsia="Calibri" w:cs="Times New Roman"/>
          <w:i/>
        </w:rPr>
        <w:t>Communications</w:t>
      </w:r>
      <w:proofErr w:type="spellEnd"/>
      <w:r w:rsidRPr="00167E38">
        <w:rPr>
          <w:rFonts w:eastAsia="Calibri" w:cs="Times New Roman"/>
        </w:rPr>
        <w:t>), banda ancha móvil mejorada (</w:t>
      </w:r>
      <w:proofErr w:type="spellStart"/>
      <w:r w:rsidRPr="00167E38">
        <w:rPr>
          <w:rFonts w:eastAsia="Calibri" w:cs="Times New Roman"/>
        </w:rPr>
        <w:t>eMBB</w:t>
      </w:r>
      <w:proofErr w:type="spellEnd"/>
      <w:r w:rsidRPr="00167E38">
        <w:rPr>
          <w:rFonts w:eastAsia="Calibri" w:cs="Times New Roman"/>
        </w:rPr>
        <w:t xml:space="preserve">, </w:t>
      </w:r>
      <w:proofErr w:type="spellStart"/>
      <w:r w:rsidRPr="00167E38">
        <w:rPr>
          <w:rFonts w:eastAsia="Calibri" w:cs="Times New Roman"/>
          <w:i/>
        </w:rPr>
        <w:t>Enhanced</w:t>
      </w:r>
      <w:proofErr w:type="spellEnd"/>
      <w:r w:rsidRPr="00167E38">
        <w:rPr>
          <w:rFonts w:eastAsia="Calibri" w:cs="Times New Roman"/>
          <w:i/>
        </w:rPr>
        <w:t xml:space="preserve"> Mobile </w:t>
      </w:r>
      <w:proofErr w:type="spellStart"/>
      <w:r w:rsidRPr="00167E38">
        <w:rPr>
          <w:rFonts w:eastAsia="Calibri" w:cs="Times New Roman"/>
          <w:i/>
        </w:rPr>
        <w:t>Broadband</w:t>
      </w:r>
      <w:proofErr w:type="spellEnd"/>
      <w:r w:rsidRPr="00167E38">
        <w:rPr>
          <w:rFonts w:eastAsia="Calibri" w:cs="Times New Roman"/>
        </w:rPr>
        <w:t>), así como comunicaciones masivas tipo máquina (</w:t>
      </w:r>
      <w:proofErr w:type="spellStart"/>
      <w:r w:rsidRPr="00167E38">
        <w:rPr>
          <w:rFonts w:eastAsia="Calibri" w:cs="Times New Roman"/>
        </w:rPr>
        <w:t>mMTC</w:t>
      </w:r>
      <w:proofErr w:type="spellEnd"/>
      <w:r w:rsidRPr="00167E38">
        <w:rPr>
          <w:rFonts w:eastAsia="Calibri" w:cs="Times New Roman"/>
        </w:rPr>
        <w:t xml:space="preserve">, </w:t>
      </w:r>
      <w:proofErr w:type="spellStart"/>
      <w:r w:rsidRPr="00167E38">
        <w:rPr>
          <w:rFonts w:eastAsia="Calibri" w:cs="Times New Roman"/>
          <w:i/>
        </w:rPr>
        <w:t>Massive</w:t>
      </w:r>
      <w:proofErr w:type="spellEnd"/>
      <w:r w:rsidRPr="00167E38">
        <w:rPr>
          <w:rFonts w:eastAsia="Calibri" w:cs="Times New Roman"/>
          <w:i/>
        </w:rPr>
        <w:t xml:space="preserve"> Machine </w:t>
      </w:r>
      <w:proofErr w:type="spellStart"/>
      <w:r w:rsidRPr="00167E38">
        <w:rPr>
          <w:rFonts w:eastAsia="Calibri" w:cs="Times New Roman"/>
          <w:i/>
        </w:rPr>
        <w:t>Type</w:t>
      </w:r>
      <w:proofErr w:type="spellEnd"/>
      <w:r w:rsidRPr="00167E38">
        <w:rPr>
          <w:rFonts w:eastAsia="Calibri" w:cs="Times New Roman"/>
          <w:i/>
        </w:rPr>
        <w:t xml:space="preserve"> </w:t>
      </w:r>
      <w:proofErr w:type="spellStart"/>
      <w:r w:rsidRPr="00167E38">
        <w:rPr>
          <w:rFonts w:eastAsia="Calibri" w:cs="Times New Roman"/>
          <w:i/>
        </w:rPr>
        <w:t>Communications</w:t>
      </w:r>
      <w:proofErr w:type="spellEnd"/>
      <w:r w:rsidRPr="00167E38">
        <w:rPr>
          <w:rFonts w:eastAsia="Calibri" w:cs="Times New Roman"/>
        </w:rPr>
        <w:t>)</w:t>
      </w:r>
      <w:r w:rsidRPr="00167E38">
        <w:rPr>
          <w:rFonts w:eastAsia="Calibri" w:cs="Times New Roman"/>
          <w:vertAlign w:val="superscript"/>
        </w:rPr>
        <w:footnoteReference w:id="27"/>
      </w:r>
      <w:r w:rsidRPr="00167E38">
        <w:rPr>
          <w:rFonts w:eastAsia="Calibri" w:cs="Times New Roman"/>
        </w:rPr>
        <w:t>.</w:t>
      </w:r>
    </w:p>
    <w:p w14:paraId="60BB49CB" w14:textId="77777777" w:rsidR="002D7072" w:rsidRPr="00167E38" w:rsidRDefault="002D7072" w:rsidP="00155F4B">
      <w:pPr>
        <w:spacing w:after="0" w:line="240" w:lineRule="auto"/>
        <w:jc w:val="both"/>
        <w:rPr>
          <w:rFonts w:eastAsia="Calibri" w:cs="Times New Roman"/>
        </w:rPr>
      </w:pPr>
    </w:p>
    <w:p w14:paraId="0C0AE2DE" w14:textId="77777777" w:rsidR="000338E2" w:rsidRPr="00167E38" w:rsidRDefault="004821BB" w:rsidP="00155F4B">
      <w:pPr>
        <w:keepNext/>
        <w:spacing w:after="0" w:line="240" w:lineRule="auto"/>
        <w:jc w:val="center"/>
      </w:pPr>
      <w:r w:rsidRPr="006D459C">
        <w:rPr>
          <w:rFonts w:ascii="Calibri" w:eastAsia="Calibri" w:hAnsi="Calibri" w:cs="Times New Roman"/>
          <w:noProof/>
          <w:sz w:val="24"/>
          <w:lang w:eastAsia="es-MX"/>
        </w:rPr>
        <w:lastRenderedPageBreak/>
        <w:drawing>
          <wp:inline distT="0" distB="0" distL="0" distR="0" wp14:anchorId="09AF4C63" wp14:editId="251225AB">
            <wp:extent cx="4595171" cy="2662733"/>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08502" cy="2670458"/>
                    </a:xfrm>
                    <a:prstGeom prst="rect">
                      <a:avLst/>
                    </a:prstGeom>
                  </pic:spPr>
                </pic:pic>
              </a:graphicData>
            </a:graphic>
          </wp:inline>
        </w:drawing>
      </w:r>
    </w:p>
    <w:p w14:paraId="18AE0444" w14:textId="3CAD5827" w:rsidR="004821BB" w:rsidRPr="00167E38" w:rsidRDefault="000338E2" w:rsidP="00155F4B">
      <w:pPr>
        <w:pStyle w:val="Descripcin"/>
        <w:spacing w:after="0"/>
        <w:jc w:val="center"/>
        <w:rPr>
          <w:rFonts w:eastAsia="Calibri" w:cs="Times New Roman"/>
        </w:rPr>
      </w:pPr>
      <w:bookmarkStart w:id="125" w:name="_Toc79424548"/>
      <w:r w:rsidRPr="00167E38">
        <w:t xml:space="preserve">Ilustración </w:t>
      </w:r>
      <w:r w:rsidR="009E12FD" w:rsidRPr="006A351F">
        <w:rPr>
          <w:noProof/>
        </w:rPr>
        <w:fldChar w:fldCharType="begin"/>
      </w:r>
      <w:r w:rsidR="009E12FD" w:rsidRPr="00167E38">
        <w:rPr>
          <w:noProof/>
        </w:rPr>
        <w:instrText xml:space="preserve"> SEQ Ilustración \* ARABIC </w:instrText>
      </w:r>
      <w:r w:rsidR="009E12FD" w:rsidRPr="006A351F">
        <w:rPr>
          <w:noProof/>
        </w:rPr>
        <w:fldChar w:fldCharType="separate"/>
      </w:r>
      <w:r w:rsidR="00A77086">
        <w:rPr>
          <w:noProof/>
        </w:rPr>
        <w:t>4</w:t>
      </w:r>
      <w:r w:rsidR="009E12FD" w:rsidRPr="006A351F">
        <w:rPr>
          <w:noProof/>
        </w:rPr>
        <w:fldChar w:fldCharType="end"/>
      </w:r>
      <w:r w:rsidRPr="00167E38">
        <w:t xml:space="preserve">. </w:t>
      </w:r>
      <w:r w:rsidR="003E4715" w:rsidRPr="00167E38">
        <w:t>Casos de uso de IMT proyectados para 2020 en adelante</w:t>
      </w:r>
      <w:r w:rsidR="003E4715" w:rsidRPr="00167E38">
        <w:rPr>
          <w:rStyle w:val="Refdenotaalpie"/>
          <w:rFonts w:eastAsia="Calibri" w:cs="Times New Roman"/>
        </w:rPr>
        <w:footnoteReference w:id="28"/>
      </w:r>
      <w:bookmarkEnd w:id="125"/>
    </w:p>
    <w:p w14:paraId="66E65F38" w14:textId="77777777" w:rsidR="002D7072" w:rsidRPr="00167E38" w:rsidRDefault="002D7072" w:rsidP="00155F4B">
      <w:pPr>
        <w:spacing w:after="0" w:line="240" w:lineRule="auto"/>
        <w:jc w:val="both"/>
        <w:rPr>
          <w:rFonts w:eastAsia="Calibri" w:cs="Times New Roman"/>
        </w:rPr>
      </w:pPr>
    </w:p>
    <w:p w14:paraId="2EDFE23A" w14:textId="4C3E84F1" w:rsidR="004821BB" w:rsidRPr="00167E38" w:rsidRDefault="004821BB" w:rsidP="00155F4B">
      <w:pPr>
        <w:spacing w:after="0" w:line="240" w:lineRule="auto"/>
        <w:jc w:val="both"/>
        <w:rPr>
          <w:rFonts w:eastAsia="Calibri" w:cs="Times New Roman"/>
        </w:rPr>
      </w:pPr>
      <w:r w:rsidRPr="00167E38">
        <w:rPr>
          <w:rFonts w:eastAsia="Calibri" w:cs="Times New Roman"/>
        </w:rPr>
        <w:t xml:space="preserve">Así, los </w:t>
      </w:r>
      <w:r w:rsidR="00D37A79" w:rsidRPr="00D20A9D">
        <w:rPr>
          <w:rFonts w:eastAsia="Calibri" w:cs="Times New Roman"/>
        </w:rPr>
        <w:t>STI</w:t>
      </w:r>
      <w:r w:rsidRPr="00167E38">
        <w:rPr>
          <w:rFonts w:eastAsia="Calibri" w:cs="Times New Roman"/>
        </w:rPr>
        <w:t xml:space="preserve"> caben perfectamente en todos los casos de uso de 5G: URLLC, para gestión de la seguridad del vehículo, como por ejemplo en casos de conducción autónoma; </w:t>
      </w:r>
      <w:proofErr w:type="spellStart"/>
      <w:r w:rsidRPr="00167E38">
        <w:rPr>
          <w:rFonts w:eastAsia="Calibri" w:cs="Times New Roman"/>
        </w:rPr>
        <w:t>eMBB</w:t>
      </w:r>
      <w:proofErr w:type="spellEnd"/>
      <w:r w:rsidRPr="00167E38">
        <w:rPr>
          <w:rFonts w:eastAsia="Calibri" w:cs="Times New Roman"/>
        </w:rPr>
        <w:t xml:space="preserve">, para aplicaciones de audio y video, ya sea para fines lúdicos y de entrenamiento, o para la gestión autónoma de aparcamiento; y </w:t>
      </w:r>
      <w:proofErr w:type="spellStart"/>
      <w:r w:rsidRPr="00167E38">
        <w:rPr>
          <w:rFonts w:eastAsia="Calibri" w:cs="Times New Roman"/>
        </w:rPr>
        <w:t>mMTC</w:t>
      </w:r>
      <w:proofErr w:type="spellEnd"/>
      <w:r w:rsidRPr="00167E38">
        <w:rPr>
          <w:rFonts w:eastAsia="Calibri" w:cs="Times New Roman"/>
        </w:rPr>
        <w:t xml:space="preserve"> para casos de administración de flotillas y productos en movimiento a bordo de vehículos de carga. </w:t>
      </w:r>
    </w:p>
    <w:p w14:paraId="2BABE2F1" w14:textId="77777777" w:rsidR="004821BB" w:rsidRPr="004821BB" w:rsidRDefault="004821BB" w:rsidP="00155F4B">
      <w:pPr>
        <w:spacing w:after="0" w:line="240" w:lineRule="auto"/>
        <w:jc w:val="both"/>
        <w:rPr>
          <w:rFonts w:eastAsia="Calibri" w:cs="Times New Roman"/>
        </w:rPr>
      </w:pPr>
    </w:p>
    <w:p w14:paraId="7C2DF0CB" w14:textId="741C2AB3" w:rsidR="004821BB" w:rsidRPr="004821BB" w:rsidRDefault="004821BB" w:rsidP="001303BB">
      <w:pPr>
        <w:pStyle w:val="Ttulo1"/>
        <w:spacing w:after="0" w:line="240" w:lineRule="auto"/>
      </w:pPr>
      <w:bookmarkStart w:id="126" w:name="_Toc71194804"/>
      <w:bookmarkStart w:id="127" w:name="_Toc79501222"/>
      <w:r w:rsidRPr="004821BB">
        <w:t xml:space="preserve">Espectro </w:t>
      </w:r>
      <w:r w:rsidRPr="00184846">
        <w:t xml:space="preserve">radioeléctrico para </w:t>
      </w:r>
      <w:r w:rsidR="00D37A79" w:rsidRPr="00184846">
        <w:t>STI</w:t>
      </w:r>
      <w:r w:rsidRPr="00184846">
        <w:t>.</w:t>
      </w:r>
      <w:bookmarkEnd w:id="126"/>
      <w:bookmarkEnd w:id="127"/>
    </w:p>
    <w:p w14:paraId="097B9343" w14:textId="77777777" w:rsidR="00F956A1" w:rsidRDefault="00F956A1" w:rsidP="00155F4B">
      <w:pPr>
        <w:spacing w:after="0" w:line="240" w:lineRule="auto"/>
        <w:jc w:val="both"/>
        <w:rPr>
          <w:rFonts w:eastAsia="Calibri" w:cs="Times New Roman"/>
        </w:rPr>
      </w:pPr>
    </w:p>
    <w:p w14:paraId="64CD1A06" w14:textId="52A5BF7B" w:rsidR="004821BB" w:rsidRPr="004821BB" w:rsidRDefault="004821BB" w:rsidP="00155F4B">
      <w:pPr>
        <w:spacing w:after="0" w:line="240" w:lineRule="auto"/>
        <w:jc w:val="both"/>
        <w:rPr>
          <w:rFonts w:eastAsia="Calibri" w:cs="Times New Roman"/>
        </w:rPr>
      </w:pPr>
      <w:r w:rsidRPr="004821BB">
        <w:rPr>
          <w:rFonts w:eastAsia="Calibri" w:cs="Times New Roman"/>
        </w:rPr>
        <w:t>Dado que el espectro radioeléctrico es un recurso extremadamente escaso y de un valor estratégico sin precedentes, requiere de técnicas innovadoras para su gestión y administración</w:t>
      </w:r>
      <w:r w:rsidRPr="00184846">
        <w:rPr>
          <w:rFonts w:eastAsia="Calibri" w:cs="Times New Roman"/>
        </w:rPr>
        <w:t xml:space="preserve">. En este sentido, </w:t>
      </w:r>
      <w:r w:rsidR="00C5473B" w:rsidRPr="00184846">
        <w:rPr>
          <w:rFonts w:eastAsia="Calibri" w:cs="Times New Roman"/>
        </w:rPr>
        <w:t>se</w:t>
      </w:r>
      <w:r w:rsidR="00C5473B">
        <w:rPr>
          <w:rFonts w:eastAsia="Calibri" w:cs="Times New Roman"/>
        </w:rPr>
        <w:t xml:space="preserve"> debe</w:t>
      </w:r>
      <w:r w:rsidR="00C5473B" w:rsidRPr="004821BB">
        <w:rPr>
          <w:rFonts w:eastAsia="Calibri" w:cs="Times New Roman"/>
        </w:rPr>
        <w:t xml:space="preserve"> </w:t>
      </w:r>
      <w:r w:rsidRPr="004821BB">
        <w:rPr>
          <w:rFonts w:eastAsia="Calibri" w:cs="Times New Roman"/>
        </w:rPr>
        <w:t>optimizar la gestión y planificación del espectro radioeléctrico en el país y así</w:t>
      </w:r>
      <w:r w:rsidR="007F74AD">
        <w:rPr>
          <w:rFonts w:eastAsia="Calibri" w:cs="Times New Roman"/>
        </w:rPr>
        <w:t>,</w:t>
      </w:r>
      <w:r w:rsidRPr="004821BB">
        <w:rPr>
          <w:rFonts w:eastAsia="Calibri" w:cs="Times New Roman"/>
        </w:rPr>
        <w:t xml:space="preserve"> facilitar que los diversos servicios y/o aplicaciones puedan prestarse de manera óptima en beneficio del</w:t>
      </w:r>
      <w:r w:rsidR="002A352D">
        <w:rPr>
          <w:rFonts w:eastAsia="Calibri" w:cs="Times New Roman"/>
        </w:rPr>
        <w:t xml:space="preserve"> usuario. No obstante, no todas la</w:t>
      </w:r>
      <w:r w:rsidRPr="004821BB">
        <w:rPr>
          <w:rFonts w:eastAsia="Calibri" w:cs="Times New Roman"/>
        </w:rPr>
        <w:t>s</w:t>
      </w:r>
      <w:r w:rsidR="002A352D">
        <w:rPr>
          <w:rFonts w:eastAsia="Calibri" w:cs="Times New Roman"/>
        </w:rPr>
        <w:t xml:space="preserve"> bandas de frecuencias que utilizan</w:t>
      </w:r>
      <w:r w:rsidRPr="004821BB">
        <w:rPr>
          <w:rFonts w:eastAsia="Calibri" w:cs="Times New Roman"/>
        </w:rPr>
        <w:t xml:space="preserve"> sistemas de radiocomunicaciones se pueden asignar</w:t>
      </w:r>
      <w:r w:rsidR="002A352D">
        <w:rPr>
          <w:rFonts w:eastAsia="Calibri" w:cs="Times New Roman"/>
        </w:rPr>
        <w:t xml:space="preserve"> de manera personalizada</w:t>
      </w:r>
      <w:r w:rsidRPr="004821BB">
        <w:rPr>
          <w:rFonts w:eastAsia="Calibri" w:cs="Times New Roman"/>
        </w:rPr>
        <w:t xml:space="preserve">, como en el caso de los sistemas que se utilizan para el funcionamiento de los </w:t>
      </w:r>
      <w:r w:rsidR="00D37A79">
        <w:rPr>
          <w:rFonts w:eastAsia="Calibri" w:cs="Times New Roman"/>
        </w:rPr>
        <w:t>STI</w:t>
      </w:r>
      <w:r w:rsidRPr="004821BB">
        <w:rPr>
          <w:rFonts w:eastAsia="Calibri" w:cs="Times New Roman"/>
        </w:rPr>
        <w:t>.</w:t>
      </w:r>
    </w:p>
    <w:p w14:paraId="2B6C4A39" w14:textId="77777777" w:rsidR="004821BB" w:rsidRPr="004821BB" w:rsidRDefault="004821BB" w:rsidP="00155F4B">
      <w:pPr>
        <w:spacing w:after="0" w:line="240" w:lineRule="auto"/>
        <w:jc w:val="both"/>
        <w:rPr>
          <w:rFonts w:eastAsia="Calibri" w:cs="Times New Roman"/>
        </w:rPr>
      </w:pPr>
    </w:p>
    <w:p w14:paraId="746831B7" w14:textId="2EE76FF5" w:rsidR="004821BB" w:rsidRPr="00D35FC2" w:rsidRDefault="004821BB" w:rsidP="00155F4B">
      <w:pPr>
        <w:spacing w:after="0" w:line="240" w:lineRule="auto"/>
        <w:jc w:val="both"/>
        <w:rPr>
          <w:rFonts w:eastAsia="Calibri" w:cs="Times New Roman"/>
        </w:rPr>
      </w:pPr>
      <w:r w:rsidRPr="004821BB">
        <w:rPr>
          <w:rFonts w:eastAsia="Calibri" w:cs="Times New Roman"/>
        </w:rPr>
        <w:t xml:space="preserve">De esta manera, los </w:t>
      </w:r>
      <w:r w:rsidR="00D37A79">
        <w:rPr>
          <w:rFonts w:eastAsia="Calibri" w:cs="Times New Roman"/>
        </w:rPr>
        <w:t>STI</w:t>
      </w:r>
      <w:r w:rsidRPr="004821BB">
        <w:rPr>
          <w:rFonts w:eastAsia="Calibri" w:cs="Times New Roman"/>
        </w:rPr>
        <w:t xml:space="preserve"> usualmente operan en diversas bandas de frecuencias bajo el esquema de clasificación como </w:t>
      </w:r>
      <w:r w:rsidR="00B551F8">
        <w:rPr>
          <w:rFonts w:eastAsia="Calibri" w:cs="Times New Roman"/>
        </w:rPr>
        <w:t>espectro</w:t>
      </w:r>
      <w:r w:rsidRPr="004821BB">
        <w:rPr>
          <w:rFonts w:eastAsia="Calibri" w:cs="Times New Roman"/>
        </w:rPr>
        <w:t xml:space="preserve"> libre o sin licencia, debido a que los niveles de potencia de transmisión de las señales son relativamente bajos. </w:t>
      </w:r>
    </w:p>
    <w:p w14:paraId="22AE5A6A" w14:textId="3DD9CDF1" w:rsidR="001303BB" w:rsidRDefault="001303BB">
      <w:bookmarkStart w:id="128" w:name="_Toc71194805"/>
      <w:bookmarkEnd w:id="128"/>
      <w:r>
        <w:br w:type="page"/>
      </w:r>
    </w:p>
    <w:p w14:paraId="67BE6D9E" w14:textId="77777777" w:rsidR="00A90983" w:rsidRDefault="00A90983" w:rsidP="00155F4B">
      <w:pPr>
        <w:spacing w:after="0" w:line="240" w:lineRule="auto"/>
      </w:pPr>
    </w:p>
    <w:p w14:paraId="518700FA" w14:textId="77777777" w:rsidR="004278BE" w:rsidRPr="004278BE" w:rsidRDefault="004278BE" w:rsidP="002D7072">
      <w:pPr>
        <w:pStyle w:val="Ttulo1"/>
        <w:spacing w:after="0" w:line="240" w:lineRule="auto"/>
      </w:pPr>
      <w:bookmarkStart w:id="129" w:name="_Toc71194806"/>
      <w:bookmarkStart w:id="130" w:name="_Toc79501223"/>
      <w:r>
        <w:t>Conclusiones</w:t>
      </w:r>
      <w:bookmarkEnd w:id="129"/>
      <w:bookmarkEnd w:id="130"/>
    </w:p>
    <w:p w14:paraId="433D6245" w14:textId="77777777" w:rsidR="002D7072" w:rsidRDefault="002D7072" w:rsidP="002D7072">
      <w:pPr>
        <w:spacing w:after="0" w:line="240" w:lineRule="auto"/>
        <w:jc w:val="both"/>
      </w:pPr>
    </w:p>
    <w:p w14:paraId="24EFB6AD" w14:textId="7E14701A" w:rsidR="00BB0A88" w:rsidRPr="00FB512D" w:rsidRDefault="00C5473B" w:rsidP="002D7072">
      <w:pPr>
        <w:spacing w:after="0" w:line="240" w:lineRule="auto"/>
        <w:jc w:val="both"/>
      </w:pPr>
      <w:r>
        <w:t>El espectro radioeléctrico toma</w:t>
      </w:r>
      <w:r w:rsidR="00BB0A88" w:rsidRPr="00FB512D">
        <w:t xml:space="preserve"> particular relevancia para </w:t>
      </w:r>
      <w:r>
        <w:t>la implementación</w:t>
      </w:r>
      <w:r w:rsidR="00BB0A88" w:rsidRPr="00FB512D">
        <w:t xml:space="preserve"> de sistemas de transporte inteligente</w:t>
      </w:r>
      <w:r>
        <w:t>, ya que hace uso</w:t>
      </w:r>
      <w:r w:rsidR="00BB0A88" w:rsidRPr="00FB512D">
        <w:t xml:space="preserve"> de tecnologías inalámbricas </w:t>
      </w:r>
      <w:r w:rsidR="00BB0A88" w:rsidRPr="00FB512D">
        <w:rPr>
          <w:kern w:val="1"/>
          <w:lang w:eastAsia="ar-SA"/>
        </w:rPr>
        <w:t>que pued</w:t>
      </w:r>
      <w:r w:rsidR="00753D40">
        <w:rPr>
          <w:kern w:val="1"/>
          <w:lang w:eastAsia="ar-SA"/>
        </w:rPr>
        <w:t>e</w:t>
      </w:r>
      <w:r w:rsidR="00BB0A88" w:rsidRPr="00FB512D">
        <w:rPr>
          <w:kern w:val="1"/>
          <w:lang w:eastAsia="ar-SA"/>
        </w:rPr>
        <w:t xml:space="preserve">n coadyuvar en la operación y </w:t>
      </w:r>
      <w:r>
        <w:rPr>
          <w:kern w:val="1"/>
          <w:lang w:eastAsia="ar-SA"/>
        </w:rPr>
        <w:t xml:space="preserve">el </w:t>
      </w:r>
      <w:r w:rsidR="00BB0A88" w:rsidRPr="00FB512D">
        <w:rPr>
          <w:kern w:val="1"/>
          <w:lang w:eastAsia="ar-SA"/>
        </w:rPr>
        <w:t xml:space="preserve">funcionamiento de vehículos, así como </w:t>
      </w:r>
      <w:r w:rsidR="00753D40">
        <w:rPr>
          <w:kern w:val="1"/>
          <w:lang w:eastAsia="ar-SA"/>
        </w:rPr>
        <w:t>en</w:t>
      </w:r>
      <w:r w:rsidR="00BB0A88" w:rsidRPr="00FB512D">
        <w:rPr>
          <w:kern w:val="1"/>
          <w:lang w:eastAsia="ar-SA"/>
        </w:rPr>
        <w:t xml:space="preserve"> facilitar y hacer más cómodo </w:t>
      </w:r>
      <w:r w:rsidR="00BF5DDB">
        <w:rPr>
          <w:kern w:val="1"/>
          <w:lang w:eastAsia="ar-SA"/>
        </w:rPr>
        <w:t xml:space="preserve">y </w:t>
      </w:r>
      <w:r w:rsidR="00522C85">
        <w:rPr>
          <w:kern w:val="1"/>
          <w:lang w:eastAsia="ar-SA"/>
        </w:rPr>
        <w:t>segur</w:t>
      </w:r>
      <w:r w:rsidR="00BF5DDB">
        <w:rPr>
          <w:kern w:val="1"/>
          <w:lang w:eastAsia="ar-SA"/>
        </w:rPr>
        <w:t>o</w:t>
      </w:r>
      <w:r w:rsidR="00522C85">
        <w:rPr>
          <w:kern w:val="1"/>
          <w:lang w:eastAsia="ar-SA"/>
        </w:rPr>
        <w:t xml:space="preserve"> </w:t>
      </w:r>
      <w:r w:rsidR="00BF5DDB">
        <w:rPr>
          <w:kern w:val="1"/>
          <w:lang w:eastAsia="ar-SA"/>
        </w:rPr>
        <w:t>el</w:t>
      </w:r>
      <w:r w:rsidR="00BB0A88" w:rsidRPr="00FB512D">
        <w:rPr>
          <w:kern w:val="1"/>
          <w:lang w:eastAsia="ar-SA"/>
        </w:rPr>
        <w:t xml:space="preserve"> transporte para los usuarios finales.</w:t>
      </w:r>
    </w:p>
    <w:p w14:paraId="1B3FDAE0" w14:textId="77777777" w:rsidR="002D7072" w:rsidRPr="00FB512D" w:rsidRDefault="002D7072" w:rsidP="002D7072">
      <w:pPr>
        <w:spacing w:after="0" w:line="240" w:lineRule="auto"/>
        <w:jc w:val="both"/>
      </w:pPr>
    </w:p>
    <w:p w14:paraId="7BBC768C" w14:textId="51F10773" w:rsidR="00BB0A88" w:rsidRPr="00FB512D" w:rsidRDefault="00BB0A88" w:rsidP="002D7072">
      <w:pPr>
        <w:spacing w:after="0" w:line="240" w:lineRule="auto"/>
        <w:jc w:val="both"/>
      </w:pPr>
      <w:r w:rsidRPr="00FB512D">
        <w:t>Es así que existen diversas tecnologías inalámbricas</w:t>
      </w:r>
      <w:r w:rsidR="007F74AD">
        <w:t>,</w:t>
      </w:r>
      <w:r w:rsidRPr="00FB512D">
        <w:t xml:space="preserve"> por medio de las cuales se puede satisfacer la creciente demanda de </w:t>
      </w:r>
      <w:r w:rsidR="00D37A79">
        <w:t>STI</w:t>
      </w:r>
      <w:r w:rsidRPr="00FB512D">
        <w:t xml:space="preserve"> que tiene el sector automotriz, ya que plantean traer beneficios inmediatos a los usuarios, tales como: mayor velocidad, mayor rendimiento, capacidad de respuesta para la demanda de las redes y los miles de dispositivos que estarán conectados simultáneamente, al igual que la factibilidad de su uso en diversos sectores donde la demanda de información o de procesos es primordial.</w:t>
      </w:r>
    </w:p>
    <w:p w14:paraId="081CDB63" w14:textId="77777777" w:rsidR="002D7072" w:rsidRPr="00FB512D" w:rsidRDefault="002D7072" w:rsidP="002D7072">
      <w:pPr>
        <w:spacing w:after="0" w:line="240" w:lineRule="auto"/>
        <w:jc w:val="both"/>
      </w:pPr>
    </w:p>
    <w:p w14:paraId="734C82FA" w14:textId="07850515" w:rsidR="00147BA5" w:rsidRDefault="00BB0A88" w:rsidP="00974806">
      <w:pPr>
        <w:spacing w:after="0" w:line="240" w:lineRule="auto"/>
        <w:jc w:val="both"/>
        <w:rPr>
          <w:rFonts w:cstheme="minorHAnsi"/>
        </w:rPr>
      </w:pPr>
      <w:r w:rsidRPr="00FB512D">
        <w:t xml:space="preserve">En particular, se considera oportuno contar con bandas de frecuencias </w:t>
      </w:r>
      <w:r w:rsidR="007F74AD">
        <w:t>mediante</w:t>
      </w:r>
      <w:r w:rsidRPr="00FB512D">
        <w:t xml:space="preserve"> las cuales se puedan implementar </w:t>
      </w:r>
      <w:r w:rsidR="00D37A79">
        <w:t>STI</w:t>
      </w:r>
      <w:r w:rsidRPr="00FB512D">
        <w:t xml:space="preserve"> para las diferentes tecnologías existentes, lo que permitiría que la población pueda acceder a </w:t>
      </w:r>
      <w:r w:rsidR="00974806">
        <w:t>diferentes</w:t>
      </w:r>
      <w:r w:rsidRPr="00FB512D">
        <w:t xml:space="preserve"> servicios y aplicaciones</w:t>
      </w:r>
      <w:r w:rsidR="001303BB">
        <w:t>, tal es el caso de</w:t>
      </w:r>
      <w:r w:rsidR="00F53010">
        <w:t xml:space="preserve"> </w:t>
      </w:r>
      <w:r w:rsidRPr="00FB512D">
        <w:t>la banda de frecuencias 5850-5925 MHz</w:t>
      </w:r>
      <w:r w:rsidR="00A072E0">
        <w:t>, la cual</w:t>
      </w:r>
      <w:r w:rsidRPr="00FB512D">
        <w:t xml:space="preserve"> ha adquirido </w:t>
      </w:r>
      <w:r w:rsidR="00974806">
        <w:t>relevancia</w:t>
      </w:r>
      <w:r w:rsidRPr="00FB512D">
        <w:t xml:space="preserve"> </w:t>
      </w:r>
      <w:r w:rsidRPr="00FB512D">
        <w:rPr>
          <w:lang w:val="es-ES_tradnl"/>
        </w:rPr>
        <w:t xml:space="preserve">para la </w:t>
      </w:r>
      <w:r w:rsidR="001303BB">
        <w:rPr>
          <w:lang w:val="es-ES_tradnl"/>
        </w:rPr>
        <w:t xml:space="preserve">posible </w:t>
      </w:r>
      <w:r w:rsidRPr="00FB512D">
        <w:rPr>
          <w:lang w:val="es-ES_tradnl"/>
        </w:rPr>
        <w:t>provisión de Sistemas de Transporte Inteligente</w:t>
      </w:r>
      <w:r w:rsidR="00147BA5" w:rsidRPr="00FB512D">
        <w:rPr>
          <w:rFonts w:cstheme="minorHAnsi"/>
        </w:rPr>
        <w:t>.</w:t>
      </w:r>
    </w:p>
    <w:p w14:paraId="5949A99A" w14:textId="77777777" w:rsidR="006B3744" w:rsidRPr="00751CA6" w:rsidRDefault="006B3744" w:rsidP="00751CA6">
      <w:pPr>
        <w:spacing w:after="0"/>
        <w:jc w:val="both"/>
        <w:rPr>
          <w:rFonts w:cstheme="minorHAnsi"/>
        </w:rPr>
      </w:pPr>
    </w:p>
    <w:p w14:paraId="79FC71A7" w14:textId="77777777" w:rsidR="004278BE" w:rsidRDefault="004278BE">
      <w:pPr>
        <w:rPr>
          <w:rFonts w:cstheme="minorHAnsi"/>
        </w:rPr>
      </w:pPr>
      <w:r>
        <w:rPr>
          <w:rFonts w:cstheme="minorHAnsi"/>
        </w:rPr>
        <w:br w:type="page"/>
      </w:r>
    </w:p>
    <w:p w14:paraId="64A10568" w14:textId="77777777" w:rsidR="004278BE" w:rsidRPr="004278BE" w:rsidRDefault="004278BE" w:rsidP="00E1164E">
      <w:pPr>
        <w:pStyle w:val="Ttulo1"/>
      </w:pPr>
      <w:bookmarkStart w:id="131" w:name="_Toc71194807"/>
      <w:bookmarkStart w:id="132" w:name="_Toc79501224"/>
      <w:r>
        <w:lastRenderedPageBreak/>
        <w:t>Fuentes Consultadas</w:t>
      </w:r>
      <w:bookmarkEnd w:id="131"/>
      <w:bookmarkEnd w:id="132"/>
    </w:p>
    <w:p w14:paraId="10595CCC" w14:textId="01EDD18B" w:rsidR="00545C18" w:rsidRDefault="00545C18" w:rsidP="00545C18">
      <w:pPr>
        <w:pStyle w:val="Prrafodelista"/>
        <w:numPr>
          <w:ilvl w:val="0"/>
          <w:numId w:val="7"/>
        </w:numPr>
        <w:spacing w:after="0" w:line="240" w:lineRule="auto"/>
        <w:jc w:val="both"/>
        <w:rPr>
          <w:sz w:val="20"/>
          <w:lang w:val="en-US"/>
        </w:rPr>
      </w:pPr>
      <w:r w:rsidRPr="00476A30">
        <w:rPr>
          <w:sz w:val="20"/>
          <w:lang w:val="en-US"/>
        </w:rPr>
        <w:t>3GPP TR 22.885 v.1.0.0 on LTE support for V2X services (FS_V2XLTE)</w:t>
      </w:r>
    </w:p>
    <w:p w14:paraId="0A5BE205" w14:textId="4429ACD6" w:rsidR="008C54F9" w:rsidRPr="00476A30" w:rsidRDefault="00F679CA" w:rsidP="008C54F9">
      <w:pPr>
        <w:pStyle w:val="Prrafodelista"/>
        <w:spacing w:after="0" w:line="240" w:lineRule="auto"/>
        <w:jc w:val="both"/>
        <w:rPr>
          <w:sz w:val="20"/>
          <w:lang w:val="en-US"/>
        </w:rPr>
      </w:pPr>
      <w:hyperlink r:id="rId15" w:history="1">
        <w:r w:rsidR="008C54F9" w:rsidRPr="008C54F9">
          <w:rPr>
            <w:rStyle w:val="Hipervnculo"/>
            <w:sz w:val="20"/>
            <w:lang w:val="en-US"/>
          </w:rPr>
          <w:t>https://portal.3gpp.org/desktopmodules/Specifications/SpecificationDetails.aspx?specificationId=2898</w:t>
        </w:r>
      </w:hyperlink>
    </w:p>
    <w:p w14:paraId="59AA339A" w14:textId="77777777" w:rsidR="00545C18" w:rsidRPr="00AA16A9" w:rsidRDefault="00545C18" w:rsidP="00545C18">
      <w:pPr>
        <w:pStyle w:val="Prrafodelista"/>
        <w:numPr>
          <w:ilvl w:val="0"/>
          <w:numId w:val="7"/>
        </w:numPr>
        <w:spacing w:after="0" w:line="240" w:lineRule="auto"/>
        <w:jc w:val="both"/>
        <w:rPr>
          <w:sz w:val="20"/>
          <w:lang w:val="en-US"/>
        </w:rPr>
      </w:pPr>
      <w:r w:rsidRPr="00AA16A9">
        <w:rPr>
          <w:sz w:val="20"/>
          <w:lang w:val="en-US"/>
        </w:rPr>
        <w:t>3GPP TR 22.886 v.2.0.0 on Study on Enhancement of 3GPP support for V2X service.</w:t>
      </w:r>
    </w:p>
    <w:p w14:paraId="718A82F1" w14:textId="77777777" w:rsidR="00545C18" w:rsidRPr="00AA16A9" w:rsidRDefault="00F679CA" w:rsidP="00545C18">
      <w:pPr>
        <w:pStyle w:val="Prrafodelista"/>
        <w:spacing w:after="0" w:line="240" w:lineRule="auto"/>
        <w:jc w:val="both"/>
        <w:rPr>
          <w:sz w:val="20"/>
          <w:lang w:val="en-US"/>
        </w:rPr>
      </w:pPr>
      <w:hyperlink r:id="rId16" w:history="1">
        <w:r w:rsidR="00545C18" w:rsidRPr="00AA16A9">
          <w:rPr>
            <w:rStyle w:val="Hipervnculo"/>
            <w:lang w:val="en-US"/>
          </w:rPr>
          <w:t>https://portal.3gpp.org/desktopmodules/Specifications/SpecificationDetails.aspx?specificationId=3108</w:t>
        </w:r>
      </w:hyperlink>
    </w:p>
    <w:p w14:paraId="69CE5C3F" w14:textId="77777777" w:rsidR="00545C18" w:rsidRPr="00AA16A9" w:rsidRDefault="00545C18" w:rsidP="00545C18">
      <w:pPr>
        <w:pStyle w:val="Prrafodelista"/>
        <w:numPr>
          <w:ilvl w:val="0"/>
          <w:numId w:val="7"/>
        </w:numPr>
        <w:spacing w:after="0" w:line="240" w:lineRule="auto"/>
        <w:jc w:val="both"/>
        <w:rPr>
          <w:sz w:val="20"/>
          <w:lang w:val="en-US"/>
        </w:rPr>
      </w:pPr>
      <w:r w:rsidRPr="00AA16A9">
        <w:rPr>
          <w:sz w:val="20"/>
          <w:lang w:val="en-US"/>
        </w:rPr>
        <w:t>3GPP TR 37.985 Overall description of Radio Access Network (RAN) aspects for Vehicle-to-everything (V2X) based on LTE and NR</w:t>
      </w:r>
    </w:p>
    <w:p w14:paraId="2CB5D11A" w14:textId="77777777" w:rsidR="00545C18" w:rsidRPr="00B871FE" w:rsidRDefault="00F679CA" w:rsidP="00545C18">
      <w:pPr>
        <w:pStyle w:val="Prrafodelista"/>
        <w:spacing w:after="0" w:line="240" w:lineRule="auto"/>
        <w:jc w:val="both"/>
        <w:rPr>
          <w:sz w:val="20"/>
          <w:lang w:val="en-US"/>
        </w:rPr>
      </w:pPr>
      <w:hyperlink r:id="rId17" w:history="1">
        <w:r w:rsidR="00545C18" w:rsidRPr="00AA16A9">
          <w:rPr>
            <w:rStyle w:val="Hipervnculo"/>
            <w:lang w:val="en-US"/>
          </w:rPr>
          <w:t>https://portal.3gpp.org/desktopmodules/Specifications/SpecificationDetails.aspx?specificationId=3601</w:t>
        </w:r>
      </w:hyperlink>
    </w:p>
    <w:p w14:paraId="5623A1B8" w14:textId="77777777" w:rsidR="00545C18" w:rsidRPr="00AA16A9" w:rsidRDefault="00545C18" w:rsidP="00545C18">
      <w:pPr>
        <w:pStyle w:val="Prrafodelista"/>
        <w:numPr>
          <w:ilvl w:val="0"/>
          <w:numId w:val="7"/>
        </w:numPr>
        <w:spacing w:after="0" w:line="240" w:lineRule="auto"/>
        <w:jc w:val="both"/>
        <w:rPr>
          <w:sz w:val="20"/>
          <w:lang w:val="en-US"/>
        </w:rPr>
      </w:pPr>
      <w:r w:rsidRPr="00AA16A9">
        <w:rPr>
          <w:sz w:val="20"/>
          <w:lang w:val="en-US"/>
        </w:rPr>
        <w:t>3GPP TS 23.286 Application layer support for Vehicle-to-Everything (V2X) services; Functional architecture and information flows</w:t>
      </w:r>
    </w:p>
    <w:p w14:paraId="2FFFF06D" w14:textId="77777777" w:rsidR="00545C18" w:rsidRPr="00AA16A9" w:rsidRDefault="00F679CA" w:rsidP="00545C18">
      <w:pPr>
        <w:pStyle w:val="Prrafodelista"/>
        <w:rPr>
          <w:sz w:val="20"/>
          <w:lang w:val="en-US"/>
        </w:rPr>
      </w:pPr>
      <w:hyperlink r:id="rId18" w:history="1">
        <w:r w:rsidR="00545C18" w:rsidRPr="00AA16A9">
          <w:rPr>
            <w:rStyle w:val="Hipervnculo"/>
            <w:lang w:val="en-US"/>
          </w:rPr>
          <w:t>https://portal.3gpp.org/desktopmodules/Specifications/SpecificationDetails.aspx?specificationId=3562</w:t>
        </w:r>
      </w:hyperlink>
    </w:p>
    <w:p w14:paraId="08B7649C" w14:textId="77777777" w:rsidR="00545C18" w:rsidRPr="00AA16A9" w:rsidRDefault="00545C18" w:rsidP="00545C18">
      <w:pPr>
        <w:pStyle w:val="Prrafodelista"/>
        <w:numPr>
          <w:ilvl w:val="0"/>
          <w:numId w:val="7"/>
        </w:numPr>
        <w:spacing w:after="0" w:line="240" w:lineRule="auto"/>
        <w:jc w:val="both"/>
        <w:rPr>
          <w:sz w:val="20"/>
          <w:lang w:val="en-US"/>
        </w:rPr>
      </w:pPr>
      <w:r w:rsidRPr="00AA16A9">
        <w:rPr>
          <w:sz w:val="20"/>
          <w:lang w:val="en-US"/>
        </w:rPr>
        <w:t>3GPP TS 23.287 Architecture enhancements for 5G System (5GS) to support Vehicle-to-Everything (V2X) services</w:t>
      </w:r>
    </w:p>
    <w:p w14:paraId="7E9B746F" w14:textId="77777777" w:rsidR="00545C18" w:rsidRPr="00AA16A9" w:rsidRDefault="00F679CA" w:rsidP="00545C18">
      <w:pPr>
        <w:pStyle w:val="Prrafodelista"/>
        <w:spacing w:after="0" w:line="240" w:lineRule="auto"/>
        <w:jc w:val="both"/>
        <w:rPr>
          <w:sz w:val="20"/>
          <w:lang w:val="en-US"/>
        </w:rPr>
      </w:pPr>
      <w:hyperlink r:id="rId19" w:history="1">
        <w:r w:rsidR="00545C18" w:rsidRPr="00AA16A9">
          <w:rPr>
            <w:rStyle w:val="Hipervnculo"/>
            <w:lang w:val="en-US"/>
          </w:rPr>
          <w:t>https://portal.3gpp.org/desktopmodules/Specifications/SpecificationDetails.aspx?specificationId=3578</w:t>
        </w:r>
      </w:hyperlink>
    </w:p>
    <w:p w14:paraId="2CCEB645" w14:textId="77777777" w:rsidR="00545C18" w:rsidRPr="00AA16A9" w:rsidRDefault="00545C18" w:rsidP="00545C18">
      <w:pPr>
        <w:pStyle w:val="Prrafodelista"/>
        <w:numPr>
          <w:ilvl w:val="0"/>
          <w:numId w:val="7"/>
        </w:numPr>
        <w:spacing w:after="0" w:line="240" w:lineRule="auto"/>
        <w:jc w:val="both"/>
        <w:rPr>
          <w:sz w:val="20"/>
          <w:lang w:val="en-US"/>
        </w:rPr>
      </w:pPr>
      <w:r w:rsidRPr="00AA16A9">
        <w:rPr>
          <w:sz w:val="20"/>
          <w:lang w:val="en-US"/>
        </w:rPr>
        <w:t>3GPP TS 36.101 Evolved Universal Terrestrial Radio Access (E-UTRA); User Equipment (UE) radio transmission and reception</w:t>
      </w:r>
    </w:p>
    <w:p w14:paraId="113336EE" w14:textId="77777777" w:rsidR="00545C18" w:rsidRPr="00AA16A9" w:rsidRDefault="00F679CA" w:rsidP="00545C18">
      <w:pPr>
        <w:pStyle w:val="Prrafodelista"/>
        <w:spacing w:after="0" w:line="240" w:lineRule="auto"/>
        <w:jc w:val="both"/>
        <w:rPr>
          <w:sz w:val="20"/>
          <w:lang w:val="en-US"/>
        </w:rPr>
      </w:pPr>
      <w:hyperlink r:id="rId20" w:history="1">
        <w:r w:rsidR="00545C18" w:rsidRPr="00AA16A9">
          <w:rPr>
            <w:rStyle w:val="Hipervnculo"/>
            <w:lang w:val="en-US"/>
          </w:rPr>
          <w:t>https://portal.3gpp.org/desktopmodules/Specifications/SpecificationDetails.aspx?specificationId=2411</w:t>
        </w:r>
      </w:hyperlink>
    </w:p>
    <w:p w14:paraId="74CF1556" w14:textId="77777777" w:rsidR="00545C18" w:rsidRPr="00704C8E" w:rsidRDefault="00545C18" w:rsidP="00545C18">
      <w:pPr>
        <w:pStyle w:val="Prrafodelista"/>
        <w:numPr>
          <w:ilvl w:val="0"/>
          <w:numId w:val="7"/>
        </w:numPr>
        <w:spacing w:after="0" w:line="240" w:lineRule="auto"/>
        <w:jc w:val="both"/>
        <w:rPr>
          <w:sz w:val="20"/>
        </w:rPr>
      </w:pPr>
      <w:r w:rsidRPr="00704C8E">
        <w:rPr>
          <w:sz w:val="20"/>
        </w:rPr>
        <w:t xml:space="preserve">CCPII-2021-37-5282 Documento informativo sobre el uso de la banda de 5.9 GHz en Estados Unidos para dispositivos sin licencia y sistemas de transporte inteligentes. </w:t>
      </w:r>
    </w:p>
    <w:p w14:paraId="47726C05" w14:textId="0124C985" w:rsidR="00545C18" w:rsidRPr="00704C8E" w:rsidRDefault="00545C18" w:rsidP="00545C18">
      <w:pPr>
        <w:pStyle w:val="Prrafodelista"/>
        <w:numPr>
          <w:ilvl w:val="0"/>
          <w:numId w:val="7"/>
        </w:numPr>
        <w:spacing w:after="0" w:line="240" w:lineRule="auto"/>
        <w:jc w:val="both"/>
        <w:rPr>
          <w:sz w:val="20"/>
        </w:rPr>
      </w:pPr>
      <w:r w:rsidRPr="00704C8E">
        <w:rPr>
          <w:sz w:val="20"/>
        </w:rPr>
        <w:t>Informe UIT-R M.2228 Radiocomunicaciones de sistemas de transporte inteligentes avanzados (</w:t>
      </w:r>
      <w:r w:rsidR="00D37A79">
        <w:rPr>
          <w:sz w:val="20"/>
        </w:rPr>
        <w:t>STI</w:t>
      </w:r>
      <w:r w:rsidRPr="00704C8E">
        <w:rPr>
          <w:sz w:val="20"/>
        </w:rPr>
        <w:t>).</w:t>
      </w:r>
    </w:p>
    <w:p w14:paraId="0BA6C553" w14:textId="77777777" w:rsidR="00545C18" w:rsidRPr="00704C8E" w:rsidRDefault="00F679CA" w:rsidP="00545C18">
      <w:pPr>
        <w:pStyle w:val="Prrafodelista"/>
        <w:spacing w:after="0" w:line="240" w:lineRule="auto"/>
        <w:jc w:val="both"/>
        <w:rPr>
          <w:sz w:val="20"/>
        </w:rPr>
      </w:pPr>
      <w:hyperlink r:id="rId21" w:history="1">
        <w:r w:rsidR="00545C18" w:rsidRPr="00704C8E">
          <w:rPr>
            <w:rStyle w:val="Hipervnculo"/>
          </w:rPr>
          <w:t>https://www.itu.int/dms_pub/itu-r/opb/rep/R-REP-M.2228-1-2015-PDF-E.pdf</w:t>
        </w:r>
      </w:hyperlink>
    </w:p>
    <w:p w14:paraId="17ECBBE6" w14:textId="77777777" w:rsidR="00545C18" w:rsidRPr="00704C8E" w:rsidRDefault="00545C18" w:rsidP="00545C18">
      <w:pPr>
        <w:pStyle w:val="Prrafodelista"/>
        <w:numPr>
          <w:ilvl w:val="0"/>
          <w:numId w:val="7"/>
        </w:numPr>
        <w:spacing w:after="0" w:line="240" w:lineRule="auto"/>
        <w:jc w:val="both"/>
        <w:rPr>
          <w:sz w:val="20"/>
        </w:rPr>
      </w:pPr>
      <w:r w:rsidRPr="00704C8E">
        <w:rPr>
          <w:sz w:val="20"/>
        </w:rPr>
        <w:t>Informe UIT-R M.2441 Uso emergente del componente terrestre de las telecomunicaciones móviles internacionales (IMT).</w:t>
      </w:r>
    </w:p>
    <w:p w14:paraId="6FF1299D" w14:textId="77777777" w:rsidR="00545C18" w:rsidRPr="00704C8E" w:rsidRDefault="00F679CA" w:rsidP="00545C18">
      <w:pPr>
        <w:pStyle w:val="Prrafodelista"/>
        <w:spacing w:after="0" w:line="240" w:lineRule="auto"/>
        <w:jc w:val="both"/>
        <w:rPr>
          <w:sz w:val="20"/>
        </w:rPr>
      </w:pPr>
      <w:hyperlink r:id="rId22" w:history="1">
        <w:r w:rsidR="00545C18" w:rsidRPr="00704C8E">
          <w:rPr>
            <w:rStyle w:val="Hipervnculo"/>
          </w:rPr>
          <w:t>https://www.itu.int/dms_pub/itu-r/opb/rep/R-REP-M.2441-2018-PDF-E.pdf</w:t>
        </w:r>
      </w:hyperlink>
    </w:p>
    <w:p w14:paraId="11D65BAE" w14:textId="77777777" w:rsidR="00545C18" w:rsidRPr="00704C8E" w:rsidRDefault="00545C18" w:rsidP="00545C18">
      <w:pPr>
        <w:pStyle w:val="Prrafodelista"/>
        <w:numPr>
          <w:ilvl w:val="0"/>
          <w:numId w:val="7"/>
        </w:numPr>
        <w:spacing w:after="0" w:line="240" w:lineRule="auto"/>
        <w:jc w:val="both"/>
        <w:rPr>
          <w:sz w:val="20"/>
        </w:rPr>
      </w:pPr>
      <w:r w:rsidRPr="00704C8E">
        <w:rPr>
          <w:sz w:val="20"/>
        </w:rPr>
        <w:t>Informe UIT-R M.2444 Ejemplos de disposiciones para despliegues de sistemas de transporte inteligentes en el marco del servicio móvil.</w:t>
      </w:r>
    </w:p>
    <w:p w14:paraId="6787EE90" w14:textId="77777777" w:rsidR="00545C18" w:rsidRPr="00704C8E" w:rsidRDefault="00F679CA" w:rsidP="00545C18">
      <w:pPr>
        <w:pStyle w:val="Prrafodelista"/>
        <w:rPr>
          <w:sz w:val="20"/>
        </w:rPr>
      </w:pPr>
      <w:hyperlink r:id="rId23" w:history="1">
        <w:r w:rsidR="00545C18" w:rsidRPr="00704C8E">
          <w:rPr>
            <w:rStyle w:val="Hipervnculo"/>
          </w:rPr>
          <w:t>https://www.itu.int/dms_pub/itu-r/opb/rep/R-REP-M.2444-2019-PDF-E.pdf</w:t>
        </w:r>
      </w:hyperlink>
    </w:p>
    <w:p w14:paraId="64D7E7AC" w14:textId="50FFC411" w:rsidR="00545C18" w:rsidRPr="00704C8E" w:rsidRDefault="00545C18" w:rsidP="00545C18">
      <w:pPr>
        <w:pStyle w:val="Prrafodelista"/>
        <w:numPr>
          <w:ilvl w:val="0"/>
          <w:numId w:val="7"/>
        </w:numPr>
        <w:spacing w:after="0" w:line="240" w:lineRule="auto"/>
        <w:jc w:val="both"/>
        <w:rPr>
          <w:sz w:val="20"/>
        </w:rPr>
      </w:pPr>
      <w:r w:rsidRPr="00704C8E">
        <w:rPr>
          <w:sz w:val="20"/>
        </w:rPr>
        <w:t xml:space="preserve">Recomendación ITU-R M.1452: Radares y sistemas de radiocomunicación de onda milimétrica para evitar accidentes vehiculares en aplicaciones de los </w:t>
      </w:r>
      <w:r w:rsidR="00D37A79">
        <w:rPr>
          <w:sz w:val="20"/>
        </w:rPr>
        <w:t>STI</w:t>
      </w:r>
      <w:r w:rsidRPr="00704C8E">
        <w:rPr>
          <w:sz w:val="20"/>
        </w:rPr>
        <w:t>.</w:t>
      </w:r>
    </w:p>
    <w:p w14:paraId="49DF97C3" w14:textId="77777777" w:rsidR="00545C18" w:rsidRPr="00704C8E" w:rsidRDefault="00F679CA" w:rsidP="00545C18">
      <w:pPr>
        <w:pStyle w:val="Prrafodelista"/>
        <w:rPr>
          <w:sz w:val="20"/>
        </w:rPr>
      </w:pPr>
      <w:hyperlink r:id="rId24" w:history="1">
        <w:r w:rsidR="00545C18" w:rsidRPr="00704C8E">
          <w:rPr>
            <w:rStyle w:val="Hipervnculo"/>
          </w:rPr>
          <w:t>https://www.itu.int/dms_pubrec/itu-r/rec/m/R-REC-M.1452-2-201205-I!!PDF-S.pdf</w:t>
        </w:r>
      </w:hyperlink>
    </w:p>
    <w:p w14:paraId="21CDEB5C" w14:textId="77777777" w:rsidR="00545C18" w:rsidRPr="00704C8E" w:rsidRDefault="00545C18" w:rsidP="00545C18">
      <w:pPr>
        <w:pStyle w:val="Prrafodelista"/>
        <w:numPr>
          <w:ilvl w:val="0"/>
          <w:numId w:val="7"/>
        </w:numPr>
        <w:spacing w:after="0" w:line="240" w:lineRule="auto"/>
        <w:jc w:val="both"/>
        <w:rPr>
          <w:sz w:val="20"/>
        </w:rPr>
      </w:pPr>
      <w:r w:rsidRPr="00704C8E">
        <w:rPr>
          <w:sz w:val="20"/>
        </w:rPr>
        <w:t>Recomendación ITU-R M.1453: Sistemas de transporte inteligentes. Comunicaciones dedicadas de corto alcance a 5,8 GHz.</w:t>
      </w:r>
    </w:p>
    <w:p w14:paraId="73CAE1E4" w14:textId="77777777" w:rsidR="00545C18" w:rsidRPr="00704C8E" w:rsidRDefault="00F679CA" w:rsidP="00545C18">
      <w:pPr>
        <w:pStyle w:val="Prrafodelista"/>
        <w:spacing w:after="0" w:line="240" w:lineRule="auto"/>
        <w:jc w:val="both"/>
        <w:rPr>
          <w:sz w:val="20"/>
        </w:rPr>
      </w:pPr>
      <w:hyperlink r:id="rId25" w:history="1">
        <w:r w:rsidR="00545C18" w:rsidRPr="00704C8E">
          <w:rPr>
            <w:rStyle w:val="Hipervnculo"/>
          </w:rPr>
          <w:t>https://www.itu.int/dms_pubrec/itu-r/rec/m/R-REC-M.1453-2-200506-I!!PDF-S.pdf</w:t>
        </w:r>
      </w:hyperlink>
    </w:p>
    <w:p w14:paraId="4948CDE1" w14:textId="77777777" w:rsidR="00545C18" w:rsidRPr="00704C8E" w:rsidRDefault="00545C18" w:rsidP="00545C18">
      <w:pPr>
        <w:pStyle w:val="Prrafodelista"/>
        <w:numPr>
          <w:ilvl w:val="0"/>
          <w:numId w:val="7"/>
        </w:numPr>
        <w:spacing w:after="0" w:line="240" w:lineRule="auto"/>
        <w:jc w:val="both"/>
        <w:rPr>
          <w:sz w:val="20"/>
        </w:rPr>
      </w:pPr>
      <w:r w:rsidRPr="00704C8E">
        <w:rPr>
          <w:sz w:val="20"/>
        </w:rPr>
        <w:t>Recomendación 208 (WRC-19), Armonización de bandas de frecuencia para las aplicaciones de los Sistemas de transporte inteligentes en desarrollo bajo designaciones de servicios móviles, se refiere a la Recomendación ITU-R M.2121: Armonización de bandas de frecuencia para Sistemas de transporte inteligentes en el servicio móvil (2019).</w:t>
      </w:r>
    </w:p>
    <w:p w14:paraId="090F19DE" w14:textId="77777777" w:rsidR="00545C18" w:rsidRPr="00704C8E" w:rsidRDefault="00F679CA" w:rsidP="00545C18">
      <w:pPr>
        <w:pStyle w:val="Prrafodelista"/>
        <w:spacing w:after="0" w:line="240" w:lineRule="auto"/>
        <w:jc w:val="both"/>
        <w:rPr>
          <w:sz w:val="20"/>
        </w:rPr>
      </w:pPr>
      <w:hyperlink r:id="rId26" w:history="1">
        <w:r w:rsidR="00545C18" w:rsidRPr="00704C8E">
          <w:rPr>
            <w:rStyle w:val="Hipervnculo"/>
          </w:rPr>
          <w:t>https://www.itu.int/dms_pubrec/itu-r/rec/m/R-REC-M.2121-0-201901-I!!PDF-S.pdf</w:t>
        </w:r>
      </w:hyperlink>
    </w:p>
    <w:p w14:paraId="2360070F" w14:textId="5F0D9493" w:rsidR="00545C18" w:rsidRPr="00704C8E" w:rsidRDefault="00545C18" w:rsidP="00545C18">
      <w:pPr>
        <w:pStyle w:val="Prrafodelista"/>
        <w:numPr>
          <w:ilvl w:val="0"/>
          <w:numId w:val="7"/>
        </w:numPr>
        <w:spacing w:after="0" w:line="240" w:lineRule="auto"/>
        <w:jc w:val="both"/>
        <w:rPr>
          <w:sz w:val="20"/>
        </w:rPr>
      </w:pPr>
      <w:r w:rsidRPr="00704C8E">
        <w:rPr>
          <w:sz w:val="20"/>
        </w:rPr>
        <w:t>Recomendación (08) 01 del Comité de Comunicaciones Electrónicas: Utilización de la banda de 5855-5875 MHz para los Sistemas de transporte inteligentes (2008, enmendada en 2020); Recomendación (08) 01 del Comité de Comunicaciones Electrónicas: Uso armonizado de los Sistemas de transporte inteligente (</w:t>
      </w:r>
      <w:r w:rsidR="00D37A79">
        <w:rPr>
          <w:sz w:val="20"/>
        </w:rPr>
        <w:t>STI</w:t>
      </w:r>
      <w:r w:rsidRPr="00704C8E">
        <w:rPr>
          <w:sz w:val="20"/>
        </w:rPr>
        <w:t>) relacionados con la seguridad en la banda de frecuencia de 5875-5935 MHz (2008, enmendada en 2020).</w:t>
      </w:r>
    </w:p>
    <w:p w14:paraId="35FB80C6" w14:textId="77777777" w:rsidR="00545C18" w:rsidRPr="00704C8E" w:rsidRDefault="00F679CA" w:rsidP="00545C18">
      <w:pPr>
        <w:pStyle w:val="Prrafodelista"/>
        <w:spacing w:after="0" w:line="240" w:lineRule="auto"/>
        <w:jc w:val="both"/>
        <w:rPr>
          <w:sz w:val="20"/>
        </w:rPr>
      </w:pPr>
      <w:hyperlink r:id="rId27" w:history="1">
        <w:r w:rsidR="00545C18" w:rsidRPr="00704C8E">
          <w:rPr>
            <w:rStyle w:val="Hipervnculo"/>
          </w:rPr>
          <w:t>https://docdb.cept.org/download/798c1836-20c6/REC0801.pdf</w:t>
        </w:r>
      </w:hyperlink>
    </w:p>
    <w:p w14:paraId="0C87F9DC" w14:textId="77777777" w:rsidR="00545C18" w:rsidRPr="00704C8E" w:rsidRDefault="00545C18" w:rsidP="00545C18">
      <w:pPr>
        <w:pStyle w:val="Prrafodelista"/>
        <w:numPr>
          <w:ilvl w:val="0"/>
          <w:numId w:val="7"/>
        </w:numPr>
        <w:spacing w:after="0" w:line="240" w:lineRule="auto"/>
        <w:jc w:val="both"/>
        <w:rPr>
          <w:sz w:val="20"/>
        </w:rPr>
      </w:pPr>
      <w:r w:rsidRPr="00704C8E">
        <w:rPr>
          <w:sz w:val="20"/>
        </w:rPr>
        <w:t>Recomendación UIT-R M.1890 Objetivos y requisitos operacionales de radiocomunicaciones para sistemas de transporte inteligentes avanzados.</w:t>
      </w:r>
    </w:p>
    <w:p w14:paraId="57891CCD" w14:textId="77777777" w:rsidR="00545C18" w:rsidRPr="00704C8E" w:rsidRDefault="00F679CA" w:rsidP="00545C18">
      <w:pPr>
        <w:pStyle w:val="Prrafodelista"/>
        <w:spacing w:after="0" w:line="240" w:lineRule="auto"/>
        <w:jc w:val="both"/>
        <w:rPr>
          <w:sz w:val="20"/>
        </w:rPr>
      </w:pPr>
      <w:hyperlink r:id="rId28" w:history="1">
        <w:r w:rsidR="00545C18" w:rsidRPr="00704C8E">
          <w:rPr>
            <w:rStyle w:val="Hipervnculo"/>
          </w:rPr>
          <w:t>https://www.itu.int/dms_pubrec/itu-r/rec/m/R-REC-M.1890-0-201104-S!!PDF-S.pdf</w:t>
        </w:r>
      </w:hyperlink>
    </w:p>
    <w:p w14:paraId="4222C0EF" w14:textId="77777777" w:rsidR="00545C18" w:rsidRPr="00704C8E" w:rsidRDefault="00545C18" w:rsidP="00545C18">
      <w:pPr>
        <w:pStyle w:val="Prrafodelista"/>
        <w:numPr>
          <w:ilvl w:val="0"/>
          <w:numId w:val="7"/>
        </w:numPr>
        <w:spacing w:after="0" w:line="240" w:lineRule="auto"/>
        <w:jc w:val="both"/>
        <w:rPr>
          <w:sz w:val="20"/>
        </w:rPr>
      </w:pPr>
      <w:r w:rsidRPr="00704C8E">
        <w:rPr>
          <w:sz w:val="20"/>
        </w:rPr>
        <w:t>Recomendación UIT-R M.2084 Normas relativas a la interfaz radioeléctrica de las comunicaciones bidireccionales de vehículo a vehículo y de vehículo a infraestructura para aplicaciones de sistemas de transporte inteligentes.</w:t>
      </w:r>
    </w:p>
    <w:p w14:paraId="4A507035" w14:textId="77777777" w:rsidR="00545C18" w:rsidRPr="00704C8E" w:rsidRDefault="00F679CA" w:rsidP="00545C18">
      <w:pPr>
        <w:pStyle w:val="Prrafodelista"/>
        <w:spacing w:after="0" w:line="240" w:lineRule="auto"/>
        <w:jc w:val="both"/>
        <w:rPr>
          <w:sz w:val="20"/>
        </w:rPr>
      </w:pPr>
      <w:hyperlink r:id="rId29" w:history="1">
        <w:r w:rsidR="00545C18" w:rsidRPr="00704C8E">
          <w:rPr>
            <w:rStyle w:val="Hipervnculo"/>
          </w:rPr>
          <w:t>https://www.itu.int/dms_pubrec/itu-r/rec/m/R-REC-M.2084-1-201911-I!!PDF-S.pdf</w:t>
        </w:r>
      </w:hyperlink>
    </w:p>
    <w:p w14:paraId="0AED83DD" w14:textId="77777777" w:rsidR="00545C18" w:rsidRPr="00704C8E" w:rsidRDefault="00545C18" w:rsidP="00545C18">
      <w:pPr>
        <w:pStyle w:val="Prrafodelista"/>
        <w:numPr>
          <w:ilvl w:val="0"/>
          <w:numId w:val="7"/>
        </w:numPr>
        <w:spacing w:after="0" w:line="240" w:lineRule="auto"/>
        <w:jc w:val="both"/>
        <w:rPr>
          <w:sz w:val="20"/>
        </w:rPr>
      </w:pPr>
      <w:r w:rsidRPr="00704C8E">
        <w:rPr>
          <w:sz w:val="20"/>
        </w:rPr>
        <w:t>Recomendación UIT-R M.2121 Armonización de las bandas de frecuencias para los sistemas de transporte inteligentes en el servicio móvil.</w:t>
      </w:r>
    </w:p>
    <w:p w14:paraId="54E86A42" w14:textId="77777777" w:rsidR="00545C18" w:rsidRPr="00704C8E" w:rsidRDefault="00F679CA" w:rsidP="00545C18">
      <w:pPr>
        <w:pStyle w:val="Prrafodelista"/>
        <w:rPr>
          <w:sz w:val="20"/>
        </w:rPr>
      </w:pPr>
      <w:hyperlink r:id="rId30" w:history="1">
        <w:r w:rsidR="00545C18" w:rsidRPr="00704C8E">
          <w:rPr>
            <w:rStyle w:val="Hipervnculo"/>
          </w:rPr>
          <w:t>https://www.itu.int/dms_pubrec/itu-r/rec/m/R-REC-M.2121-0-201901-I!!PDF-S.pdf</w:t>
        </w:r>
      </w:hyperlink>
    </w:p>
    <w:p w14:paraId="73414FEC" w14:textId="77777777" w:rsidR="00A90983" w:rsidRDefault="00A90983"/>
    <w:sectPr w:rsidR="00A90983" w:rsidSect="00B23389">
      <w:headerReference w:type="default" r:id="rId31"/>
      <w:footerReference w:type="default" r:id="rId32"/>
      <w:headerReference w:type="first" r:id="rId33"/>
      <w:footerReference w:type="first" r:id="rId34"/>
      <w:pgSz w:w="12240" w:h="15840" w:code="1"/>
      <w:pgMar w:top="1633" w:right="1701" w:bottom="1418" w:left="1701"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1664" w14:textId="77777777" w:rsidR="00F679CA" w:rsidRDefault="00F679CA" w:rsidP="00A90983">
      <w:pPr>
        <w:spacing w:after="0" w:line="240" w:lineRule="auto"/>
      </w:pPr>
      <w:r>
        <w:separator/>
      </w:r>
    </w:p>
  </w:endnote>
  <w:endnote w:type="continuationSeparator" w:id="0">
    <w:p w14:paraId="62E9284F" w14:textId="77777777" w:rsidR="00F679CA" w:rsidRDefault="00F679CA" w:rsidP="00A90983">
      <w:pPr>
        <w:spacing w:after="0" w:line="240" w:lineRule="auto"/>
      </w:pPr>
      <w:r>
        <w:continuationSeparator/>
      </w:r>
    </w:p>
  </w:endnote>
  <w:endnote w:type="continuationNotice" w:id="1">
    <w:p w14:paraId="44B18B30" w14:textId="77777777" w:rsidR="00F679CA" w:rsidRDefault="00F67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1559"/>
    </w:tblGrid>
    <w:tr w:rsidR="003335BA" w:rsidRPr="00F12D83" w14:paraId="2F29FB14" w14:textId="77777777" w:rsidTr="002807B3">
      <w:trPr>
        <w:trHeight w:val="466"/>
      </w:trPr>
      <w:tc>
        <w:tcPr>
          <w:tcW w:w="9498" w:type="dxa"/>
        </w:tcPr>
        <w:p w14:paraId="1CA53848" w14:textId="77777777" w:rsidR="003335BA" w:rsidRPr="00F12D83" w:rsidRDefault="003335BA" w:rsidP="00F12D83">
          <w:pPr>
            <w:tabs>
              <w:tab w:val="center" w:pos="2160"/>
              <w:tab w:val="center" w:pos="4252"/>
              <w:tab w:val="right" w:pos="8504"/>
            </w:tabs>
            <w:ind w:right="540"/>
            <w:rPr>
              <w:rFonts w:cstheme="minorHAnsi"/>
              <w:b/>
              <w:color w:val="808080" w:themeColor="background1" w:themeShade="80"/>
              <w:sz w:val="16"/>
              <w:szCs w:val="18"/>
              <w:lang w:val="es-ES"/>
            </w:rPr>
          </w:pPr>
          <w:r w:rsidRPr="00F12D83">
            <w:rPr>
              <w:rFonts w:cstheme="minorHAnsi"/>
              <w:b/>
              <w:color w:val="808080" w:themeColor="background1" w:themeShade="80"/>
              <w:sz w:val="16"/>
              <w:szCs w:val="16"/>
              <w14:textOutline w14:w="9525" w14:cap="rnd" w14:cmpd="sng" w14:algn="ctr">
                <w14:noFill/>
                <w14:prstDash w14:val="solid"/>
                <w14:bevel/>
              </w14:textOutline>
            </w:rPr>
            <w:t xml:space="preserve">Identificación de necesidades de espectro para sistemas de transporte inteligente en la banda 5850-5925 MHz. </w:t>
          </w:r>
        </w:p>
      </w:tc>
      <w:tc>
        <w:tcPr>
          <w:tcW w:w="1559" w:type="dxa"/>
        </w:tcPr>
        <w:p w14:paraId="096CD4BD" w14:textId="77777777" w:rsidR="003335BA" w:rsidRPr="00F12D83" w:rsidRDefault="003335BA" w:rsidP="00F12D83">
          <w:pPr>
            <w:tabs>
              <w:tab w:val="center" w:pos="4252"/>
            </w:tabs>
            <w:jc w:val="right"/>
            <w:rPr>
              <w:rFonts w:cstheme="minorHAnsi"/>
              <w:b/>
              <w:color w:val="808080" w:themeColor="background1" w:themeShade="80"/>
              <w:sz w:val="16"/>
              <w:szCs w:val="18"/>
              <w:lang w:val="es-ES"/>
            </w:rPr>
          </w:pPr>
          <w:r w:rsidRPr="00F12D83">
            <w:rPr>
              <w:rFonts w:cstheme="minorHAnsi"/>
              <w:b/>
              <w:color w:val="808080" w:themeColor="background1" w:themeShade="80"/>
              <w:sz w:val="16"/>
              <w:szCs w:val="18"/>
              <w:lang w:val="es-ES"/>
            </w:rPr>
            <w:t xml:space="preserve"> Página </w:t>
          </w:r>
          <w:r w:rsidRPr="00F12D83">
            <w:rPr>
              <w:rFonts w:cstheme="minorHAnsi"/>
              <w:b/>
              <w:bCs/>
              <w:color w:val="808080" w:themeColor="background1" w:themeShade="80"/>
              <w:sz w:val="16"/>
              <w:szCs w:val="18"/>
            </w:rPr>
            <w:fldChar w:fldCharType="begin"/>
          </w:r>
          <w:r w:rsidRPr="00F12D83">
            <w:rPr>
              <w:rFonts w:cstheme="minorHAnsi"/>
              <w:b/>
              <w:bCs/>
              <w:color w:val="808080" w:themeColor="background1" w:themeShade="80"/>
              <w:sz w:val="16"/>
              <w:szCs w:val="18"/>
            </w:rPr>
            <w:instrText>PAGE</w:instrText>
          </w:r>
          <w:r w:rsidRPr="00F12D83">
            <w:rPr>
              <w:rFonts w:cstheme="minorHAnsi"/>
              <w:b/>
              <w:bCs/>
              <w:color w:val="808080" w:themeColor="background1" w:themeShade="80"/>
              <w:sz w:val="16"/>
              <w:szCs w:val="18"/>
            </w:rPr>
            <w:fldChar w:fldCharType="separate"/>
          </w:r>
          <w:r>
            <w:rPr>
              <w:rFonts w:cstheme="minorHAnsi"/>
              <w:b/>
              <w:bCs/>
              <w:noProof/>
              <w:color w:val="808080" w:themeColor="background1" w:themeShade="80"/>
              <w:sz w:val="16"/>
              <w:szCs w:val="18"/>
            </w:rPr>
            <w:t>2</w:t>
          </w:r>
          <w:r w:rsidRPr="00F12D83">
            <w:rPr>
              <w:rFonts w:cstheme="minorHAnsi"/>
              <w:b/>
              <w:bCs/>
              <w:color w:val="808080" w:themeColor="background1" w:themeShade="80"/>
              <w:sz w:val="16"/>
              <w:szCs w:val="18"/>
            </w:rPr>
            <w:fldChar w:fldCharType="end"/>
          </w:r>
          <w:r w:rsidRPr="00F12D83">
            <w:rPr>
              <w:rFonts w:cstheme="minorHAnsi"/>
              <w:b/>
              <w:color w:val="808080" w:themeColor="background1" w:themeShade="80"/>
              <w:sz w:val="16"/>
              <w:szCs w:val="18"/>
              <w:lang w:val="es-ES"/>
            </w:rPr>
            <w:t xml:space="preserve"> de </w:t>
          </w:r>
          <w:r w:rsidRPr="00F12D83">
            <w:rPr>
              <w:rFonts w:cstheme="minorHAnsi"/>
              <w:b/>
              <w:bCs/>
              <w:color w:val="808080" w:themeColor="background1" w:themeShade="80"/>
              <w:sz w:val="16"/>
              <w:szCs w:val="18"/>
            </w:rPr>
            <w:fldChar w:fldCharType="begin"/>
          </w:r>
          <w:r w:rsidRPr="00F12D83">
            <w:rPr>
              <w:rFonts w:cstheme="minorHAnsi"/>
              <w:b/>
              <w:color w:val="808080" w:themeColor="background1" w:themeShade="80"/>
              <w:sz w:val="16"/>
              <w:szCs w:val="16"/>
            </w:rPr>
            <w:instrText>NUMPAGES</w:instrText>
          </w:r>
          <w:r w:rsidRPr="00F12D83">
            <w:rPr>
              <w:rFonts w:cstheme="minorHAnsi"/>
              <w:b/>
              <w:bCs/>
              <w:color w:val="808080" w:themeColor="background1" w:themeShade="80"/>
              <w:sz w:val="16"/>
              <w:szCs w:val="18"/>
            </w:rPr>
            <w:fldChar w:fldCharType="separate"/>
          </w:r>
          <w:r>
            <w:rPr>
              <w:rFonts w:cstheme="minorHAnsi"/>
              <w:b/>
              <w:noProof/>
              <w:color w:val="808080" w:themeColor="background1" w:themeShade="80"/>
              <w:sz w:val="16"/>
              <w:szCs w:val="16"/>
            </w:rPr>
            <w:t>33</w:t>
          </w:r>
          <w:r w:rsidRPr="00F12D83">
            <w:rPr>
              <w:rFonts w:cstheme="minorHAnsi"/>
              <w:b/>
              <w:bCs/>
              <w:color w:val="808080" w:themeColor="background1" w:themeShade="80"/>
              <w:sz w:val="16"/>
              <w:szCs w:val="18"/>
            </w:rPr>
            <w:fldChar w:fldCharType="end"/>
          </w:r>
        </w:p>
      </w:tc>
    </w:tr>
  </w:tbl>
  <w:p w14:paraId="7891EC61" w14:textId="77777777" w:rsidR="003335BA" w:rsidRDefault="003335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8337" w14:textId="73ECFE34" w:rsidR="003335BA" w:rsidRDefault="003335BA">
    <w:pPr>
      <w:pStyle w:val="Piedepgina"/>
    </w:pPr>
    <w:r w:rsidRPr="00CD1C11">
      <w:rPr>
        <w:noProof/>
        <w:lang w:eastAsia="es-MX"/>
      </w:rPr>
      <mc:AlternateContent>
        <mc:Choice Requires="wps">
          <w:drawing>
            <wp:anchor distT="0" distB="0" distL="114300" distR="114300" simplePos="0" relativeHeight="251658244" behindDoc="0" locked="0" layoutInCell="1" allowOverlap="1" wp14:anchorId="432C2450" wp14:editId="17D07734">
              <wp:simplePos x="0" y="0"/>
              <wp:positionH relativeFrom="margin">
                <wp:posOffset>4737963</wp:posOffset>
              </wp:positionH>
              <wp:positionV relativeFrom="paragraph">
                <wp:posOffset>-17247</wp:posOffset>
              </wp:positionV>
              <wp:extent cx="1720435" cy="1828800"/>
              <wp:effectExtent l="0" t="0" r="0" b="1270"/>
              <wp:wrapNone/>
              <wp:docPr id="6" name="Cuadro de texto 6"/>
              <wp:cNvGraphicFramePr/>
              <a:graphic xmlns:a="http://schemas.openxmlformats.org/drawingml/2006/main">
                <a:graphicData uri="http://schemas.microsoft.com/office/word/2010/wordprocessingShape">
                  <wps:wsp>
                    <wps:cNvSpPr txBox="1"/>
                    <wps:spPr>
                      <a:xfrm>
                        <a:off x="0" y="0"/>
                        <a:ext cx="1720435" cy="1828800"/>
                      </a:xfrm>
                      <a:prstGeom prst="rect">
                        <a:avLst/>
                      </a:prstGeom>
                      <a:noFill/>
                      <a:ln>
                        <a:noFill/>
                      </a:ln>
                    </wps:spPr>
                    <wps:txbx>
                      <w:txbxContent>
                        <w:p w14:paraId="2D08BC90" w14:textId="7A4FABB6" w:rsidR="003335BA" w:rsidRPr="00C53DFA" w:rsidRDefault="003335BA" w:rsidP="00CD1C11">
                          <w:pPr>
                            <w:jc w:val="center"/>
                            <w:rPr>
                              <w:rFonts w:cstheme="minorHAnsi"/>
                              <w:color w:val="70AD47" w:themeColor="accent6"/>
                              <w:sz w:val="40"/>
                              <w:szCs w:val="72"/>
                              <w14:textOutline w14:w="0" w14:cap="flat" w14:cmpd="sng" w14:algn="ctr">
                                <w14:noFill/>
                                <w14:prstDash w14:val="solid"/>
                                <w14:round/>
                              </w14:textOutline>
                            </w:rPr>
                          </w:pPr>
                          <w:r>
                            <w:rPr>
                              <w:rFonts w:cstheme="minorHAnsi"/>
                              <w:color w:val="70AD47" w:themeColor="accent6"/>
                              <w:sz w:val="40"/>
                              <w:szCs w:val="72"/>
                              <w14:textOutline w14:w="0" w14:cap="flat" w14:cmpd="sng" w14:algn="ctr">
                                <w14:noFill/>
                                <w14:prstDash w14:val="solid"/>
                                <w14:round/>
                              </w14:textOutline>
                            </w:rPr>
                            <w:t>Agosto</w:t>
                          </w:r>
                          <w:r w:rsidRPr="00C53DFA">
                            <w:rPr>
                              <w:rFonts w:cstheme="minorHAnsi"/>
                              <w:color w:val="70AD47" w:themeColor="accent6"/>
                              <w:sz w:val="40"/>
                              <w:szCs w:val="72"/>
                              <w14:textOutline w14:w="0" w14:cap="flat" w14:cmpd="sng" w14:algn="ctr">
                                <w14:noFill/>
                                <w14:prstDash w14:val="solid"/>
                                <w14:round/>
                              </w14:textOutline>
                            </w:rPr>
                            <w:t xml:space="preserve"> 20</w:t>
                          </w:r>
                          <w:r>
                            <w:rPr>
                              <w:rFonts w:cstheme="minorHAnsi"/>
                              <w:color w:val="70AD47" w:themeColor="accent6"/>
                              <w:sz w:val="40"/>
                              <w:szCs w:val="72"/>
                              <w14:textOutline w14:w="0" w14:cap="flat" w14:cmpd="sng" w14:algn="ctr">
                                <w14:noFill/>
                                <w14:prstDash w14:val="solid"/>
                                <w14:round/>
                              </w14:textOutline>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2C2450" id="_x0000_t202" coordsize="21600,21600" o:spt="202" path="m,l,21600r21600,l21600,xe">
              <v:stroke joinstyle="miter"/>
              <v:path gradientshapeok="t" o:connecttype="rect"/>
            </v:shapetype>
            <v:shape id="Cuadro de texto 6" o:spid="_x0000_s1026" type="#_x0000_t202" style="position:absolute;margin-left:373.05pt;margin-top:-1.35pt;width:135.45pt;height:2in;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" filled="f" stroked="f">
              <v:textbox style="mso-fit-shape-to-text:t">
                <w:txbxContent>
                  <w:p w14:paraId="2D08BC90" w14:textId="7A4FABB6" w:rsidR="003335BA" w:rsidRPr="00C53DFA" w:rsidRDefault="003335BA" w:rsidP="00CD1C11">
                    <w:pPr>
                      <w:jc w:val="center"/>
                      <w:rPr>
                        <w:rFonts w:cstheme="minorHAnsi"/>
                        <w:color w:val="70AD47" w:themeColor="accent6"/>
                        <w:sz w:val="40"/>
                        <w:szCs w:val="72"/>
                        <w14:textOutline w14:w="0" w14:cap="flat" w14:cmpd="sng" w14:algn="ctr">
                          <w14:noFill/>
                          <w14:prstDash w14:val="solid"/>
                          <w14:round/>
                        </w14:textOutline>
                      </w:rPr>
                    </w:pPr>
                    <w:r>
                      <w:rPr>
                        <w:rFonts w:cstheme="minorHAnsi"/>
                        <w:color w:val="70AD47" w:themeColor="accent6"/>
                        <w:sz w:val="40"/>
                        <w:szCs w:val="72"/>
                        <w14:textOutline w14:w="0" w14:cap="flat" w14:cmpd="sng" w14:algn="ctr">
                          <w14:noFill/>
                          <w14:prstDash w14:val="solid"/>
                          <w14:round/>
                        </w14:textOutline>
                      </w:rPr>
                      <w:t>Agosto</w:t>
                    </w:r>
                    <w:r w:rsidRPr="00C53DFA">
                      <w:rPr>
                        <w:rFonts w:cstheme="minorHAnsi"/>
                        <w:color w:val="70AD47" w:themeColor="accent6"/>
                        <w:sz w:val="40"/>
                        <w:szCs w:val="72"/>
                        <w14:textOutline w14:w="0" w14:cap="flat" w14:cmpd="sng" w14:algn="ctr">
                          <w14:noFill/>
                          <w14:prstDash w14:val="solid"/>
                          <w14:round/>
                        </w14:textOutline>
                      </w:rPr>
                      <w:t xml:space="preserve"> 20</w:t>
                    </w:r>
                    <w:r>
                      <w:rPr>
                        <w:rFonts w:cstheme="minorHAnsi"/>
                        <w:color w:val="70AD47" w:themeColor="accent6"/>
                        <w:sz w:val="40"/>
                        <w:szCs w:val="72"/>
                        <w14:textOutline w14:w="0" w14:cap="flat" w14:cmpd="sng" w14:algn="ctr">
                          <w14:noFill/>
                          <w14:prstDash w14:val="solid"/>
                          <w14:round/>
                        </w14:textOutline>
                      </w:rPr>
                      <w:t>21</w:t>
                    </w:r>
                  </w:p>
                </w:txbxContent>
              </v:textbox>
              <w10:wrap anchorx="margin"/>
            </v:shape>
          </w:pict>
        </mc:Fallback>
      </mc:AlternateContent>
    </w:r>
    <w:r w:rsidRPr="00CD1C11">
      <w:rPr>
        <w:noProof/>
        <w:lang w:eastAsia="es-MX"/>
      </w:rPr>
      <mc:AlternateContent>
        <mc:Choice Requires="wps">
          <w:drawing>
            <wp:anchor distT="0" distB="0" distL="114300" distR="114300" simplePos="0" relativeHeight="251658243" behindDoc="0" locked="0" layoutInCell="1" allowOverlap="1" wp14:anchorId="67EF211D" wp14:editId="049F7034">
              <wp:simplePos x="0" y="0"/>
              <wp:positionH relativeFrom="column">
                <wp:posOffset>1640205</wp:posOffset>
              </wp:positionH>
              <wp:positionV relativeFrom="paragraph">
                <wp:posOffset>-57785</wp:posOffset>
              </wp:positionV>
              <wp:extent cx="4815840" cy="381000"/>
              <wp:effectExtent l="0" t="0" r="22860" b="19050"/>
              <wp:wrapNone/>
              <wp:docPr id="454" name="Conector angular 454"/>
              <wp:cNvGraphicFramePr/>
              <a:graphic xmlns:a="http://schemas.openxmlformats.org/drawingml/2006/main">
                <a:graphicData uri="http://schemas.microsoft.com/office/word/2010/wordprocessingShape">
                  <wps:wsp>
                    <wps:cNvCnPr/>
                    <wps:spPr>
                      <a:xfrm flipH="1">
                        <a:off x="0" y="0"/>
                        <a:ext cx="4815840" cy="381000"/>
                      </a:xfrm>
                      <a:prstGeom prst="bentConnector3">
                        <a:avLst>
                          <a:gd name="adj1" fmla="val 36490"/>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DE47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454" o:spid="_x0000_s1026" type="#_x0000_t34" style="position:absolute;margin-left:129.15pt;margin-top:-4.55pt;width:379.2pt;height:30p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" adj="7882" strokecolor="#70ad47 [3209]" strokeweight="1.5pt"/>
          </w:pict>
        </mc:Fallback>
      </mc:AlternateContent>
    </w:r>
    <w:r w:rsidRPr="00A90983">
      <w:rPr>
        <w:noProof/>
        <w:lang w:eastAsia="es-MX"/>
      </w:rPr>
      <w:drawing>
        <wp:anchor distT="0" distB="0" distL="114300" distR="114300" simplePos="0" relativeHeight="251658240" behindDoc="1" locked="0" layoutInCell="1" allowOverlap="1" wp14:anchorId="54F2FD8B" wp14:editId="7326E87A">
          <wp:simplePos x="0" y="0"/>
          <wp:positionH relativeFrom="margin">
            <wp:posOffset>-1074420</wp:posOffset>
          </wp:positionH>
          <wp:positionV relativeFrom="page">
            <wp:posOffset>5900420</wp:posOffset>
          </wp:positionV>
          <wp:extent cx="4489450" cy="4151630"/>
          <wp:effectExtent l="0" t="0" r="6350" b="1270"/>
          <wp:wrapNone/>
          <wp:docPr id="618" name="Picture 3" descr="portada c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ortada clara.jpg"/>
                  <pic:cNvPicPr>
                    <a:picLocks noChangeAspect="1"/>
                  </pic:cNvPicPr>
                </pic:nvPicPr>
                <pic:blipFill rotWithShape="1">
                  <a:blip r:embed="rId1" cstate="print">
                    <a:extLst>
                      <a:ext uri="{28A0092B-C50C-407E-A947-70E740481C1C}">
                        <a14:useLocalDpi xmlns:a14="http://schemas.microsoft.com/office/drawing/2010/main" val="0"/>
                      </a:ext>
                    </a:extLst>
                  </a:blip>
                  <a:srcRect l="90" t="26277" r="40589" b="932"/>
                  <a:stretch/>
                </pic:blipFill>
                <pic:spPr bwMode="auto">
                  <a:xfrm>
                    <a:off x="0" y="0"/>
                    <a:ext cx="4489450" cy="4151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1EA2E" w14:textId="77777777" w:rsidR="00F679CA" w:rsidRDefault="00F679CA" w:rsidP="00A90983">
      <w:pPr>
        <w:spacing w:after="0" w:line="240" w:lineRule="auto"/>
      </w:pPr>
      <w:r>
        <w:separator/>
      </w:r>
    </w:p>
  </w:footnote>
  <w:footnote w:type="continuationSeparator" w:id="0">
    <w:p w14:paraId="09E77390" w14:textId="77777777" w:rsidR="00F679CA" w:rsidRDefault="00F679CA" w:rsidP="00A90983">
      <w:pPr>
        <w:spacing w:after="0" w:line="240" w:lineRule="auto"/>
      </w:pPr>
      <w:r>
        <w:continuationSeparator/>
      </w:r>
    </w:p>
  </w:footnote>
  <w:footnote w:type="continuationNotice" w:id="1">
    <w:p w14:paraId="7F0E80F8" w14:textId="77777777" w:rsidR="00F679CA" w:rsidRDefault="00F679CA">
      <w:pPr>
        <w:spacing w:after="0" w:line="240" w:lineRule="auto"/>
      </w:pPr>
    </w:p>
  </w:footnote>
  <w:footnote w:id="2">
    <w:p w14:paraId="52ACD98A" w14:textId="77777777" w:rsidR="003335BA" w:rsidRPr="007A6775" w:rsidRDefault="003335BA" w:rsidP="00D833BF">
      <w:pPr>
        <w:pStyle w:val="Textonotapie"/>
        <w:tabs>
          <w:tab w:val="left" w:pos="284"/>
        </w:tabs>
        <w:ind w:left="142" w:hanging="142"/>
        <w:jc w:val="both"/>
        <w:rPr>
          <w:rFonts w:cs="Arial"/>
          <w:sz w:val="16"/>
          <w:szCs w:val="16"/>
        </w:rPr>
      </w:pPr>
      <w:r w:rsidRPr="00194C82">
        <w:rPr>
          <w:rStyle w:val="Refdenotaalpie"/>
          <w:rFonts w:cs="Arial"/>
          <w:sz w:val="16"/>
          <w:szCs w:val="16"/>
        </w:rPr>
        <w:footnoteRef/>
      </w:r>
      <w:r w:rsidRPr="00194C82">
        <w:rPr>
          <w:rFonts w:cs="Arial"/>
          <w:sz w:val="16"/>
          <w:szCs w:val="16"/>
        </w:rPr>
        <w:t xml:space="preserve"> </w:t>
      </w:r>
      <w:r w:rsidRPr="00194C82">
        <w:rPr>
          <w:rFonts w:cs="Arial"/>
          <w:sz w:val="16"/>
          <w:szCs w:val="16"/>
          <w:lang w:eastAsia="es-MX"/>
        </w:rPr>
        <w:t>“</w:t>
      </w:r>
      <w:r w:rsidRPr="00194C82">
        <w:rPr>
          <w:rFonts w:cs="Arial"/>
          <w:i/>
          <w:sz w:val="16"/>
          <w:szCs w:val="16"/>
          <w:lang w:eastAsia="es-MX"/>
        </w:rPr>
        <w:t>Iniciativa de decreto por el que se expide la Ley Federal de Telecomunicaciones y Radiodifusión, y la Ley del Sistema Público de radiodifusión de México; y se reforman, adicionan y derogan diversas disposiciones en materia de telecomunicaciones y radiodifusión</w:t>
      </w:r>
      <w:r w:rsidRPr="00194C82">
        <w:rPr>
          <w:rFonts w:cs="Arial"/>
          <w:sz w:val="16"/>
          <w:szCs w:val="16"/>
          <w:lang w:eastAsia="es-MX"/>
        </w:rPr>
        <w:t>, 25 de marzo de 2014, pág. 10. Disponible en el siguiente enlace:</w:t>
      </w:r>
      <w:r w:rsidRPr="00194C82">
        <w:rPr>
          <w:rFonts w:cs="Arial"/>
          <w:sz w:val="16"/>
          <w:szCs w:val="16"/>
        </w:rPr>
        <w:t xml:space="preserve"> </w:t>
      </w:r>
      <w:hyperlink r:id="rId1" w:history="1">
        <w:r w:rsidRPr="00194C82">
          <w:rPr>
            <w:rStyle w:val="Hipervnculo"/>
            <w:rFonts w:cs="Arial"/>
            <w:sz w:val="16"/>
            <w:szCs w:val="16"/>
          </w:rPr>
          <w:t>http://legislacion.scjn.gob.mx/Buscador/Paginas/wfProcesoLegislativoCompleto.aspx?IdOrd=101766&amp;IdRef=1&amp;IdProc=1</w:t>
        </w:r>
      </w:hyperlink>
    </w:p>
  </w:footnote>
  <w:footnote w:id="3">
    <w:p w14:paraId="1A2DD7F8" w14:textId="5B44DEEE" w:rsidR="003335BA" w:rsidRPr="004C5E03" w:rsidRDefault="003335BA">
      <w:pPr>
        <w:pStyle w:val="Textonotapie"/>
        <w:rPr>
          <w:sz w:val="16"/>
          <w:szCs w:val="16"/>
        </w:rPr>
      </w:pPr>
      <w:r w:rsidRPr="004C5E03">
        <w:rPr>
          <w:rStyle w:val="Refdenotaalpie"/>
          <w:sz w:val="16"/>
          <w:szCs w:val="16"/>
        </w:rPr>
        <w:footnoteRef/>
      </w:r>
      <w:r w:rsidRPr="004C5E03">
        <w:rPr>
          <w:sz w:val="16"/>
          <w:szCs w:val="16"/>
        </w:rPr>
        <w:t xml:space="preserve"> Mayor información respecto del CTER puede ser consultada en: </w:t>
      </w:r>
      <w:hyperlink r:id="rId2" w:history="1">
        <w:r w:rsidRPr="004C5E03">
          <w:rPr>
            <w:rStyle w:val="Hipervnculo"/>
            <w:sz w:val="16"/>
            <w:szCs w:val="16"/>
          </w:rPr>
          <w:t>http://cter.ift.org.mx/dashboard</w:t>
        </w:r>
      </w:hyperlink>
    </w:p>
  </w:footnote>
  <w:footnote w:id="4">
    <w:p w14:paraId="229F29AB" w14:textId="26A03BD7" w:rsidR="003335BA" w:rsidRPr="004C5E03" w:rsidRDefault="003335BA">
      <w:pPr>
        <w:pStyle w:val="Textonotapie"/>
        <w:rPr>
          <w:sz w:val="16"/>
          <w:szCs w:val="16"/>
        </w:rPr>
      </w:pPr>
      <w:r w:rsidRPr="004C5E03">
        <w:rPr>
          <w:rStyle w:val="Refdenotaalpie"/>
          <w:sz w:val="16"/>
          <w:szCs w:val="16"/>
        </w:rPr>
        <w:footnoteRef/>
      </w:r>
      <w:r w:rsidRPr="004C5E03">
        <w:rPr>
          <w:sz w:val="16"/>
          <w:szCs w:val="16"/>
        </w:rPr>
        <w:t xml:space="preserve"> Documento de trabajo</w:t>
      </w:r>
      <w:r>
        <w:rPr>
          <w:sz w:val="16"/>
          <w:szCs w:val="16"/>
        </w:rPr>
        <w:t xml:space="preserve"> del CTER</w:t>
      </w:r>
      <w:r w:rsidRPr="004C5E03">
        <w:rPr>
          <w:sz w:val="16"/>
          <w:szCs w:val="16"/>
        </w:rPr>
        <w:t xml:space="preserve"> </w:t>
      </w:r>
      <w:r w:rsidRPr="004C5E03">
        <w:rPr>
          <w:rFonts w:cstheme="minorHAnsi"/>
          <w:sz w:val="16"/>
          <w:szCs w:val="16"/>
        </w:rPr>
        <w:t>“IMT 104 CCPII-2021-37-5276_e Recomendación ITS”</w:t>
      </w:r>
    </w:p>
  </w:footnote>
  <w:footnote w:id="5">
    <w:p w14:paraId="5E9D0E83" w14:textId="16DB1DBF" w:rsidR="003335BA" w:rsidRPr="004C5E03" w:rsidRDefault="003335BA">
      <w:pPr>
        <w:pStyle w:val="Textonotapie"/>
        <w:rPr>
          <w:sz w:val="16"/>
          <w:szCs w:val="16"/>
        </w:rPr>
      </w:pPr>
      <w:r w:rsidRPr="004C5E03">
        <w:rPr>
          <w:rStyle w:val="Refdenotaalpie"/>
          <w:sz w:val="16"/>
          <w:szCs w:val="16"/>
        </w:rPr>
        <w:footnoteRef/>
      </w:r>
      <w:r w:rsidRPr="004C5E03">
        <w:rPr>
          <w:sz w:val="16"/>
          <w:szCs w:val="16"/>
        </w:rPr>
        <w:t xml:space="preserve"> Documento de trabajo </w:t>
      </w:r>
      <w:r>
        <w:rPr>
          <w:sz w:val="16"/>
          <w:szCs w:val="16"/>
        </w:rPr>
        <w:t>del CTER</w:t>
      </w:r>
      <w:r w:rsidRPr="004C5E03">
        <w:rPr>
          <w:rFonts w:cstheme="minorHAnsi"/>
          <w:sz w:val="16"/>
          <w:szCs w:val="16"/>
        </w:rPr>
        <w:t xml:space="preserve"> “IMT 105 Sistemas de Transporte Inteligentes”</w:t>
      </w:r>
    </w:p>
  </w:footnote>
  <w:footnote w:id="6">
    <w:p w14:paraId="5A65AF13" w14:textId="779B3EC0" w:rsidR="003335BA" w:rsidRPr="004C5E03" w:rsidRDefault="003335BA">
      <w:pPr>
        <w:pStyle w:val="Textonotapie"/>
        <w:rPr>
          <w:sz w:val="16"/>
          <w:szCs w:val="16"/>
        </w:rPr>
      </w:pPr>
      <w:r w:rsidRPr="004C5E03">
        <w:rPr>
          <w:rStyle w:val="Refdenotaalpie"/>
          <w:sz w:val="16"/>
          <w:szCs w:val="16"/>
        </w:rPr>
        <w:footnoteRef/>
      </w:r>
      <w:r w:rsidRPr="004C5E03">
        <w:rPr>
          <w:sz w:val="16"/>
          <w:szCs w:val="16"/>
        </w:rPr>
        <w:t xml:space="preserve"> Documento de trabajo </w:t>
      </w:r>
      <w:r>
        <w:rPr>
          <w:sz w:val="16"/>
          <w:szCs w:val="16"/>
        </w:rPr>
        <w:t>del CTER</w:t>
      </w:r>
      <w:r w:rsidRPr="004C5E03">
        <w:rPr>
          <w:rFonts w:cstheme="minorHAnsi"/>
          <w:sz w:val="16"/>
          <w:szCs w:val="16"/>
        </w:rPr>
        <w:t xml:space="preserve"> “IMT 107 BAM CTER DSA Banda de 5.9 GHz”</w:t>
      </w:r>
    </w:p>
  </w:footnote>
  <w:footnote w:id="7">
    <w:p w14:paraId="4C226C7B" w14:textId="77777777" w:rsidR="003335BA" w:rsidRPr="002E2E49" w:rsidRDefault="003335BA">
      <w:pPr>
        <w:pStyle w:val="Textonotapie"/>
        <w:rPr>
          <w:sz w:val="16"/>
          <w:szCs w:val="16"/>
        </w:rPr>
      </w:pPr>
      <w:r w:rsidRPr="002E2E49">
        <w:rPr>
          <w:rStyle w:val="Refdenotaalpie"/>
          <w:sz w:val="16"/>
          <w:szCs w:val="16"/>
        </w:rPr>
        <w:footnoteRef/>
      </w:r>
      <w:r w:rsidRPr="002E2E49">
        <w:rPr>
          <w:sz w:val="16"/>
          <w:szCs w:val="16"/>
          <w:lang w:val="en-US"/>
        </w:rPr>
        <w:t xml:space="preserve"> FCC, 1999, </w:t>
      </w:r>
      <w:r w:rsidRPr="002E2E49">
        <w:rPr>
          <w:i/>
          <w:sz w:val="16"/>
          <w:szCs w:val="16"/>
          <w:lang w:val="en-US"/>
        </w:rPr>
        <w:t>Amendment of Parts 2 and 90 of the Commission's Rules to Allocate the 5.850-5.925 GHz Band to the Mobile Service for Dedicated Short Range Communications of Intelligent Transportation Services</w:t>
      </w:r>
      <w:r w:rsidRPr="002E2E49">
        <w:rPr>
          <w:sz w:val="16"/>
          <w:szCs w:val="16"/>
          <w:lang w:val="en-US"/>
        </w:rPr>
        <w:t xml:space="preserve">. </w:t>
      </w:r>
      <w:r w:rsidRPr="002E2E49">
        <w:rPr>
          <w:sz w:val="16"/>
          <w:szCs w:val="16"/>
        </w:rPr>
        <w:t xml:space="preserve">Consultable en el siguiente enlace: </w:t>
      </w:r>
      <w:hyperlink r:id="rId3" w:history="1">
        <w:r w:rsidRPr="002E2E49">
          <w:rPr>
            <w:rStyle w:val="Hipervnculo"/>
            <w:sz w:val="16"/>
            <w:szCs w:val="16"/>
          </w:rPr>
          <w:t>https://docs.fcc.gov/public/attachments/FCC-99-305A1.pdf</w:t>
        </w:r>
      </w:hyperlink>
    </w:p>
  </w:footnote>
  <w:footnote w:id="8">
    <w:p w14:paraId="5FA8935B" w14:textId="77777777" w:rsidR="003335BA" w:rsidRPr="002E2E49" w:rsidRDefault="003335BA" w:rsidP="00E2658F">
      <w:pPr>
        <w:pStyle w:val="Textonotapie"/>
        <w:rPr>
          <w:rStyle w:val="Hipervnculo"/>
          <w:sz w:val="16"/>
          <w:szCs w:val="16"/>
        </w:rPr>
      </w:pPr>
      <w:r w:rsidRPr="002E2E49">
        <w:rPr>
          <w:rStyle w:val="Refdenotaalpie"/>
          <w:rFonts w:cs="Arial"/>
          <w:sz w:val="16"/>
          <w:szCs w:val="16"/>
        </w:rPr>
        <w:footnoteRef/>
      </w:r>
      <w:r w:rsidRPr="002E2E49">
        <w:rPr>
          <w:rFonts w:cs="Arial"/>
          <w:sz w:val="16"/>
          <w:szCs w:val="16"/>
          <w:lang w:val="en-US"/>
        </w:rPr>
        <w:t xml:space="preserve"> FCC, 2018. </w:t>
      </w:r>
      <w:r w:rsidRPr="002E2E49">
        <w:rPr>
          <w:rFonts w:cs="Arial"/>
          <w:i/>
          <w:sz w:val="16"/>
          <w:szCs w:val="16"/>
          <w:lang w:val="en-US"/>
        </w:rPr>
        <w:t>FURTHER NOTICE OF PROPOSED RULEMAKING: Unlicensed Use of the 6 GHz Band</w:t>
      </w:r>
      <w:r w:rsidRPr="002E2E49">
        <w:rPr>
          <w:rFonts w:cs="Arial"/>
          <w:sz w:val="16"/>
          <w:szCs w:val="16"/>
          <w:lang w:val="en-US"/>
        </w:rPr>
        <w:t xml:space="preserve">. </w:t>
      </w:r>
      <w:r w:rsidRPr="002E2E49">
        <w:rPr>
          <w:rFonts w:cs="Arial"/>
          <w:sz w:val="16"/>
          <w:szCs w:val="16"/>
        </w:rPr>
        <w:t xml:space="preserve">Consultable en el siguiente enlace: </w:t>
      </w:r>
      <w:hyperlink r:id="rId4" w:history="1">
        <w:r w:rsidRPr="002E2E49">
          <w:rPr>
            <w:rStyle w:val="Hipervnculo"/>
            <w:rFonts w:cs="Arial"/>
            <w:sz w:val="16"/>
            <w:szCs w:val="16"/>
          </w:rPr>
          <w:t>https://docs.fcc.gov/public/attachments/DOC-354364A1.pdf</w:t>
        </w:r>
      </w:hyperlink>
    </w:p>
  </w:footnote>
  <w:footnote w:id="9">
    <w:p w14:paraId="5FB5A7EE" w14:textId="612F17BA" w:rsidR="003335BA" w:rsidRPr="002E2E49" w:rsidRDefault="003335BA">
      <w:pPr>
        <w:pStyle w:val="Textonotapie"/>
        <w:rPr>
          <w:sz w:val="16"/>
          <w:szCs w:val="16"/>
        </w:rPr>
      </w:pPr>
      <w:r w:rsidRPr="002E2E49">
        <w:rPr>
          <w:rStyle w:val="Refdenotaalpie"/>
          <w:sz w:val="16"/>
          <w:szCs w:val="16"/>
        </w:rPr>
        <w:footnoteRef/>
      </w:r>
      <w:r w:rsidRPr="002E2E49">
        <w:rPr>
          <w:sz w:val="16"/>
          <w:szCs w:val="16"/>
          <w:lang w:val="en-US"/>
        </w:rPr>
        <w:t xml:space="preserve"> Federal Register, 2021, </w:t>
      </w:r>
      <w:r w:rsidRPr="002E2E49">
        <w:rPr>
          <w:i/>
          <w:sz w:val="16"/>
          <w:szCs w:val="16"/>
          <w:lang w:val="en-US"/>
        </w:rPr>
        <w:t>Use of the 5.850-5.925 GHz Band</w:t>
      </w:r>
      <w:r w:rsidRPr="002E2E49">
        <w:rPr>
          <w:sz w:val="16"/>
          <w:szCs w:val="16"/>
          <w:lang w:val="en-US"/>
        </w:rPr>
        <w:t xml:space="preserve">. </w:t>
      </w:r>
      <w:r w:rsidRPr="002E2E49">
        <w:rPr>
          <w:sz w:val="16"/>
          <w:szCs w:val="16"/>
        </w:rPr>
        <w:t xml:space="preserve">Consultable en el siguiente enlace: </w:t>
      </w:r>
      <w:hyperlink r:id="rId5" w:history="1">
        <w:r w:rsidRPr="002E2E49">
          <w:rPr>
            <w:rStyle w:val="Hipervnculo"/>
            <w:sz w:val="16"/>
            <w:szCs w:val="16"/>
          </w:rPr>
          <w:t>https://www.federalregister.gov/documents/2021/05/03/2021-08801/use-of-the-5850-5925-ghz-band</w:t>
        </w:r>
      </w:hyperlink>
    </w:p>
  </w:footnote>
  <w:footnote w:id="10">
    <w:p w14:paraId="612A00BE" w14:textId="77777777" w:rsidR="003335BA" w:rsidRPr="002E2E49" w:rsidRDefault="003335BA">
      <w:pPr>
        <w:pStyle w:val="Textonotapie"/>
        <w:rPr>
          <w:sz w:val="16"/>
          <w:szCs w:val="16"/>
        </w:rPr>
      </w:pPr>
      <w:r w:rsidRPr="002E2E49">
        <w:rPr>
          <w:rStyle w:val="Refdenotaalpie"/>
          <w:sz w:val="16"/>
          <w:szCs w:val="16"/>
        </w:rPr>
        <w:footnoteRef/>
      </w:r>
      <w:r w:rsidRPr="002E2E49">
        <w:rPr>
          <w:sz w:val="16"/>
          <w:szCs w:val="16"/>
        </w:rPr>
        <w:t xml:space="preserve"> Disponible para su consulta en: </w:t>
      </w:r>
      <w:hyperlink r:id="rId6" w:history="1">
        <w:r w:rsidRPr="002E2E49">
          <w:rPr>
            <w:rStyle w:val="Hipervnculo"/>
            <w:sz w:val="16"/>
            <w:szCs w:val="16"/>
          </w:rPr>
          <w:t>https://www.federalregister.gov/documents/2021/05/03/2021-08802/use-of-the-5850-5925-ghz-band</w:t>
        </w:r>
      </w:hyperlink>
    </w:p>
  </w:footnote>
  <w:footnote w:id="11">
    <w:p w14:paraId="236B6E70" w14:textId="77777777" w:rsidR="003335BA" w:rsidRPr="002E2E49" w:rsidRDefault="003335BA">
      <w:pPr>
        <w:pStyle w:val="Textonotapie"/>
        <w:rPr>
          <w:sz w:val="16"/>
          <w:szCs w:val="16"/>
        </w:rPr>
      </w:pPr>
      <w:r w:rsidRPr="002E2E49">
        <w:rPr>
          <w:rStyle w:val="Refdenotaalpie"/>
          <w:sz w:val="16"/>
          <w:szCs w:val="16"/>
        </w:rPr>
        <w:footnoteRef/>
      </w:r>
      <w:r w:rsidRPr="002E2E49">
        <w:rPr>
          <w:sz w:val="16"/>
          <w:szCs w:val="16"/>
        </w:rPr>
        <w:t xml:space="preserve"> Disponible para su consulta en: </w:t>
      </w:r>
      <w:hyperlink r:id="rId7" w:history="1">
        <w:r w:rsidRPr="002E2E49">
          <w:rPr>
            <w:rStyle w:val="Hipervnculo"/>
            <w:sz w:val="16"/>
            <w:szCs w:val="16"/>
          </w:rPr>
          <w:t>https://www.ic.gc.ca/eic/site/smt-gst.nsf/eng/sf08745.html</w:t>
        </w:r>
      </w:hyperlink>
    </w:p>
  </w:footnote>
  <w:footnote w:id="12">
    <w:p w14:paraId="6B788A5D" w14:textId="77777777" w:rsidR="003335BA" w:rsidRPr="002E2E49" w:rsidRDefault="003335BA">
      <w:pPr>
        <w:pStyle w:val="Textonotapie"/>
        <w:rPr>
          <w:sz w:val="16"/>
          <w:szCs w:val="16"/>
        </w:rPr>
      </w:pPr>
      <w:r w:rsidRPr="002E2E49">
        <w:rPr>
          <w:rStyle w:val="Refdenotaalpie"/>
          <w:sz w:val="16"/>
          <w:szCs w:val="16"/>
        </w:rPr>
        <w:footnoteRef/>
      </w:r>
      <w:r w:rsidRPr="002E2E49">
        <w:rPr>
          <w:sz w:val="16"/>
          <w:szCs w:val="16"/>
        </w:rPr>
        <w:t xml:space="preserve"> Disponible para su consulta en: </w:t>
      </w:r>
      <w:hyperlink r:id="rId8" w:history="1">
        <w:r w:rsidRPr="002E2E49">
          <w:rPr>
            <w:rStyle w:val="Hipervnculo"/>
            <w:sz w:val="16"/>
            <w:szCs w:val="16"/>
          </w:rPr>
          <w:t>https://www.ic.gc.ca/eic/site/smt-gst.nsf/eng/sf11325.html</w:t>
        </w:r>
      </w:hyperlink>
    </w:p>
  </w:footnote>
  <w:footnote w:id="13">
    <w:p w14:paraId="0A60FD29" w14:textId="77777777" w:rsidR="003335BA" w:rsidRDefault="003335BA">
      <w:pPr>
        <w:pStyle w:val="Textonotapie"/>
      </w:pPr>
      <w:r w:rsidRPr="00981D96">
        <w:rPr>
          <w:rStyle w:val="Refdenotaalpie"/>
          <w:sz w:val="16"/>
          <w:szCs w:val="16"/>
        </w:rPr>
        <w:footnoteRef/>
      </w:r>
      <w:r w:rsidRPr="00981D96">
        <w:rPr>
          <w:sz w:val="16"/>
          <w:szCs w:val="16"/>
        </w:rPr>
        <w:t xml:space="preserve"> Disponible para su consulta en: </w:t>
      </w:r>
      <w:hyperlink r:id="rId9" w:history="1">
        <w:r w:rsidRPr="00981D96">
          <w:rPr>
            <w:rStyle w:val="Hipervnculo"/>
            <w:sz w:val="16"/>
            <w:szCs w:val="16"/>
          </w:rPr>
          <w:t>https://www.ic.gc.ca/eic/site/smt-gst.nsf/eng/sf11325.html</w:t>
        </w:r>
      </w:hyperlink>
    </w:p>
  </w:footnote>
  <w:footnote w:id="14">
    <w:p w14:paraId="45DCCC9C" w14:textId="77777777" w:rsidR="003335BA" w:rsidRPr="00981D96" w:rsidRDefault="003335BA">
      <w:pPr>
        <w:pStyle w:val="Textonotapie"/>
        <w:rPr>
          <w:sz w:val="16"/>
          <w:szCs w:val="16"/>
        </w:rPr>
      </w:pPr>
      <w:r w:rsidRPr="00981D96">
        <w:rPr>
          <w:rStyle w:val="Refdenotaalpie"/>
          <w:sz w:val="16"/>
          <w:szCs w:val="16"/>
        </w:rPr>
        <w:footnoteRef/>
      </w:r>
      <w:r w:rsidRPr="00981D96">
        <w:rPr>
          <w:sz w:val="16"/>
          <w:szCs w:val="16"/>
        </w:rPr>
        <w:t xml:space="preserve"> Disponible para su consulta en: </w:t>
      </w:r>
      <w:hyperlink r:id="rId10" w:history="1">
        <w:r w:rsidRPr="00981D96">
          <w:rPr>
            <w:rStyle w:val="Hipervnculo"/>
            <w:sz w:val="16"/>
            <w:szCs w:val="16"/>
          </w:rPr>
          <w:t>https://www.ic.gc.ca/eic/site/smt-gst.nsf/eng/sf11403.html</w:t>
        </w:r>
      </w:hyperlink>
    </w:p>
  </w:footnote>
  <w:footnote w:id="15">
    <w:p w14:paraId="42A257C9" w14:textId="77777777" w:rsidR="003335BA" w:rsidRPr="00347099" w:rsidRDefault="003335BA">
      <w:pPr>
        <w:pStyle w:val="Textonotapie"/>
        <w:rPr>
          <w:sz w:val="16"/>
          <w:szCs w:val="16"/>
        </w:rPr>
      </w:pPr>
      <w:r w:rsidRPr="00347099">
        <w:rPr>
          <w:rStyle w:val="Refdenotaalpie"/>
          <w:sz w:val="16"/>
          <w:szCs w:val="16"/>
        </w:rPr>
        <w:footnoteRef/>
      </w:r>
      <w:r w:rsidRPr="00347099">
        <w:rPr>
          <w:sz w:val="16"/>
          <w:szCs w:val="16"/>
        </w:rPr>
        <w:t xml:space="preserve"> Disponible para su consulta en: </w:t>
      </w:r>
      <w:hyperlink r:id="rId11" w:history="1">
        <w:r w:rsidRPr="00347099">
          <w:rPr>
            <w:rStyle w:val="Hipervnculo"/>
            <w:sz w:val="16"/>
            <w:szCs w:val="16"/>
          </w:rPr>
          <w:t>https://informacoes.anatel.gov.br/legislacao/atos-de-certificacao-de-produtos/2020/1467-ato-4776</w:t>
        </w:r>
      </w:hyperlink>
    </w:p>
  </w:footnote>
  <w:footnote w:id="16">
    <w:p w14:paraId="690E8F10" w14:textId="77777777" w:rsidR="003335BA" w:rsidRPr="002600E4" w:rsidRDefault="003335BA">
      <w:pPr>
        <w:pStyle w:val="Textonotapie"/>
        <w:rPr>
          <w:sz w:val="16"/>
          <w:szCs w:val="16"/>
        </w:rPr>
      </w:pPr>
      <w:r w:rsidRPr="002600E4">
        <w:rPr>
          <w:rStyle w:val="Refdenotaalpie"/>
          <w:sz w:val="16"/>
          <w:szCs w:val="16"/>
        </w:rPr>
        <w:footnoteRef/>
      </w:r>
      <w:r w:rsidRPr="002600E4">
        <w:rPr>
          <w:sz w:val="16"/>
          <w:szCs w:val="16"/>
        </w:rPr>
        <w:t xml:space="preserve"> Disponibles para su consulta en: </w:t>
      </w:r>
      <w:hyperlink r:id="rId12" w:history="1">
        <w:r w:rsidRPr="002600E4">
          <w:rPr>
            <w:rStyle w:val="Hipervnculo"/>
            <w:sz w:val="16"/>
            <w:szCs w:val="16"/>
          </w:rPr>
          <w:t>https://www.etsi.org/deliver/etsi_en/302500_302599/302571/02.01.01_60/en_302571v020101p.pdf</w:t>
        </w:r>
      </w:hyperlink>
    </w:p>
  </w:footnote>
  <w:footnote w:id="17">
    <w:p w14:paraId="20F9979C" w14:textId="77777777" w:rsidR="003335BA" w:rsidRPr="002600E4" w:rsidRDefault="003335BA">
      <w:pPr>
        <w:pStyle w:val="Textonotapie"/>
        <w:rPr>
          <w:sz w:val="16"/>
          <w:szCs w:val="16"/>
        </w:rPr>
      </w:pPr>
      <w:r w:rsidRPr="002600E4">
        <w:rPr>
          <w:rStyle w:val="Refdenotaalpie"/>
          <w:sz w:val="16"/>
          <w:szCs w:val="16"/>
        </w:rPr>
        <w:footnoteRef/>
      </w:r>
      <w:r w:rsidRPr="002600E4">
        <w:rPr>
          <w:sz w:val="16"/>
          <w:szCs w:val="16"/>
        </w:rPr>
        <w:t xml:space="preserve"> Disponible para su consulta en: </w:t>
      </w:r>
      <w:hyperlink r:id="rId13" w:history="1">
        <w:r w:rsidRPr="002600E4">
          <w:rPr>
            <w:rStyle w:val="Hipervnculo"/>
            <w:sz w:val="16"/>
            <w:szCs w:val="16"/>
          </w:rPr>
          <w:t>https://www.ofcom.org.uk/__data/assets/pdf_file/0020/37082/main.pdf</w:t>
        </w:r>
      </w:hyperlink>
    </w:p>
  </w:footnote>
  <w:footnote w:id="18">
    <w:p w14:paraId="2239F1FF" w14:textId="77777777" w:rsidR="003335BA" w:rsidRPr="002600E4" w:rsidRDefault="003335BA">
      <w:pPr>
        <w:pStyle w:val="Textonotapie"/>
        <w:rPr>
          <w:sz w:val="16"/>
          <w:szCs w:val="16"/>
        </w:rPr>
      </w:pPr>
      <w:r w:rsidRPr="002600E4">
        <w:rPr>
          <w:rStyle w:val="Refdenotaalpie"/>
          <w:sz w:val="16"/>
          <w:szCs w:val="16"/>
        </w:rPr>
        <w:footnoteRef/>
      </w:r>
      <w:r w:rsidRPr="002600E4">
        <w:rPr>
          <w:sz w:val="16"/>
          <w:szCs w:val="16"/>
        </w:rPr>
        <w:t xml:space="preserve"> Disponible para su consulta en: </w:t>
      </w:r>
      <w:hyperlink r:id="rId14" w:history="1">
        <w:r w:rsidRPr="002600E4">
          <w:rPr>
            <w:rStyle w:val="Hipervnculo"/>
            <w:sz w:val="16"/>
            <w:szCs w:val="16"/>
          </w:rPr>
          <w:t>https://www.legislation.gov.uk/uksi/2009/65/pdfs/uksi_20090065_en.pdf</w:t>
        </w:r>
      </w:hyperlink>
    </w:p>
  </w:footnote>
  <w:footnote w:id="19">
    <w:p w14:paraId="24059190" w14:textId="77777777" w:rsidR="003335BA" w:rsidRPr="002600E4" w:rsidRDefault="003335BA">
      <w:pPr>
        <w:pStyle w:val="Textonotapie"/>
        <w:rPr>
          <w:sz w:val="16"/>
          <w:szCs w:val="16"/>
        </w:rPr>
      </w:pPr>
      <w:r w:rsidRPr="002600E4">
        <w:rPr>
          <w:rStyle w:val="Refdenotaalpie"/>
          <w:sz w:val="16"/>
          <w:szCs w:val="16"/>
        </w:rPr>
        <w:footnoteRef/>
      </w:r>
      <w:r w:rsidRPr="002600E4">
        <w:rPr>
          <w:sz w:val="16"/>
          <w:szCs w:val="16"/>
        </w:rPr>
        <w:t xml:space="preserve"> Disponible para su consulta en: </w:t>
      </w:r>
      <w:hyperlink r:id="rId15" w:history="1">
        <w:r w:rsidRPr="002600E4">
          <w:rPr>
            <w:rStyle w:val="Hipervnculo"/>
            <w:sz w:val="16"/>
            <w:szCs w:val="16"/>
          </w:rPr>
          <w:t>https://www.legislation.gov.uk/uksi/2011/2949/pdfs/uksi_20112949_en.pdf</w:t>
        </w:r>
      </w:hyperlink>
    </w:p>
  </w:footnote>
  <w:footnote w:id="20">
    <w:p w14:paraId="04AE178F" w14:textId="77777777" w:rsidR="003335BA" w:rsidRPr="00177651" w:rsidRDefault="003335BA" w:rsidP="00B22DEE">
      <w:pPr>
        <w:pStyle w:val="Textonotapie"/>
        <w:rPr>
          <w:sz w:val="16"/>
          <w:szCs w:val="16"/>
        </w:rPr>
      </w:pPr>
      <w:r w:rsidRPr="00177651">
        <w:rPr>
          <w:rStyle w:val="Refdenotaalpie"/>
          <w:sz w:val="16"/>
          <w:szCs w:val="16"/>
        </w:rPr>
        <w:footnoteRef/>
      </w:r>
      <w:r w:rsidRPr="00177651">
        <w:rPr>
          <w:sz w:val="16"/>
          <w:szCs w:val="16"/>
        </w:rPr>
        <w:t xml:space="preserve"> Disponible para su consulta en: </w:t>
      </w:r>
      <w:hyperlink r:id="rId16" w:history="1">
        <w:r w:rsidRPr="00177651">
          <w:rPr>
            <w:rStyle w:val="Hipervnculo"/>
            <w:sz w:val="16"/>
            <w:szCs w:val="16"/>
          </w:rPr>
          <w:t>https://docdb.cept.org/download/21</w:t>
        </w:r>
      </w:hyperlink>
    </w:p>
  </w:footnote>
  <w:footnote w:id="21">
    <w:p w14:paraId="25CA7F0D" w14:textId="77777777" w:rsidR="003335BA" w:rsidRPr="00177651" w:rsidRDefault="003335BA" w:rsidP="00B22DEE">
      <w:pPr>
        <w:pStyle w:val="Textonotapie"/>
        <w:rPr>
          <w:sz w:val="16"/>
          <w:szCs w:val="16"/>
        </w:rPr>
      </w:pPr>
      <w:r w:rsidRPr="00177651">
        <w:rPr>
          <w:rStyle w:val="Refdenotaalpie"/>
          <w:sz w:val="16"/>
          <w:szCs w:val="16"/>
        </w:rPr>
        <w:footnoteRef/>
      </w:r>
      <w:r w:rsidRPr="00177651">
        <w:rPr>
          <w:sz w:val="16"/>
          <w:szCs w:val="16"/>
        </w:rPr>
        <w:t xml:space="preserve"> Disponible para su consulta en: </w:t>
      </w:r>
      <w:hyperlink r:id="rId17" w:history="1">
        <w:r w:rsidRPr="00177651">
          <w:rPr>
            <w:rStyle w:val="Hipervnculo"/>
            <w:sz w:val="16"/>
            <w:szCs w:val="16"/>
          </w:rPr>
          <w:t>https://docdb.cept.org/download/96</w:t>
        </w:r>
      </w:hyperlink>
    </w:p>
  </w:footnote>
  <w:footnote w:id="22">
    <w:p w14:paraId="4563B0F1" w14:textId="39DECA8B" w:rsidR="003335BA" w:rsidRPr="0008378E" w:rsidRDefault="003335BA">
      <w:pPr>
        <w:pStyle w:val="Textonotapie"/>
        <w:rPr>
          <w:sz w:val="16"/>
          <w:szCs w:val="16"/>
        </w:rPr>
      </w:pPr>
      <w:r w:rsidRPr="0008378E">
        <w:rPr>
          <w:rStyle w:val="Refdenotaalpie"/>
          <w:sz w:val="16"/>
          <w:szCs w:val="16"/>
        </w:rPr>
        <w:footnoteRef/>
      </w:r>
      <w:r w:rsidRPr="0008378E">
        <w:rPr>
          <w:sz w:val="16"/>
          <w:szCs w:val="16"/>
        </w:rPr>
        <w:t xml:space="preserve"> Disponible para su consulta en: </w:t>
      </w:r>
      <w:hyperlink r:id="rId18" w:history="1">
        <w:r w:rsidRPr="0008378E">
          <w:rPr>
            <w:rStyle w:val="Hipervnculo"/>
            <w:sz w:val="16"/>
            <w:szCs w:val="16"/>
          </w:rPr>
          <w:t>https://docdb.cept.org/download/1583</w:t>
        </w:r>
      </w:hyperlink>
    </w:p>
  </w:footnote>
  <w:footnote w:id="23">
    <w:p w14:paraId="6807BE15" w14:textId="0C302C15" w:rsidR="003335BA" w:rsidRDefault="003335BA">
      <w:pPr>
        <w:pStyle w:val="Textonotapie"/>
      </w:pPr>
      <w:r w:rsidRPr="0008378E">
        <w:rPr>
          <w:rStyle w:val="Refdenotaalpie"/>
          <w:sz w:val="16"/>
          <w:szCs w:val="16"/>
        </w:rPr>
        <w:footnoteRef/>
      </w:r>
      <w:r w:rsidRPr="0008378E">
        <w:rPr>
          <w:sz w:val="16"/>
          <w:szCs w:val="16"/>
        </w:rPr>
        <w:t xml:space="preserve"> Disponible para su consulta en: </w:t>
      </w:r>
      <w:hyperlink r:id="rId19" w:history="1">
        <w:r w:rsidRPr="0008378E">
          <w:rPr>
            <w:rStyle w:val="Hipervnculo"/>
            <w:sz w:val="16"/>
            <w:szCs w:val="16"/>
          </w:rPr>
          <w:t>https://docdb.cept.org/download/798c1836-20c6/REC0801.pdf</w:t>
        </w:r>
      </w:hyperlink>
    </w:p>
  </w:footnote>
  <w:footnote w:id="24">
    <w:p w14:paraId="6478CEBE" w14:textId="3831CD08" w:rsidR="003335BA" w:rsidRPr="00177651" w:rsidRDefault="003335BA">
      <w:pPr>
        <w:pStyle w:val="Textonotapie"/>
        <w:rPr>
          <w:sz w:val="16"/>
          <w:szCs w:val="16"/>
        </w:rPr>
      </w:pPr>
      <w:r w:rsidRPr="00177651">
        <w:rPr>
          <w:rStyle w:val="Refdenotaalpie"/>
          <w:sz w:val="16"/>
          <w:szCs w:val="16"/>
        </w:rPr>
        <w:footnoteRef/>
      </w:r>
      <w:r w:rsidRPr="00177651">
        <w:rPr>
          <w:sz w:val="16"/>
          <w:szCs w:val="16"/>
        </w:rPr>
        <w:t xml:space="preserve"> Disponible para su consulta en: </w:t>
      </w:r>
      <w:hyperlink r:id="rId20" w:history="1">
        <w:r w:rsidRPr="00177651">
          <w:rPr>
            <w:rStyle w:val="Hipervnculo"/>
            <w:sz w:val="16"/>
            <w:szCs w:val="16"/>
          </w:rPr>
          <w:t>https://itsa.org/wp-content/uploads/2020/04/V2X-Myth-Vs-Fact-Sheet.pdf</w:t>
        </w:r>
      </w:hyperlink>
    </w:p>
  </w:footnote>
  <w:footnote w:id="25">
    <w:p w14:paraId="09A031A2" w14:textId="2ADF4B3A" w:rsidR="003335BA" w:rsidRPr="00177651" w:rsidRDefault="003335BA" w:rsidP="00FE09EF">
      <w:pPr>
        <w:pStyle w:val="Textonotapie"/>
        <w:jc w:val="both"/>
        <w:rPr>
          <w:sz w:val="16"/>
          <w:szCs w:val="16"/>
        </w:rPr>
      </w:pPr>
      <w:r w:rsidRPr="00177651">
        <w:rPr>
          <w:rStyle w:val="Refdenotaalpie"/>
          <w:sz w:val="16"/>
          <w:szCs w:val="16"/>
        </w:rPr>
        <w:footnoteRef/>
      </w:r>
      <w:r w:rsidRPr="00177651">
        <w:rPr>
          <w:sz w:val="16"/>
          <w:szCs w:val="16"/>
        </w:rPr>
        <w:t xml:space="preserve"> Nota, de ninguna manera, las Recomendaciones e Informes aquí incluidos deben interpretarse como vinculantes para el desarrollo de los sistemas </w:t>
      </w:r>
      <w:r>
        <w:rPr>
          <w:sz w:val="16"/>
          <w:szCs w:val="16"/>
        </w:rPr>
        <w:t>STI</w:t>
      </w:r>
      <w:r w:rsidRPr="00177651">
        <w:rPr>
          <w:sz w:val="16"/>
          <w:szCs w:val="16"/>
        </w:rPr>
        <w:t xml:space="preserve"> en México.</w:t>
      </w:r>
    </w:p>
  </w:footnote>
  <w:footnote w:id="26">
    <w:p w14:paraId="78DB50E4" w14:textId="51B794E6" w:rsidR="003335BA" w:rsidRPr="0088450C" w:rsidRDefault="003335BA" w:rsidP="00167E38">
      <w:pPr>
        <w:pStyle w:val="Textonotapie"/>
        <w:rPr>
          <w:sz w:val="16"/>
          <w:szCs w:val="16"/>
        </w:rPr>
      </w:pPr>
      <w:r w:rsidRPr="0088450C">
        <w:rPr>
          <w:rStyle w:val="Refdenotaalpie"/>
          <w:sz w:val="16"/>
          <w:szCs w:val="16"/>
        </w:rPr>
        <w:footnoteRef/>
      </w:r>
      <w:r w:rsidRPr="0088450C">
        <w:rPr>
          <w:sz w:val="16"/>
          <w:szCs w:val="16"/>
        </w:rPr>
        <w:t xml:space="preserve">Consultable en el sitio del 3GGP: </w:t>
      </w:r>
      <w:hyperlink r:id="rId21" w:history="1">
        <w:r w:rsidRPr="0088450C">
          <w:rPr>
            <w:rStyle w:val="Hipervnculo"/>
            <w:sz w:val="16"/>
            <w:szCs w:val="16"/>
          </w:rPr>
          <w:t>https://www.3gpp.org/v2x</w:t>
        </w:r>
      </w:hyperlink>
    </w:p>
  </w:footnote>
  <w:footnote w:id="27">
    <w:p w14:paraId="5E96A9A8" w14:textId="77777777" w:rsidR="003335BA" w:rsidRPr="0088450C" w:rsidRDefault="003335BA" w:rsidP="004821BB">
      <w:pPr>
        <w:pStyle w:val="Textonotapie"/>
        <w:jc w:val="both"/>
        <w:rPr>
          <w:sz w:val="16"/>
          <w:szCs w:val="16"/>
        </w:rPr>
      </w:pPr>
      <w:r w:rsidRPr="002D7072">
        <w:rPr>
          <w:rStyle w:val="Refdenotaalpie"/>
          <w:sz w:val="16"/>
          <w:szCs w:val="16"/>
        </w:rPr>
        <w:footnoteRef/>
      </w:r>
      <w:r w:rsidRPr="0088450C">
        <w:rPr>
          <w:rStyle w:val="Refdenotaalpie"/>
          <w:sz w:val="16"/>
          <w:szCs w:val="16"/>
        </w:rPr>
        <w:t xml:space="preserve"> </w:t>
      </w:r>
      <w:r w:rsidRPr="0088450C">
        <w:rPr>
          <w:sz w:val="16"/>
          <w:szCs w:val="16"/>
        </w:rPr>
        <w:t>Más información sobre el tema se encuentra disponible en la Recomendación “</w:t>
      </w:r>
      <w:r w:rsidRPr="0088450C">
        <w:rPr>
          <w:i/>
          <w:sz w:val="16"/>
          <w:szCs w:val="16"/>
        </w:rPr>
        <w:t>UIT-R M.2083-0 IMT Vision - Framework and overall objectives of the future development of IMT for 2020 and beyond</w:t>
      </w:r>
      <w:r w:rsidRPr="0088450C">
        <w:rPr>
          <w:sz w:val="16"/>
          <w:szCs w:val="16"/>
        </w:rPr>
        <w:t xml:space="preserve">", disponible para consulta en: </w:t>
      </w:r>
      <w:hyperlink r:id="rId22" w:history="1">
        <w:r w:rsidRPr="0088450C">
          <w:rPr>
            <w:rStyle w:val="Hipervnculo"/>
            <w:sz w:val="16"/>
            <w:szCs w:val="16"/>
          </w:rPr>
          <w:t>https://www.itu.int/rec/R-REC-M.2083-0-201509-I/es</w:t>
        </w:r>
      </w:hyperlink>
      <w:r w:rsidRPr="0088450C">
        <w:rPr>
          <w:sz w:val="16"/>
          <w:szCs w:val="16"/>
        </w:rPr>
        <w:t xml:space="preserve"> </w:t>
      </w:r>
    </w:p>
  </w:footnote>
  <w:footnote w:id="28">
    <w:p w14:paraId="54F767E6" w14:textId="77777777" w:rsidR="003335BA" w:rsidRPr="002D7072" w:rsidRDefault="003335BA">
      <w:pPr>
        <w:pStyle w:val="Textonotapie"/>
        <w:rPr>
          <w:sz w:val="16"/>
          <w:szCs w:val="16"/>
        </w:rPr>
      </w:pPr>
      <w:r w:rsidRPr="002D7072">
        <w:rPr>
          <w:rStyle w:val="Refdenotaalpie"/>
          <w:sz w:val="16"/>
          <w:szCs w:val="16"/>
        </w:rPr>
        <w:footnoteRef/>
      </w:r>
      <w:r w:rsidRPr="00BB6DE1">
        <w:rPr>
          <w:sz w:val="16"/>
          <w:szCs w:val="16"/>
          <w:lang w:val="en-US"/>
        </w:rPr>
        <w:t xml:space="preserve"> UIT-R, 2015, M.2083: IMT </w:t>
      </w:r>
      <w:r w:rsidRPr="00BB6DE1">
        <w:rPr>
          <w:i/>
          <w:sz w:val="16"/>
          <w:szCs w:val="16"/>
          <w:lang w:val="en-US"/>
        </w:rPr>
        <w:t>Vision - "Framework and overall objectives of the future development of IMT for 2020 and beyond"</w:t>
      </w:r>
      <w:r w:rsidRPr="00BB6DE1">
        <w:rPr>
          <w:sz w:val="16"/>
          <w:szCs w:val="16"/>
          <w:lang w:val="en-US"/>
        </w:rPr>
        <w:t xml:space="preserve">. </w:t>
      </w:r>
      <w:r>
        <w:rPr>
          <w:sz w:val="16"/>
          <w:szCs w:val="16"/>
        </w:rPr>
        <w:t>Disponible para consulta en:</w:t>
      </w:r>
      <w:r w:rsidRPr="002D7072">
        <w:rPr>
          <w:sz w:val="16"/>
          <w:szCs w:val="16"/>
        </w:rPr>
        <w:t xml:space="preserve"> </w:t>
      </w:r>
      <w:hyperlink r:id="rId23" w:history="1">
        <w:r w:rsidRPr="00A676A5">
          <w:rPr>
            <w:rStyle w:val="Hipervnculo"/>
            <w:sz w:val="16"/>
            <w:szCs w:val="16"/>
          </w:rPr>
          <w:t>https://www.itu.int/rec/R-REC-M.2083-0-201509-I/es</w:t>
        </w:r>
      </w:hyperlink>
      <w:r w:rsidRPr="002D7072">
        <w:rPr>
          <w:sz w:val="16"/>
          <w:szCs w:val="16"/>
        </w:rPr>
        <w:t xml:space="preserve"> (aprobada el 29-sep-2015)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24F2" w14:textId="70EC8CD5" w:rsidR="003335BA" w:rsidRDefault="003335BA" w:rsidP="00A90983">
    <w:pPr>
      <w:pStyle w:val="Encabezado"/>
      <w:tabs>
        <w:tab w:val="clear" w:pos="4419"/>
        <w:tab w:val="clear" w:pos="8838"/>
        <w:tab w:val="center" w:pos="4252"/>
        <w:tab w:val="right" w:pos="8504"/>
      </w:tabs>
      <w:jc w:val="right"/>
    </w:pPr>
    <w:r w:rsidRPr="00F57776">
      <w:rPr>
        <w:b/>
        <w:noProof/>
        <w:color w:val="808080" w:themeColor="background1" w:themeShade="80"/>
        <w:sz w:val="24"/>
        <w:lang w:eastAsia="es-MX"/>
      </w:rPr>
      <w:drawing>
        <wp:anchor distT="0" distB="0" distL="114300" distR="114300" simplePos="0" relativeHeight="251658242" behindDoc="0" locked="0" layoutInCell="1" allowOverlap="1" wp14:anchorId="70B43BA7" wp14:editId="4D617246">
          <wp:simplePos x="0" y="0"/>
          <wp:positionH relativeFrom="column">
            <wp:posOffset>-828675</wp:posOffset>
          </wp:positionH>
          <wp:positionV relativeFrom="paragraph">
            <wp:posOffset>82006</wp:posOffset>
          </wp:positionV>
          <wp:extent cx="2256828" cy="464820"/>
          <wp:effectExtent l="0" t="0" r="0" b="0"/>
          <wp:wrapNone/>
          <wp:docPr id="616" name="Imagen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ns-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6828" cy="464820"/>
                  </a:xfrm>
                  <a:prstGeom prst="rect">
                    <a:avLst/>
                  </a:prstGeom>
                </pic:spPr>
              </pic:pic>
            </a:graphicData>
          </a:graphic>
          <wp14:sizeRelH relativeFrom="margin">
            <wp14:pctWidth>0</wp14:pctWidth>
          </wp14:sizeRelH>
          <wp14:sizeRelV relativeFrom="margin">
            <wp14:pctHeight>0</wp14:pctHeight>
          </wp14:sizeRelV>
        </wp:anchor>
      </w:drawing>
    </w:r>
  </w:p>
  <w:p w14:paraId="3751246B" w14:textId="77777777" w:rsidR="003335BA" w:rsidRDefault="003335BA" w:rsidP="00A90983">
    <w:pPr>
      <w:pStyle w:val="Encabezado"/>
      <w:tabs>
        <w:tab w:val="clear" w:pos="4419"/>
        <w:tab w:val="clear" w:pos="8838"/>
        <w:tab w:val="center" w:pos="4252"/>
        <w:tab w:val="right" w:pos="8504"/>
      </w:tabs>
      <w:jc w:val="right"/>
    </w:pPr>
  </w:p>
  <w:p w14:paraId="3EEEE1CE" w14:textId="77777777" w:rsidR="003335BA" w:rsidRPr="00A90983" w:rsidRDefault="003335BA" w:rsidP="00A90983">
    <w:pPr>
      <w:pStyle w:val="Encabezado"/>
      <w:tabs>
        <w:tab w:val="clear" w:pos="4419"/>
        <w:tab w:val="clear" w:pos="8838"/>
        <w:tab w:val="center" w:pos="4252"/>
        <w:tab w:val="right" w:pos="8504"/>
      </w:tabs>
      <w:jc w:val="right"/>
    </w:pPr>
    <w:r w:rsidRPr="00A90983">
      <w:rPr>
        <w:b/>
        <w:color w:val="808080" w:themeColor="background1" w:themeShade="80"/>
        <w:sz w:val="18"/>
      </w:rPr>
      <w:t>UNIDAD DE ESPECTRO RADIOELÉCTRICO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CD88" w14:textId="77777777" w:rsidR="003335BA" w:rsidRDefault="003335BA">
    <w:pPr>
      <w:pStyle w:val="Encabezado"/>
    </w:pPr>
    <w:r w:rsidRPr="00A90983">
      <w:rPr>
        <w:noProof/>
        <w:lang w:eastAsia="es-MX"/>
      </w:rPr>
      <w:drawing>
        <wp:anchor distT="0" distB="0" distL="114300" distR="114300" simplePos="0" relativeHeight="251658241" behindDoc="0" locked="0" layoutInCell="1" allowOverlap="1" wp14:anchorId="2E69C3F8" wp14:editId="2A8FC116">
          <wp:simplePos x="0" y="0"/>
          <wp:positionH relativeFrom="margin">
            <wp:posOffset>4633595</wp:posOffset>
          </wp:positionH>
          <wp:positionV relativeFrom="margin">
            <wp:posOffset>21590</wp:posOffset>
          </wp:positionV>
          <wp:extent cx="2016760" cy="1390650"/>
          <wp:effectExtent l="0" t="0" r="2540" b="0"/>
          <wp:wrapSquare wrapText="bothSides"/>
          <wp:docPr id="617" name="Imagen 6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1390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65D"/>
    <w:multiLevelType w:val="hybridMultilevel"/>
    <w:tmpl w:val="ED0A4F2A"/>
    <w:lvl w:ilvl="0" w:tplc="7B9EFBD4">
      <w:start w:val="1"/>
      <w:numFmt w:val="upperRoman"/>
      <w:lvlText w:val="%1."/>
      <w:lvlJc w:val="left"/>
      <w:pPr>
        <w:ind w:left="1854" w:hanging="720"/>
      </w:pPr>
      <w:rPr>
        <w:rFonts w:hint="default"/>
        <w:color w:val="000000" w:themeColor="text1"/>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4596998"/>
    <w:multiLevelType w:val="hybridMultilevel"/>
    <w:tmpl w:val="8626DCCC"/>
    <w:lvl w:ilvl="0" w:tplc="8324859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8936F3"/>
    <w:multiLevelType w:val="hybridMultilevel"/>
    <w:tmpl w:val="AD982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5940D6"/>
    <w:multiLevelType w:val="hybridMultilevel"/>
    <w:tmpl w:val="29BC9232"/>
    <w:lvl w:ilvl="0" w:tplc="8324859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395858"/>
    <w:multiLevelType w:val="hybridMultilevel"/>
    <w:tmpl w:val="06E6F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061014"/>
    <w:multiLevelType w:val="hybridMultilevel"/>
    <w:tmpl w:val="835CF75A"/>
    <w:lvl w:ilvl="0" w:tplc="DD4A120A">
      <w:start w:val="24"/>
      <w:numFmt w:val="bullet"/>
      <w:lvlText w:val="-"/>
      <w:lvlJc w:val="left"/>
      <w:pPr>
        <w:ind w:left="720" w:hanging="360"/>
      </w:pPr>
      <w:rPr>
        <w:rFonts w:ascii="ITC Avant Garde" w:eastAsiaTheme="minorHAnsi" w:hAnsi="ITC Avant Garde"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1E373C"/>
    <w:multiLevelType w:val="hybridMultilevel"/>
    <w:tmpl w:val="729667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1F6524"/>
    <w:multiLevelType w:val="hybridMultilevel"/>
    <w:tmpl w:val="503C96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6852AC3"/>
    <w:multiLevelType w:val="hybridMultilevel"/>
    <w:tmpl w:val="7D106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CD1C48"/>
    <w:multiLevelType w:val="hybridMultilevel"/>
    <w:tmpl w:val="8F0C367C"/>
    <w:lvl w:ilvl="0" w:tplc="C3D8B768">
      <w:start w:val="1"/>
      <w:numFmt w:val="lowerLetter"/>
      <w:lvlText w:val="%1)"/>
      <w:lvlJc w:val="left"/>
      <w:pPr>
        <w:ind w:left="720" w:hanging="360"/>
      </w:pPr>
      <w:rPr>
        <w:rFonts w:ascii="ITC Avant Garde" w:hAnsi="ITC Avant Garde"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9"/>
  </w:num>
  <w:num w:numId="5">
    <w:abstractNumId w:val="3"/>
  </w:num>
  <w:num w:numId="6">
    <w:abstractNumId w:val="5"/>
  </w:num>
  <w:num w:numId="7">
    <w:abstractNumId w:va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983"/>
    <w:rsid w:val="0000158A"/>
    <w:rsid w:val="0000314A"/>
    <w:rsid w:val="00010389"/>
    <w:rsid w:val="00012D90"/>
    <w:rsid w:val="00015B47"/>
    <w:rsid w:val="00021BCE"/>
    <w:rsid w:val="00023922"/>
    <w:rsid w:val="0002457E"/>
    <w:rsid w:val="00033474"/>
    <w:rsid w:val="000338E2"/>
    <w:rsid w:val="000345F2"/>
    <w:rsid w:val="00034670"/>
    <w:rsid w:val="00034A51"/>
    <w:rsid w:val="000356C0"/>
    <w:rsid w:val="00035816"/>
    <w:rsid w:val="00053F2F"/>
    <w:rsid w:val="000549E8"/>
    <w:rsid w:val="00056238"/>
    <w:rsid w:val="00067F36"/>
    <w:rsid w:val="000760E8"/>
    <w:rsid w:val="00076848"/>
    <w:rsid w:val="00077818"/>
    <w:rsid w:val="0008378E"/>
    <w:rsid w:val="00083D61"/>
    <w:rsid w:val="00085BED"/>
    <w:rsid w:val="00087660"/>
    <w:rsid w:val="000927BF"/>
    <w:rsid w:val="00093125"/>
    <w:rsid w:val="000A0FAC"/>
    <w:rsid w:val="000A1E2A"/>
    <w:rsid w:val="000A7D37"/>
    <w:rsid w:val="000B1559"/>
    <w:rsid w:val="000B2E8C"/>
    <w:rsid w:val="000B5ECF"/>
    <w:rsid w:val="000B6862"/>
    <w:rsid w:val="000B696C"/>
    <w:rsid w:val="000B6F89"/>
    <w:rsid w:val="000C1149"/>
    <w:rsid w:val="000C1EA7"/>
    <w:rsid w:val="000C2477"/>
    <w:rsid w:val="000C38B2"/>
    <w:rsid w:val="000C3901"/>
    <w:rsid w:val="000C755B"/>
    <w:rsid w:val="000D2B50"/>
    <w:rsid w:val="000E2F6E"/>
    <w:rsid w:val="000E6060"/>
    <w:rsid w:val="000E6E30"/>
    <w:rsid w:val="000E73BA"/>
    <w:rsid w:val="000F6349"/>
    <w:rsid w:val="000F6653"/>
    <w:rsid w:val="000F70B0"/>
    <w:rsid w:val="00101239"/>
    <w:rsid w:val="00101A71"/>
    <w:rsid w:val="00104C5E"/>
    <w:rsid w:val="00107510"/>
    <w:rsid w:val="001165AA"/>
    <w:rsid w:val="00125A8A"/>
    <w:rsid w:val="001303BB"/>
    <w:rsid w:val="00130E06"/>
    <w:rsid w:val="00135D1E"/>
    <w:rsid w:val="0014068F"/>
    <w:rsid w:val="00144061"/>
    <w:rsid w:val="00144508"/>
    <w:rsid w:val="00144CD7"/>
    <w:rsid w:val="001461FF"/>
    <w:rsid w:val="00147BA5"/>
    <w:rsid w:val="00152E03"/>
    <w:rsid w:val="001535F9"/>
    <w:rsid w:val="00153B18"/>
    <w:rsid w:val="00154E1C"/>
    <w:rsid w:val="00155ABD"/>
    <w:rsid w:val="00155B89"/>
    <w:rsid w:val="00155E36"/>
    <w:rsid w:val="00155F4B"/>
    <w:rsid w:val="001645BF"/>
    <w:rsid w:val="00165A09"/>
    <w:rsid w:val="00166588"/>
    <w:rsid w:val="0016746B"/>
    <w:rsid w:val="00167E38"/>
    <w:rsid w:val="00175C42"/>
    <w:rsid w:val="001768DD"/>
    <w:rsid w:val="00177651"/>
    <w:rsid w:val="00180362"/>
    <w:rsid w:val="00180714"/>
    <w:rsid w:val="00184846"/>
    <w:rsid w:val="00184910"/>
    <w:rsid w:val="00186D05"/>
    <w:rsid w:val="001879D5"/>
    <w:rsid w:val="00192316"/>
    <w:rsid w:val="00194C82"/>
    <w:rsid w:val="00195109"/>
    <w:rsid w:val="001A2F25"/>
    <w:rsid w:val="001A4B27"/>
    <w:rsid w:val="001B0201"/>
    <w:rsid w:val="001B1557"/>
    <w:rsid w:val="001B1618"/>
    <w:rsid w:val="001B1C40"/>
    <w:rsid w:val="001B3B74"/>
    <w:rsid w:val="001B4267"/>
    <w:rsid w:val="001C37EE"/>
    <w:rsid w:val="001C4157"/>
    <w:rsid w:val="001D2473"/>
    <w:rsid w:val="001E0459"/>
    <w:rsid w:val="001E2BEA"/>
    <w:rsid w:val="001E61FC"/>
    <w:rsid w:val="001E739F"/>
    <w:rsid w:val="00204506"/>
    <w:rsid w:val="002148CC"/>
    <w:rsid w:val="002259F4"/>
    <w:rsid w:val="0023300E"/>
    <w:rsid w:val="00235385"/>
    <w:rsid w:val="00235BFF"/>
    <w:rsid w:val="00240382"/>
    <w:rsid w:val="00251753"/>
    <w:rsid w:val="0025572D"/>
    <w:rsid w:val="00256776"/>
    <w:rsid w:val="002572F6"/>
    <w:rsid w:val="002600E4"/>
    <w:rsid w:val="00260168"/>
    <w:rsid w:val="00261688"/>
    <w:rsid w:val="00263A43"/>
    <w:rsid w:val="00266C40"/>
    <w:rsid w:val="002708FD"/>
    <w:rsid w:val="002807B3"/>
    <w:rsid w:val="00281CEA"/>
    <w:rsid w:val="002871AF"/>
    <w:rsid w:val="0029613C"/>
    <w:rsid w:val="002A2EA0"/>
    <w:rsid w:val="002A31AF"/>
    <w:rsid w:val="002A352D"/>
    <w:rsid w:val="002A6095"/>
    <w:rsid w:val="002A64C2"/>
    <w:rsid w:val="002B2EB4"/>
    <w:rsid w:val="002B5F68"/>
    <w:rsid w:val="002C2D41"/>
    <w:rsid w:val="002C4D33"/>
    <w:rsid w:val="002D01C4"/>
    <w:rsid w:val="002D01DD"/>
    <w:rsid w:val="002D0E38"/>
    <w:rsid w:val="002D35DF"/>
    <w:rsid w:val="002D3820"/>
    <w:rsid w:val="002D387B"/>
    <w:rsid w:val="002D6453"/>
    <w:rsid w:val="002D7072"/>
    <w:rsid w:val="002E1339"/>
    <w:rsid w:val="002E24B0"/>
    <w:rsid w:val="002E2E49"/>
    <w:rsid w:val="002E3CCC"/>
    <w:rsid w:val="002E4278"/>
    <w:rsid w:val="002F5947"/>
    <w:rsid w:val="00300FE2"/>
    <w:rsid w:val="003076A7"/>
    <w:rsid w:val="00310CEC"/>
    <w:rsid w:val="0031438C"/>
    <w:rsid w:val="00314B02"/>
    <w:rsid w:val="0032503E"/>
    <w:rsid w:val="003267D8"/>
    <w:rsid w:val="003269F2"/>
    <w:rsid w:val="0032714C"/>
    <w:rsid w:val="00327F93"/>
    <w:rsid w:val="00330A35"/>
    <w:rsid w:val="00331A68"/>
    <w:rsid w:val="00332E48"/>
    <w:rsid w:val="003335BA"/>
    <w:rsid w:val="003346E4"/>
    <w:rsid w:val="003349BA"/>
    <w:rsid w:val="00335D78"/>
    <w:rsid w:val="00336472"/>
    <w:rsid w:val="003366AF"/>
    <w:rsid w:val="00337DE7"/>
    <w:rsid w:val="003460F9"/>
    <w:rsid w:val="00347099"/>
    <w:rsid w:val="00350745"/>
    <w:rsid w:val="00351E24"/>
    <w:rsid w:val="00356671"/>
    <w:rsid w:val="00357020"/>
    <w:rsid w:val="00361887"/>
    <w:rsid w:val="0036316F"/>
    <w:rsid w:val="00363787"/>
    <w:rsid w:val="00367F32"/>
    <w:rsid w:val="0037049C"/>
    <w:rsid w:val="00371C23"/>
    <w:rsid w:val="0037218D"/>
    <w:rsid w:val="00376A69"/>
    <w:rsid w:val="00377776"/>
    <w:rsid w:val="00383AA3"/>
    <w:rsid w:val="00385847"/>
    <w:rsid w:val="00387F2F"/>
    <w:rsid w:val="003975E3"/>
    <w:rsid w:val="003A1796"/>
    <w:rsid w:val="003A7D82"/>
    <w:rsid w:val="003B0D7D"/>
    <w:rsid w:val="003B5088"/>
    <w:rsid w:val="003C34C8"/>
    <w:rsid w:val="003D0178"/>
    <w:rsid w:val="003D1C69"/>
    <w:rsid w:val="003D3D04"/>
    <w:rsid w:val="003D3FF4"/>
    <w:rsid w:val="003D4924"/>
    <w:rsid w:val="003D4ACB"/>
    <w:rsid w:val="003E3EE1"/>
    <w:rsid w:val="003E4715"/>
    <w:rsid w:val="003E51C4"/>
    <w:rsid w:val="003E69D3"/>
    <w:rsid w:val="003E7373"/>
    <w:rsid w:val="003F0401"/>
    <w:rsid w:val="003F31AA"/>
    <w:rsid w:val="003F3976"/>
    <w:rsid w:val="003F5363"/>
    <w:rsid w:val="004006E9"/>
    <w:rsid w:val="004011DF"/>
    <w:rsid w:val="00401D83"/>
    <w:rsid w:val="00402795"/>
    <w:rsid w:val="0040521F"/>
    <w:rsid w:val="00412FBA"/>
    <w:rsid w:val="00417998"/>
    <w:rsid w:val="004239EF"/>
    <w:rsid w:val="004239F7"/>
    <w:rsid w:val="00424410"/>
    <w:rsid w:val="0042725E"/>
    <w:rsid w:val="004278BE"/>
    <w:rsid w:val="00427A89"/>
    <w:rsid w:val="004305FB"/>
    <w:rsid w:val="0043159B"/>
    <w:rsid w:val="0043265C"/>
    <w:rsid w:val="00434FE9"/>
    <w:rsid w:val="00435775"/>
    <w:rsid w:val="00441B2D"/>
    <w:rsid w:val="004431D4"/>
    <w:rsid w:val="0044505D"/>
    <w:rsid w:val="004515D2"/>
    <w:rsid w:val="0045233E"/>
    <w:rsid w:val="00456272"/>
    <w:rsid w:val="0045678F"/>
    <w:rsid w:val="004640B5"/>
    <w:rsid w:val="00467AEA"/>
    <w:rsid w:val="00470C57"/>
    <w:rsid w:val="00473608"/>
    <w:rsid w:val="004758B1"/>
    <w:rsid w:val="00476A30"/>
    <w:rsid w:val="004821BB"/>
    <w:rsid w:val="00483738"/>
    <w:rsid w:val="00485872"/>
    <w:rsid w:val="00486ED9"/>
    <w:rsid w:val="00493365"/>
    <w:rsid w:val="00493A2C"/>
    <w:rsid w:val="004967CC"/>
    <w:rsid w:val="004A02A3"/>
    <w:rsid w:val="004A0DC4"/>
    <w:rsid w:val="004A5BCA"/>
    <w:rsid w:val="004A7797"/>
    <w:rsid w:val="004B13FF"/>
    <w:rsid w:val="004B2C42"/>
    <w:rsid w:val="004B346A"/>
    <w:rsid w:val="004B4E71"/>
    <w:rsid w:val="004B676F"/>
    <w:rsid w:val="004C2C86"/>
    <w:rsid w:val="004C3A87"/>
    <w:rsid w:val="004C5E03"/>
    <w:rsid w:val="004D0107"/>
    <w:rsid w:val="004D0407"/>
    <w:rsid w:val="004D0F7D"/>
    <w:rsid w:val="004D3D0C"/>
    <w:rsid w:val="004D6012"/>
    <w:rsid w:val="004D7E9F"/>
    <w:rsid w:val="004E1DC3"/>
    <w:rsid w:val="004E35FC"/>
    <w:rsid w:val="004E5673"/>
    <w:rsid w:val="004E6E1E"/>
    <w:rsid w:val="004F1E61"/>
    <w:rsid w:val="004F2B8C"/>
    <w:rsid w:val="004F3193"/>
    <w:rsid w:val="00501DDF"/>
    <w:rsid w:val="00507F30"/>
    <w:rsid w:val="00512222"/>
    <w:rsid w:val="0051515C"/>
    <w:rsid w:val="00515B61"/>
    <w:rsid w:val="0052110F"/>
    <w:rsid w:val="00522C85"/>
    <w:rsid w:val="005254A8"/>
    <w:rsid w:val="00526D98"/>
    <w:rsid w:val="005325EE"/>
    <w:rsid w:val="00534B56"/>
    <w:rsid w:val="00542936"/>
    <w:rsid w:val="00542D47"/>
    <w:rsid w:val="005438D9"/>
    <w:rsid w:val="00545C18"/>
    <w:rsid w:val="0054782B"/>
    <w:rsid w:val="005479F3"/>
    <w:rsid w:val="005539F7"/>
    <w:rsid w:val="005544DE"/>
    <w:rsid w:val="005575D5"/>
    <w:rsid w:val="00557DFF"/>
    <w:rsid w:val="00560050"/>
    <w:rsid w:val="00560337"/>
    <w:rsid w:val="00562209"/>
    <w:rsid w:val="00565515"/>
    <w:rsid w:val="005746A5"/>
    <w:rsid w:val="00574B8A"/>
    <w:rsid w:val="00575708"/>
    <w:rsid w:val="0057734A"/>
    <w:rsid w:val="00584C6D"/>
    <w:rsid w:val="00585C88"/>
    <w:rsid w:val="005939DC"/>
    <w:rsid w:val="00597524"/>
    <w:rsid w:val="00597C2A"/>
    <w:rsid w:val="005A07F1"/>
    <w:rsid w:val="005A15E2"/>
    <w:rsid w:val="005A1D79"/>
    <w:rsid w:val="005A2D09"/>
    <w:rsid w:val="005A42F2"/>
    <w:rsid w:val="005A5C02"/>
    <w:rsid w:val="005A7987"/>
    <w:rsid w:val="005B061D"/>
    <w:rsid w:val="005B0856"/>
    <w:rsid w:val="005B1C40"/>
    <w:rsid w:val="005B22FB"/>
    <w:rsid w:val="005B2946"/>
    <w:rsid w:val="005B3DD7"/>
    <w:rsid w:val="005B6FAD"/>
    <w:rsid w:val="005B75F0"/>
    <w:rsid w:val="005C0550"/>
    <w:rsid w:val="005C335A"/>
    <w:rsid w:val="005C51D2"/>
    <w:rsid w:val="005C59DD"/>
    <w:rsid w:val="005D49D0"/>
    <w:rsid w:val="005D7255"/>
    <w:rsid w:val="005E3547"/>
    <w:rsid w:val="005F41C8"/>
    <w:rsid w:val="005F5229"/>
    <w:rsid w:val="0060006D"/>
    <w:rsid w:val="00600D52"/>
    <w:rsid w:val="00604453"/>
    <w:rsid w:val="006121B4"/>
    <w:rsid w:val="0061220C"/>
    <w:rsid w:val="0061400B"/>
    <w:rsid w:val="0061542C"/>
    <w:rsid w:val="006208C9"/>
    <w:rsid w:val="00630F8A"/>
    <w:rsid w:val="00636822"/>
    <w:rsid w:val="006373CD"/>
    <w:rsid w:val="0064261F"/>
    <w:rsid w:val="00650018"/>
    <w:rsid w:val="00655854"/>
    <w:rsid w:val="0065620B"/>
    <w:rsid w:val="0065645D"/>
    <w:rsid w:val="00662189"/>
    <w:rsid w:val="00673915"/>
    <w:rsid w:val="00673FAE"/>
    <w:rsid w:val="006746FB"/>
    <w:rsid w:val="0068121F"/>
    <w:rsid w:val="00681E2F"/>
    <w:rsid w:val="006861DF"/>
    <w:rsid w:val="006A1C85"/>
    <w:rsid w:val="006A1DDF"/>
    <w:rsid w:val="006A351F"/>
    <w:rsid w:val="006A3750"/>
    <w:rsid w:val="006A4884"/>
    <w:rsid w:val="006A5C10"/>
    <w:rsid w:val="006A6ED8"/>
    <w:rsid w:val="006B1AED"/>
    <w:rsid w:val="006B3744"/>
    <w:rsid w:val="006B4063"/>
    <w:rsid w:val="006B5DC7"/>
    <w:rsid w:val="006B6C3F"/>
    <w:rsid w:val="006C1D88"/>
    <w:rsid w:val="006C2DA9"/>
    <w:rsid w:val="006D054C"/>
    <w:rsid w:val="006D05E7"/>
    <w:rsid w:val="006D459C"/>
    <w:rsid w:val="006D7290"/>
    <w:rsid w:val="006E09DE"/>
    <w:rsid w:val="006F14B9"/>
    <w:rsid w:val="006F4FAD"/>
    <w:rsid w:val="006F6C1E"/>
    <w:rsid w:val="006F73E8"/>
    <w:rsid w:val="007018FE"/>
    <w:rsid w:val="00701BF5"/>
    <w:rsid w:val="007031CF"/>
    <w:rsid w:val="0070480B"/>
    <w:rsid w:val="00707578"/>
    <w:rsid w:val="0070777D"/>
    <w:rsid w:val="00712A65"/>
    <w:rsid w:val="007131E1"/>
    <w:rsid w:val="0071453C"/>
    <w:rsid w:val="0071489D"/>
    <w:rsid w:val="0071727B"/>
    <w:rsid w:val="00717D3B"/>
    <w:rsid w:val="00720EB3"/>
    <w:rsid w:val="00721ABB"/>
    <w:rsid w:val="007238D0"/>
    <w:rsid w:val="007277F5"/>
    <w:rsid w:val="0073032D"/>
    <w:rsid w:val="00734B64"/>
    <w:rsid w:val="0073598E"/>
    <w:rsid w:val="00736821"/>
    <w:rsid w:val="0074439E"/>
    <w:rsid w:val="00744784"/>
    <w:rsid w:val="00745EDD"/>
    <w:rsid w:val="007474BC"/>
    <w:rsid w:val="00751CA6"/>
    <w:rsid w:val="00753D40"/>
    <w:rsid w:val="00754B7D"/>
    <w:rsid w:val="007559D4"/>
    <w:rsid w:val="007577FC"/>
    <w:rsid w:val="00760B87"/>
    <w:rsid w:val="00763C57"/>
    <w:rsid w:val="00764303"/>
    <w:rsid w:val="007653F8"/>
    <w:rsid w:val="00771870"/>
    <w:rsid w:val="007749F4"/>
    <w:rsid w:val="00781DC5"/>
    <w:rsid w:val="00782F90"/>
    <w:rsid w:val="00784825"/>
    <w:rsid w:val="00785E06"/>
    <w:rsid w:val="0078760C"/>
    <w:rsid w:val="007915DC"/>
    <w:rsid w:val="00795410"/>
    <w:rsid w:val="00795B85"/>
    <w:rsid w:val="00795CED"/>
    <w:rsid w:val="007A1F2F"/>
    <w:rsid w:val="007A51D4"/>
    <w:rsid w:val="007A6775"/>
    <w:rsid w:val="007A7C0D"/>
    <w:rsid w:val="007B432C"/>
    <w:rsid w:val="007C19A1"/>
    <w:rsid w:val="007C2444"/>
    <w:rsid w:val="007C5D1D"/>
    <w:rsid w:val="007C7112"/>
    <w:rsid w:val="007D3BFB"/>
    <w:rsid w:val="007D4F37"/>
    <w:rsid w:val="007D5633"/>
    <w:rsid w:val="007D5C04"/>
    <w:rsid w:val="007E1526"/>
    <w:rsid w:val="007E3FEE"/>
    <w:rsid w:val="007E4A43"/>
    <w:rsid w:val="007E7BCA"/>
    <w:rsid w:val="007F677B"/>
    <w:rsid w:val="007F74AD"/>
    <w:rsid w:val="00800452"/>
    <w:rsid w:val="00804F47"/>
    <w:rsid w:val="00806CFC"/>
    <w:rsid w:val="00807084"/>
    <w:rsid w:val="008117A8"/>
    <w:rsid w:val="00833C35"/>
    <w:rsid w:val="00836ED7"/>
    <w:rsid w:val="00840E1D"/>
    <w:rsid w:val="008420E9"/>
    <w:rsid w:val="00844AA4"/>
    <w:rsid w:val="00845C4C"/>
    <w:rsid w:val="00845F85"/>
    <w:rsid w:val="00846CE2"/>
    <w:rsid w:val="0085118C"/>
    <w:rsid w:val="00852711"/>
    <w:rsid w:val="00852811"/>
    <w:rsid w:val="008541E1"/>
    <w:rsid w:val="00860207"/>
    <w:rsid w:val="0086038C"/>
    <w:rsid w:val="008635DA"/>
    <w:rsid w:val="00863850"/>
    <w:rsid w:val="008640F9"/>
    <w:rsid w:val="00865DE5"/>
    <w:rsid w:val="008717F6"/>
    <w:rsid w:val="00872355"/>
    <w:rsid w:val="00872CB5"/>
    <w:rsid w:val="0087399C"/>
    <w:rsid w:val="00874CBF"/>
    <w:rsid w:val="0087651E"/>
    <w:rsid w:val="0088114C"/>
    <w:rsid w:val="008832C7"/>
    <w:rsid w:val="0088433B"/>
    <w:rsid w:val="0088450C"/>
    <w:rsid w:val="00884F32"/>
    <w:rsid w:val="00894B98"/>
    <w:rsid w:val="008954D9"/>
    <w:rsid w:val="008964F2"/>
    <w:rsid w:val="008A04F3"/>
    <w:rsid w:val="008A67F8"/>
    <w:rsid w:val="008B2C50"/>
    <w:rsid w:val="008B597F"/>
    <w:rsid w:val="008B6490"/>
    <w:rsid w:val="008B6FB0"/>
    <w:rsid w:val="008C0BC1"/>
    <w:rsid w:val="008C53A0"/>
    <w:rsid w:val="008C54F9"/>
    <w:rsid w:val="008C7571"/>
    <w:rsid w:val="008D1060"/>
    <w:rsid w:val="008D1E0A"/>
    <w:rsid w:val="008D2003"/>
    <w:rsid w:val="008D5E1A"/>
    <w:rsid w:val="008E0845"/>
    <w:rsid w:val="008E337F"/>
    <w:rsid w:val="008E72FD"/>
    <w:rsid w:val="008F232F"/>
    <w:rsid w:val="008F4D45"/>
    <w:rsid w:val="008F5433"/>
    <w:rsid w:val="00901B5D"/>
    <w:rsid w:val="0090477F"/>
    <w:rsid w:val="009065E1"/>
    <w:rsid w:val="00906888"/>
    <w:rsid w:val="00913A62"/>
    <w:rsid w:val="00920B15"/>
    <w:rsid w:val="00922CC2"/>
    <w:rsid w:val="00923FBF"/>
    <w:rsid w:val="0092463C"/>
    <w:rsid w:val="00931E5A"/>
    <w:rsid w:val="00940BA3"/>
    <w:rsid w:val="00943F93"/>
    <w:rsid w:val="009469F9"/>
    <w:rsid w:val="00946ED9"/>
    <w:rsid w:val="00946F00"/>
    <w:rsid w:val="00953C4C"/>
    <w:rsid w:val="00953E4E"/>
    <w:rsid w:val="00974806"/>
    <w:rsid w:val="00976689"/>
    <w:rsid w:val="009771F1"/>
    <w:rsid w:val="009774B5"/>
    <w:rsid w:val="00981D96"/>
    <w:rsid w:val="00984FE5"/>
    <w:rsid w:val="00985B00"/>
    <w:rsid w:val="00995AF7"/>
    <w:rsid w:val="009A1C2B"/>
    <w:rsid w:val="009A1E68"/>
    <w:rsid w:val="009B1003"/>
    <w:rsid w:val="009B23C1"/>
    <w:rsid w:val="009B50B1"/>
    <w:rsid w:val="009C3FDC"/>
    <w:rsid w:val="009C70A8"/>
    <w:rsid w:val="009C753F"/>
    <w:rsid w:val="009D21B2"/>
    <w:rsid w:val="009D3B58"/>
    <w:rsid w:val="009D4A66"/>
    <w:rsid w:val="009E12FD"/>
    <w:rsid w:val="009F5DE7"/>
    <w:rsid w:val="00A024A2"/>
    <w:rsid w:val="00A02EF6"/>
    <w:rsid w:val="00A03B66"/>
    <w:rsid w:val="00A05149"/>
    <w:rsid w:val="00A06C05"/>
    <w:rsid w:val="00A072E0"/>
    <w:rsid w:val="00A07C6A"/>
    <w:rsid w:val="00A116ED"/>
    <w:rsid w:val="00A122D7"/>
    <w:rsid w:val="00A12A8F"/>
    <w:rsid w:val="00A166C6"/>
    <w:rsid w:val="00A170D0"/>
    <w:rsid w:val="00A177B4"/>
    <w:rsid w:val="00A2147E"/>
    <w:rsid w:val="00A23D3C"/>
    <w:rsid w:val="00A25077"/>
    <w:rsid w:val="00A2691B"/>
    <w:rsid w:val="00A269FE"/>
    <w:rsid w:val="00A30613"/>
    <w:rsid w:val="00A341FD"/>
    <w:rsid w:val="00A40E90"/>
    <w:rsid w:val="00A424FE"/>
    <w:rsid w:val="00A432FA"/>
    <w:rsid w:val="00A44736"/>
    <w:rsid w:val="00A45A94"/>
    <w:rsid w:val="00A464F9"/>
    <w:rsid w:val="00A47A85"/>
    <w:rsid w:val="00A520B9"/>
    <w:rsid w:val="00A526C2"/>
    <w:rsid w:val="00A54929"/>
    <w:rsid w:val="00A558B6"/>
    <w:rsid w:val="00A606F7"/>
    <w:rsid w:val="00A624AD"/>
    <w:rsid w:val="00A65D79"/>
    <w:rsid w:val="00A7131B"/>
    <w:rsid w:val="00A7532C"/>
    <w:rsid w:val="00A76137"/>
    <w:rsid w:val="00A77086"/>
    <w:rsid w:val="00A828B1"/>
    <w:rsid w:val="00A865B3"/>
    <w:rsid w:val="00A8767A"/>
    <w:rsid w:val="00A8789B"/>
    <w:rsid w:val="00A90595"/>
    <w:rsid w:val="00A90983"/>
    <w:rsid w:val="00A951DA"/>
    <w:rsid w:val="00A95624"/>
    <w:rsid w:val="00A959B1"/>
    <w:rsid w:val="00AA0314"/>
    <w:rsid w:val="00AA34C9"/>
    <w:rsid w:val="00AA7838"/>
    <w:rsid w:val="00AB3896"/>
    <w:rsid w:val="00AB5BED"/>
    <w:rsid w:val="00AB5F41"/>
    <w:rsid w:val="00AB75A4"/>
    <w:rsid w:val="00AC09CA"/>
    <w:rsid w:val="00AC0A83"/>
    <w:rsid w:val="00AC1013"/>
    <w:rsid w:val="00AC2FD4"/>
    <w:rsid w:val="00AC3ABB"/>
    <w:rsid w:val="00AD18EF"/>
    <w:rsid w:val="00AE11F3"/>
    <w:rsid w:val="00AE745B"/>
    <w:rsid w:val="00AE7627"/>
    <w:rsid w:val="00AF098A"/>
    <w:rsid w:val="00AF2D84"/>
    <w:rsid w:val="00AF2DD1"/>
    <w:rsid w:val="00AF4E2B"/>
    <w:rsid w:val="00AF5F09"/>
    <w:rsid w:val="00AF6E6D"/>
    <w:rsid w:val="00B01BD7"/>
    <w:rsid w:val="00B052A1"/>
    <w:rsid w:val="00B06233"/>
    <w:rsid w:val="00B11CCB"/>
    <w:rsid w:val="00B12202"/>
    <w:rsid w:val="00B130EF"/>
    <w:rsid w:val="00B15283"/>
    <w:rsid w:val="00B22DEE"/>
    <w:rsid w:val="00B23215"/>
    <w:rsid w:val="00B23389"/>
    <w:rsid w:val="00B244A4"/>
    <w:rsid w:val="00B252ED"/>
    <w:rsid w:val="00B2635E"/>
    <w:rsid w:val="00B26626"/>
    <w:rsid w:val="00B26E3D"/>
    <w:rsid w:val="00B27A6A"/>
    <w:rsid w:val="00B31F00"/>
    <w:rsid w:val="00B44EF7"/>
    <w:rsid w:val="00B54008"/>
    <w:rsid w:val="00B54E04"/>
    <w:rsid w:val="00B54EEF"/>
    <w:rsid w:val="00B551F8"/>
    <w:rsid w:val="00B56639"/>
    <w:rsid w:val="00B571AE"/>
    <w:rsid w:val="00B57A65"/>
    <w:rsid w:val="00B635FB"/>
    <w:rsid w:val="00B63623"/>
    <w:rsid w:val="00B6564F"/>
    <w:rsid w:val="00B65EA9"/>
    <w:rsid w:val="00B70351"/>
    <w:rsid w:val="00B70A85"/>
    <w:rsid w:val="00B71C30"/>
    <w:rsid w:val="00B72338"/>
    <w:rsid w:val="00B74F7C"/>
    <w:rsid w:val="00B83D33"/>
    <w:rsid w:val="00B85AD5"/>
    <w:rsid w:val="00B8624A"/>
    <w:rsid w:val="00B871FE"/>
    <w:rsid w:val="00B87F74"/>
    <w:rsid w:val="00B911B5"/>
    <w:rsid w:val="00B918B4"/>
    <w:rsid w:val="00BA6BAC"/>
    <w:rsid w:val="00BB0524"/>
    <w:rsid w:val="00BB0A88"/>
    <w:rsid w:val="00BB12F3"/>
    <w:rsid w:val="00BB1518"/>
    <w:rsid w:val="00BB1698"/>
    <w:rsid w:val="00BB310D"/>
    <w:rsid w:val="00BB3E85"/>
    <w:rsid w:val="00BB5E62"/>
    <w:rsid w:val="00BB6DE1"/>
    <w:rsid w:val="00BC2CB1"/>
    <w:rsid w:val="00BC3E05"/>
    <w:rsid w:val="00BD2F71"/>
    <w:rsid w:val="00BD3B12"/>
    <w:rsid w:val="00BD5584"/>
    <w:rsid w:val="00BD5DAA"/>
    <w:rsid w:val="00BE0827"/>
    <w:rsid w:val="00BE542F"/>
    <w:rsid w:val="00BF12AC"/>
    <w:rsid w:val="00BF1763"/>
    <w:rsid w:val="00BF2A92"/>
    <w:rsid w:val="00BF2C1D"/>
    <w:rsid w:val="00BF5DDB"/>
    <w:rsid w:val="00BF78FB"/>
    <w:rsid w:val="00C106DE"/>
    <w:rsid w:val="00C1176D"/>
    <w:rsid w:val="00C12DCD"/>
    <w:rsid w:val="00C13891"/>
    <w:rsid w:val="00C149CF"/>
    <w:rsid w:val="00C17A5E"/>
    <w:rsid w:val="00C17E96"/>
    <w:rsid w:val="00C24EA0"/>
    <w:rsid w:val="00C24EE9"/>
    <w:rsid w:val="00C264CE"/>
    <w:rsid w:val="00C31BA7"/>
    <w:rsid w:val="00C31C5B"/>
    <w:rsid w:val="00C366B9"/>
    <w:rsid w:val="00C402CB"/>
    <w:rsid w:val="00C41E86"/>
    <w:rsid w:val="00C45826"/>
    <w:rsid w:val="00C45D7D"/>
    <w:rsid w:val="00C53784"/>
    <w:rsid w:val="00C5473B"/>
    <w:rsid w:val="00C60D53"/>
    <w:rsid w:val="00C64FEB"/>
    <w:rsid w:val="00C654A2"/>
    <w:rsid w:val="00C655DF"/>
    <w:rsid w:val="00C65E8C"/>
    <w:rsid w:val="00C66D3B"/>
    <w:rsid w:val="00C73139"/>
    <w:rsid w:val="00C754E6"/>
    <w:rsid w:val="00C75E78"/>
    <w:rsid w:val="00C768CC"/>
    <w:rsid w:val="00C835BF"/>
    <w:rsid w:val="00C8543A"/>
    <w:rsid w:val="00C90144"/>
    <w:rsid w:val="00C946A3"/>
    <w:rsid w:val="00CA44AA"/>
    <w:rsid w:val="00CA6D42"/>
    <w:rsid w:val="00CB182A"/>
    <w:rsid w:val="00CB56A4"/>
    <w:rsid w:val="00CB71D6"/>
    <w:rsid w:val="00CC5D67"/>
    <w:rsid w:val="00CD0970"/>
    <w:rsid w:val="00CD190F"/>
    <w:rsid w:val="00CD1C11"/>
    <w:rsid w:val="00CD4980"/>
    <w:rsid w:val="00CD578D"/>
    <w:rsid w:val="00CE084F"/>
    <w:rsid w:val="00CE1C81"/>
    <w:rsid w:val="00CE60D4"/>
    <w:rsid w:val="00CE67BC"/>
    <w:rsid w:val="00CE69E6"/>
    <w:rsid w:val="00CE77E5"/>
    <w:rsid w:val="00CE7E13"/>
    <w:rsid w:val="00CF087A"/>
    <w:rsid w:val="00CF3CF2"/>
    <w:rsid w:val="00CF4D8A"/>
    <w:rsid w:val="00CF5AF9"/>
    <w:rsid w:val="00CF792A"/>
    <w:rsid w:val="00D01627"/>
    <w:rsid w:val="00D04D29"/>
    <w:rsid w:val="00D1071C"/>
    <w:rsid w:val="00D10E29"/>
    <w:rsid w:val="00D12514"/>
    <w:rsid w:val="00D1298E"/>
    <w:rsid w:val="00D12BD7"/>
    <w:rsid w:val="00D13A2D"/>
    <w:rsid w:val="00D15D81"/>
    <w:rsid w:val="00D15ECC"/>
    <w:rsid w:val="00D20575"/>
    <w:rsid w:val="00D20A9D"/>
    <w:rsid w:val="00D21227"/>
    <w:rsid w:val="00D27AB9"/>
    <w:rsid w:val="00D306E0"/>
    <w:rsid w:val="00D328C0"/>
    <w:rsid w:val="00D3377E"/>
    <w:rsid w:val="00D34A47"/>
    <w:rsid w:val="00D355B2"/>
    <w:rsid w:val="00D35FC2"/>
    <w:rsid w:val="00D37A79"/>
    <w:rsid w:val="00D37B1D"/>
    <w:rsid w:val="00D41AEA"/>
    <w:rsid w:val="00D42100"/>
    <w:rsid w:val="00D453DD"/>
    <w:rsid w:val="00D46D88"/>
    <w:rsid w:val="00D54135"/>
    <w:rsid w:val="00D54EBE"/>
    <w:rsid w:val="00D62651"/>
    <w:rsid w:val="00D640CF"/>
    <w:rsid w:val="00D71258"/>
    <w:rsid w:val="00D719AD"/>
    <w:rsid w:val="00D7449D"/>
    <w:rsid w:val="00D77965"/>
    <w:rsid w:val="00D813A7"/>
    <w:rsid w:val="00D82CB9"/>
    <w:rsid w:val="00D833BF"/>
    <w:rsid w:val="00D93DE0"/>
    <w:rsid w:val="00D94FA7"/>
    <w:rsid w:val="00DA15E6"/>
    <w:rsid w:val="00DA1F4E"/>
    <w:rsid w:val="00DA2DB1"/>
    <w:rsid w:val="00DA4461"/>
    <w:rsid w:val="00DA7DC9"/>
    <w:rsid w:val="00DB0563"/>
    <w:rsid w:val="00DB0859"/>
    <w:rsid w:val="00DB54ED"/>
    <w:rsid w:val="00DC32CC"/>
    <w:rsid w:val="00DD1C0F"/>
    <w:rsid w:val="00DD37EA"/>
    <w:rsid w:val="00DD3EFC"/>
    <w:rsid w:val="00DD41DB"/>
    <w:rsid w:val="00DD429A"/>
    <w:rsid w:val="00DD4942"/>
    <w:rsid w:val="00DD4BD7"/>
    <w:rsid w:val="00DD671E"/>
    <w:rsid w:val="00DD793D"/>
    <w:rsid w:val="00DE0AAC"/>
    <w:rsid w:val="00DF2E23"/>
    <w:rsid w:val="00DF3FA4"/>
    <w:rsid w:val="00DF7328"/>
    <w:rsid w:val="00E04398"/>
    <w:rsid w:val="00E05ACC"/>
    <w:rsid w:val="00E07E22"/>
    <w:rsid w:val="00E105A9"/>
    <w:rsid w:val="00E1164E"/>
    <w:rsid w:val="00E173D4"/>
    <w:rsid w:val="00E248C2"/>
    <w:rsid w:val="00E251A8"/>
    <w:rsid w:val="00E2658F"/>
    <w:rsid w:val="00E402E1"/>
    <w:rsid w:val="00E40EEC"/>
    <w:rsid w:val="00E43477"/>
    <w:rsid w:val="00E4448E"/>
    <w:rsid w:val="00E46ECC"/>
    <w:rsid w:val="00E53FE7"/>
    <w:rsid w:val="00E5456A"/>
    <w:rsid w:val="00E57A57"/>
    <w:rsid w:val="00E6482E"/>
    <w:rsid w:val="00E64A73"/>
    <w:rsid w:val="00E7320D"/>
    <w:rsid w:val="00E7380F"/>
    <w:rsid w:val="00E77103"/>
    <w:rsid w:val="00E8125D"/>
    <w:rsid w:val="00E840A1"/>
    <w:rsid w:val="00E86FB3"/>
    <w:rsid w:val="00E87F50"/>
    <w:rsid w:val="00E90019"/>
    <w:rsid w:val="00E910FA"/>
    <w:rsid w:val="00E9200A"/>
    <w:rsid w:val="00E92C77"/>
    <w:rsid w:val="00E93D1E"/>
    <w:rsid w:val="00E945AB"/>
    <w:rsid w:val="00E95B52"/>
    <w:rsid w:val="00E95FD8"/>
    <w:rsid w:val="00EA16EA"/>
    <w:rsid w:val="00EA29A0"/>
    <w:rsid w:val="00EA2BEF"/>
    <w:rsid w:val="00EA45E0"/>
    <w:rsid w:val="00EB002B"/>
    <w:rsid w:val="00EB0CFB"/>
    <w:rsid w:val="00EB1BDD"/>
    <w:rsid w:val="00EB546C"/>
    <w:rsid w:val="00EC15CB"/>
    <w:rsid w:val="00ED251B"/>
    <w:rsid w:val="00ED2FEC"/>
    <w:rsid w:val="00ED37B1"/>
    <w:rsid w:val="00ED3B67"/>
    <w:rsid w:val="00ED4452"/>
    <w:rsid w:val="00ED7AAB"/>
    <w:rsid w:val="00EE3020"/>
    <w:rsid w:val="00EE4E30"/>
    <w:rsid w:val="00EE588F"/>
    <w:rsid w:val="00EE5F34"/>
    <w:rsid w:val="00EF1762"/>
    <w:rsid w:val="00EF62A2"/>
    <w:rsid w:val="00EF6D62"/>
    <w:rsid w:val="00F0254E"/>
    <w:rsid w:val="00F02F34"/>
    <w:rsid w:val="00F1173E"/>
    <w:rsid w:val="00F12D83"/>
    <w:rsid w:val="00F16672"/>
    <w:rsid w:val="00F17599"/>
    <w:rsid w:val="00F20EBA"/>
    <w:rsid w:val="00F231C2"/>
    <w:rsid w:val="00F23DC2"/>
    <w:rsid w:val="00F270CC"/>
    <w:rsid w:val="00F3091C"/>
    <w:rsid w:val="00F33058"/>
    <w:rsid w:val="00F3656D"/>
    <w:rsid w:val="00F37AED"/>
    <w:rsid w:val="00F40419"/>
    <w:rsid w:val="00F41BDB"/>
    <w:rsid w:val="00F4401F"/>
    <w:rsid w:val="00F44673"/>
    <w:rsid w:val="00F46492"/>
    <w:rsid w:val="00F475E4"/>
    <w:rsid w:val="00F47A92"/>
    <w:rsid w:val="00F53010"/>
    <w:rsid w:val="00F53D47"/>
    <w:rsid w:val="00F53DDF"/>
    <w:rsid w:val="00F601CA"/>
    <w:rsid w:val="00F6216B"/>
    <w:rsid w:val="00F66307"/>
    <w:rsid w:val="00F679CA"/>
    <w:rsid w:val="00F711D2"/>
    <w:rsid w:val="00F72552"/>
    <w:rsid w:val="00F748B7"/>
    <w:rsid w:val="00F7495E"/>
    <w:rsid w:val="00F75C31"/>
    <w:rsid w:val="00F76CDF"/>
    <w:rsid w:val="00F80BED"/>
    <w:rsid w:val="00F81737"/>
    <w:rsid w:val="00F9291F"/>
    <w:rsid w:val="00F956A1"/>
    <w:rsid w:val="00FA2C12"/>
    <w:rsid w:val="00FB10D3"/>
    <w:rsid w:val="00FB33F6"/>
    <w:rsid w:val="00FB351D"/>
    <w:rsid w:val="00FB512D"/>
    <w:rsid w:val="00FB75A5"/>
    <w:rsid w:val="00FC0713"/>
    <w:rsid w:val="00FC42DC"/>
    <w:rsid w:val="00FC4E29"/>
    <w:rsid w:val="00FC7C22"/>
    <w:rsid w:val="00FD742C"/>
    <w:rsid w:val="00FE09EF"/>
    <w:rsid w:val="00FE25A6"/>
    <w:rsid w:val="00FE494C"/>
    <w:rsid w:val="00FE5F09"/>
    <w:rsid w:val="00FE6935"/>
    <w:rsid w:val="00FE7AEB"/>
    <w:rsid w:val="00FF0B4D"/>
    <w:rsid w:val="00FF13EF"/>
    <w:rsid w:val="00FF2058"/>
    <w:rsid w:val="00FF3091"/>
    <w:rsid w:val="00FF428B"/>
    <w:rsid w:val="00FF6AA8"/>
    <w:rsid w:val="00FF7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C124E"/>
  <w15:chartTrackingRefBased/>
  <w15:docId w15:val="{CD2CF683-460B-4004-B50C-FA0A2D42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82E"/>
  </w:style>
  <w:style w:type="paragraph" w:styleId="Ttulo1">
    <w:name w:val="heading 1"/>
    <w:basedOn w:val="Normal"/>
    <w:next w:val="Normal"/>
    <w:link w:val="Ttulo1Car"/>
    <w:uiPriority w:val="9"/>
    <w:qFormat/>
    <w:rsid w:val="00E1164E"/>
    <w:pPr>
      <w:outlineLvl w:val="0"/>
    </w:pPr>
    <w:rPr>
      <w:rFonts w:cstheme="minorHAnsi"/>
      <w:b/>
      <w:color w:val="70AD47" w:themeColor="accent6"/>
      <w:sz w:val="32"/>
      <w:szCs w:val="46"/>
    </w:rPr>
  </w:style>
  <w:style w:type="paragraph" w:styleId="Ttulo2">
    <w:name w:val="heading 2"/>
    <w:basedOn w:val="Normal"/>
    <w:next w:val="Normal"/>
    <w:link w:val="Ttulo2Car"/>
    <w:uiPriority w:val="9"/>
    <w:unhideWhenUsed/>
    <w:qFormat/>
    <w:rsid w:val="00E1164E"/>
    <w:pPr>
      <w:keepNext/>
      <w:keepLines/>
      <w:spacing w:before="40" w:after="0"/>
      <w:outlineLvl w:val="1"/>
    </w:pPr>
    <w:rPr>
      <w:rFonts w:eastAsiaTheme="majorEastAsia" w:cstheme="majorBidi"/>
      <w:color w:val="70AD47" w:themeColor="accent6"/>
      <w:sz w:val="28"/>
      <w:szCs w:val="28"/>
    </w:rPr>
  </w:style>
  <w:style w:type="paragraph" w:styleId="Ttulo3">
    <w:name w:val="heading 3"/>
    <w:basedOn w:val="Ttulo2"/>
    <w:next w:val="Normal"/>
    <w:link w:val="Ttulo3Car"/>
    <w:uiPriority w:val="9"/>
    <w:unhideWhenUsed/>
    <w:qFormat/>
    <w:rsid w:val="00E1164E"/>
    <w:pPr>
      <w:outlineLvl w:val="2"/>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09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0983"/>
  </w:style>
  <w:style w:type="paragraph" w:styleId="Piedepgina">
    <w:name w:val="footer"/>
    <w:basedOn w:val="Normal"/>
    <w:link w:val="PiedepginaCar"/>
    <w:uiPriority w:val="99"/>
    <w:unhideWhenUsed/>
    <w:rsid w:val="00A909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0983"/>
  </w:style>
  <w:style w:type="table" w:styleId="Tablaconcuadrcula">
    <w:name w:val="Table Grid"/>
    <w:basedOn w:val="Tablanormal"/>
    <w:uiPriority w:val="39"/>
    <w:rsid w:val="00F12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2CB5"/>
    <w:rPr>
      <w:color w:val="0563C1" w:themeColor="hyperlink"/>
      <w:u w:val="single"/>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872CB5"/>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872CB5"/>
    <w:rPr>
      <w:sz w:val="20"/>
      <w:szCs w:val="20"/>
    </w:rPr>
  </w:style>
  <w:style w:type="character" w:styleId="Refdenotaalpie">
    <w:name w:val="footnote reference"/>
    <w:aliases w:val="Appel note de bas de p,Footnote Reference/,Ref. de nota al pie 2,Footnotes refss,Texto de nota al pie,Footnote symbol,Style 12,(NECG) Footnote Reference,Style 124,o,fr,Style 13,FR,Style 17,Style 3,Appel note de bas de p + 11 pt"/>
    <w:basedOn w:val="Fuentedeprrafopredeter"/>
    <w:uiPriority w:val="99"/>
    <w:unhideWhenUsed/>
    <w:rsid w:val="00872CB5"/>
    <w:rPr>
      <w:vertAlign w:val="superscript"/>
    </w:rPr>
  </w:style>
  <w:style w:type="character" w:customStyle="1" w:styleId="Ttulo1Car">
    <w:name w:val="Título 1 Car"/>
    <w:basedOn w:val="Fuentedeprrafopredeter"/>
    <w:link w:val="Ttulo1"/>
    <w:uiPriority w:val="9"/>
    <w:rsid w:val="00E1164E"/>
    <w:rPr>
      <w:rFonts w:cstheme="minorHAnsi"/>
      <w:b/>
      <w:color w:val="70AD47" w:themeColor="accent6"/>
      <w:sz w:val="32"/>
      <w:szCs w:val="46"/>
    </w:rPr>
  </w:style>
  <w:style w:type="character" w:customStyle="1" w:styleId="Ttulo2Car">
    <w:name w:val="Título 2 Car"/>
    <w:basedOn w:val="Fuentedeprrafopredeter"/>
    <w:link w:val="Ttulo2"/>
    <w:uiPriority w:val="9"/>
    <w:rsid w:val="00E1164E"/>
    <w:rPr>
      <w:rFonts w:eastAsiaTheme="majorEastAsia" w:cstheme="majorBidi"/>
      <w:color w:val="70AD47" w:themeColor="accent6"/>
      <w:sz w:val="28"/>
      <w:szCs w:val="28"/>
    </w:rPr>
  </w:style>
  <w:style w:type="paragraph" w:styleId="TtuloTDC">
    <w:name w:val="TOC Heading"/>
    <w:basedOn w:val="Ttulo1"/>
    <w:next w:val="Normal"/>
    <w:uiPriority w:val="39"/>
    <w:unhideWhenUsed/>
    <w:qFormat/>
    <w:rsid w:val="00707578"/>
    <w:pPr>
      <w:keepNext/>
      <w:keepLines/>
      <w:spacing w:before="240" w:after="0"/>
      <w:outlineLvl w:val="9"/>
    </w:pPr>
    <w:rPr>
      <w:rFonts w:asciiTheme="majorHAnsi" w:eastAsiaTheme="majorEastAsia" w:hAnsiTheme="majorHAnsi" w:cstheme="majorBidi"/>
      <w:b w:val="0"/>
      <w:color w:val="2E74B5" w:themeColor="accent1" w:themeShade="BF"/>
      <w:szCs w:val="32"/>
      <w:lang w:eastAsia="es-MX"/>
    </w:rPr>
  </w:style>
  <w:style w:type="paragraph" w:styleId="TDC1">
    <w:name w:val="toc 1"/>
    <w:basedOn w:val="Normal"/>
    <w:next w:val="Normal"/>
    <w:autoRedefine/>
    <w:uiPriority w:val="39"/>
    <w:unhideWhenUsed/>
    <w:rsid w:val="00707578"/>
    <w:pPr>
      <w:spacing w:after="100"/>
    </w:pPr>
  </w:style>
  <w:style w:type="paragraph" w:styleId="TDC2">
    <w:name w:val="toc 2"/>
    <w:basedOn w:val="Normal"/>
    <w:next w:val="Normal"/>
    <w:autoRedefine/>
    <w:uiPriority w:val="39"/>
    <w:unhideWhenUsed/>
    <w:rsid w:val="00707578"/>
    <w:pPr>
      <w:spacing w:after="100"/>
      <w:ind w:left="220"/>
    </w:pPr>
  </w:style>
  <w:style w:type="paragraph" w:styleId="Prrafodelista">
    <w:name w:val="List Paragraph"/>
    <w:basedOn w:val="Normal"/>
    <w:uiPriority w:val="34"/>
    <w:qFormat/>
    <w:rsid w:val="00C264CE"/>
    <w:pPr>
      <w:ind w:left="720"/>
      <w:contextualSpacing/>
    </w:pPr>
  </w:style>
  <w:style w:type="character" w:styleId="Refdecomentario">
    <w:name w:val="annotation reference"/>
    <w:basedOn w:val="Fuentedeprrafopredeter"/>
    <w:uiPriority w:val="99"/>
    <w:semiHidden/>
    <w:unhideWhenUsed/>
    <w:rsid w:val="00BF78FB"/>
    <w:rPr>
      <w:sz w:val="16"/>
      <w:szCs w:val="16"/>
    </w:rPr>
  </w:style>
  <w:style w:type="paragraph" w:styleId="Textocomentario">
    <w:name w:val="annotation text"/>
    <w:basedOn w:val="Normal"/>
    <w:link w:val="TextocomentarioCar"/>
    <w:uiPriority w:val="99"/>
    <w:semiHidden/>
    <w:unhideWhenUsed/>
    <w:rsid w:val="00BF78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78FB"/>
    <w:rPr>
      <w:sz w:val="20"/>
      <w:szCs w:val="20"/>
    </w:rPr>
  </w:style>
  <w:style w:type="paragraph" w:styleId="Asuntodelcomentario">
    <w:name w:val="annotation subject"/>
    <w:basedOn w:val="Textocomentario"/>
    <w:next w:val="Textocomentario"/>
    <w:link w:val="AsuntodelcomentarioCar"/>
    <w:uiPriority w:val="99"/>
    <w:semiHidden/>
    <w:unhideWhenUsed/>
    <w:rsid w:val="00BF78FB"/>
    <w:rPr>
      <w:b/>
      <w:bCs/>
    </w:rPr>
  </w:style>
  <w:style w:type="character" w:customStyle="1" w:styleId="AsuntodelcomentarioCar">
    <w:name w:val="Asunto del comentario Car"/>
    <w:basedOn w:val="TextocomentarioCar"/>
    <w:link w:val="Asuntodelcomentario"/>
    <w:uiPriority w:val="99"/>
    <w:semiHidden/>
    <w:rsid w:val="00BF78FB"/>
    <w:rPr>
      <w:b/>
      <w:bCs/>
      <w:sz w:val="20"/>
      <w:szCs w:val="20"/>
    </w:rPr>
  </w:style>
  <w:style w:type="paragraph" w:styleId="Textodeglobo">
    <w:name w:val="Balloon Text"/>
    <w:basedOn w:val="Normal"/>
    <w:link w:val="TextodegloboCar"/>
    <w:uiPriority w:val="99"/>
    <w:semiHidden/>
    <w:unhideWhenUsed/>
    <w:rsid w:val="00BF78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8FB"/>
    <w:rPr>
      <w:rFonts w:ascii="Segoe UI" w:hAnsi="Segoe UI" w:cs="Segoe UI"/>
      <w:sz w:val="18"/>
      <w:szCs w:val="18"/>
    </w:rPr>
  </w:style>
  <w:style w:type="paragraph" w:styleId="Revisin">
    <w:name w:val="Revision"/>
    <w:hidden/>
    <w:uiPriority w:val="99"/>
    <w:semiHidden/>
    <w:rsid w:val="005A1D79"/>
    <w:pPr>
      <w:spacing w:after="0" w:line="240" w:lineRule="auto"/>
    </w:pPr>
  </w:style>
  <w:style w:type="paragraph" w:styleId="Descripcin">
    <w:name w:val="caption"/>
    <w:basedOn w:val="Normal"/>
    <w:next w:val="Normal"/>
    <w:uiPriority w:val="35"/>
    <w:unhideWhenUsed/>
    <w:qFormat/>
    <w:rsid w:val="00DF2E23"/>
    <w:pPr>
      <w:spacing w:after="200" w:line="240" w:lineRule="auto"/>
    </w:pPr>
    <w:rPr>
      <w:i/>
      <w:iCs/>
      <w:color w:val="44546A" w:themeColor="text2"/>
      <w:sz w:val="18"/>
      <w:szCs w:val="18"/>
    </w:rPr>
  </w:style>
  <w:style w:type="table" w:customStyle="1" w:styleId="Tablaconcuadrcula1">
    <w:name w:val="Tabla con cuadrícula1"/>
    <w:basedOn w:val="Tablanormal"/>
    <w:next w:val="Tablaconcuadrcula"/>
    <w:uiPriority w:val="39"/>
    <w:rsid w:val="001B3B7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85B0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1164E"/>
    <w:rPr>
      <w:rFonts w:eastAsiaTheme="majorEastAsia" w:cstheme="majorBidi"/>
      <w:color w:val="70AD47" w:themeColor="accent6"/>
      <w:sz w:val="24"/>
      <w:szCs w:val="28"/>
    </w:rPr>
  </w:style>
  <w:style w:type="character" w:styleId="Hipervnculovisitado">
    <w:name w:val="FollowedHyperlink"/>
    <w:basedOn w:val="Fuentedeprrafopredeter"/>
    <w:uiPriority w:val="99"/>
    <w:semiHidden/>
    <w:unhideWhenUsed/>
    <w:rsid w:val="00D7449D"/>
    <w:rPr>
      <w:color w:val="954F72" w:themeColor="followedHyperlink"/>
      <w:u w:val="single"/>
    </w:rPr>
  </w:style>
  <w:style w:type="paragraph" w:styleId="Tabladeilustraciones">
    <w:name w:val="table of figures"/>
    <w:basedOn w:val="Normal"/>
    <w:next w:val="Normal"/>
    <w:uiPriority w:val="99"/>
    <w:unhideWhenUsed/>
    <w:rsid w:val="00E840A1"/>
    <w:pPr>
      <w:spacing w:after="0"/>
    </w:pPr>
  </w:style>
  <w:style w:type="paragraph" w:styleId="TDC3">
    <w:name w:val="toc 3"/>
    <w:basedOn w:val="Normal"/>
    <w:next w:val="Normal"/>
    <w:autoRedefine/>
    <w:uiPriority w:val="39"/>
    <w:unhideWhenUsed/>
    <w:rsid w:val="005C51D2"/>
    <w:pPr>
      <w:spacing w:after="100"/>
      <w:ind w:left="440"/>
    </w:pPr>
  </w:style>
  <w:style w:type="character" w:styleId="Mencinsinresolver">
    <w:name w:val="Unresolved Mention"/>
    <w:basedOn w:val="Fuentedeprrafopredeter"/>
    <w:uiPriority w:val="99"/>
    <w:semiHidden/>
    <w:unhideWhenUsed/>
    <w:rsid w:val="0071489D"/>
    <w:rPr>
      <w:color w:val="605E5C"/>
      <w:shd w:val="clear" w:color="auto" w:fill="E1DFDD"/>
    </w:rPr>
  </w:style>
  <w:style w:type="table" w:styleId="Tablaconcuadrcula5oscura-nfasis6">
    <w:name w:val="Grid Table 5 Dark Accent 6"/>
    <w:basedOn w:val="Tablanormal"/>
    <w:uiPriority w:val="50"/>
    <w:rsid w:val="002E2E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269109">
      <w:bodyDiv w:val="1"/>
      <w:marLeft w:val="0"/>
      <w:marRight w:val="0"/>
      <w:marTop w:val="0"/>
      <w:marBottom w:val="0"/>
      <w:divBdr>
        <w:top w:val="none" w:sz="0" w:space="0" w:color="auto"/>
        <w:left w:val="none" w:sz="0" w:space="0" w:color="auto"/>
        <w:bottom w:val="none" w:sz="0" w:space="0" w:color="auto"/>
        <w:right w:val="none" w:sz="0" w:space="0" w:color="auto"/>
      </w:divBdr>
    </w:div>
    <w:div w:id="588974260">
      <w:bodyDiv w:val="1"/>
      <w:marLeft w:val="0"/>
      <w:marRight w:val="0"/>
      <w:marTop w:val="0"/>
      <w:marBottom w:val="0"/>
      <w:divBdr>
        <w:top w:val="none" w:sz="0" w:space="0" w:color="auto"/>
        <w:left w:val="none" w:sz="0" w:space="0" w:color="auto"/>
        <w:bottom w:val="none" w:sz="0" w:space="0" w:color="auto"/>
        <w:right w:val="none" w:sz="0" w:space="0" w:color="auto"/>
      </w:divBdr>
    </w:div>
    <w:div w:id="591016483">
      <w:bodyDiv w:val="1"/>
      <w:marLeft w:val="0"/>
      <w:marRight w:val="0"/>
      <w:marTop w:val="0"/>
      <w:marBottom w:val="0"/>
      <w:divBdr>
        <w:top w:val="none" w:sz="0" w:space="0" w:color="auto"/>
        <w:left w:val="none" w:sz="0" w:space="0" w:color="auto"/>
        <w:bottom w:val="none" w:sz="0" w:space="0" w:color="auto"/>
        <w:right w:val="none" w:sz="0" w:space="0" w:color="auto"/>
      </w:divBdr>
    </w:div>
    <w:div w:id="701976927">
      <w:bodyDiv w:val="1"/>
      <w:marLeft w:val="0"/>
      <w:marRight w:val="0"/>
      <w:marTop w:val="0"/>
      <w:marBottom w:val="0"/>
      <w:divBdr>
        <w:top w:val="none" w:sz="0" w:space="0" w:color="auto"/>
        <w:left w:val="none" w:sz="0" w:space="0" w:color="auto"/>
        <w:bottom w:val="none" w:sz="0" w:space="0" w:color="auto"/>
        <w:right w:val="none" w:sz="0" w:space="0" w:color="auto"/>
      </w:divBdr>
    </w:div>
    <w:div w:id="705957133">
      <w:bodyDiv w:val="1"/>
      <w:marLeft w:val="0"/>
      <w:marRight w:val="0"/>
      <w:marTop w:val="0"/>
      <w:marBottom w:val="0"/>
      <w:divBdr>
        <w:top w:val="none" w:sz="0" w:space="0" w:color="auto"/>
        <w:left w:val="none" w:sz="0" w:space="0" w:color="auto"/>
        <w:bottom w:val="none" w:sz="0" w:space="0" w:color="auto"/>
        <w:right w:val="none" w:sz="0" w:space="0" w:color="auto"/>
      </w:divBdr>
    </w:div>
    <w:div w:id="1124420417">
      <w:bodyDiv w:val="1"/>
      <w:marLeft w:val="0"/>
      <w:marRight w:val="0"/>
      <w:marTop w:val="0"/>
      <w:marBottom w:val="0"/>
      <w:divBdr>
        <w:top w:val="none" w:sz="0" w:space="0" w:color="auto"/>
        <w:left w:val="none" w:sz="0" w:space="0" w:color="auto"/>
        <w:bottom w:val="none" w:sz="0" w:space="0" w:color="auto"/>
        <w:right w:val="none" w:sz="0" w:space="0" w:color="auto"/>
      </w:divBdr>
    </w:div>
    <w:div w:id="1539778846">
      <w:bodyDiv w:val="1"/>
      <w:marLeft w:val="0"/>
      <w:marRight w:val="0"/>
      <w:marTop w:val="0"/>
      <w:marBottom w:val="0"/>
      <w:divBdr>
        <w:top w:val="none" w:sz="0" w:space="0" w:color="auto"/>
        <w:left w:val="none" w:sz="0" w:space="0" w:color="auto"/>
        <w:bottom w:val="none" w:sz="0" w:space="0" w:color="auto"/>
        <w:right w:val="none" w:sz="0" w:space="0" w:color="auto"/>
      </w:divBdr>
    </w:div>
    <w:div w:id="16601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portal.3gpp.org/desktopmodules/Specifications/SpecificationDetails.aspx?specificationId=3562" TargetMode="External"/><Relationship Id="rId26" Type="http://schemas.openxmlformats.org/officeDocument/2006/relationships/hyperlink" Target="https://www.itu.int/dms_pubrec/itu-r/rec/m/R-REC-M.2121-0-201901-I!!PDF-S.pdf" TargetMode="External"/><Relationship Id="rId3" Type="http://schemas.openxmlformats.org/officeDocument/2006/relationships/customXml" Target="../customXml/item3.xml"/><Relationship Id="rId21" Type="http://schemas.openxmlformats.org/officeDocument/2006/relationships/hyperlink" Target="https://www.itu.int/dms_pub/itu-r/opb/rep/R-REP-M.2228-1-2015-PDF-E.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ortal.3gpp.org/desktopmodules/Specifications/SpecificationDetails.aspx?specificationId=3601" TargetMode="External"/><Relationship Id="rId25" Type="http://schemas.openxmlformats.org/officeDocument/2006/relationships/hyperlink" Target="https://www.itu.int/dms_pubrec/itu-r/rec/m/R-REC-M.1453-2-200506-I!!PDF-S.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ortal.3gpp.org/desktopmodules/Specifications/SpecificationDetails.aspx?specificationId=3108" TargetMode="External"/><Relationship Id="rId20" Type="http://schemas.openxmlformats.org/officeDocument/2006/relationships/hyperlink" Target="https://portal.3gpp.org/desktopmodules/Specifications/SpecificationDetails.aspx?specificationId=2411" TargetMode="External"/><Relationship Id="rId29" Type="http://schemas.openxmlformats.org/officeDocument/2006/relationships/hyperlink" Target="https://www.itu.int/dms_pubrec/itu-r/rec/m/R-REC-M.2084-1-201911-I!!PDF-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dms_pubrec/itu-r/rec/m/R-REC-M.1452-2-201205-I!!PDF-S.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ortal.3gpp.org/desktopmodules/Specifications/SpecificationDetails.aspx?specificationId=2898" TargetMode="External"/><Relationship Id="rId23" Type="http://schemas.openxmlformats.org/officeDocument/2006/relationships/hyperlink" Target="https://www.itu.int/dms_pub/itu-r/opb/rep/R-REP-M.2444-2019-PDF-E.pdf" TargetMode="External"/><Relationship Id="rId28" Type="http://schemas.openxmlformats.org/officeDocument/2006/relationships/hyperlink" Target="https://www.itu.int/dms_pubrec/itu-r/rec/m/R-REC-M.1890-0-201104-S!!PDF-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3gpp.org/desktopmodules/Specifications/SpecificationDetails.aspx?specificationId=3578"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itu.int/dms_pub/itu-r/opb/rep/R-REP-M.2441-2018-PDF-E.pdf" TargetMode="External"/><Relationship Id="rId27" Type="http://schemas.openxmlformats.org/officeDocument/2006/relationships/hyperlink" Target="https://docdb.cept.org/download/798c1836-20c6/REC0801.pdf" TargetMode="External"/><Relationship Id="rId30" Type="http://schemas.openxmlformats.org/officeDocument/2006/relationships/hyperlink" Target="https://www.itu.int/dms_pubrec/itu-r/rec/m/R-REC-M.2121-0-201901-I!!PDF-S.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www.ic.gc.ca/eic/site/smt-gst.nsf/eng/sf11325.html" TargetMode="External"/><Relationship Id="rId13" Type="http://schemas.openxmlformats.org/officeDocument/2006/relationships/hyperlink" Target="https://www.ofcom.org.uk/__data/assets/pdf_file/0020/37082/main.pdf" TargetMode="External"/><Relationship Id="rId18" Type="http://schemas.openxmlformats.org/officeDocument/2006/relationships/hyperlink" Target="https://docdb.cept.org/download/1583" TargetMode="External"/><Relationship Id="rId3" Type="http://schemas.openxmlformats.org/officeDocument/2006/relationships/hyperlink" Target="https://docs.fcc.gov/public/attachments/FCC-99-305A1.pdf" TargetMode="External"/><Relationship Id="rId21" Type="http://schemas.openxmlformats.org/officeDocument/2006/relationships/hyperlink" Target="https://www.3gpp.org/v2x" TargetMode="External"/><Relationship Id="rId7" Type="http://schemas.openxmlformats.org/officeDocument/2006/relationships/hyperlink" Target="https://www.ic.gc.ca/eic/site/smt-gst.nsf/eng/sf08745.html" TargetMode="External"/><Relationship Id="rId12" Type="http://schemas.openxmlformats.org/officeDocument/2006/relationships/hyperlink" Target="https://www.etsi.org/deliver/etsi_en/302500_302599/302571/02.01.01_60/en_302571v020101p.pdf" TargetMode="External"/><Relationship Id="rId17" Type="http://schemas.openxmlformats.org/officeDocument/2006/relationships/hyperlink" Target="https://docdb.cept.org/download/96" TargetMode="External"/><Relationship Id="rId2" Type="http://schemas.openxmlformats.org/officeDocument/2006/relationships/hyperlink" Target="http://cter.ift.org.mx/dashboard" TargetMode="External"/><Relationship Id="rId16" Type="http://schemas.openxmlformats.org/officeDocument/2006/relationships/hyperlink" Target="https://docdb.cept.org/download/21" TargetMode="External"/><Relationship Id="rId20" Type="http://schemas.openxmlformats.org/officeDocument/2006/relationships/hyperlink" Target="https://itsa.org/wp-content/uploads/2020/04/V2X-Myth-Vs-Fact-Sheet.pdf" TargetMode="External"/><Relationship Id="rId1" Type="http://schemas.openxmlformats.org/officeDocument/2006/relationships/hyperlink" Target="http://legislacion.scjn.gob.mx/Buscador/Paginas/wfProcesoLegislativoCompleto.aspx?IdOrd=101766&amp;IdRef=1&amp;IdProc=1" TargetMode="External"/><Relationship Id="rId6" Type="http://schemas.openxmlformats.org/officeDocument/2006/relationships/hyperlink" Target="https://www.federalregister.gov/documents/2021/05/03/2021-08802/use-of-the-5850-5925-ghz-band" TargetMode="External"/><Relationship Id="rId11" Type="http://schemas.openxmlformats.org/officeDocument/2006/relationships/hyperlink" Target="https://informacoes.anatel.gov.br/legislacao/atos-de-certificacao-de-produtos/2020/1467-ato-4776" TargetMode="External"/><Relationship Id="rId5" Type="http://schemas.openxmlformats.org/officeDocument/2006/relationships/hyperlink" Target="https://www.federalregister.gov/documents/2021/05/03/2021-08801/use-of-the-5850-5925-ghz-band" TargetMode="External"/><Relationship Id="rId15" Type="http://schemas.openxmlformats.org/officeDocument/2006/relationships/hyperlink" Target="https://www.legislation.gov.uk/uksi/2011/2949/pdfs/uksi_20112949_en.pdf" TargetMode="External"/><Relationship Id="rId23" Type="http://schemas.openxmlformats.org/officeDocument/2006/relationships/hyperlink" Target="https://www.itu.int/rec/R-REC-M.2083-0-201509-I/es" TargetMode="External"/><Relationship Id="rId10" Type="http://schemas.openxmlformats.org/officeDocument/2006/relationships/hyperlink" Target="https://www.ic.gc.ca/eic/site/smt-gst.nsf/eng/sf11403.html" TargetMode="External"/><Relationship Id="rId19" Type="http://schemas.openxmlformats.org/officeDocument/2006/relationships/hyperlink" Target="https://docdb.cept.org/download/798c1836-20c6/REC0801.pdf" TargetMode="External"/><Relationship Id="rId4" Type="http://schemas.openxmlformats.org/officeDocument/2006/relationships/hyperlink" Target="https://docs.fcc.gov/public/attachments/DOC-354364A1.pdf" TargetMode="External"/><Relationship Id="rId9" Type="http://schemas.openxmlformats.org/officeDocument/2006/relationships/hyperlink" Target="https://www.ic.gc.ca/eic/site/smt-gst.nsf/eng/sf11325.html" TargetMode="External"/><Relationship Id="rId14" Type="http://schemas.openxmlformats.org/officeDocument/2006/relationships/hyperlink" Target="https://www.legislation.gov.uk/uksi/2009/65/pdfs/uksi_20090065_en.pdf" TargetMode="External"/><Relationship Id="rId22" Type="http://schemas.openxmlformats.org/officeDocument/2006/relationships/hyperlink" Target="https://www.itu.int/rec/R-REC-M.2083-0-201509-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60EC04266C7D4D80F1615D0875E20B" ma:contentTypeVersion="0" ma:contentTypeDescription="Crear nuevo documento." ma:contentTypeScope="" ma:versionID="d37fdde15a2a1e2474ae7ef3f8b8e74f">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7C08-5F54-4E7D-A588-F68BB3BC50E9}">
  <ds:schemaRefs>
    <ds:schemaRef ds:uri="http://schemas.microsoft.com/sharepoint/v3/contenttype/forms"/>
  </ds:schemaRefs>
</ds:datastoreItem>
</file>

<file path=customXml/itemProps2.xml><?xml version="1.0" encoding="utf-8"?>
<ds:datastoreItem xmlns:ds="http://schemas.openxmlformats.org/officeDocument/2006/customXml" ds:itemID="{F1EE5779-33AF-45BB-8016-3FCFCB026B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CA7434-8E65-42F8-8859-F85787FFF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386B1C-5AD4-41C5-8FCD-285BC49B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10165</Words>
  <Characters>55909</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65943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Márquez Torres</dc:creator>
  <cp:keywords/>
  <dc:description/>
  <cp:lastModifiedBy>Josue Teoyotl Calderon</cp:lastModifiedBy>
  <cp:revision>4</cp:revision>
  <cp:lastPrinted>2021-08-18T22:58:00Z</cp:lastPrinted>
  <dcterms:created xsi:type="dcterms:W3CDTF">2021-08-18T04:17:00Z</dcterms:created>
  <dcterms:modified xsi:type="dcterms:W3CDTF">2021-08-18T22:58:00Z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0x0101006660EC04266C7D4D80F1615D0875E20B</vt:lpwstr>
  </property>
</Properties>
</file>